
<file path=[Content_Types].xml><?xml version="1.0" encoding="utf-8"?>
<Types xmlns="http://schemas.openxmlformats.org/package/2006/content-types">
  <Default Extension="bin" ContentType="application/vnd.openxmlformats-officedocument.oleObject"/>
  <Default Extension="png" ContentType="image/png"/>
  <Default Extension="pcz" ContentType="image/x-pcz"/>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000" w:firstRow="0" w:lastRow="0" w:firstColumn="0" w:lastColumn="0" w:noHBand="0" w:noVBand="0"/>
      </w:tblPr>
      <w:tblGrid>
        <w:gridCol w:w="1804"/>
        <w:gridCol w:w="4478"/>
        <w:gridCol w:w="3130"/>
      </w:tblGrid>
      <w:tr w:rsidR="00CD2A5A" w:rsidTr="00C31703">
        <w:tblPrEx>
          <w:tblCellMar>
            <w:top w:w="0" w:type="dxa"/>
            <w:bottom w:w="0" w:type="dxa"/>
          </w:tblCellMar>
        </w:tblPrEx>
        <w:trPr>
          <w:jc w:val="center"/>
        </w:trPr>
        <w:tc>
          <w:tcPr>
            <w:tcW w:w="1804" w:type="dxa"/>
            <w:tcBorders>
              <w:bottom w:val="single" w:sz="4" w:space="0" w:color="auto"/>
            </w:tcBorders>
          </w:tcPr>
          <w:p w:rsidR="00CD2A5A" w:rsidRDefault="00CD2A5A">
            <w:pPr>
              <w:rPr>
                <w:lang w:val="es-ES_tradnl"/>
              </w:rPr>
            </w:pPr>
            <w:r>
              <w:rPr>
                <w:rFonts w:ascii="Arial" w:hAnsi="Arial" w:cs="Arial"/>
                <w:b/>
                <w:bCs/>
                <w:sz w:val="28"/>
                <w:lang w:val="es-ES_tradnl"/>
              </w:rPr>
              <w:t>UNITED</w:t>
            </w:r>
            <w:r>
              <w:rPr>
                <w:rFonts w:ascii="Arial" w:hAnsi="Arial" w:cs="Arial"/>
                <w:b/>
                <w:bCs/>
                <w:sz w:val="28"/>
                <w:lang w:val="es-ES_tradnl"/>
              </w:rPr>
              <w:br/>
              <w:t>NATIONS</w:t>
            </w:r>
          </w:p>
        </w:tc>
        <w:tc>
          <w:tcPr>
            <w:tcW w:w="4478" w:type="dxa"/>
            <w:tcBorders>
              <w:bottom w:val="single" w:sz="4" w:space="0" w:color="auto"/>
            </w:tcBorders>
          </w:tcPr>
          <w:p w:rsidR="00CD2A5A" w:rsidRDefault="00CD2A5A">
            <w:pPr>
              <w:rPr>
                <w:lang w:val="es-ES_tradnl"/>
              </w:rPr>
            </w:pPr>
          </w:p>
        </w:tc>
        <w:tc>
          <w:tcPr>
            <w:tcW w:w="3130" w:type="dxa"/>
            <w:tcBorders>
              <w:bottom w:val="single" w:sz="4" w:space="0" w:color="auto"/>
            </w:tcBorders>
          </w:tcPr>
          <w:p w:rsidR="00CD2A5A" w:rsidRDefault="00CD2A5A">
            <w:pPr>
              <w:jc w:val="right"/>
              <w:rPr>
                <w:lang w:val="es-ES_tradnl"/>
              </w:rPr>
            </w:pPr>
            <w:r>
              <w:rPr>
                <w:rFonts w:ascii="Arial" w:hAnsi="Arial" w:cs="Arial"/>
                <w:b/>
                <w:bCs/>
                <w:sz w:val="72"/>
                <w:lang w:val="es-ES_tradnl"/>
              </w:rPr>
              <w:t>CRC</w:t>
            </w:r>
          </w:p>
        </w:tc>
      </w:tr>
      <w:bookmarkStart w:id="0" w:name="_MON_1324380800"/>
      <w:bookmarkEnd w:id="0"/>
      <w:tr w:rsidR="00CD2A5A" w:rsidTr="00C31703">
        <w:tblPrEx>
          <w:tblCellMar>
            <w:top w:w="0" w:type="dxa"/>
            <w:bottom w:w="0" w:type="dxa"/>
          </w:tblCellMar>
        </w:tblPrEx>
        <w:trPr>
          <w:jc w:val="center"/>
        </w:trPr>
        <w:tc>
          <w:tcPr>
            <w:tcW w:w="1804" w:type="dxa"/>
            <w:tcBorders>
              <w:top w:val="single" w:sz="4" w:space="0" w:color="auto"/>
              <w:bottom w:val="single" w:sz="24" w:space="0" w:color="auto"/>
            </w:tcBorders>
          </w:tcPr>
          <w:p w:rsidR="00CD2A5A" w:rsidRDefault="00CD2A5A">
            <w:pPr>
              <w:spacing w:before="120"/>
              <w:ind w:left="113"/>
              <w:rPr>
                <w:lang w:val="es-ES_tradnl"/>
              </w:rPr>
            </w:pPr>
            <w:r>
              <w:object w:dxaOrig="1361" w:dyaOrig="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63.75pt" o:ole="" o:allowoverlap="f">
                  <v:imagedata r:id="rId7" o:title=""/>
                </v:shape>
                <o:OLEObject Type="Embed" ProgID="Word.Picture.8" ShapeID="_x0000_i1025" DrawAspect="Content" ObjectID="_1395858672" r:id="rId8"/>
              </w:object>
            </w:r>
          </w:p>
        </w:tc>
        <w:tc>
          <w:tcPr>
            <w:tcW w:w="4478" w:type="dxa"/>
            <w:tcBorders>
              <w:top w:val="single" w:sz="4" w:space="0" w:color="auto"/>
              <w:bottom w:val="single" w:sz="24" w:space="0" w:color="auto"/>
            </w:tcBorders>
          </w:tcPr>
          <w:p w:rsidR="00CD2A5A" w:rsidRDefault="00CD2A5A">
            <w:pPr>
              <w:spacing w:before="240"/>
              <w:rPr>
                <w:lang w:val="es-ES_tradnl"/>
              </w:rPr>
            </w:pPr>
            <w:r>
              <w:rPr>
                <w:rFonts w:ascii="Arial" w:hAnsi="Arial" w:cs="Arial"/>
                <w:b/>
                <w:bCs/>
                <w:sz w:val="32"/>
                <w:lang w:val="en-US"/>
              </w:rPr>
              <w:t>Convention on the Rights</w:t>
            </w:r>
            <w:r>
              <w:rPr>
                <w:rFonts w:ascii="Arial" w:hAnsi="Arial" w:cs="Arial"/>
                <w:b/>
                <w:bCs/>
                <w:sz w:val="32"/>
                <w:lang w:val="en-US"/>
              </w:rPr>
              <w:br/>
              <w:t>of the Child</w:t>
            </w:r>
          </w:p>
        </w:tc>
        <w:tc>
          <w:tcPr>
            <w:tcW w:w="3130" w:type="dxa"/>
            <w:tcBorders>
              <w:top w:val="single" w:sz="4" w:space="0" w:color="auto"/>
              <w:bottom w:val="single" w:sz="24" w:space="0" w:color="auto"/>
            </w:tcBorders>
          </w:tcPr>
          <w:p w:rsidR="00CD2A5A" w:rsidRDefault="00CD2A5A">
            <w:pPr>
              <w:tabs>
                <w:tab w:val="left" w:pos="6960"/>
              </w:tabs>
              <w:spacing w:before="240" w:after="240"/>
              <w:rPr>
                <w:lang w:val="en-US"/>
              </w:rPr>
            </w:pPr>
            <w:r>
              <w:rPr>
                <w:lang w:val="en-US"/>
              </w:rPr>
              <w:t>Distr.</w:t>
            </w:r>
            <w:r>
              <w:rPr>
                <w:lang w:val="en-US"/>
              </w:rPr>
              <w:br/>
              <w:t>GENERAL</w:t>
            </w:r>
          </w:p>
          <w:p w:rsidR="00CD2A5A" w:rsidRDefault="00CD2A5A">
            <w:pPr>
              <w:tabs>
                <w:tab w:val="left" w:pos="6960"/>
              </w:tabs>
              <w:spacing w:after="240"/>
              <w:rPr>
                <w:lang w:val="en-US"/>
              </w:rPr>
            </w:pPr>
            <w:r>
              <w:rPr>
                <w:lang w:val="en-US"/>
              </w:rPr>
              <w:t>CRC/C/SLV/3-4</w:t>
            </w:r>
            <w:r>
              <w:rPr>
                <w:lang w:val="en-US"/>
              </w:rPr>
              <w:br/>
            </w:r>
            <w:r>
              <w:rPr>
                <w:lang w:val="en-GB"/>
              </w:rPr>
              <w:t>23 July 2009</w:t>
            </w:r>
          </w:p>
          <w:p w:rsidR="00CD2A5A" w:rsidRDefault="00CD2A5A">
            <w:pPr>
              <w:spacing w:after="240"/>
              <w:rPr>
                <w:lang w:val="es-ES_tradnl"/>
              </w:rPr>
            </w:pPr>
            <w:r>
              <w:rPr>
                <w:lang w:val="en-GB"/>
              </w:rPr>
              <w:t>ENGLISH</w:t>
            </w:r>
            <w:r>
              <w:rPr>
                <w:lang w:val="en-GB"/>
              </w:rPr>
              <w:br/>
              <w:t>Original:</w:t>
            </w:r>
            <w:r>
              <w:rPr>
                <w:lang w:val="en-US"/>
              </w:rPr>
              <w:t xml:space="preserve"> </w:t>
            </w:r>
            <w:r>
              <w:rPr>
                <w:lang w:val="en-GB"/>
              </w:rPr>
              <w:t>SPANISH</w:t>
            </w:r>
          </w:p>
        </w:tc>
      </w:tr>
    </w:tbl>
    <w:p w:rsidR="00CD2A5A" w:rsidRDefault="00CD2A5A">
      <w:pPr>
        <w:rPr>
          <w:lang w:val="es-ES_tradnl"/>
        </w:rPr>
      </w:pPr>
    </w:p>
    <w:p w:rsidR="00CD2A5A" w:rsidRDefault="00CD2A5A">
      <w:pPr>
        <w:tabs>
          <w:tab w:val="left" w:pos="6720"/>
        </w:tabs>
        <w:spacing w:after="720"/>
        <w:rPr>
          <w:lang w:val="en-US"/>
        </w:rPr>
      </w:pPr>
      <w:r>
        <w:rPr>
          <w:lang w:val="en-GB"/>
        </w:rPr>
        <w:t>COMMITTEE ON THE RIGHTS OF THE CHILD</w:t>
      </w:r>
    </w:p>
    <w:p w:rsidR="00CD2A5A" w:rsidRDefault="00CD2A5A">
      <w:pPr>
        <w:tabs>
          <w:tab w:val="left" w:pos="6720"/>
        </w:tabs>
        <w:spacing w:after="360"/>
        <w:jc w:val="center"/>
        <w:rPr>
          <w:b/>
          <w:bCs/>
          <w:lang w:val="en-US"/>
        </w:rPr>
      </w:pPr>
      <w:r>
        <w:rPr>
          <w:b/>
          <w:bCs/>
          <w:lang w:val="en-GB"/>
        </w:rPr>
        <w:t xml:space="preserve">CONSIDERATION OF REPORTS SUBMITTED BY STATES PARTIES </w:t>
      </w:r>
      <w:r>
        <w:rPr>
          <w:b/>
          <w:bCs/>
          <w:lang w:val="en-GB"/>
        </w:rPr>
        <w:br/>
        <w:t>UNDER ARTICLE 44 OF THE CONVENTION</w:t>
      </w:r>
    </w:p>
    <w:p w:rsidR="00CD2A5A" w:rsidRDefault="00CD2A5A">
      <w:pPr>
        <w:tabs>
          <w:tab w:val="left" w:pos="6720"/>
        </w:tabs>
        <w:spacing w:after="480"/>
        <w:jc w:val="center"/>
        <w:rPr>
          <w:b/>
          <w:bCs/>
          <w:lang w:val="en-US"/>
        </w:rPr>
      </w:pPr>
      <w:r>
        <w:rPr>
          <w:b/>
          <w:bCs/>
          <w:lang w:val="en-GB"/>
        </w:rPr>
        <w:t>Third and fourth periodic reports by States parties due in 2007</w:t>
      </w:r>
    </w:p>
    <w:p w:rsidR="00CD2A5A" w:rsidRDefault="00CD2A5A">
      <w:pPr>
        <w:tabs>
          <w:tab w:val="left" w:pos="6720"/>
        </w:tabs>
        <w:spacing w:after="240"/>
        <w:jc w:val="center"/>
        <w:rPr>
          <w:b/>
          <w:bCs/>
          <w:vertAlign w:val="superscript"/>
        </w:rPr>
      </w:pPr>
      <w:r>
        <w:rPr>
          <w:b/>
          <w:bCs/>
        </w:rPr>
        <w:t>EL SALVADOR</w:t>
      </w:r>
      <w:r>
        <w:rPr>
          <w:rStyle w:val="FootnoteReference"/>
        </w:rPr>
        <w:footnoteReference w:customMarkFollows="1" w:id="1"/>
        <w:t>*</w:t>
      </w:r>
      <w:r>
        <w:rPr>
          <w:b/>
          <w:bCs/>
          <w:vertAlign w:val="superscript"/>
        </w:rPr>
        <w:t xml:space="preserve"> **</w:t>
      </w:r>
    </w:p>
    <w:p w:rsidR="00CD2A5A" w:rsidRDefault="00CD2A5A">
      <w:pPr>
        <w:tabs>
          <w:tab w:val="left" w:pos="6720"/>
        </w:tabs>
        <w:spacing w:after="1920"/>
        <w:jc w:val="right"/>
      </w:pPr>
      <w:r>
        <w:t>[21 February 2008]</w:t>
      </w:r>
    </w:p>
    <w:p w:rsidR="00CD2A5A" w:rsidRDefault="00CD2A5A">
      <w:pPr>
        <w:tabs>
          <w:tab w:val="left" w:pos="6720"/>
        </w:tabs>
        <w:spacing w:after="1920"/>
      </w:pPr>
    </w:p>
    <w:p w:rsidR="00CD2A5A" w:rsidRDefault="00CD2A5A">
      <w:pPr>
        <w:tabs>
          <w:tab w:val="left" w:pos="6720"/>
        </w:tabs>
        <w:spacing w:after="1920"/>
      </w:pPr>
    </w:p>
    <w:p w:rsidR="00CD2A5A" w:rsidRDefault="00CD2A5A">
      <w:pPr>
        <w:sectPr w:rsidR="00CD2A5A">
          <w:headerReference w:type="even" r:id="rId9"/>
          <w:headerReference w:type="default" r:id="rId10"/>
          <w:pgSz w:w="11906" w:h="16838" w:code="9"/>
          <w:pgMar w:top="851" w:right="1247" w:bottom="1418" w:left="1247" w:header="851" w:footer="1134" w:gutter="0"/>
          <w:cols w:space="708"/>
          <w:titlePg/>
          <w:docGrid w:linePitch="360"/>
        </w:sectPr>
      </w:pPr>
    </w:p>
    <w:p w:rsidR="00CD2A5A" w:rsidRDefault="00CD2A5A">
      <w:pPr>
        <w:pStyle w:val="I"/>
        <w:rPr>
          <w:lang w:val="fr-CH"/>
        </w:rPr>
      </w:pPr>
      <w:r>
        <w:rPr>
          <w:lang w:val="fr-CH"/>
        </w:rPr>
        <w:t>CONTENTS</w:t>
      </w:r>
    </w:p>
    <w:p w:rsidR="00CD2A5A" w:rsidRDefault="00CD2A5A">
      <w:pPr>
        <w:tabs>
          <w:tab w:val="center" w:pos="7995"/>
          <w:tab w:val="right" w:pos="9412"/>
        </w:tabs>
        <w:rPr>
          <w:i/>
          <w:iCs/>
          <w:lang w:val="fr-CH"/>
        </w:rPr>
      </w:pPr>
      <w:r>
        <w:rPr>
          <w:i/>
          <w:iCs/>
          <w:lang w:val="fr-CH"/>
        </w:rPr>
        <w:tab/>
      </w:r>
      <w:r>
        <w:rPr>
          <w:i/>
          <w:iCs/>
          <w:sz w:val="20"/>
          <w:lang w:val="fr-CH"/>
        </w:rPr>
        <w:t>Paragraphs</w:t>
      </w:r>
      <w:r>
        <w:rPr>
          <w:i/>
          <w:iCs/>
          <w:sz w:val="20"/>
          <w:lang w:val="fr-CH"/>
        </w:rPr>
        <w:tab/>
        <w:t>Page</w:t>
      </w:r>
    </w:p>
    <w:p w:rsidR="00CD2A5A" w:rsidRDefault="00CD2A5A">
      <w:pPr>
        <w:tabs>
          <w:tab w:val="left" w:pos="567"/>
          <w:tab w:val="left" w:pos="1134"/>
          <w:tab w:val="left" w:pos="1701"/>
          <w:tab w:val="left" w:leader="dot" w:pos="7144"/>
          <w:tab w:val="center" w:pos="7995"/>
          <w:tab w:val="right" w:pos="9412"/>
        </w:tabs>
        <w:rPr>
          <w:b/>
          <w:lang w:val="fr-CH"/>
        </w:rPr>
      </w:pPr>
    </w:p>
    <w:p w:rsidR="00CD2A5A" w:rsidRDefault="00CD2A5A">
      <w:pPr>
        <w:tabs>
          <w:tab w:val="left" w:pos="567"/>
          <w:tab w:val="left" w:pos="1134"/>
          <w:tab w:val="left" w:pos="1701"/>
          <w:tab w:val="left" w:leader="dot" w:pos="7144"/>
          <w:tab w:val="center" w:pos="7995"/>
          <w:tab w:val="right" w:pos="9412"/>
        </w:tabs>
        <w:rPr>
          <w:lang w:val="en-US"/>
        </w:rPr>
      </w:pPr>
      <w:r>
        <w:rPr>
          <w:lang w:val="en-US"/>
        </w:rPr>
        <w:t>I.</w:t>
      </w:r>
      <w:r>
        <w:rPr>
          <w:lang w:val="en-US"/>
        </w:rPr>
        <w:tab/>
        <w:t>Introduction</w:t>
      </w:r>
      <w:r>
        <w:rPr>
          <w:lang w:val="en-US"/>
        </w:rPr>
        <w:tab/>
      </w:r>
      <w:r>
        <w:rPr>
          <w:lang w:val="en-US"/>
        </w:rPr>
        <w:tab/>
        <w:t>1-6</w:t>
      </w:r>
      <w:r>
        <w:rPr>
          <w:lang w:val="en-US"/>
        </w:rPr>
        <w:tab/>
        <w:t>5</w:t>
      </w:r>
    </w:p>
    <w:p w:rsidR="00CD2A5A" w:rsidRDefault="00CD2A5A">
      <w:pPr>
        <w:tabs>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spacing w:after="100"/>
        <w:rPr>
          <w:lang w:val="en-US"/>
        </w:rPr>
      </w:pPr>
      <w:r>
        <w:rPr>
          <w:lang w:val="en-US"/>
        </w:rPr>
        <w:t>II.</w:t>
      </w:r>
      <w:r>
        <w:rPr>
          <w:lang w:val="en-US"/>
        </w:rPr>
        <w:tab/>
        <w:t xml:space="preserve">General information </w:t>
      </w:r>
      <w:r>
        <w:rPr>
          <w:lang w:val="en-US"/>
        </w:rPr>
        <w:tab/>
      </w:r>
      <w:r>
        <w:rPr>
          <w:lang w:val="en-US"/>
        </w:rPr>
        <w:tab/>
        <w:t>7-37</w:t>
      </w:r>
      <w:r>
        <w:rPr>
          <w:lang w:val="en-US"/>
        </w:rPr>
        <w:tab/>
        <w:t>5</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US"/>
        </w:rPr>
        <w:tab/>
      </w:r>
      <w:r>
        <w:rPr>
          <w:bCs/>
          <w:lang w:val="en-GB"/>
        </w:rPr>
        <w:t>A.</w:t>
      </w:r>
      <w:r>
        <w:rPr>
          <w:bCs/>
          <w:lang w:val="en-US"/>
        </w:rPr>
        <w:tab/>
      </w:r>
      <w:r>
        <w:rPr>
          <w:bCs/>
          <w:lang w:val="en-GB"/>
        </w:rPr>
        <w:t>Definition of child</w:t>
      </w:r>
      <w:r>
        <w:rPr>
          <w:bCs/>
          <w:lang w:val="en-US"/>
        </w:rPr>
        <w:tab/>
      </w:r>
      <w:r>
        <w:rPr>
          <w:bCs/>
          <w:lang w:val="en-US"/>
        </w:rPr>
        <w:tab/>
        <w:t>7</w:t>
      </w:r>
      <w:r>
        <w:rPr>
          <w:bCs/>
          <w:lang w:val="en-US"/>
        </w:rPr>
        <w:tab/>
        <w:t>5</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B.</w:t>
      </w:r>
      <w:r>
        <w:rPr>
          <w:bCs/>
          <w:lang w:val="en-US"/>
        </w:rPr>
        <w:tab/>
      </w:r>
      <w:r>
        <w:rPr>
          <w:bCs/>
          <w:lang w:val="en-GB"/>
        </w:rPr>
        <w:t>General information on the child population</w:t>
      </w:r>
      <w:r>
        <w:rPr>
          <w:bCs/>
          <w:lang w:val="en-US"/>
        </w:rPr>
        <w:t xml:space="preserve"> </w:t>
      </w:r>
      <w:r>
        <w:rPr>
          <w:bCs/>
          <w:lang w:val="en-US"/>
        </w:rPr>
        <w:tab/>
      </w:r>
      <w:r>
        <w:rPr>
          <w:bCs/>
          <w:lang w:val="en-US"/>
        </w:rPr>
        <w:tab/>
        <w:t>8-13</w:t>
      </w:r>
      <w:r>
        <w:rPr>
          <w:bCs/>
          <w:lang w:val="en-US"/>
        </w:rPr>
        <w:tab/>
        <w:t>5</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C.</w:t>
      </w:r>
      <w:r>
        <w:rPr>
          <w:bCs/>
          <w:lang w:val="en-US"/>
        </w:rPr>
        <w:tab/>
      </w:r>
      <w:r>
        <w:rPr>
          <w:bCs/>
          <w:lang w:val="en-GB"/>
        </w:rPr>
        <w:t xml:space="preserve">State of the National Policy for the Full Development of </w:t>
      </w:r>
      <w:r>
        <w:rPr>
          <w:bCs/>
          <w:lang w:val="en-GB"/>
        </w:rPr>
        <w:br/>
        <w:t>Children and Adolescents (PNDINA)</w:t>
      </w:r>
      <w:r>
        <w:rPr>
          <w:bCs/>
          <w:lang w:val="en-US"/>
        </w:rPr>
        <w:tab/>
      </w:r>
      <w:r>
        <w:rPr>
          <w:bCs/>
          <w:lang w:val="en-US"/>
        </w:rPr>
        <w:tab/>
        <w:t>14-20</w:t>
      </w:r>
      <w:r>
        <w:rPr>
          <w:bCs/>
          <w:lang w:val="en-US"/>
        </w:rPr>
        <w:tab/>
        <w:t>7</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D.</w:t>
      </w:r>
      <w:r>
        <w:rPr>
          <w:bCs/>
          <w:lang w:val="en-US"/>
        </w:rPr>
        <w:tab/>
      </w:r>
      <w:r>
        <w:rPr>
          <w:bCs/>
          <w:lang w:val="en-GB"/>
        </w:rPr>
        <w:t>State of the National Action Plan (2001-2010)</w:t>
      </w:r>
      <w:r>
        <w:rPr>
          <w:bCs/>
          <w:lang w:val="en-US"/>
        </w:rPr>
        <w:tab/>
      </w:r>
      <w:r>
        <w:rPr>
          <w:bCs/>
          <w:lang w:val="en-US"/>
        </w:rPr>
        <w:tab/>
        <w:t>21</w:t>
      </w:r>
      <w:r>
        <w:rPr>
          <w:bCs/>
          <w:lang w:val="en-US"/>
        </w:rPr>
        <w:tab/>
        <w:t>8</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E.</w:t>
      </w:r>
      <w:r>
        <w:rPr>
          <w:bCs/>
          <w:lang w:val="en-US"/>
        </w:rPr>
        <w:tab/>
      </w:r>
      <w:r>
        <w:rPr>
          <w:bCs/>
          <w:lang w:val="en-GB"/>
        </w:rPr>
        <w:t xml:space="preserve">Allocations and trends of budgets for implementing the </w:t>
      </w:r>
      <w:r>
        <w:rPr>
          <w:bCs/>
          <w:lang w:val="en-GB"/>
        </w:rPr>
        <w:br/>
        <w:t>Convention on the Rights of the Child</w:t>
      </w:r>
      <w:r>
        <w:rPr>
          <w:bCs/>
          <w:lang w:val="en-US"/>
        </w:rPr>
        <w:tab/>
      </w:r>
      <w:r>
        <w:rPr>
          <w:bCs/>
          <w:lang w:val="en-US"/>
        </w:rPr>
        <w:tab/>
        <w:t>22-25</w:t>
      </w:r>
      <w:r>
        <w:rPr>
          <w:bCs/>
          <w:lang w:val="en-US"/>
        </w:rPr>
        <w:tab/>
        <w:t>9</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F.</w:t>
      </w:r>
      <w:r>
        <w:rPr>
          <w:bCs/>
          <w:lang w:val="en-US"/>
        </w:rPr>
        <w:tab/>
      </w:r>
      <w:r>
        <w:rPr>
          <w:bCs/>
          <w:lang w:val="en-GB"/>
        </w:rPr>
        <w:t>International cooperation</w:t>
      </w:r>
      <w:r>
        <w:rPr>
          <w:bCs/>
          <w:lang w:val="en-US"/>
        </w:rPr>
        <w:tab/>
      </w:r>
      <w:r>
        <w:rPr>
          <w:bCs/>
          <w:lang w:val="en-US"/>
        </w:rPr>
        <w:tab/>
        <w:t>26</w:t>
      </w:r>
      <w:r>
        <w:rPr>
          <w:bCs/>
          <w:lang w:val="en-US"/>
        </w:rPr>
        <w:tab/>
        <w:t>12</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G.</w:t>
      </w:r>
      <w:r>
        <w:rPr>
          <w:bCs/>
          <w:lang w:val="en-US"/>
        </w:rPr>
        <w:tab/>
      </w:r>
      <w:r>
        <w:rPr>
          <w:bCs/>
          <w:lang w:val="en-GB"/>
        </w:rPr>
        <w:t xml:space="preserve">Information on programmes for caring for children </w:t>
      </w:r>
      <w:r>
        <w:rPr>
          <w:bCs/>
          <w:lang w:val="en-GB"/>
        </w:rPr>
        <w:br/>
        <w:t>in vulnerable groups</w:t>
      </w:r>
      <w:r>
        <w:rPr>
          <w:bCs/>
          <w:lang w:val="en-US"/>
        </w:rPr>
        <w:t xml:space="preserve"> </w:t>
      </w:r>
      <w:r>
        <w:rPr>
          <w:bCs/>
          <w:lang w:val="en-US"/>
        </w:rPr>
        <w:tab/>
      </w:r>
      <w:r>
        <w:rPr>
          <w:bCs/>
          <w:lang w:val="en-US"/>
        </w:rPr>
        <w:tab/>
        <w:t>27-32</w:t>
      </w:r>
      <w:r>
        <w:rPr>
          <w:bCs/>
          <w:lang w:val="en-US"/>
        </w:rPr>
        <w:tab/>
        <w:t>13</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H.</w:t>
      </w:r>
      <w:r>
        <w:rPr>
          <w:bCs/>
          <w:lang w:val="en-US"/>
        </w:rPr>
        <w:tab/>
      </w:r>
      <w:r>
        <w:rPr>
          <w:bCs/>
          <w:lang w:val="en-GB"/>
        </w:rPr>
        <w:t xml:space="preserve">Role of the independent national human rights institutions </w:t>
      </w:r>
      <w:r>
        <w:rPr>
          <w:bCs/>
          <w:lang w:val="en-GB"/>
        </w:rPr>
        <w:br/>
        <w:t>with competence for child rights</w:t>
      </w:r>
      <w:r>
        <w:rPr>
          <w:bCs/>
          <w:lang w:val="en-US"/>
        </w:rPr>
        <w:tab/>
      </w:r>
      <w:r>
        <w:rPr>
          <w:bCs/>
          <w:lang w:val="en-US"/>
        </w:rPr>
        <w:tab/>
        <w:t>33</w:t>
      </w:r>
      <w:r>
        <w:rPr>
          <w:bCs/>
          <w:lang w:val="en-US"/>
        </w:rPr>
        <w:tab/>
        <w:t>16</w:t>
      </w:r>
    </w:p>
    <w:p w:rsidR="00CD2A5A" w:rsidRDefault="00CD2A5A">
      <w:pPr>
        <w:tabs>
          <w:tab w:val="left" w:pos="567"/>
          <w:tab w:val="left" w:pos="1134"/>
          <w:tab w:val="left" w:pos="1701"/>
          <w:tab w:val="left" w:leader="dot" w:pos="7144"/>
          <w:tab w:val="center" w:pos="7995"/>
          <w:tab w:val="right" w:pos="9412"/>
        </w:tabs>
        <w:rPr>
          <w:bCs/>
          <w:lang w:val="en-US"/>
        </w:rPr>
      </w:pPr>
      <w:r>
        <w:rPr>
          <w:bCs/>
          <w:lang w:val="en-GB"/>
        </w:rPr>
        <w:tab/>
        <w:t>I.</w:t>
      </w:r>
      <w:r>
        <w:rPr>
          <w:bCs/>
          <w:lang w:val="en-US"/>
        </w:rPr>
        <w:tab/>
      </w:r>
      <w:r>
        <w:rPr>
          <w:bCs/>
          <w:lang w:val="en-GB"/>
        </w:rPr>
        <w:t>Publicizing the Convention</w:t>
      </w:r>
      <w:r>
        <w:rPr>
          <w:bCs/>
          <w:lang w:val="en-US"/>
        </w:rPr>
        <w:tab/>
      </w:r>
      <w:r>
        <w:rPr>
          <w:bCs/>
          <w:lang w:val="en-US"/>
        </w:rPr>
        <w:tab/>
        <w:t>34-37</w:t>
      </w:r>
      <w:r>
        <w:rPr>
          <w:bCs/>
          <w:lang w:val="en-US"/>
        </w:rPr>
        <w:tab/>
        <w:t>16</w:t>
      </w:r>
    </w:p>
    <w:p w:rsidR="00CD2A5A" w:rsidRDefault="00CD2A5A">
      <w:pPr>
        <w:pStyle w:val="Header"/>
        <w:tabs>
          <w:tab w:val="clear" w:pos="4252"/>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rPr>
          <w:lang w:val="en-US"/>
        </w:rPr>
      </w:pPr>
      <w:r>
        <w:rPr>
          <w:lang w:val="en-GB"/>
        </w:rPr>
        <w:t>III.</w:t>
      </w:r>
      <w:r>
        <w:rPr>
          <w:lang w:val="en-US"/>
        </w:rPr>
        <w:tab/>
      </w:r>
      <w:r>
        <w:rPr>
          <w:lang w:val="en-GB"/>
        </w:rPr>
        <w:t>General principles</w:t>
      </w:r>
      <w:r>
        <w:rPr>
          <w:lang w:val="en-US"/>
        </w:rPr>
        <w:tab/>
      </w:r>
      <w:r>
        <w:rPr>
          <w:lang w:val="en-US"/>
        </w:rPr>
        <w:tab/>
        <w:t>38</w:t>
      </w:r>
      <w:r>
        <w:rPr>
          <w:lang w:val="en-US"/>
        </w:rPr>
        <w:tab/>
        <w:t>17</w:t>
      </w:r>
    </w:p>
    <w:p w:rsidR="00CD2A5A" w:rsidRDefault="00CD2A5A">
      <w:pPr>
        <w:tabs>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spacing w:after="100"/>
        <w:rPr>
          <w:lang w:val="en-US"/>
        </w:rPr>
      </w:pPr>
      <w:r>
        <w:rPr>
          <w:lang w:val="en-GB"/>
        </w:rPr>
        <w:t>IV.</w:t>
      </w:r>
      <w:r>
        <w:rPr>
          <w:lang w:val="en-US"/>
        </w:rPr>
        <w:tab/>
      </w:r>
      <w:r>
        <w:rPr>
          <w:lang w:val="en-GB"/>
        </w:rPr>
        <w:t>Civil rights and participation rights</w:t>
      </w:r>
      <w:r>
        <w:rPr>
          <w:lang w:val="en-US"/>
        </w:rPr>
        <w:tab/>
      </w:r>
      <w:r>
        <w:rPr>
          <w:lang w:val="en-US"/>
        </w:rPr>
        <w:tab/>
        <w:t>39-43</w:t>
      </w:r>
      <w:r>
        <w:rPr>
          <w:lang w:val="en-US"/>
        </w:rPr>
        <w:tab/>
        <w:t>17</w:t>
      </w:r>
    </w:p>
    <w:p w:rsidR="00CD2A5A" w:rsidRDefault="00CD2A5A">
      <w:pPr>
        <w:tabs>
          <w:tab w:val="left" w:pos="567"/>
          <w:tab w:val="left" w:pos="1134"/>
          <w:tab w:val="left" w:pos="1701"/>
          <w:tab w:val="left" w:leader="dot" w:pos="7144"/>
          <w:tab w:val="center" w:pos="7995"/>
          <w:tab w:val="right" w:pos="9412"/>
        </w:tabs>
        <w:rPr>
          <w:bCs/>
          <w:lang w:val="en-US"/>
        </w:rPr>
      </w:pPr>
      <w:r>
        <w:rPr>
          <w:bCs/>
          <w:lang w:val="en-GB"/>
        </w:rPr>
        <w:tab/>
        <w:t>A.</w:t>
      </w:r>
      <w:r>
        <w:rPr>
          <w:bCs/>
          <w:lang w:val="en-US"/>
        </w:rPr>
        <w:tab/>
      </w:r>
      <w:r>
        <w:rPr>
          <w:bCs/>
          <w:lang w:val="en-GB"/>
        </w:rPr>
        <w:t>Freedom of expression; freedom of assembly and association</w:t>
      </w:r>
      <w:r>
        <w:rPr>
          <w:bCs/>
          <w:lang w:val="en-US"/>
        </w:rPr>
        <w:tab/>
      </w:r>
      <w:r>
        <w:rPr>
          <w:bCs/>
          <w:lang w:val="en-US"/>
        </w:rPr>
        <w:tab/>
        <w:t>39-43</w:t>
      </w:r>
      <w:r>
        <w:rPr>
          <w:bCs/>
          <w:lang w:val="en-US"/>
        </w:rPr>
        <w:tab/>
        <w:t>17</w:t>
      </w:r>
    </w:p>
    <w:p w:rsidR="00CD2A5A" w:rsidRDefault="00CD2A5A">
      <w:pPr>
        <w:tabs>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spacing w:after="100"/>
        <w:rPr>
          <w:lang w:val="en-US"/>
        </w:rPr>
      </w:pPr>
      <w:r>
        <w:rPr>
          <w:lang w:val="en-GB"/>
        </w:rPr>
        <w:t>V.</w:t>
      </w:r>
      <w:r>
        <w:rPr>
          <w:lang w:val="en-US"/>
        </w:rPr>
        <w:tab/>
      </w:r>
      <w:r>
        <w:rPr>
          <w:lang w:val="en-GB"/>
        </w:rPr>
        <w:t>Family and other types of protection</w:t>
      </w:r>
      <w:r>
        <w:rPr>
          <w:lang w:val="en-US"/>
        </w:rPr>
        <w:tab/>
      </w:r>
      <w:r>
        <w:rPr>
          <w:lang w:val="en-US"/>
        </w:rPr>
        <w:tab/>
        <w:t>44-91</w:t>
      </w:r>
      <w:r>
        <w:rPr>
          <w:lang w:val="en-US"/>
        </w:rPr>
        <w:tab/>
        <w:t>18</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A.</w:t>
      </w:r>
      <w:r>
        <w:rPr>
          <w:bCs/>
          <w:lang w:val="en-US"/>
        </w:rPr>
        <w:tab/>
      </w:r>
      <w:r>
        <w:rPr>
          <w:bCs/>
          <w:lang w:val="en-GB"/>
        </w:rPr>
        <w:t xml:space="preserve">Parental counselling and guidance and </w:t>
      </w:r>
      <w:r>
        <w:rPr>
          <w:bCs/>
          <w:lang w:val="en-GB"/>
        </w:rPr>
        <w:br/>
        <w:t>parental responsibilities</w:t>
      </w:r>
      <w:r>
        <w:rPr>
          <w:bCs/>
          <w:lang w:val="en-US"/>
        </w:rPr>
        <w:tab/>
      </w:r>
      <w:r>
        <w:rPr>
          <w:bCs/>
          <w:lang w:val="en-US"/>
        </w:rPr>
        <w:tab/>
        <w:t>44-49</w:t>
      </w:r>
      <w:r>
        <w:rPr>
          <w:bCs/>
          <w:lang w:val="en-US"/>
        </w:rPr>
        <w:tab/>
        <w:t>18</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B.</w:t>
      </w:r>
      <w:r>
        <w:rPr>
          <w:bCs/>
          <w:lang w:val="en-US"/>
        </w:rPr>
        <w:tab/>
      </w:r>
      <w:r>
        <w:rPr>
          <w:bCs/>
          <w:lang w:val="en-GB"/>
        </w:rPr>
        <w:t xml:space="preserve">Children temporarily separated from their parents by </w:t>
      </w:r>
      <w:r>
        <w:rPr>
          <w:bCs/>
          <w:lang w:val="en-GB"/>
        </w:rPr>
        <w:br/>
        <w:t>non-criminal court rulings</w:t>
      </w:r>
      <w:r>
        <w:rPr>
          <w:bCs/>
          <w:lang w:val="en-US"/>
        </w:rPr>
        <w:tab/>
      </w:r>
      <w:r>
        <w:rPr>
          <w:bCs/>
          <w:lang w:val="en-US"/>
        </w:rPr>
        <w:tab/>
        <w:t>50-55</w:t>
      </w:r>
      <w:r>
        <w:rPr>
          <w:bCs/>
          <w:lang w:val="en-US"/>
        </w:rPr>
        <w:tab/>
        <w:t>20</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C.</w:t>
      </w:r>
      <w:r>
        <w:rPr>
          <w:bCs/>
          <w:lang w:val="en-US"/>
        </w:rPr>
        <w:tab/>
      </w:r>
      <w:r>
        <w:rPr>
          <w:bCs/>
          <w:lang w:val="en-GB"/>
        </w:rPr>
        <w:t>Alimony payments</w:t>
      </w:r>
      <w:r>
        <w:rPr>
          <w:bCs/>
          <w:lang w:val="en-US"/>
        </w:rPr>
        <w:tab/>
      </w:r>
      <w:r>
        <w:rPr>
          <w:bCs/>
          <w:lang w:val="en-US"/>
        </w:rPr>
        <w:tab/>
        <w:t>56</w:t>
      </w:r>
      <w:r>
        <w:rPr>
          <w:bCs/>
          <w:lang w:val="en-US"/>
        </w:rPr>
        <w:tab/>
        <w:t>22</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D.</w:t>
      </w:r>
      <w:r>
        <w:rPr>
          <w:bCs/>
          <w:lang w:val="en-US"/>
        </w:rPr>
        <w:tab/>
      </w:r>
      <w:r>
        <w:rPr>
          <w:bCs/>
          <w:lang w:val="en-GB"/>
        </w:rPr>
        <w:t>Adoption</w:t>
      </w:r>
      <w:r>
        <w:rPr>
          <w:bCs/>
          <w:lang w:val="en-US"/>
        </w:rPr>
        <w:tab/>
      </w:r>
      <w:r>
        <w:rPr>
          <w:bCs/>
          <w:lang w:val="en-US"/>
        </w:rPr>
        <w:tab/>
        <w:t>57-58</w:t>
      </w:r>
      <w:r>
        <w:rPr>
          <w:bCs/>
          <w:lang w:val="en-US"/>
        </w:rPr>
        <w:tab/>
        <w:t>22</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E.</w:t>
      </w:r>
      <w:r>
        <w:rPr>
          <w:bCs/>
          <w:lang w:val="en-US"/>
        </w:rPr>
        <w:tab/>
      </w:r>
      <w:r>
        <w:rPr>
          <w:bCs/>
          <w:lang w:val="en-GB"/>
        </w:rPr>
        <w:t>Protection and assistance of children</w:t>
      </w:r>
      <w:r>
        <w:rPr>
          <w:bCs/>
          <w:lang w:val="en-US"/>
        </w:rPr>
        <w:tab/>
      </w:r>
      <w:r>
        <w:rPr>
          <w:bCs/>
          <w:lang w:val="en-US"/>
        </w:rPr>
        <w:tab/>
        <w:t>59-68</w:t>
      </w:r>
      <w:r>
        <w:rPr>
          <w:bCs/>
          <w:lang w:val="en-US"/>
        </w:rPr>
        <w:tab/>
        <w:t>23</w:t>
      </w:r>
    </w:p>
    <w:p w:rsidR="00CD2A5A" w:rsidRDefault="00CD2A5A">
      <w:pPr>
        <w:tabs>
          <w:tab w:val="left" w:pos="567"/>
          <w:tab w:val="left" w:pos="1134"/>
          <w:tab w:val="left" w:pos="1701"/>
          <w:tab w:val="left" w:leader="dot" w:pos="7144"/>
          <w:tab w:val="center" w:pos="7995"/>
          <w:tab w:val="right" w:pos="9412"/>
        </w:tabs>
        <w:rPr>
          <w:bCs/>
          <w:lang w:val="en-US"/>
        </w:rPr>
      </w:pPr>
      <w:r>
        <w:rPr>
          <w:bCs/>
          <w:lang w:val="en-GB"/>
        </w:rPr>
        <w:tab/>
        <w:t>F.</w:t>
      </w:r>
      <w:r>
        <w:rPr>
          <w:bCs/>
          <w:lang w:val="en-US"/>
        </w:rPr>
        <w:tab/>
      </w:r>
      <w:r>
        <w:rPr>
          <w:bCs/>
          <w:lang w:val="en-GB"/>
        </w:rPr>
        <w:t>Protection against domestic violence</w:t>
      </w:r>
      <w:r>
        <w:rPr>
          <w:bCs/>
          <w:lang w:val="en-US"/>
        </w:rPr>
        <w:tab/>
      </w:r>
      <w:r>
        <w:rPr>
          <w:bCs/>
          <w:lang w:val="en-US"/>
        </w:rPr>
        <w:tab/>
        <w:t>69-91</w:t>
      </w:r>
      <w:r>
        <w:rPr>
          <w:bCs/>
          <w:lang w:val="en-US"/>
        </w:rPr>
        <w:tab/>
        <w:t>27</w:t>
      </w:r>
    </w:p>
    <w:p w:rsidR="00CD2A5A" w:rsidRDefault="00CD2A5A">
      <w:pPr>
        <w:pStyle w:val="Header"/>
        <w:tabs>
          <w:tab w:val="clear" w:pos="4252"/>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spacing w:after="100"/>
        <w:rPr>
          <w:lang w:val="en-US"/>
        </w:rPr>
      </w:pPr>
      <w:r>
        <w:rPr>
          <w:lang w:val="en-GB"/>
        </w:rPr>
        <w:t>VI.</w:t>
      </w:r>
      <w:r>
        <w:rPr>
          <w:lang w:val="en-US"/>
        </w:rPr>
        <w:tab/>
      </w:r>
      <w:r>
        <w:rPr>
          <w:lang w:val="en-GB"/>
        </w:rPr>
        <w:t>Basic health and well-being</w:t>
      </w:r>
      <w:r>
        <w:rPr>
          <w:lang w:val="en-US"/>
        </w:rPr>
        <w:tab/>
      </w:r>
      <w:r>
        <w:rPr>
          <w:lang w:val="en-US"/>
        </w:rPr>
        <w:tab/>
        <w:t>92-215</w:t>
      </w:r>
      <w:r>
        <w:rPr>
          <w:lang w:val="en-US"/>
        </w:rPr>
        <w:tab/>
        <w:t>32</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A.</w:t>
      </w:r>
      <w:r>
        <w:rPr>
          <w:bCs/>
          <w:lang w:val="en-US"/>
        </w:rPr>
        <w:tab/>
      </w:r>
      <w:r>
        <w:rPr>
          <w:bCs/>
          <w:lang w:val="en-GB"/>
        </w:rPr>
        <w:t>Survival and development; nutrition</w:t>
      </w:r>
      <w:r>
        <w:rPr>
          <w:bCs/>
          <w:lang w:val="en-US"/>
        </w:rPr>
        <w:tab/>
      </w:r>
      <w:r>
        <w:rPr>
          <w:bCs/>
          <w:lang w:val="en-US"/>
        </w:rPr>
        <w:tab/>
        <w:t>92-124</w:t>
      </w:r>
      <w:r>
        <w:rPr>
          <w:bCs/>
          <w:lang w:val="en-US"/>
        </w:rPr>
        <w:tab/>
        <w:t>32</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B.</w:t>
      </w:r>
      <w:r>
        <w:rPr>
          <w:bCs/>
          <w:lang w:val="en-US"/>
        </w:rPr>
        <w:tab/>
      </w:r>
      <w:r>
        <w:rPr>
          <w:bCs/>
          <w:lang w:val="en-GB"/>
        </w:rPr>
        <w:t>Disabled children</w:t>
      </w:r>
      <w:r>
        <w:rPr>
          <w:bCs/>
          <w:lang w:val="en-US"/>
        </w:rPr>
        <w:tab/>
      </w:r>
      <w:r>
        <w:rPr>
          <w:bCs/>
          <w:lang w:val="en-US"/>
        </w:rPr>
        <w:tab/>
        <w:t>125-163</w:t>
      </w:r>
      <w:r>
        <w:rPr>
          <w:bCs/>
          <w:lang w:val="en-US"/>
        </w:rPr>
        <w:tab/>
        <w:t>42</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C.</w:t>
      </w:r>
      <w:r>
        <w:rPr>
          <w:bCs/>
          <w:lang w:val="en-US"/>
        </w:rPr>
        <w:tab/>
      </w:r>
      <w:r>
        <w:rPr>
          <w:bCs/>
          <w:lang w:val="en-GB"/>
        </w:rPr>
        <w:t>Health and health services</w:t>
      </w:r>
      <w:r>
        <w:rPr>
          <w:bCs/>
          <w:lang w:val="en-US"/>
        </w:rPr>
        <w:tab/>
      </w:r>
      <w:r>
        <w:rPr>
          <w:bCs/>
          <w:lang w:val="en-US"/>
        </w:rPr>
        <w:tab/>
        <w:t>164-179</w:t>
      </w:r>
      <w:r>
        <w:rPr>
          <w:bCs/>
          <w:lang w:val="en-US"/>
        </w:rPr>
        <w:tab/>
        <w:t>51</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D.</w:t>
      </w:r>
      <w:r>
        <w:rPr>
          <w:bCs/>
          <w:lang w:val="en-US"/>
        </w:rPr>
        <w:tab/>
      </w:r>
      <w:r>
        <w:rPr>
          <w:bCs/>
          <w:lang w:val="en-GB"/>
        </w:rPr>
        <w:t>Social security</w:t>
      </w:r>
      <w:r>
        <w:rPr>
          <w:bCs/>
          <w:lang w:val="en-US"/>
        </w:rPr>
        <w:tab/>
      </w:r>
      <w:r>
        <w:rPr>
          <w:bCs/>
          <w:lang w:val="en-US"/>
        </w:rPr>
        <w:tab/>
        <w:t>180-184</w:t>
      </w:r>
      <w:r>
        <w:rPr>
          <w:bCs/>
          <w:lang w:val="en-US"/>
        </w:rPr>
        <w:tab/>
        <w:t>54</w:t>
      </w:r>
    </w:p>
    <w:p w:rsidR="00CD2A5A" w:rsidRDefault="00CD2A5A">
      <w:pPr>
        <w:tabs>
          <w:tab w:val="left" w:pos="567"/>
          <w:tab w:val="left" w:pos="1134"/>
          <w:tab w:val="left" w:pos="1701"/>
          <w:tab w:val="left" w:leader="dot" w:pos="7144"/>
          <w:tab w:val="center" w:pos="7995"/>
          <w:tab w:val="right" w:pos="9412"/>
        </w:tabs>
        <w:rPr>
          <w:bCs/>
          <w:lang w:val="en-US"/>
        </w:rPr>
      </w:pPr>
      <w:r>
        <w:rPr>
          <w:bCs/>
          <w:lang w:val="en-GB"/>
        </w:rPr>
        <w:tab/>
        <w:t>E.</w:t>
      </w:r>
      <w:r>
        <w:rPr>
          <w:bCs/>
          <w:lang w:val="en-US"/>
        </w:rPr>
        <w:tab/>
      </w:r>
      <w:r>
        <w:rPr>
          <w:bCs/>
          <w:lang w:val="en-GB"/>
        </w:rPr>
        <w:t>HIV/AIDS</w:t>
      </w:r>
      <w:r>
        <w:rPr>
          <w:bCs/>
          <w:lang w:val="en-US"/>
        </w:rPr>
        <w:tab/>
      </w:r>
      <w:r>
        <w:rPr>
          <w:bCs/>
          <w:lang w:val="en-US"/>
        </w:rPr>
        <w:tab/>
        <w:t>185-215</w:t>
      </w:r>
      <w:r>
        <w:rPr>
          <w:bCs/>
          <w:lang w:val="en-US"/>
        </w:rPr>
        <w:tab/>
        <w:t>56</w:t>
      </w:r>
    </w:p>
    <w:p w:rsidR="00CD2A5A" w:rsidRDefault="00CD2A5A">
      <w:pPr>
        <w:tabs>
          <w:tab w:val="center" w:pos="7995"/>
          <w:tab w:val="right" w:pos="9412"/>
        </w:tabs>
        <w:rPr>
          <w:i/>
          <w:iCs/>
          <w:lang w:val="en-US"/>
        </w:rPr>
      </w:pPr>
      <w:r>
        <w:rPr>
          <w:i/>
          <w:iCs/>
          <w:lang w:val="en-US"/>
        </w:rPr>
        <w:tab/>
      </w:r>
      <w:r>
        <w:rPr>
          <w:i/>
          <w:iCs/>
          <w:sz w:val="20"/>
          <w:lang w:val="en-US"/>
        </w:rPr>
        <w:t>Paragraphs</w:t>
      </w:r>
      <w:r>
        <w:rPr>
          <w:i/>
          <w:iCs/>
          <w:sz w:val="20"/>
          <w:lang w:val="en-US"/>
        </w:rPr>
        <w:tab/>
        <w:t>Page</w:t>
      </w:r>
    </w:p>
    <w:p w:rsidR="00CD2A5A" w:rsidRDefault="00CD2A5A">
      <w:pPr>
        <w:tabs>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spacing w:after="100"/>
        <w:rPr>
          <w:lang w:val="en-US"/>
        </w:rPr>
      </w:pPr>
      <w:r>
        <w:rPr>
          <w:lang w:val="en-GB"/>
        </w:rPr>
        <w:t>VII.</w:t>
      </w:r>
      <w:r>
        <w:rPr>
          <w:lang w:val="en-US"/>
        </w:rPr>
        <w:tab/>
      </w:r>
      <w:r>
        <w:rPr>
          <w:lang w:val="en-GB"/>
        </w:rPr>
        <w:t>Education, leisure and cultural activities</w:t>
      </w:r>
      <w:r>
        <w:rPr>
          <w:lang w:val="en-US"/>
        </w:rPr>
        <w:tab/>
      </w:r>
      <w:r>
        <w:rPr>
          <w:lang w:val="en-US"/>
        </w:rPr>
        <w:tab/>
        <w:t>216-278</w:t>
      </w:r>
      <w:r>
        <w:rPr>
          <w:lang w:val="en-US"/>
        </w:rPr>
        <w:tab/>
        <w:t>61</w:t>
      </w:r>
    </w:p>
    <w:p w:rsidR="00CD2A5A" w:rsidRDefault="00CD2A5A">
      <w:pPr>
        <w:tabs>
          <w:tab w:val="left" w:pos="567"/>
          <w:tab w:val="left" w:pos="1134"/>
          <w:tab w:val="left" w:pos="1701"/>
          <w:tab w:val="left" w:leader="dot" w:pos="7144"/>
          <w:tab w:val="center" w:pos="7995"/>
          <w:tab w:val="right" w:pos="9412"/>
        </w:tabs>
        <w:spacing w:after="100"/>
        <w:rPr>
          <w:bCs/>
          <w:lang w:val="en-US"/>
        </w:rPr>
      </w:pPr>
      <w:r>
        <w:rPr>
          <w:bCs/>
          <w:lang w:val="en-GB"/>
        </w:rPr>
        <w:tab/>
        <w:t>A.</w:t>
      </w:r>
      <w:r>
        <w:rPr>
          <w:bCs/>
          <w:lang w:val="en-US"/>
        </w:rPr>
        <w:tab/>
      </w:r>
      <w:r>
        <w:rPr>
          <w:bCs/>
          <w:lang w:val="en-GB"/>
        </w:rPr>
        <w:t>Education, training and careers guidance</w:t>
      </w:r>
      <w:r>
        <w:rPr>
          <w:bCs/>
          <w:lang w:val="en-US"/>
        </w:rPr>
        <w:tab/>
      </w:r>
      <w:r>
        <w:rPr>
          <w:bCs/>
          <w:lang w:val="en-US"/>
        </w:rPr>
        <w:tab/>
        <w:t>216-232</w:t>
      </w:r>
      <w:r>
        <w:rPr>
          <w:bCs/>
          <w:lang w:val="en-US"/>
        </w:rPr>
        <w:tab/>
        <w:t>61</w:t>
      </w:r>
    </w:p>
    <w:p w:rsidR="00CD2A5A" w:rsidRDefault="00CD2A5A">
      <w:pPr>
        <w:tabs>
          <w:tab w:val="left" w:pos="567"/>
          <w:tab w:val="left" w:pos="1134"/>
          <w:tab w:val="left" w:pos="1701"/>
          <w:tab w:val="left" w:leader="dot" w:pos="7144"/>
          <w:tab w:val="center" w:pos="7995"/>
          <w:tab w:val="right" w:pos="9412"/>
        </w:tabs>
        <w:spacing w:after="100"/>
        <w:ind w:left="1134" w:hanging="1134"/>
        <w:rPr>
          <w:bCs/>
          <w:lang w:val="en-US"/>
        </w:rPr>
      </w:pPr>
      <w:r>
        <w:rPr>
          <w:bCs/>
          <w:lang w:val="en-GB"/>
        </w:rPr>
        <w:tab/>
        <w:t>B.</w:t>
      </w:r>
      <w:r>
        <w:rPr>
          <w:bCs/>
          <w:lang w:val="en-US"/>
        </w:rPr>
        <w:tab/>
      </w:r>
      <w:r>
        <w:rPr>
          <w:bCs/>
          <w:lang w:val="en-GB"/>
        </w:rPr>
        <w:t xml:space="preserve">Activities to improve the coverage and quality of </w:t>
      </w:r>
      <w:r>
        <w:rPr>
          <w:bCs/>
          <w:lang w:val="en-GB"/>
        </w:rPr>
        <w:br/>
        <w:t>education</w:t>
      </w:r>
      <w:r>
        <w:rPr>
          <w:bCs/>
          <w:lang w:val="en-US"/>
        </w:rPr>
        <w:tab/>
      </w:r>
      <w:r>
        <w:rPr>
          <w:bCs/>
          <w:lang w:val="en-US"/>
        </w:rPr>
        <w:tab/>
        <w:t>233-277</w:t>
      </w:r>
      <w:r>
        <w:rPr>
          <w:bCs/>
          <w:lang w:val="en-US"/>
        </w:rPr>
        <w:tab/>
        <w:t>68</w:t>
      </w:r>
    </w:p>
    <w:p w:rsidR="00CD2A5A" w:rsidRDefault="00CD2A5A">
      <w:pPr>
        <w:tabs>
          <w:tab w:val="left" w:pos="567"/>
          <w:tab w:val="left" w:pos="1134"/>
          <w:tab w:val="left" w:pos="1701"/>
          <w:tab w:val="left" w:leader="dot" w:pos="7144"/>
          <w:tab w:val="center" w:pos="7995"/>
          <w:tab w:val="right" w:pos="9412"/>
        </w:tabs>
        <w:rPr>
          <w:bCs/>
          <w:lang w:val="en-US"/>
        </w:rPr>
      </w:pPr>
      <w:r>
        <w:rPr>
          <w:bCs/>
          <w:lang w:val="en-GB"/>
        </w:rPr>
        <w:tab/>
        <w:t>C.</w:t>
      </w:r>
      <w:r>
        <w:rPr>
          <w:bCs/>
          <w:lang w:val="en-US"/>
        </w:rPr>
        <w:tab/>
      </w:r>
      <w:r>
        <w:rPr>
          <w:bCs/>
          <w:lang w:val="en-GB"/>
        </w:rPr>
        <w:t>Relaxation, leisure and cultural and artistic activities</w:t>
      </w:r>
      <w:r>
        <w:rPr>
          <w:bCs/>
          <w:lang w:val="en-US"/>
        </w:rPr>
        <w:tab/>
      </w:r>
      <w:r>
        <w:rPr>
          <w:bCs/>
          <w:lang w:val="en-US"/>
        </w:rPr>
        <w:tab/>
        <w:t>278</w:t>
      </w:r>
      <w:r>
        <w:rPr>
          <w:bCs/>
          <w:lang w:val="en-US"/>
        </w:rPr>
        <w:tab/>
        <w:t>78</w:t>
      </w:r>
    </w:p>
    <w:p w:rsidR="00CD2A5A" w:rsidRDefault="00CD2A5A">
      <w:pPr>
        <w:pStyle w:val="Header"/>
        <w:tabs>
          <w:tab w:val="clear" w:pos="4252"/>
          <w:tab w:val="left" w:pos="567"/>
          <w:tab w:val="left" w:pos="1134"/>
          <w:tab w:val="left" w:pos="1701"/>
          <w:tab w:val="left" w:leader="dot" w:pos="7144"/>
          <w:tab w:val="center" w:pos="7995"/>
          <w:tab w:val="right" w:pos="9412"/>
        </w:tabs>
        <w:rPr>
          <w:lang w:val="en-US"/>
        </w:rPr>
      </w:pPr>
    </w:p>
    <w:p w:rsidR="00CD2A5A" w:rsidRDefault="00CD2A5A">
      <w:pPr>
        <w:tabs>
          <w:tab w:val="left" w:pos="567"/>
          <w:tab w:val="left" w:pos="1134"/>
          <w:tab w:val="left" w:pos="1701"/>
          <w:tab w:val="left" w:leader="dot" w:pos="7144"/>
          <w:tab w:val="center" w:pos="7995"/>
          <w:tab w:val="right" w:pos="9412"/>
        </w:tabs>
        <w:spacing w:after="100"/>
        <w:rPr>
          <w:lang w:val="en-US"/>
        </w:rPr>
      </w:pPr>
      <w:r>
        <w:rPr>
          <w:lang w:val="en-GB"/>
        </w:rPr>
        <w:t>VIII.</w:t>
      </w:r>
      <w:r>
        <w:rPr>
          <w:lang w:val="en-US"/>
        </w:rPr>
        <w:tab/>
      </w:r>
      <w:r>
        <w:rPr>
          <w:lang w:val="en-GB"/>
        </w:rPr>
        <w:t>Special protection measures</w:t>
      </w:r>
      <w:r>
        <w:rPr>
          <w:lang w:val="en-US"/>
        </w:rPr>
        <w:tab/>
      </w:r>
      <w:r>
        <w:rPr>
          <w:lang w:val="en-US"/>
        </w:rPr>
        <w:tab/>
        <w:t>279-386</w:t>
      </w:r>
      <w:r>
        <w:rPr>
          <w:lang w:val="en-US"/>
        </w:rPr>
        <w:tab/>
        <w:t>79</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A.</w:t>
      </w:r>
      <w:r>
        <w:rPr>
          <w:bCs/>
          <w:lang w:val="en-US"/>
        </w:rPr>
        <w:tab/>
      </w:r>
      <w:r>
        <w:rPr>
          <w:bCs/>
          <w:lang w:val="en-GB"/>
        </w:rPr>
        <w:t>Returning children</w:t>
      </w:r>
      <w:r>
        <w:rPr>
          <w:bCs/>
          <w:lang w:val="en-US"/>
        </w:rPr>
        <w:tab/>
      </w:r>
      <w:r>
        <w:rPr>
          <w:bCs/>
          <w:lang w:val="en-US"/>
        </w:rPr>
        <w:tab/>
        <w:t>279-288</w:t>
      </w:r>
      <w:r>
        <w:rPr>
          <w:bCs/>
          <w:lang w:val="en-US"/>
        </w:rPr>
        <w:tab/>
        <w:t>79</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B.</w:t>
      </w:r>
      <w:r>
        <w:rPr>
          <w:bCs/>
          <w:lang w:val="en-US"/>
        </w:rPr>
        <w:tab/>
      </w:r>
      <w:r>
        <w:rPr>
          <w:bCs/>
          <w:lang w:val="en-GB"/>
        </w:rPr>
        <w:t>Child victims of trafficking and sexual exploitation</w:t>
      </w:r>
      <w:r>
        <w:rPr>
          <w:bCs/>
          <w:lang w:val="en-US"/>
        </w:rPr>
        <w:tab/>
      </w:r>
      <w:r>
        <w:rPr>
          <w:bCs/>
          <w:lang w:val="en-US"/>
        </w:rPr>
        <w:tab/>
        <w:t>289-310</w:t>
      </w:r>
      <w:r>
        <w:rPr>
          <w:bCs/>
          <w:lang w:val="en-US"/>
        </w:rPr>
        <w:tab/>
        <w:t>82</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C.</w:t>
      </w:r>
      <w:r>
        <w:rPr>
          <w:bCs/>
          <w:lang w:val="en-US"/>
        </w:rPr>
        <w:tab/>
      </w:r>
      <w:r>
        <w:rPr>
          <w:bCs/>
          <w:lang w:val="en-GB"/>
        </w:rPr>
        <w:t>Refugee children</w:t>
      </w:r>
      <w:r>
        <w:rPr>
          <w:bCs/>
          <w:lang w:val="en-US"/>
        </w:rPr>
        <w:tab/>
      </w:r>
      <w:r>
        <w:rPr>
          <w:bCs/>
          <w:lang w:val="en-US"/>
        </w:rPr>
        <w:tab/>
        <w:t>311</w:t>
      </w:r>
      <w:r>
        <w:rPr>
          <w:bCs/>
          <w:lang w:val="en-US"/>
        </w:rPr>
        <w:tab/>
        <w:t>89</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D.</w:t>
      </w:r>
      <w:r>
        <w:rPr>
          <w:bCs/>
          <w:lang w:val="en-US"/>
        </w:rPr>
        <w:tab/>
      </w:r>
      <w:r>
        <w:rPr>
          <w:bCs/>
          <w:lang w:val="en-GB"/>
        </w:rPr>
        <w:t>Children in conflict with justice</w:t>
      </w:r>
      <w:r>
        <w:rPr>
          <w:bCs/>
          <w:lang w:val="en-US"/>
        </w:rPr>
        <w:tab/>
      </w:r>
      <w:r>
        <w:rPr>
          <w:bCs/>
          <w:lang w:val="en-US"/>
        </w:rPr>
        <w:tab/>
        <w:t>312-342</w:t>
      </w:r>
      <w:r>
        <w:rPr>
          <w:bCs/>
          <w:lang w:val="en-US"/>
        </w:rPr>
        <w:tab/>
        <w:t>89</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E.</w:t>
      </w:r>
      <w:r>
        <w:rPr>
          <w:bCs/>
          <w:lang w:val="en-US"/>
        </w:rPr>
        <w:tab/>
      </w:r>
      <w:r>
        <w:rPr>
          <w:bCs/>
          <w:lang w:val="en-GB"/>
        </w:rPr>
        <w:t xml:space="preserve">Children subject to exploitation and the worst </w:t>
      </w:r>
      <w:r>
        <w:rPr>
          <w:bCs/>
          <w:lang w:val="en-GB"/>
        </w:rPr>
        <w:br/>
        <w:t>forms of child labour</w:t>
      </w:r>
      <w:r>
        <w:rPr>
          <w:bCs/>
          <w:lang w:val="en-US"/>
        </w:rPr>
        <w:tab/>
      </w:r>
      <w:r>
        <w:rPr>
          <w:bCs/>
          <w:lang w:val="en-US"/>
        </w:rPr>
        <w:tab/>
        <w:t>343-356</w:t>
      </w:r>
      <w:r>
        <w:rPr>
          <w:bCs/>
          <w:lang w:val="en-US"/>
        </w:rPr>
        <w:tab/>
        <w:t>98</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F.</w:t>
      </w:r>
      <w:r>
        <w:rPr>
          <w:bCs/>
          <w:lang w:val="en-US"/>
        </w:rPr>
        <w:tab/>
      </w:r>
      <w:r>
        <w:rPr>
          <w:bCs/>
          <w:lang w:val="en-GB"/>
        </w:rPr>
        <w:t xml:space="preserve">Children belonging to minorities or </w:t>
      </w:r>
      <w:r>
        <w:rPr>
          <w:bCs/>
          <w:lang w:val="en-GB"/>
        </w:rPr>
        <w:br/>
        <w:t>indigenous groups</w:t>
      </w:r>
      <w:r>
        <w:rPr>
          <w:bCs/>
          <w:lang w:val="en-US"/>
        </w:rPr>
        <w:tab/>
      </w:r>
      <w:r>
        <w:rPr>
          <w:bCs/>
          <w:lang w:val="en-US"/>
        </w:rPr>
        <w:tab/>
        <w:t>357-365</w:t>
      </w:r>
      <w:r>
        <w:rPr>
          <w:bCs/>
          <w:lang w:val="en-US"/>
        </w:rPr>
        <w:tab/>
        <w:t>106</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G.</w:t>
      </w:r>
      <w:r>
        <w:rPr>
          <w:bCs/>
          <w:lang w:val="en-US"/>
        </w:rPr>
        <w:tab/>
      </w:r>
      <w:r>
        <w:rPr>
          <w:bCs/>
          <w:lang w:val="en-GB"/>
        </w:rPr>
        <w:t>Drug abuse</w:t>
      </w:r>
      <w:r>
        <w:rPr>
          <w:bCs/>
          <w:lang w:val="en-US"/>
        </w:rPr>
        <w:tab/>
        <w:t xml:space="preserve"> </w:t>
      </w:r>
      <w:r>
        <w:rPr>
          <w:bCs/>
          <w:lang w:val="en-US"/>
        </w:rPr>
        <w:tab/>
        <w:t>367-374</w:t>
      </w:r>
      <w:r>
        <w:rPr>
          <w:bCs/>
          <w:lang w:val="en-US"/>
        </w:rPr>
        <w:tab/>
        <w:t>108</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H.</w:t>
      </w:r>
      <w:r>
        <w:rPr>
          <w:bCs/>
          <w:lang w:val="en-US"/>
        </w:rPr>
        <w:tab/>
      </w:r>
      <w:r>
        <w:rPr>
          <w:bCs/>
          <w:lang w:val="en-GB"/>
        </w:rPr>
        <w:t>Street children</w:t>
      </w:r>
      <w:r>
        <w:rPr>
          <w:bCs/>
          <w:lang w:val="en-US"/>
        </w:rPr>
        <w:tab/>
      </w:r>
      <w:r>
        <w:rPr>
          <w:bCs/>
          <w:lang w:val="en-US"/>
        </w:rPr>
        <w:tab/>
        <w:t>375-376</w:t>
      </w:r>
      <w:r>
        <w:rPr>
          <w:bCs/>
          <w:lang w:val="en-US"/>
        </w:rPr>
        <w:tab/>
        <w:t>109</w:t>
      </w:r>
    </w:p>
    <w:p w:rsidR="00CD2A5A" w:rsidRDefault="00CD2A5A">
      <w:pPr>
        <w:tabs>
          <w:tab w:val="left" w:pos="567"/>
          <w:tab w:val="left" w:pos="1134"/>
          <w:tab w:val="left" w:pos="1701"/>
          <w:tab w:val="left" w:leader="dot" w:pos="7144"/>
          <w:tab w:val="center" w:pos="7995"/>
          <w:tab w:val="right" w:pos="9412"/>
        </w:tabs>
        <w:spacing w:after="100"/>
        <w:ind w:left="1134" w:hanging="567"/>
        <w:rPr>
          <w:bCs/>
          <w:lang w:val="en-US"/>
        </w:rPr>
      </w:pPr>
      <w:r>
        <w:rPr>
          <w:bCs/>
          <w:lang w:val="en-GB"/>
        </w:rPr>
        <w:t>I.</w:t>
      </w:r>
      <w:r>
        <w:rPr>
          <w:bCs/>
          <w:lang w:val="en-US"/>
        </w:rPr>
        <w:tab/>
      </w:r>
      <w:r>
        <w:rPr>
          <w:bCs/>
          <w:lang w:val="en-GB"/>
        </w:rPr>
        <w:t>Prevention of violence against minors</w:t>
      </w:r>
      <w:r>
        <w:rPr>
          <w:bCs/>
          <w:lang w:val="en-US"/>
        </w:rPr>
        <w:tab/>
      </w:r>
      <w:r>
        <w:rPr>
          <w:bCs/>
          <w:lang w:val="en-US"/>
        </w:rPr>
        <w:tab/>
        <w:t>377-380</w:t>
      </w:r>
      <w:r>
        <w:rPr>
          <w:bCs/>
          <w:lang w:val="en-US"/>
        </w:rPr>
        <w:tab/>
        <w:t>110</w:t>
      </w:r>
    </w:p>
    <w:p w:rsidR="00CD2A5A" w:rsidRDefault="00CD2A5A">
      <w:pPr>
        <w:tabs>
          <w:tab w:val="left" w:pos="567"/>
          <w:tab w:val="left" w:pos="1134"/>
          <w:tab w:val="left" w:pos="1701"/>
          <w:tab w:val="left" w:leader="dot" w:pos="7144"/>
          <w:tab w:val="center" w:pos="7995"/>
          <w:tab w:val="right" w:pos="9412"/>
        </w:tabs>
        <w:ind w:left="1134" w:hanging="567"/>
        <w:rPr>
          <w:bCs/>
          <w:lang w:val="en-US"/>
        </w:rPr>
      </w:pPr>
      <w:r>
        <w:rPr>
          <w:bCs/>
          <w:lang w:val="en-GB"/>
        </w:rPr>
        <w:t>J.</w:t>
      </w:r>
      <w:r>
        <w:rPr>
          <w:bCs/>
          <w:lang w:val="en-US"/>
        </w:rPr>
        <w:tab/>
      </w:r>
      <w:r>
        <w:rPr>
          <w:bCs/>
          <w:lang w:val="en-GB"/>
        </w:rPr>
        <w:t>Missing children</w:t>
      </w:r>
      <w:r>
        <w:rPr>
          <w:bCs/>
          <w:lang w:val="en-US"/>
        </w:rPr>
        <w:tab/>
      </w:r>
      <w:r>
        <w:rPr>
          <w:bCs/>
          <w:lang w:val="en-US"/>
        </w:rPr>
        <w:tab/>
        <w:t>381-386</w:t>
      </w:r>
      <w:r>
        <w:rPr>
          <w:bCs/>
          <w:lang w:val="en-US"/>
        </w:rPr>
        <w:tab/>
        <w:t>110</w:t>
      </w:r>
    </w:p>
    <w:p w:rsidR="00CD2A5A" w:rsidRDefault="00CD2A5A">
      <w:pPr>
        <w:rPr>
          <w:bCs/>
          <w:lang w:val="en-US"/>
        </w:rPr>
      </w:pPr>
    </w:p>
    <w:p w:rsidR="00CD2A5A" w:rsidRDefault="00CD2A5A">
      <w:pPr>
        <w:jc w:val="center"/>
        <w:rPr>
          <w:bCs/>
          <w:lang w:val="en-US"/>
        </w:rPr>
      </w:pPr>
      <w:r>
        <w:rPr>
          <w:bCs/>
          <w:lang w:val="en-GB"/>
        </w:rPr>
        <w:t>ANNEXES</w:t>
      </w:r>
    </w:p>
    <w:p w:rsidR="00CD2A5A" w:rsidRDefault="00CD2A5A">
      <w:pPr>
        <w:pStyle w:val="Header"/>
        <w:tabs>
          <w:tab w:val="clear" w:pos="4252"/>
          <w:tab w:val="left" w:pos="851"/>
          <w:tab w:val="left" w:pos="1418"/>
          <w:tab w:val="left" w:leader="dot" w:pos="8845"/>
          <w:tab w:val="right" w:pos="9412"/>
        </w:tabs>
        <w:rPr>
          <w:lang w:val="en-GB"/>
        </w:rPr>
      </w:pPr>
    </w:p>
    <w:p w:rsidR="00CD2A5A" w:rsidRDefault="00CD2A5A">
      <w:pPr>
        <w:tabs>
          <w:tab w:val="left" w:pos="851"/>
          <w:tab w:val="left" w:pos="1418"/>
          <w:tab w:val="left" w:leader="dot" w:pos="8845"/>
          <w:tab w:val="right" w:pos="9412"/>
        </w:tabs>
        <w:spacing w:after="120"/>
        <w:rPr>
          <w:lang w:val="en-US"/>
        </w:rPr>
      </w:pPr>
      <w:r>
        <w:rPr>
          <w:lang w:val="en-GB"/>
        </w:rPr>
        <w:t>I.</w:t>
      </w:r>
      <w:r>
        <w:rPr>
          <w:lang w:val="en-US"/>
        </w:rPr>
        <w:tab/>
      </w:r>
      <w:r>
        <w:rPr>
          <w:lang w:val="en-GB"/>
        </w:rPr>
        <w:t>Child population of El Salvador</w:t>
      </w:r>
      <w:r>
        <w:rPr>
          <w:lang w:val="en-US"/>
        </w:rPr>
        <w:t xml:space="preserve"> </w:t>
      </w:r>
      <w:r>
        <w:rPr>
          <w:lang w:val="en-US"/>
        </w:rPr>
        <w:tab/>
      </w:r>
      <w:r>
        <w:rPr>
          <w:lang w:val="en-US"/>
        </w:rPr>
        <w:tab/>
        <w:t>113</w:t>
      </w:r>
    </w:p>
    <w:p w:rsidR="00CD2A5A" w:rsidRDefault="00CD2A5A">
      <w:pPr>
        <w:tabs>
          <w:tab w:val="left" w:pos="851"/>
          <w:tab w:val="left" w:pos="1418"/>
          <w:tab w:val="left" w:leader="dot" w:pos="8845"/>
          <w:tab w:val="right" w:pos="9412"/>
        </w:tabs>
        <w:spacing w:after="120"/>
        <w:rPr>
          <w:lang w:val="en-US"/>
        </w:rPr>
      </w:pPr>
      <w:r>
        <w:rPr>
          <w:lang w:val="en-GB"/>
        </w:rPr>
        <w:t>II.</w:t>
      </w:r>
      <w:r>
        <w:rPr>
          <w:lang w:val="en-US"/>
        </w:rPr>
        <w:tab/>
      </w:r>
      <w:r>
        <w:rPr>
          <w:lang w:val="en-GB"/>
        </w:rPr>
        <w:t>Child Information System (SIPI):</w:t>
      </w:r>
      <w:r>
        <w:rPr>
          <w:lang w:val="en-US"/>
        </w:rPr>
        <w:t xml:space="preserve"> </w:t>
      </w:r>
      <w:r>
        <w:rPr>
          <w:lang w:val="en-GB"/>
        </w:rPr>
        <w:t>protection indicators (ISNA)</w:t>
      </w:r>
      <w:r>
        <w:rPr>
          <w:lang w:val="en-GB"/>
        </w:rPr>
        <w:tab/>
      </w:r>
      <w:r>
        <w:rPr>
          <w:lang w:val="en-GB"/>
        </w:rPr>
        <w:tab/>
        <w:t>119</w:t>
      </w:r>
    </w:p>
    <w:p w:rsidR="00CD2A5A" w:rsidRDefault="00CD2A5A">
      <w:pPr>
        <w:tabs>
          <w:tab w:val="left" w:pos="851"/>
          <w:tab w:val="left" w:pos="1418"/>
          <w:tab w:val="left" w:leader="dot" w:pos="8845"/>
          <w:tab w:val="right" w:pos="9412"/>
        </w:tabs>
        <w:spacing w:after="120"/>
        <w:rPr>
          <w:lang w:val="en-US"/>
        </w:rPr>
      </w:pPr>
      <w:r>
        <w:rPr>
          <w:lang w:val="en-GB"/>
        </w:rPr>
        <w:t>III.</w:t>
      </w:r>
      <w:r>
        <w:rPr>
          <w:lang w:val="en-US"/>
        </w:rPr>
        <w:tab/>
      </w:r>
      <w:r>
        <w:rPr>
          <w:lang w:val="en-GB"/>
        </w:rPr>
        <w:t>Presence of ISNA at national level</w:t>
      </w:r>
      <w:r>
        <w:rPr>
          <w:lang w:val="en-GB"/>
        </w:rPr>
        <w:tab/>
      </w:r>
      <w:r>
        <w:rPr>
          <w:lang w:val="en-GB"/>
        </w:rPr>
        <w:tab/>
        <w:t>122</w:t>
      </w:r>
    </w:p>
    <w:p w:rsidR="00CD2A5A" w:rsidRDefault="00CD2A5A">
      <w:pPr>
        <w:tabs>
          <w:tab w:val="left" w:pos="851"/>
          <w:tab w:val="left" w:pos="1418"/>
          <w:tab w:val="left" w:leader="dot" w:pos="8845"/>
          <w:tab w:val="right" w:pos="9412"/>
        </w:tabs>
        <w:spacing w:after="120"/>
        <w:rPr>
          <w:lang w:val="en-US"/>
        </w:rPr>
      </w:pPr>
      <w:r>
        <w:rPr>
          <w:lang w:val="en-GB"/>
        </w:rPr>
        <w:t>IV.</w:t>
      </w:r>
      <w:r>
        <w:rPr>
          <w:lang w:val="en-US"/>
        </w:rPr>
        <w:tab/>
      </w:r>
      <w:r>
        <w:rPr>
          <w:lang w:val="en-GB"/>
        </w:rPr>
        <w:t>Treatment of sex crimes</w:t>
      </w:r>
      <w:r>
        <w:rPr>
          <w:lang w:val="en-GB"/>
        </w:rPr>
        <w:tab/>
      </w:r>
      <w:r>
        <w:rPr>
          <w:lang w:val="en-GB"/>
        </w:rPr>
        <w:tab/>
        <w:t>123</w:t>
      </w:r>
    </w:p>
    <w:p w:rsidR="00CD2A5A" w:rsidRDefault="00CD2A5A">
      <w:pPr>
        <w:tabs>
          <w:tab w:val="left" w:pos="851"/>
          <w:tab w:val="left" w:pos="1418"/>
          <w:tab w:val="left" w:leader="dot" w:pos="8845"/>
          <w:tab w:val="right" w:pos="9412"/>
        </w:tabs>
        <w:spacing w:after="120"/>
        <w:ind w:left="851" w:hanging="851"/>
        <w:rPr>
          <w:lang w:val="en-US"/>
        </w:rPr>
      </w:pPr>
      <w:r>
        <w:rPr>
          <w:lang w:val="en-GB"/>
        </w:rPr>
        <w:t>V.</w:t>
      </w:r>
      <w:r>
        <w:rPr>
          <w:lang w:val="en-US"/>
        </w:rPr>
        <w:tab/>
      </w:r>
      <w:r>
        <w:rPr>
          <w:lang w:val="en-GB"/>
        </w:rPr>
        <w:t>Types of crimes of paternal irresponsibility punishable by custodial sentences</w:t>
      </w:r>
      <w:r>
        <w:rPr>
          <w:lang w:val="en-GB"/>
        </w:rPr>
        <w:br/>
        <w:t>(Criminal Code)</w:t>
      </w:r>
      <w:r>
        <w:rPr>
          <w:lang w:val="en-US"/>
        </w:rPr>
        <w:t xml:space="preserve"> </w:t>
      </w:r>
      <w:r>
        <w:rPr>
          <w:lang w:val="en-US"/>
        </w:rPr>
        <w:tab/>
      </w:r>
      <w:r>
        <w:rPr>
          <w:lang w:val="en-US"/>
        </w:rPr>
        <w:tab/>
        <w:t>128</w:t>
      </w:r>
    </w:p>
    <w:p w:rsidR="00CD2A5A" w:rsidRDefault="00CD2A5A">
      <w:pPr>
        <w:tabs>
          <w:tab w:val="left" w:pos="851"/>
          <w:tab w:val="left" w:pos="1418"/>
          <w:tab w:val="left" w:leader="dot" w:pos="8845"/>
          <w:tab w:val="right" w:pos="9412"/>
        </w:tabs>
        <w:spacing w:after="120"/>
        <w:ind w:left="851" w:hanging="851"/>
        <w:rPr>
          <w:lang w:val="en-US"/>
        </w:rPr>
      </w:pPr>
      <w:r>
        <w:rPr>
          <w:lang w:val="en-GB"/>
        </w:rPr>
        <w:t>VI.</w:t>
      </w:r>
      <w:r>
        <w:rPr>
          <w:lang w:val="en-US"/>
        </w:rPr>
        <w:tab/>
      </w:r>
      <w:r>
        <w:rPr>
          <w:lang w:val="en-GB"/>
        </w:rPr>
        <w:t>Statistical data of the Office of the Public Prosecutor of the Republic on crimes</w:t>
      </w:r>
      <w:r>
        <w:rPr>
          <w:lang w:val="en-GB"/>
        </w:rPr>
        <w:br/>
        <w:t xml:space="preserve">concerning family relationships </w:t>
      </w:r>
      <w:r>
        <w:rPr>
          <w:lang w:val="en-GB"/>
        </w:rPr>
        <w:tab/>
      </w:r>
      <w:r>
        <w:rPr>
          <w:lang w:val="en-GB"/>
        </w:rPr>
        <w:tab/>
        <w:t>130</w:t>
      </w:r>
    </w:p>
    <w:p w:rsidR="00CD2A5A" w:rsidRDefault="00CD2A5A">
      <w:pPr>
        <w:tabs>
          <w:tab w:val="left" w:pos="851"/>
          <w:tab w:val="left" w:pos="1418"/>
          <w:tab w:val="left" w:leader="dot" w:pos="8845"/>
          <w:tab w:val="right" w:pos="9412"/>
        </w:tabs>
        <w:spacing w:after="120"/>
        <w:rPr>
          <w:lang w:val="en-US"/>
        </w:rPr>
      </w:pPr>
      <w:r>
        <w:rPr>
          <w:lang w:val="en-GB"/>
        </w:rPr>
        <w:t>VII.</w:t>
      </w:r>
      <w:r>
        <w:rPr>
          <w:lang w:val="en-US"/>
        </w:rPr>
        <w:tab/>
      </w:r>
      <w:r>
        <w:rPr>
          <w:lang w:val="en-GB"/>
        </w:rPr>
        <w:t>Child victims of sexual assault and abuse treated by ISDEMU</w:t>
      </w:r>
      <w:r>
        <w:rPr>
          <w:lang w:val="en-US"/>
        </w:rPr>
        <w:t xml:space="preserve"> </w:t>
      </w:r>
      <w:r>
        <w:rPr>
          <w:lang w:val="en-US"/>
        </w:rPr>
        <w:tab/>
      </w:r>
      <w:r>
        <w:rPr>
          <w:lang w:val="en-US"/>
        </w:rPr>
        <w:tab/>
        <w:t>131</w:t>
      </w:r>
    </w:p>
    <w:p w:rsidR="00CD2A5A" w:rsidRDefault="00CD2A5A">
      <w:pPr>
        <w:tabs>
          <w:tab w:val="left" w:pos="851"/>
          <w:tab w:val="left" w:pos="1418"/>
          <w:tab w:val="left" w:leader="dot" w:pos="8845"/>
          <w:tab w:val="right" w:pos="9412"/>
        </w:tabs>
        <w:spacing w:after="120"/>
        <w:ind w:left="851" w:hanging="851"/>
        <w:rPr>
          <w:lang w:val="en-US"/>
        </w:rPr>
      </w:pPr>
      <w:r>
        <w:rPr>
          <w:lang w:val="en-GB"/>
        </w:rPr>
        <w:t>VIII.</w:t>
      </w:r>
      <w:r>
        <w:rPr>
          <w:lang w:val="en-US"/>
        </w:rPr>
        <w:tab/>
      </w:r>
      <w:r>
        <w:rPr>
          <w:lang w:val="en-GB"/>
        </w:rPr>
        <w:t>Beneficiaries of individual and group support activities for victims of domestic</w:t>
      </w:r>
      <w:r>
        <w:rPr>
          <w:lang w:val="en-GB"/>
        </w:rPr>
        <w:br/>
        <w:t xml:space="preserve">violence </w:t>
      </w:r>
      <w:r>
        <w:rPr>
          <w:lang w:val="en-GB"/>
        </w:rPr>
        <w:tab/>
      </w:r>
      <w:r>
        <w:rPr>
          <w:lang w:val="en-GB"/>
        </w:rPr>
        <w:tab/>
        <w:t>132</w:t>
      </w:r>
    </w:p>
    <w:p w:rsidR="00CD2A5A" w:rsidRDefault="00CD2A5A">
      <w:pPr>
        <w:tabs>
          <w:tab w:val="left" w:pos="851"/>
          <w:tab w:val="left" w:pos="1418"/>
          <w:tab w:val="left" w:leader="dot" w:pos="8845"/>
          <w:tab w:val="right" w:pos="9412"/>
        </w:tabs>
        <w:spacing w:after="120"/>
        <w:rPr>
          <w:lang w:val="en-US"/>
        </w:rPr>
      </w:pPr>
      <w:r>
        <w:rPr>
          <w:lang w:val="en-GB"/>
        </w:rPr>
        <w:t>IX.</w:t>
      </w:r>
      <w:r>
        <w:rPr>
          <w:lang w:val="en-US"/>
        </w:rPr>
        <w:tab/>
      </w:r>
      <w:r>
        <w:rPr>
          <w:lang w:val="en-GB"/>
        </w:rPr>
        <w:t xml:space="preserve">Undernourishment and anaemia </w:t>
      </w:r>
      <w:r>
        <w:rPr>
          <w:lang w:val="en-GB"/>
        </w:rPr>
        <w:tab/>
      </w:r>
      <w:r>
        <w:rPr>
          <w:lang w:val="en-GB"/>
        </w:rPr>
        <w:tab/>
        <w:t>133</w:t>
      </w:r>
    </w:p>
    <w:p w:rsidR="00CD2A5A" w:rsidRDefault="00CD2A5A">
      <w:pPr>
        <w:tabs>
          <w:tab w:val="left" w:pos="851"/>
          <w:tab w:val="left" w:pos="1418"/>
          <w:tab w:val="left" w:leader="dot" w:pos="8845"/>
          <w:tab w:val="right" w:pos="9412"/>
        </w:tabs>
        <w:spacing w:after="120"/>
        <w:ind w:left="851" w:hanging="851"/>
        <w:rPr>
          <w:lang w:val="en-US"/>
        </w:rPr>
      </w:pPr>
      <w:r>
        <w:rPr>
          <w:lang w:val="en-GB"/>
        </w:rPr>
        <w:t>X.</w:t>
      </w:r>
      <w:r>
        <w:rPr>
          <w:lang w:val="en-US"/>
        </w:rPr>
        <w:tab/>
      </w:r>
      <w:r>
        <w:rPr>
          <w:lang w:val="en-GB"/>
        </w:rPr>
        <w:t>Revision “Plus 5” of the implementation of commitments under the Action Plan in</w:t>
      </w:r>
      <w:r>
        <w:rPr>
          <w:lang w:val="en-GB"/>
        </w:rPr>
        <w:br/>
        <w:t xml:space="preserve">the document "A World Fit for Children" </w:t>
      </w:r>
      <w:r>
        <w:rPr>
          <w:lang w:val="en-GB"/>
        </w:rPr>
        <w:tab/>
      </w:r>
      <w:r>
        <w:rPr>
          <w:lang w:val="en-GB"/>
        </w:rPr>
        <w:tab/>
        <w:t>134</w:t>
      </w:r>
    </w:p>
    <w:p w:rsidR="00CD2A5A" w:rsidRDefault="00CD2A5A">
      <w:pPr>
        <w:tabs>
          <w:tab w:val="left" w:pos="851"/>
          <w:tab w:val="left" w:pos="1418"/>
          <w:tab w:val="left" w:leader="dot" w:pos="8845"/>
          <w:tab w:val="right" w:pos="9412"/>
        </w:tabs>
        <w:spacing w:after="120"/>
        <w:rPr>
          <w:lang w:val="en-US"/>
        </w:rPr>
      </w:pPr>
      <w:r>
        <w:rPr>
          <w:lang w:val="en-GB"/>
        </w:rPr>
        <w:t>XI.</w:t>
      </w:r>
      <w:r>
        <w:rPr>
          <w:lang w:val="en-US"/>
        </w:rPr>
        <w:tab/>
      </w:r>
      <w:r>
        <w:rPr>
          <w:lang w:val="en-GB"/>
        </w:rPr>
        <w:t xml:space="preserve">Nutritional vulnerability map </w:t>
      </w:r>
      <w:r>
        <w:rPr>
          <w:lang w:val="en-GB"/>
        </w:rPr>
        <w:tab/>
      </w:r>
      <w:r>
        <w:rPr>
          <w:lang w:val="en-GB"/>
        </w:rPr>
        <w:tab/>
        <w:t>159</w:t>
      </w:r>
    </w:p>
    <w:p w:rsidR="00CD2A5A" w:rsidRDefault="00CD2A5A">
      <w:pPr>
        <w:tabs>
          <w:tab w:val="left" w:pos="851"/>
          <w:tab w:val="left" w:pos="1418"/>
          <w:tab w:val="left" w:leader="dot" w:pos="8845"/>
          <w:tab w:val="right" w:pos="9412"/>
        </w:tabs>
        <w:spacing w:after="120"/>
        <w:rPr>
          <w:lang w:val="en-US"/>
        </w:rPr>
      </w:pPr>
      <w:r>
        <w:rPr>
          <w:lang w:val="en-GB"/>
        </w:rPr>
        <w:t>XII.</w:t>
      </w:r>
      <w:r>
        <w:rPr>
          <w:lang w:val="en-US"/>
        </w:rPr>
        <w:tab/>
      </w:r>
      <w:r>
        <w:rPr>
          <w:lang w:val="en-GB"/>
        </w:rPr>
        <w:t xml:space="preserve">Breast-feeding practice in El Salvador </w:t>
      </w:r>
      <w:r>
        <w:rPr>
          <w:lang w:val="en-GB"/>
        </w:rPr>
        <w:tab/>
      </w:r>
      <w:r>
        <w:rPr>
          <w:lang w:val="en-GB"/>
        </w:rPr>
        <w:tab/>
        <w:t>160</w:t>
      </w:r>
    </w:p>
    <w:p w:rsidR="00CD2A5A" w:rsidRDefault="00CD2A5A">
      <w:pPr>
        <w:tabs>
          <w:tab w:val="center" w:pos="7995"/>
          <w:tab w:val="right" w:pos="9412"/>
        </w:tabs>
        <w:rPr>
          <w:i/>
          <w:iCs/>
          <w:lang w:val="en-US"/>
        </w:rPr>
      </w:pPr>
      <w:r>
        <w:rPr>
          <w:i/>
          <w:iCs/>
          <w:lang w:val="en-US"/>
        </w:rPr>
        <w:tab/>
      </w:r>
      <w:r>
        <w:rPr>
          <w:i/>
          <w:iCs/>
          <w:sz w:val="20"/>
          <w:lang w:val="en-US"/>
        </w:rPr>
        <w:tab/>
        <w:t>Page</w:t>
      </w:r>
    </w:p>
    <w:p w:rsidR="00CD2A5A" w:rsidRDefault="00CD2A5A">
      <w:pPr>
        <w:tabs>
          <w:tab w:val="left" w:pos="851"/>
          <w:tab w:val="left" w:pos="1418"/>
          <w:tab w:val="left" w:leader="dot" w:pos="8845"/>
          <w:tab w:val="right" w:pos="9412"/>
        </w:tabs>
        <w:spacing w:after="120"/>
        <w:rPr>
          <w:lang w:val="en-GB"/>
        </w:rPr>
      </w:pPr>
    </w:p>
    <w:p w:rsidR="00CD2A5A" w:rsidRDefault="00CD2A5A">
      <w:pPr>
        <w:tabs>
          <w:tab w:val="left" w:pos="851"/>
          <w:tab w:val="left" w:pos="1418"/>
          <w:tab w:val="left" w:leader="dot" w:pos="8845"/>
          <w:tab w:val="right" w:pos="9412"/>
        </w:tabs>
        <w:spacing w:after="120"/>
        <w:rPr>
          <w:lang w:val="en-US"/>
        </w:rPr>
      </w:pPr>
      <w:r>
        <w:rPr>
          <w:lang w:val="en-GB"/>
        </w:rPr>
        <w:t>XIII.</w:t>
      </w:r>
      <w:r>
        <w:rPr>
          <w:lang w:val="en-US"/>
        </w:rPr>
        <w:tab/>
      </w:r>
      <w:r>
        <w:rPr>
          <w:lang w:val="en-GB"/>
        </w:rPr>
        <w:t>Salvadoran Institute for Rehabilitation of Invalids</w:t>
      </w:r>
      <w:r>
        <w:rPr>
          <w:lang w:val="en-GB"/>
        </w:rPr>
        <w:tab/>
      </w:r>
      <w:r>
        <w:rPr>
          <w:lang w:val="en-GB"/>
        </w:rPr>
        <w:tab/>
        <w:t>161</w:t>
      </w:r>
    </w:p>
    <w:p w:rsidR="00CD2A5A" w:rsidRDefault="00CD2A5A">
      <w:pPr>
        <w:tabs>
          <w:tab w:val="left" w:pos="851"/>
          <w:tab w:val="left" w:pos="1418"/>
          <w:tab w:val="left" w:leader="dot" w:pos="8845"/>
          <w:tab w:val="right" w:pos="9412"/>
        </w:tabs>
        <w:spacing w:after="120"/>
        <w:rPr>
          <w:lang w:val="en-US"/>
        </w:rPr>
      </w:pPr>
      <w:r>
        <w:rPr>
          <w:lang w:val="en-GB"/>
        </w:rPr>
        <w:t>XIV.</w:t>
      </w:r>
      <w:r>
        <w:rPr>
          <w:lang w:val="en-US"/>
        </w:rPr>
        <w:tab/>
      </w:r>
      <w:r>
        <w:rPr>
          <w:lang w:val="en-GB"/>
        </w:rPr>
        <w:t xml:space="preserve">MINED public expenditure by level of education, budget line 2001-2005 </w:t>
      </w:r>
      <w:r>
        <w:rPr>
          <w:lang w:val="en-GB"/>
        </w:rPr>
        <w:tab/>
      </w:r>
      <w:r>
        <w:rPr>
          <w:lang w:val="en-GB"/>
        </w:rPr>
        <w:tab/>
        <w:t>163</w:t>
      </w:r>
    </w:p>
    <w:p w:rsidR="00CD2A5A" w:rsidRDefault="00CD2A5A">
      <w:pPr>
        <w:tabs>
          <w:tab w:val="left" w:pos="851"/>
          <w:tab w:val="left" w:pos="1418"/>
          <w:tab w:val="left" w:leader="dot" w:pos="8845"/>
          <w:tab w:val="right" w:pos="9412"/>
        </w:tabs>
        <w:spacing w:after="120"/>
        <w:rPr>
          <w:lang w:val="en-US"/>
        </w:rPr>
      </w:pPr>
      <w:r>
        <w:rPr>
          <w:lang w:val="en-GB"/>
        </w:rPr>
        <w:t>XV.</w:t>
      </w:r>
      <w:r>
        <w:rPr>
          <w:lang w:val="en-US"/>
        </w:rPr>
        <w:tab/>
      </w:r>
      <w:r>
        <w:rPr>
          <w:lang w:val="en-GB"/>
        </w:rPr>
        <w:t xml:space="preserve">Alternative classes </w:t>
      </w:r>
      <w:r>
        <w:rPr>
          <w:lang w:val="en-GB"/>
        </w:rPr>
        <w:tab/>
      </w:r>
      <w:r>
        <w:rPr>
          <w:lang w:val="en-GB"/>
        </w:rPr>
        <w:tab/>
        <w:t>165</w:t>
      </w:r>
    </w:p>
    <w:p w:rsidR="00CD2A5A" w:rsidRDefault="00CD2A5A">
      <w:pPr>
        <w:tabs>
          <w:tab w:val="left" w:pos="851"/>
          <w:tab w:val="left" w:pos="1418"/>
          <w:tab w:val="left" w:leader="dot" w:pos="8845"/>
          <w:tab w:val="right" w:pos="9412"/>
        </w:tabs>
        <w:spacing w:after="120"/>
        <w:rPr>
          <w:lang w:val="en-US"/>
        </w:rPr>
      </w:pPr>
      <w:r>
        <w:rPr>
          <w:lang w:val="en-GB"/>
        </w:rPr>
        <w:t>XVI.</w:t>
      </w:r>
      <w:r>
        <w:rPr>
          <w:lang w:val="en-US"/>
        </w:rPr>
        <w:tab/>
      </w:r>
      <w:r>
        <w:rPr>
          <w:lang w:val="en-GB"/>
        </w:rPr>
        <w:t xml:space="preserve">Pregnancies and marriages of minors </w:t>
      </w:r>
      <w:r>
        <w:rPr>
          <w:lang w:val="en-GB"/>
        </w:rPr>
        <w:tab/>
      </w:r>
      <w:r>
        <w:rPr>
          <w:lang w:val="en-GB"/>
        </w:rPr>
        <w:tab/>
        <w:t>166</w:t>
      </w:r>
    </w:p>
    <w:p w:rsidR="00CD2A5A" w:rsidRDefault="00CD2A5A">
      <w:pPr>
        <w:tabs>
          <w:tab w:val="left" w:pos="851"/>
          <w:tab w:val="left" w:pos="1418"/>
          <w:tab w:val="left" w:leader="dot" w:pos="8845"/>
          <w:tab w:val="right" w:pos="9412"/>
        </w:tabs>
        <w:spacing w:after="120"/>
        <w:rPr>
          <w:lang w:val="en-US"/>
        </w:rPr>
      </w:pPr>
      <w:r>
        <w:rPr>
          <w:lang w:val="en-GB"/>
        </w:rPr>
        <w:t>XVII.</w:t>
      </w:r>
      <w:r>
        <w:rPr>
          <w:lang w:val="en-US"/>
        </w:rPr>
        <w:tab/>
      </w:r>
      <w:r>
        <w:rPr>
          <w:lang w:val="en-GB"/>
        </w:rPr>
        <w:t xml:space="preserve">Literacy of population aged 6 and over by gender and age group </w:t>
      </w:r>
      <w:r>
        <w:rPr>
          <w:lang w:val="en-GB"/>
        </w:rPr>
        <w:tab/>
      </w:r>
      <w:r>
        <w:rPr>
          <w:lang w:val="en-GB"/>
        </w:rPr>
        <w:tab/>
        <w:t>167</w:t>
      </w:r>
    </w:p>
    <w:p w:rsidR="00CD2A5A" w:rsidRDefault="00CD2A5A">
      <w:pPr>
        <w:tabs>
          <w:tab w:val="left" w:pos="851"/>
          <w:tab w:val="left" w:pos="1418"/>
          <w:tab w:val="left" w:leader="dot" w:pos="8845"/>
          <w:tab w:val="right" w:pos="9412"/>
        </w:tabs>
        <w:spacing w:after="120"/>
        <w:rPr>
          <w:lang w:val="en-US"/>
        </w:rPr>
      </w:pPr>
      <w:r>
        <w:rPr>
          <w:lang w:val="en-GB"/>
        </w:rPr>
        <w:t>XVIII.</w:t>
      </w:r>
      <w:r>
        <w:rPr>
          <w:lang w:val="en-US"/>
        </w:rPr>
        <w:tab/>
      </w:r>
      <w:r>
        <w:rPr>
          <w:lang w:val="en-GB"/>
        </w:rPr>
        <w:t xml:space="preserve">School attendance of population aged 4 and over by gender and age group </w:t>
      </w:r>
      <w:r>
        <w:rPr>
          <w:lang w:val="en-GB"/>
        </w:rPr>
        <w:tab/>
      </w:r>
      <w:r>
        <w:rPr>
          <w:lang w:val="en-GB"/>
        </w:rPr>
        <w:tab/>
        <w:t>173</w:t>
      </w:r>
    </w:p>
    <w:p w:rsidR="00CD2A5A" w:rsidRDefault="00CD2A5A">
      <w:pPr>
        <w:tabs>
          <w:tab w:val="left" w:pos="851"/>
          <w:tab w:val="left" w:pos="1418"/>
          <w:tab w:val="left" w:leader="dot" w:pos="8845"/>
          <w:tab w:val="right" w:pos="9412"/>
        </w:tabs>
        <w:spacing w:after="120"/>
        <w:rPr>
          <w:lang w:val="en-US"/>
        </w:rPr>
      </w:pPr>
      <w:r>
        <w:rPr>
          <w:lang w:val="en-GB"/>
        </w:rPr>
        <w:t>XIX.</w:t>
      </w:r>
      <w:r>
        <w:rPr>
          <w:lang w:val="en-US"/>
        </w:rPr>
        <w:tab/>
      </w:r>
      <w:r>
        <w:rPr>
          <w:lang w:val="en-GB"/>
        </w:rPr>
        <w:t xml:space="preserve">Deported minors (2004-2005) </w:t>
      </w:r>
      <w:r>
        <w:rPr>
          <w:lang w:val="en-GB"/>
        </w:rPr>
        <w:tab/>
      </w:r>
      <w:r>
        <w:rPr>
          <w:lang w:val="en-GB"/>
        </w:rPr>
        <w:tab/>
        <w:t>180</w:t>
      </w:r>
    </w:p>
    <w:p w:rsidR="00CD2A5A" w:rsidRDefault="00CD2A5A">
      <w:pPr>
        <w:tabs>
          <w:tab w:val="left" w:pos="851"/>
          <w:tab w:val="left" w:pos="1418"/>
          <w:tab w:val="left" w:leader="dot" w:pos="8845"/>
          <w:tab w:val="right" w:pos="9412"/>
        </w:tabs>
        <w:spacing w:after="120"/>
        <w:rPr>
          <w:lang w:val="en-US"/>
        </w:rPr>
      </w:pPr>
      <w:r>
        <w:rPr>
          <w:lang w:val="en-GB"/>
        </w:rPr>
        <w:t>XX.</w:t>
      </w:r>
      <w:r>
        <w:rPr>
          <w:lang w:val="en-US"/>
        </w:rPr>
        <w:tab/>
      </w:r>
      <w:r>
        <w:rPr>
          <w:lang w:val="en-GB"/>
        </w:rPr>
        <w:t xml:space="preserve">Care of victims of trafficking </w:t>
      </w:r>
      <w:r>
        <w:rPr>
          <w:lang w:val="en-GB"/>
        </w:rPr>
        <w:tab/>
      </w:r>
      <w:r>
        <w:rPr>
          <w:lang w:val="en-GB"/>
        </w:rPr>
        <w:tab/>
        <w:t>181</w:t>
      </w:r>
    </w:p>
    <w:p w:rsidR="00CD2A5A" w:rsidRDefault="00CD2A5A">
      <w:pPr>
        <w:tabs>
          <w:tab w:val="left" w:pos="851"/>
          <w:tab w:val="left" w:pos="1418"/>
          <w:tab w:val="left" w:leader="dot" w:pos="8845"/>
          <w:tab w:val="right" w:pos="9412"/>
        </w:tabs>
        <w:spacing w:after="120"/>
        <w:rPr>
          <w:lang w:val="en-US"/>
        </w:rPr>
      </w:pPr>
      <w:r>
        <w:rPr>
          <w:lang w:val="en-GB"/>
        </w:rPr>
        <w:t>XXI.</w:t>
      </w:r>
      <w:r>
        <w:rPr>
          <w:lang w:val="en-US"/>
        </w:rPr>
        <w:tab/>
      </w:r>
      <w:r>
        <w:rPr>
          <w:lang w:val="en-GB"/>
        </w:rPr>
        <w:t xml:space="preserve">Offences allegedly committed by persons under 18 </w:t>
      </w:r>
      <w:r>
        <w:rPr>
          <w:lang w:val="en-GB"/>
        </w:rPr>
        <w:tab/>
      </w:r>
      <w:r>
        <w:rPr>
          <w:lang w:val="en-GB"/>
        </w:rPr>
        <w:tab/>
        <w:t>183</w:t>
      </w:r>
    </w:p>
    <w:p w:rsidR="00CD2A5A" w:rsidRDefault="00CD2A5A">
      <w:pPr>
        <w:tabs>
          <w:tab w:val="left" w:pos="851"/>
          <w:tab w:val="left" w:pos="1418"/>
          <w:tab w:val="left" w:leader="dot" w:pos="8845"/>
          <w:tab w:val="right" w:pos="9412"/>
        </w:tabs>
        <w:spacing w:after="120"/>
      </w:pPr>
      <w:r>
        <w:rPr>
          <w:lang w:val="en-GB"/>
        </w:rPr>
        <w:t>XXII.</w:t>
      </w:r>
      <w:r>
        <w:tab/>
      </w:r>
      <w:r>
        <w:rPr>
          <w:lang w:val="en-GB"/>
        </w:rPr>
        <w:t xml:space="preserve">Continuous Development Programme for Labour Inspectors </w:t>
      </w:r>
      <w:r>
        <w:rPr>
          <w:lang w:val="en-GB"/>
        </w:rPr>
        <w:tab/>
      </w:r>
      <w:r>
        <w:rPr>
          <w:lang w:val="en-GB"/>
        </w:rPr>
        <w:tab/>
        <w:t>188</w:t>
      </w:r>
    </w:p>
    <w:p w:rsidR="00CD2A5A" w:rsidRDefault="00CD2A5A">
      <w:pPr>
        <w:tabs>
          <w:tab w:val="left" w:pos="851"/>
          <w:tab w:val="left" w:pos="1418"/>
          <w:tab w:val="left" w:leader="dot" w:pos="8845"/>
          <w:tab w:val="right" w:pos="9412"/>
        </w:tabs>
        <w:spacing w:after="120"/>
      </w:pPr>
      <w:r>
        <w:rPr>
          <w:lang w:val="en-GB"/>
        </w:rPr>
        <w:t>XXIII.</w:t>
      </w:r>
      <w:r>
        <w:tab/>
      </w:r>
      <w:r>
        <w:rPr>
          <w:lang w:val="en-GB"/>
        </w:rPr>
        <w:t xml:space="preserve">Prevention programmes </w:t>
      </w:r>
      <w:r>
        <w:rPr>
          <w:lang w:val="en-GB"/>
        </w:rPr>
        <w:tab/>
      </w:r>
      <w:r>
        <w:rPr>
          <w:lang w:val="en-GB"/>
        </w:rPr>
        <w:tab/>
        <w:t>190</w:t>
      </w:r>
    </w:p>
    <w:p w:rsidR="00CD2A5A" w:rsidRDefault="00CD2A5A">
      <w:pPr>
        <w:spacing w:after="240"/>
        <w:jc w:val="center"/>
        <w:rPr>
          <w:b/>
          <w:lang w:val="es-SV"/>
        </w:rPr>
      </w:pPr>
      <w:r>
        <w:rPr>
          <w:lang w:val="es-SV"/>
        </w:rPr>
        <w:br w:type="page"/>
      </w:r>
      <w:r w:rsidRPr="00C31703">
        <w:rPr>
          <w:b/>
          <w:lang w:val="es-SV"/>
        </w:rPr>
        <w:t xml:space="preserve">I. </w:t>
      </w:r>
      <w:r>
        <w:rPr>
          <w:lang w:val="es-SV"/>
        </w:rPr>
        <w:t xml:space="preserve"> </w:t>
      </w:r>
      <w:r>
        <w:rPr>
          <w:b/>
          <w:lang w:val="en-GB"/>
        </w:rPr>
        <w:t>Introduction</w:t>
      </w:r>
    </w:p>
    <w:p w:rsidR="00CD2A5A" w:rsidRDefault="00CD2A5A">
      <w:pPr>
        <w:numPr>
          <w:ilvl w:val="0"/>
          <w:numId w:val="3"/>
        </w:numPr>
        <w:tabs>
          <w:tab w:val="clear" w:pos="720"/>
        </w:tabs>
        <w:spacing w:after="240"/>
        <w:ind w:left="0" w:firstLine="0"/>
        <w:rPr>
          <w:lang w:val="en-US"/>
        </w:rPr>
      </w:pPr>
      <w:r>
        <w:rPr>
          <w:lang w:val="en-GB"/>
        </w:rPr>
        <w:t>El Salvador, in strict compliance with the commitments made when ratifying the Convention on the Rights of the Child in 1990, is submitting its third and fourth periodic report to the Committee on the Rights of the Child, as requested by the Committee in its concluding observations on the second report.</w:t>
      </w:r>
      <w:r>
        <w:rPr>
          <w:rStyle w:val="FootnoteReference"/>
          <w:lang w:val="es-SV"/>
        </w:rPr>
        <w:footnoteReference w:id="2"/>
      </w:r>
    </w:p>
    <w:p w:rsidR="00CD2A5A" w:rsidRDefault="00CD2A5A">
      <w:pPr>
        <w:numPr>
          <w:ilvl w:val="0"/>
          <w:numId w:val="3"/>
        </w:numPr>
        <w:tabs>
          <w:tab w:val="clear" w:pos="720"/>
        </w:tabs>
        <w:spacing w:after="240"/>
        <w:ind w:left="0" w:firstLine="0"/>
        <w:rPr>
          <w:lang w:val="en-US"/>
        </w:rPr>
      </w:pPr>
      <w:r>
        <w:rPr>
          <w:lang w:val="en-GB"/>
        </w:rPr>
        <w:t>The present report covers the period 2004–2007, since the Committee had the opportunity to examine the situation of compliance with the Convention up to 2003 when it examined the second periodic report on El Salvador.</w:t>
      </w:r>
      <w:r>
        <w:rPr>
          <w:lang w:val="en-US"/>
        </w:rPr>
        <w:t xml:space="preserve"> </w:t>
      </w:r>
      <w:r>
        <w:rPr>
          <w:lang w:val="en-GB"/>
        </w:rPr>
        <w:t>It also includes information and replies from El Salvador to the Committee’s latest observations on the second periodic report.</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The report was prepared following the Committee’s guidelines for the preparation of periodic reports, taking account of the Committee’s concluding observations on the second periodic report.</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The State institutions with competence for child rights took part in the drafting of the report, and the main non-governmental organizations working in this area were consulted, though no information was received in writing.</w:t>
      </w:r>
      <w:r>
        <w:rPr>
          <w:rStyle w:val="FootnoteReference"/>
          <w:lang w:val="es-SV"/>
        </w:rPr>
        <w:footnoteReference w:id="3"/>
      </w:r>
    </w:p>
    <w:p w:rsidR="00CD2A5A" w:rsidRDefault="00CD2A5A">
      <w:pPr>
        <w:numPr>
          <w:ilvl w:val="0"/>
          <w:numId w:val="3"/>
        </w:numPr>
        <w:tabs>
          <w:tab w:val="clear" w:pos="720"/>
        </w:tabs>
        <w:spacing w:after="240"/>
        <w:ind w:left="0" w:firstLine="0"/>
        <w:rPr>
          <w:lang w:val="es-SV"/>
        </w:rPr>
      </w:pPr>
      <w:r>
        <w:rPr>
          <w:lang w:val="en-GB"/>
        </w:rPr>
        <w:t>Except where otherwise indicated, the institutional mandates and the legal framework applicable to the protection of the fundamental rights and freedoms of children and adolescents described in the second periodic report, were not substantially altered during the period 2004</w:t>
      </w:r>
      <w:r>
        <w:rPr>
          <w:lang w:val="en-GB"/>
        </w:rPr>
        <w:noBreakHyphen/>
        <w:t>2007.</w:t>
      </w:r>
      <w:r>
        <w:rPr>
          <w:lang w:val="en-US"/>
        </w:rPr>
        <w:t xml:space="preserve"> </w:t>
      </w:r>
      <w:r>
        <w:rPr>
          <w:lang w:val="en-GB"/>
        </w:rPr>
        <w:t>Accordingly, please see El Salvador’s second periodic report for general information on the legislation, bodies and procedures for protecting and promoting child rights.</w:t>
      </w:r>
      <w:r>
        <w:rPr>
          <w:lang w:val="en-US"/>
        </w:rPr>
        <w:t xml:space="preserve"> </w:t>
      </w:r>
      <w:r>
        <w:rPr>
          <w:lang w:val="en-GB"/>
        </w:rPr>
        <w:t>(CRC/C/65/Add.25 of 22 October 2003).</w:t>
      </w:r>
    </w:p>
    <w:p w:rsidR="00CD2A5A" w:rsidRDefault="00CD2A5A">
      <w:pPr>
        <w:numPr>
          <w:ilvl w:val="0"/>
          <w:numId w:val="3"/>
        </w:numPr>
        <w:tabs>
          <w:tab w:val="clear" w:pos="720"/>
        </w:tabs>
        <w:spacing w:after="240"/>
        <w:ind w:left="0" w:firstLine="0"/>
        <w:jc w:val="center"/>
        <w:rPr>
          <w:lang w:val="en-US"/>
        </w:rPr>
      </w:pPr>
      <w:r>
        <w:rPr>
          <w:lang w:val="en-GB"/>
        </w:rPr>
        <w:t>The Government of El Salvador gives an undertaking to the Committee on the Rights of the Child to take the measures necessary to comply with the Convention on the Rights of the Child, and to endeavour to submit future periodic reports on time.</w:t>
      </w:r>
    </w:p>
    <w:p w:rsidR="00CD2A5A" w:rsidRDefault="00CD2A5A">
      <w:pPr>
        <w:pStyle w:val="I"/>
      </w:pPr>
      <w:bookmarkStart w:id="1" w:name="_Toc174156683"/>
      <w:r>
        <w:t xml:space="preserve">II. </w:t>
      </w:r>
      <w:bookmarkEnd w:id="1"/>
      <w:r>
        <w:t xml:space="preserve"> General information</w:t>
      </w:r>
    </w:p>
    <w:p w:rsidR="00CD2A5A" w:rsidRDefault="00CD2A5A" w:rsidP="006228EF">
      <w:pPr>
        <w:pStyle w:val="A0"/>
        <w:rPr>
          <w:lang w:val="en-US"/>
        </w:rPr>
      </w:pPr>
      <w:r>
        <w:t>A.  Definition of child</w:t>
      </w:r>
    </w:p>
    <w:p w:rsidR="00CD2A5A" w:rsidRDefault="00CD2A5A">
      <w:pPr>
        <w:numPr>
          <w:ilvl w:val="0"/>
          <w:numId w:val="3"/>
        </w:numPr>
        <w:tabs>
          <w:tab w:val="clear" w:pos="720"/>
        </w:tabs>
        <w:spacing w:after="240"/>
        <w:ind w:left="0" w:firstLine="0"/>
        <w:rPr>
          <w:lang w:val="en-US"/>
        </w:rPr>
      </w:pPr>
      <w:r>
        <w:rPr>
          <w:lang w:val="en-GB"/>
        </w:rPr>
        <w:t>The legislative provisions in force in El Salvador regarding the definition of “child”, already described in the second periodic report, were not changed substantially during the reporting period.</w:t>
      </w:r>
      <w:r>
        <w:rPr>
          <w:rStyle w:val="FootnoteReference"/>
          <w:lang w:val="es-SV"/>
        </w:rPr>
        <w:footnoteReference w:id="4"/>
      </w:r>
    </w:p>
    <w:p w:rsidR="00CD2A5A" w:rsidRDefault="00CD2A5A" w:rsidP="006228EF">
      <w:pPr>
        <w:pStyle w:val="A0"/>
        <w:rPr>
          <w:lang w:val="en-US"/>
        </w:rPr>
      </w:pPr>
      <w:r>
        <w:t>B.  General information on the child population</w:t>
      </w:r>
    </w:p>
    <w:p w:rsidR="00CD2A5A" w:rsidRDefault="00CD2A5A">
      <w:pPr>
        <w:numPr>
          <w:ilvl w:val="0"/>
          <w:numId w:val="3"/>
        </w:numPr>
        <w:tabs>
          <w:tab w:val="clear" w:pos="720"/>
        </w:tabs>
        <w:spacing w:after="240"/>
        <w:ind w:left="0" w:firstLine="0"/>
        <w:rPr>
          <w:lang w:val="en-US"/>
        </w:rPr>
      </w:pPr>
      <w:r>
        <w:rPr>
          <w:lang w:val="en-GB"/>
        </w:rPr>
        <w:t>According to projections by the General Directorate for Statistics and Censuses of the Ministry of Economy (DIGESTYC), based on the Multi-Purpose Household Survey (EHPM), around 2006 the percentage of the country’s population aged under 18 was calculated at 43.83 per cent, 51.13 per cent of whom being boys and 48.87 per cent girls.</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Figures 1, 2 and 3 contain data on the child population by gender, age group and urban or rural origin, calculated for 2006.</w:t>
      </w:r>
    </w:p>
    <w:p w:rsidR="00CD2A5A" w:rsidRDefault="00CD2A5A" w:rsidP="00DB573B">
      <w:pPr>
        <w:pStyle w:val="Figure"/>
        <w:spacing w:after="120"/>
      </w:pPr>
      <w:r>
        <w:t>Figure 1</w:t>
      </w:r>
    </w:p>
    <w:p w:rsidR="00CD2A5A" w:rsidRDefault="00CD2A5A" w:rsidP="00DB573B">
      <w:pPr>
        <w:pStyle w:val="Figure"/>
        <w:spacing w:after="120"/>
        <w:rPr>
          <w:lang w:val="en-US"/>
        </w:rPr>
      </w:pPr>
      <w:r>
        <w:t>Total child population by gender and age group,</w:t>
      </w:r>
      <w:r>
        <w:rPr>
          <w:lang w:val="en-US"/>
        </w:rPr>
        <w:t xml:space="preserve">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2"/>
        <w:gridCol w:w="2464"/>
        <w:gridCol w:w="2575"/>
        <w:gridCol w:w="3041"/>
      </w:tblGrid>
      <w:tr w:rsidR="00CD2A5A">
        <w:trPr>
          <w:trHeight w:val="255"/>
          <w:jc w:val="center"/>
        </w:trPr>
        <w:tc>
          <w:tcPr>
            <w:tcW w:w="8477" w:type="dxa"/>
            <w:gridSpan w:val="4"/>
            <w:noWrap/>
            <w:tcMar>
              <w:top w:w="17" w:type="dxa"/>
              <w:left w:w="17" w:type="dxa"/>
              <w:bottom w:w="0" w:type="dxa"/>
              <w:right w:w="17" w:type="dxa"/>
            </w:tcMar>
            <w:vAlign w:val="center"/>
          </w:tcPr>
          <w:p w:rsidR="00CD2A5A" w:rsidRDefault="00CD2A5A" w:rsidP="00C31703">
            <w:pPr>
              <w:spacing w:before="40" w:after="40"/>
              <w:jc w:val="center"/>
              <w:rPr>
                <w:b/>
                <w:i/>
                <w:sz w:val="20"/>
                <w:szCs w:val="20"/>
                <w:lang w:val="es-SV"/>
              </w:rPr>
            </w:pPr>
            <w:r>
              <w:rPr>
                <w:b/>
                <w:i/>
                <w:sz w:val="20"/>
                <w:szCs w:val="20"/>
                <w:lang w:val="en-GB"/>
              </w:rPr>
              <w:t>National total</w:t>
            </w:r>
          </w:p>
        </w:tc>
      </w:tr>
      <w:tr w:rsidR="00CD2A5A">
        <w:trPr>
          <w:cantSplit/>
          <w:trHeight w:val="330"/>
          <w:jc w:val="center"/>
        </w:trPr>
        <w:tc>
          <w:tcPr>
            <w:tcW w:w="1200" w:type="dxa"/>
            <w:vMerge w:val="restart"/>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Age group</w:t>
            </w:r>
          </w:p>
        </w:tc>
        <w:tc>
          <w:tcPr>
            <w:tcW w:w="2219" w:type="dxa"/>
            <w:vMerge w:val="restart"/>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Total</w:t>
            </w:r>
          </w:p>
        </w:tc>
        <w:tc>
          <w:tcPr>
            <w:tcW w:w="5058" w:type="dxa"/>
            <w:gridSpan w:val="2"/>
            <w:noWrap/>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Gender</w:t>
            </w:r>
          </w:p>
        </w:tc>
      </w:tr>
      <w:tr w:rsidR="00CD2A5A">
        <w:trPr>
          <w:cantSplit/>
          <w:trHeight w:val="315"/>
          <w:jc w:val="center"/>
        </w:trPr>
        <w:tc>
          <w:tcPr>
            <w:tcW w:w="1200" w:type="dxa"/>
            <w:vMerge/>
            <w:vAlign w:val="center"/>
          </w:tcPr>
          <w:p w:rsidR="00CD2A5A" w:rsidRDefault="00CD2A5A" w:rsidP="00C31703">
            <w:pPr>
              <w:spacing w:before="40" w:after="40"/>
              <w:rPr>
                <w:b/>
                <w:bCs/>
                <w:i/>
                <w:sz w:val="20"/>
                <w:szCs w:val="20"/>
                <w:lang w:val="es-SV"/>
              </w:rPr>
            </w:pPr>
          </w:p>
        </w:tc>
        <w:tc>
          <w:tcPr>
            <w:tcW w:w="2219" w:type="dxa"/>
            <w:vMerge/>
            <w:vAlign w:val="center"/>
          </w:tcPr>
          <w:p w:rsidR="00CD2A5A" w:rsidRDefault="00CD2A5A" w:rsidP="00C31703">
            <w:pPr>
              <w:spacing w:before="40" w:after="40"/>
              <w:rPr>
                <w:b/>
                <w:bCs/>
                <w:i/>
                <w:sz w:val="20"/>
                <w:szCs w:val="20"/>
                <w:lang w:val="es-SV"/>
              </w:rPr>
            </w:pPr>
          </w:p>
        </w:tc>
        <w:tc>
          <w:tcPr>
            <w:tcW w:w="2319" w:type="dxa"/>
            <w:noWrap/>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Male</w:t>
            </w:r>
          </w:p>
        </w:tc>
        <w:tc>
          <w:tcPr>
            <w:tcW w:w="2739" w:type="dxa"/>
            <w:noWrap/>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Female</w:t>
            </w:r>
          </w:p>
        </w:tc>
      </w:tr>
      <w:tr w:rsidR="00CD2A5A">
        <w:trPr>
          <w:trHeight w:val="300"/>
          <w:jc w:val="center"/>
        </w:trPr>
        <w:tc>
          <w:tcPr>
            <w:tcW w:w="1200" w:type="dxa"/>
            <w:tcMar>
              <w:top w:w="17" w:type="dxa"/>
              <w:left w:w="17" w:type="dxa"/>
              <w:bottom w:w="0" w:type="dxa"/>
              <w:right w:w="17" w:type="dxa"/>
            </w:tcMar>
            <w:vAlign w:val="bottom"/>
          </w:tcPr>
          <w:p w:rsidR="00CD2A5A" w:rsidRDefault="00CD2A5A" w:rsidP="00C31703">
            <w:pPr>
              <w:spacing w:before="40" w:after="40"/>
              <w:rPr>
                <w:bCs/>
                <w:sz w:val="20"/>
                <w:szCs w:val="20"/>
                <w:lang w:val="es-SV"/>
              </w:rPr>
            </w:pPr>
            <w:r>
              <w:rPr>
                <w:bCs/>
                <w:sz w:val="20"/>
                <w:szCs w:val="20"/>
                <w:lang w:val="en-GB"/>
              </w:rPr>
              <w:t>Total</w:t>
            </w:r>
          </w:p>
        </w:tc>
        <w:tc>
          <w:tcPr>
            <w:tcW w:w="221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2,832,221</w:t>
            </w:r>
          </w:p>
        </w:tc>
        <w:tc>
          <w:tcPr>
            <w:tcW w:w="231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1,448,024</w:t>
            </w:r>
          </w:p>
        </w:tc>
        <w:tc>
          <w:tcPr>
            <w:tcW w:w="273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1,384,197</w:t>
            </w:r>
          </w:p>
        </w:tc>
      </w:tr>
      <w:tr w:rsidR="00CD2A5A">
        <w:trPr>
          <w:trHeight w:val="255"/>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0 – 4</w:t>
            </w:r>
          </w:p>
        </w:tc>
        <w:tc>
          <w:tcPr>
            <w:tcW w:w="221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666,508</w:t>
            </w:r>
          </w:p>
        </w:tc>
        <w:tc>
          <w:tcPr>
            <w:tcW w:w="231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341,995</w:t>
            </w:r>
          </w:p>
        </w:tc>
        <w:tc>
          <w:tcPr>
            <w:tcW w:w="273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324,513</w:t>
            </w:r>
          </w:p>
        </w:tc>
      </w:tr>
      <w:tr w:rsidR="00CD2A5A">
        <w:trPr>
          <w:trHeight w:val="300"/>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5 – 9</w:t>
            </w:r>
          </w:p>
        </w:tc>
        <w:tc>
          <w:tcPr>
            <w:tcW w:w="221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851,671</w:t>
            </w:r>
          </w:p>
        </w:tc>
        <w:tc>
          <w:tcPr>
            <w:tcW w:w="231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431,421</w:t>
            </w:r>
          </w:p>
        </w:tc>
        <w:tc>
          <w:tcPr>
            <w:tcW w:w="273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420,250</w:t>
            </w:r>
          </w:p>
        </w:tc>
      </w:tr>
      <w:tr w:rsidR="00CD2A5A">
        <w:trPr>
          <w:trHeight w:val="300"/>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10 – 14</w:t>
            </w:r>
          </w:p>
        </w:tc>
        <w:tc>
          <w:tcPr>
            <w:tcW w:w="221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850,920</w:t>
            </w:r>
          </w:p>
        </w:tc>
        <w:tc>
          <w:tcPr>
            <w:tcW w:w="231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444,476</w:t>
            </w:r>
          </w:p>
        </w:tc>
        <w:tc>
          <w:tcPr>
            <w:tcW w:w="273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406,444</w:t>
            </w:r>
          </w:p>
        </w:tc>
      </w:tr>
      <w:tr w:rsidR="00CD2A5A">
        <w:trPr>
          <w:trHeight w:val="270"/>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15 – 17</w:t>
            </w:r>
          </w:p>
        </w:tc>
        <w:tc>
          <w:tcPr>
            <w:tcW w:w="2219" w:type="dxa"/>
            <w:noWrap/>
            <w:tcMar>
              <w:top w:w="17" w:type="dxa"/>
              <w:left w:w="17" w:type="dxa"/>
              <w:bottom w:w="0" w:type="dxa"/>
              <w:right w:w="17" w:type="dxa"/>
            </w:tcMar>
            <w:vAlign w:val="bottom"/>
          </w:tcPr>
          <w:p w:rsidR="00CD2A5A" w:rsidRDefault="00CD2A5A" w:rsidP="00C31703">
            <w:pPr>
              <w:spacing w:before="40" w:after="40"/>
              <w:ind w:right="833"/>
              <w:jc w:val="right"/>
              <w:rPr>
                <w:bCs/>
                <w:sz w:val="20"/>
                <w:szCs w:val="20"/>
                <w:lang w:val="es-SV"/>
              </w:rPr>
            </w:pPr>
            <w:r>
              <w:rPr>
                <w:bCs/>
                <w:sz w:val="20"/>
                <w:szCs w:val="20"/>
                <w:lang w:val="es-SV"/>
              </w:rPr>
              <w:t>463,122</w:t>
            </w:r>
          </w:p>
        </w:tc>
        <w:tc>
          <w:tcPr>
            <w:tcW w:w="231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230,132</w:t>
            </w:r>
          </w:p>
        </w:tc>
        <w:tc>
          <w:tcPr>
            <w:tcW w:w="2739" w:type="dxa"/>
            <w:noWrap/>
            <w:tcMar>
              <w:top w:w="17" w:type="dxa"/>
              <w:left w:w="17" w:type="dxa"/>
              <w:bottom w:w="0" w:type="dxa"/>
              <w:right w:w="17" w:type="dxa"/>
            </w:tcMar>
            <w:vAlign w:val="bottom"/>
          </w:tcPr>
          <w:p w:rsidR="00CD2A5A" w:rsidRDefault="00CD2A5A" w:rsidP="00C31703">
            <w:pPr>
              <w:spacing w:before="40" w:after="40"/>
              <w:ind w:right="833"/>
              <w:jc w:val="right"/>
              <w:rPr>
                <w:sz w:val="20"/>
                <w:szCs w:val="20"/>
                <w:lang w:val="es-SV"/>
              </w:rPr>
            </w:pPr>
            <w:r>
              <w:rPr>
                <w:sz w:val="20"/>
                <w:szCs w:val="20"/>
                <w:lang w:val="es-SV"/>
              </w:rPr>
              <w:t>232,990</w:t>
            </w:r>
          </w:p>
        </w:tc>
      </w:tr>
    </w:tbl>
    <w:p w:rsidR="00CD2A5A" w:rsidRDefault="00CD2A5A">
      <w:pPr>
        <w:pStyle w:val="Source"/>
        <w:rPr>
          <w:lang w:val="en-US"/>
        </w:rPr>
      </w:pPr>
      <w:r>
        <w:rPr>
          <w:i/>
        </w:rPr>
        <w:t>Source</w:t>
      </w:r>
      <w:r>
        <w:t>:</w:t>
      </w:r>
      <w:r>
        <w:rPr>
          <w:lang w:val="en-US"/>
        </w:rPr>
        <w:t xml:space="preserve"> </w:t>
      </w:r>
      <w:r>
        <w:t>Ministry of the Economy, DIGESTYC, EHPM.</w:t>
      </w:r>
      <w:r>
        <w:rPr>
          <w:lang w:val="en-US"/>
        </w:rPr>
        <w:t xml:space="preserve"> 2006</w:t>
      </w:r>
    </w:p>
    <w:p w:rsidR="00CD2A5A" w:rsidRDefault="00CD2A5A" w:rsidP="00DB573B">
      <w:pPr>
        <w:pStyle w:val="Figure"/>
        <w:spacing w:after="120"/>
      </w:pPr>
      <w:r>
        <w:t>Figure 2</w:t>
      </w:r>
    </w:p>
    <w:p w:rsidR="00CD2A5A" w:rsidRDefault="00CD2A5A" w:rsidP="00DB573B">
      <w:pPr>
        <w:pStyle w:val="Figure"/>
        <w:spacing w:after="120"/>
        <w:rPr>
          <w:lang w:val="en-US"/>
        </w:rPr>
      </w:pPr>
      <w:r>
        <w:t>Total child population by gender and age group,</w:t>
      </w:r>
      <w:r>
        <w:rPr>
          <w:lang w:val="en-US"/>
        </w:rPr>
        <w:t xml:space="preserve">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2"/>
        <w:gridCol w:w="2464"/>
        <w:gridCol w:w="2618"/>
        <w:gridCol w:w="2998"/>
      </w:tblGrid>
      <w:tr w:rsidR="00CD2A5A">
        <w:trPr>
          <w:trHeight w:val="255"/>
          <w:jc w:val="center"/>
        </w:trPr>
        <w:tc>
          <w:tcPr>
            <w:tcW w:w="8477" w:type="dxa"/>
            <w:gridSpan w:val="4"/>
            <w:noWrap/>
            <w:tcMar>
              <w:top w:w="17" w:type="dxa"/>
              <w:left w:w="17" w:type="dxa"/>
              <w:bottom w:w="0" w:type="dxa"/>
              <w:right w:w="17" w:type="dxa"/>
            </w:tcMar>
            <w:vAlign w:val="center"/>
          </w:tcPr>
          <w:p w:rsidR="00CD2A5A" w:rsidRDefault="00CD2A5A" w:rsidP="00C31703">
            <w:pPr>
              <w:spacing w:before="40" w:after="40"/>
              <w:jc w:val="center"/>
              <w:rPr>
                <w:b/>
                <w:i/>
                <w:sz w:val="20"/>
                <w:szCs w:val="20"/>
                <w:lang w:val="es-SV"/>
              </w:rPr>
            </w:pPr>
            <w:r>
              <w:rPr>
                <w:b/>
                <w:i/>
                <w:sz w:val="20"/>
                <w:szCs w:val="20"/>
                <w:lang w:val="en-GB"/>
              </w:rPr>
              <w:t>Total national urban population</w:t>
            </w:r>
          </w:p>
        </w:tc>
      </w:tr>
      <w:tr w:rsidR="00CD2A5A">
        <w:trPr>
          <w:cantSplit/>
          <w:trHeight w:val="285"/>
          <w:jc w:val="center"/>
        </w:trPr>
        <w:tc>
          <w:tcPr>
            <w:tcW w:w="1200" w:type="dxa"/>
            <w:vMerge w:val="restart"/>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Age group</w:t>
            </w:r>
          </w:p>
        </w:tc>
        <w:tc>
          <w:tcPr>
            <w:tcW w:w="2219" w:type="dxa"/>
            <w:vMerge w:val="restart"/>
            <w:tcMar>
              <w:top w:w="17" w:type="dxa"/>
              <w:left w:w="17" w:type="dxa"/>
              <w:bottom w:w="0" w:type="dxa"/>
              <w:right w:w="17" w:type="dxa"/>
            </w:tcMar>
            <w:vAlign w:val="center"/>
          </w:tcPr>
          <w:p w:rsidR="00CD2A5A" w:rsidRDefault="00CD2A5A" w:rsidP="00C31703">
            <w:pPr>
              <w:pStyle w:val="Heading5"/>
              <w:keepNext w:val="0"/>
              <w:autoSpaceDE/>
              <w:autoSpaceDN/>
              <w:adjustRightInd/>
              <w:spacing w:before="40" w:after="40"/>
              <w:jc w:val="center"/>
              <w:rPr>
                <w:i/>
                <w:color w:val="auto"/>
                <w:sz w:val="20"/>
                <w:szCs w:val="20"/>
                <w:lang w:val="es-SV"/>
              </w:rPr>
            </w:pPr>
            <w:r>
              <w:rPr>
                <w:i/>
                <w:color w:val="auto"/>
                <w:sz w:val="20"/>
                <w:szCs w:val="20"/>
                <w:lang w:val="en-GB"/>
              </w:rPr>
              <w:t>Total</w:t>
            </w:r>
          </w:p>
        </w:tc>
        <w:tc>
          <w:tcPr>
            <w:tcW w:w="5058" w:type="dxa"/>
            <w:gridSpan w:val="2"/>
            <w:noWrap/>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Gender</w:t>
            </w:r>
          </w:p>
        </w:tc>
      </w:tr>
      <w:tr w:rsidR="00CD2A5A">
        <w:trPr>
          <w:cantSplit/>
          <w:trHeight w:val="270"/>
          <w:jc w:val="center"/>
        </w:trPr>
        <w:tc>
          <w:tcPr>
            <w:tcW w:w="1200" w:type="dxa"/>
            <w:vMerge/>
            <w:vAlign w:val="center"/>
          </w:tcPr>
          <w:p w:rsidR="00CD2A5A" w:rsidRDefault="00CD2A5A" w:rsidP="00C31703">
            <w:pPr>
              <w:spacing w:before="40" w:after="40"/>
              <w:jc w:val="center"/>
              <w:rPr>
                <w:b/>
                <w:bCs/>
                <w:i/>
                <w:sz w:val="20"/>
                <w:szCs w:val="20"/>
                <w:lang w:val="es-SV"/>
              </w:rPr>
            </w:pPr>
          </w:p>
        </w:tc>
        <w:tc>
          <w:tcPr>
            <w:tcW w:w="2219" w:type="dxa"/>
            <w:vMerge/>
            <w:vAlign w:val="center"/>
          </w:tcPr>
          <w:p w:rsidR="00CD2A5A" w:rsidRDefault="00CD2A5A" w:rsidP="00C31703">
            <w:pPr>
              <w:spacing w:before="40" w:after="40"/>
              <w:jc w:val="center"/>
              <w:rPr>
                <w:b/>
                <w:bCs/>
                <w:i/>
                <w:sz w:val="20"/>
                <w:szCs w:val="20"/>
                <w:lang w:val="es-SV"/>
              </w:rPr>
            </w:pPr>
          </w:p>
        </w:tc>
        <w:tc>
          <w:tcPr>
            <w:tcW w:w="2358" w:type="dxa"/>
            <w:noWrap/>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Male</w:t>
            </w:r>
          </w:p>
        </w:tc>
        <w:tc>
          <w:tcPr>
            <w:tcW w:w="2700" w:type="dxa"/>
            <w:noWrap/>
            <w:tcMar>
              <w:top w:w="17" w:type="dxa"/>
              <w:left w:w="17" w:type="dxa"/>
              <w:bottom w:w="0" w:type="dxa"/>
              <w:right w:w="17" w:type="dxa"/>
            </w:tcMar>
            <w:vAlign w:val="center"/>
          </w:tcPr>
          <w:p w:rsidR="00CD2A5A" w:rsidRDefault="00CD2A5A" w:rsidP="00C31703">
            <w:pPr>
              <w:spacing w:before="40" w:after="40"/>
              <w:jc w:val="center"/>
              <w:rPr>
                <w:b/>
                <w:bCs/>
                <w:i/>
                <w:sz w:val="20"/>
                <w:szCs w:val="20"/>
                <w:lang w:val="es-SV"/>
              </w:rPr>
            </w:pPr>
            <w:r>
              <w:rPr>
                <w:b/>
                <w:bCs/>
                <w:i/>
                <w:sz w:val="20"/>
                <w:szCs w:val="20"/>
                <w:lang w:val="en-GB"/>
              </w:rPr>
              <w:t>Female</w:t>
            </w:r>
          </w:p>
        </w:tc>
      </w:tr>
      <w:tr w:rsidR="00CD2A5A">
        <w:trPr>
          <w:trHeight w:val="255"/>
          <w:jc w:val="center"/>
        </w:trPr>
        <w:tc>
          <w:tcPr>
            <w:tcW w:w="1200" w:type="dxa"/>
            <w:tcMar>
              <w:top w:w="17" w:type="dxa"/>
              <w:left w:w="17" w:type="dxa"/>
              <w:bottom w:w="0" w:type="dxa"/>
              <w:right w:w="17" w:type="dxa"/>
            </w:tcMar>
            <w:vAlign w:val="bottom"/>
          </w:tcPr>
          <w:p w:rsidR="00CD2A5A" w:rsidRDefault="00CD2A5A" w:rsidP="00C31703">
            <w:pPr>
              <w:spacing w:before="40" w:after="40"/>
              <w:rPr>
                <w:bCs/>
                <w:sz w:val="20"/>
                <w:szCs w:val="20"/>
                <w:lang w:val="es-SV"/>
              </w:rPr>
            </w:pPr>
            <w:r>
              <w:rPr>
                <w:bCs/>
                <w:sz w:val="20"/>
                <w:szCs w:val="20"/>
                <w:lang w:val="en-GB"/>
              </w:rPr>
              <w:t>Total</w:t>
            </w:r>
          </w:p>
        </w:tc>
        <w:tc>
          <w:tcPr>
            <w:tcW w:w="2219"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1,556,719</w:t>
            </w:r>
          </w:p>
        </w:tc>
        <w:tc>
          <w:tcPr>
            <w:tcW w:w="2358"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802,490</w:t>
            </w:r>
          </w:p>
        </w:tc>
        <w:tc>
          <w:tcPr>
            <w:tcW w:w="2700"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754,229</w:t>
            </w:r>
          </w:p>
        </w:tc>
      </w:tr>
      <w:tr w:rsidR="00CD2A5A">
        <w:trPr>
          <w:trHeight w:val="255"/>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0 – 4</w:t>
            </w:r>
          </w:p>
        </w:tc>
        <w:tc>
          <w:tcPr>
            <w:tcW w:w="2219"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363,773</w:t>
            </w:r>
          </w:p>
        </w:tc>
        <w:tc>
          <w:tcPr>
            <w:tcW w:w="2358"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192,003</w:t>
            </w:r>
          </w:p>
        </w:tc>
        <w:tc>
          <w:tcPr>
            <w:tcW w:w="2700"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171,770</w:t>
            </w:r>
          </w:p>
        </w:tc>
      </w:tr>
      <w:tr w:rsidR="00CD2A5A">
        <w:trPr>
          <w:trHeight w:val="255"/>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5 – 9</w:t>
            </w:r>
          </w:p>
        </w:tc>
        <w:tc>
          <w:tcPr>
            <w:tcW w:w="2219"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464,349</w:t>
            </w:r>
          </w:p>
        </w:tc>
        <w:tc>
          <w:tcPr>
            <w:tcW w:w="2358"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236,122</w:t>
            </w:r>
          </w:p>
        </w:tc>
        <w:tc>
          <w:tcPr>
            <w:tcW w:w="2700"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228,227</w:t>
            </w:r>
          </w:p>
        </w:tc>
      </w:tr>
      <w:tr w:rsidR="00CD2A5A">
        <w:trPr>
          <w:trHeight w:val="255"/>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10 – 14</w:t>
            </w:r>
          </w:p>
        </w:tc>
        <w:tc>
          <w:tcPr>
            <w:tcW w:w="2219"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467,817</w:t>
            </w:r>
          </w:p>
        </w:tc>
        <w:tc>
          <w:tcPr>
            <w:tcW w:w="2358"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243,182</w:t>
            </w:r>
          </w:p>
        </w:tc>
        <w:tc>
          <w:tcPr>
            <w:tcW w:w="2700"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224,635</w:t>
            </w:r>
          </w:p>
        </w:tc>
      </w:tr>
      <w:tr w:rsidR="00CD2A5A">
        <w:trPr>
          <w:trHeight w:val="270"/>
          <w:jc w:val="center"/>
        </w:trPr>
        <w:tc>
          <w:tcPr>
            <w:tcW w:w="1200"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15 – 17</w:t>
            </w:r>
          </w:p>
        </w:tc>
        <w:tc>
          <w:tcPr>
            <w:tcW w:w="2219" w:type="dxa"/>
            <w:noWrap/>
            <w:tcMar>
              <w:top w:w="17" w:type="dxa"/>
              <w:left w:w="17" w:type="dxa"/>
              <w:bottom w:w="0" w:type="dxa"/>
              <w:right w:w="17" w:type="dxa"/>
            </w:tcMar>
            <w:vAlign w:val="bottom"/>
          </w:tcPr>
          <w:p w:rsidR="00CD2A5A" w:rsidRDefault="00CD2A5A" w:rsidP="00C31703">
            <w:pPr>
              <w:spacing w:before="40" w:after="40"/>
              <w:ind w:right="691"/>
              <w:jc w:val="right"/>
              <w:rPr>
                <w:bCs/>
                <w:sz w:val="20"/>
                <w:szCs w:val="20"/>
                <w:lang w:val="es-SV"/>
              </w:rPr>
            </w:pPr>
            <w:r>
              <w:rPr>
                <w:bCs/>
                <w:sz w:val="20"/>
                <w:szCs w:val="20"/>
                <w:lang w:val="es-SV"/>
              </w:rPr>
              <w:t>260,780</w:t>
            </w:r>
          </w:p>
        </w:tc>
        <w:tc>
          <w:tcPr>
            <w:tcW w:w="2358"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131,183</w:t>
            </w:r>
          </w:p>
        </w:tc>
        <w:tc>
          <w:tcPr>
            <w:tcW w:w="2700" w:type="dxa"/>
            <w:noWrap/>
            <w:tcMar>
              <w:top w:w="17" w:type="dxa"/>
              <w:left w:w="17" w:type="dxa"/>
              <w:bottom w:w="0" w:type="dxa"/>
              <w:right w:w="17" w:type="dxa"/>
            </w:tcMar>
            <w:vAlign w:val="bottom"/>
          </w:tcPr>
          <w:p w:rsidR="00CD2A5A" w:rsidRDefault="00CD2A5A" w:rsidP="00C31703">
            <w:pPr>
              <w:spacing w:before="40" w:after="40"/>
              <w:ind w:right="691"/>
              <w:jc w:val="right"/>
              <w:rPr>
                <w:sz w:val="20"/>
                <w:szCs w:val="20"/>
                <w:lang w:val="es-SV"/>
              </w:rPr>
            </w:pPr>
            <w:r>
              <w:rPr>
                <w:sz w:val="20"/>
                <w:szCs w:val="20"/>
                <w:lang w:val="es-SV"/>
              </w:rPr>
              <w:t>129,597</w:t>
            </w:r>
          </w:p>
        </w:tc>
      </w:tr>
    </w:tbl>
    <w:p w:rsidR="00CD2A5A" w:rsidRDefault="00CD2A5A">
      <w:pPr>
        <w:pStyle w:val="Source"/>
        <w:rPr>
          <w:lang w:val="en-US"/>
        </w:rPr>
      </w:pPr>
      <w:r>
        <w:rPr>
          <w:i/>
        </w:rPr>
        <w:t>Source</w:t>
      </w:r>
      <w:r>
        <w:t>:</w:t>
      </w:r>
      <w:r>
        <w:rPr>
          <w:lang w:val="en-US"/>
        </w:rPr>
        <w:t xml:space="preserve"> </w:t>
      </w:r>
      <w:r>
        <w:t>Ministry of the Economy, DIGESTYC, EHPM.</w:t>
      </w:r>
      <w:r>
        <w:rPr>
          <w:lang w:val="en-US"/>
        </w:rPr>
        <w:t xml:space="preserve"> 2006</w:t>
      </w:r>
    </w:p>
    <w:p w:rsidR="00CD2A5A" w:rsidRDefault="00CD2A5A" w:rsidP="00CD2A5A">
      <w:pPr>
        <w:pStyle w:val="Figure"/>
      </w:pPr>
      <w:r>
        <w:t>Figure 3</w:t>
      </w:r>
    </w:p>
    <w:p w:rsidR="00CD2A5A" w:rsidRDefault="00CD2A5A" w:rsidP="00CD2A5A">
      <w:pPr>
        <w:pStyle w:val="Figure"/>
      </w:pPr>
      <w:r>
        <w:t>Total child population by gender and age group,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2"/>
        <w:gridCol w:w="2490"/>
        <w:gridCol w:w="2592"/>
        <w:gridCol w:w="2998"/>
      </w:tblGrid>
      <w:tr w:rsidR="00CD2A5A">
        <w:trPr>
          <w:trHeight w:val="255"/>
          <w:jc w:val="center"/>
        </w:trPr>
        <w:tc>
          <w:tcPr>
            <w:tcW w:w="9412" w:type="dxa"/>
            <w:gridSpan w:val="4"/>
            <w:noWrap/>
            <w:tcMar>
              <w:top w:w="17" w:type="dxa"/>
              <w:left w:w="17" w:type="dxa"/>
              <w:bottom w:w="0" w:type="dxa"/>
              <w:right w:w="17" w:type="dxa"/>
            </w:tcMar>
            <w:vAlign w:val="center"/>
          </w:tcPr>
          <w:p w:rsidR="00CD2A5A" w:rsidRDefault="00CD2A5A" w:rsidP="00C31703">
            <w:pPr>
              <w:spacing w:before="40" w:after="40"/>
              <w:rPr>
                <w:b/>
                <w:i/>
                <w:sz w:val="20"/>
                <w:szCs w:val="20"/>
                <w:lang w:val="en-US"/>
              </w:rPr>
            </w:pPr>
            <w:r>
              <w:rPr>
                <w:b/>
                <w:i/>
                <w:sz w:val="20"/>
                <w:szCs w:val="20"/>
                <w:lang w:val="en-GB"/>
              </w:rPr>
              <w:t>Total rural population of the country</w:t>
            </w:r>
          </w:p>
        </w:tc>
      </w:tr>
      <w:tr w:rsidR="00CD2A5A">
        <w:trPr>
          <w:cantSplit/>
          <w:trHeight w:val="285"/>
          <w:jc w:val="center"/>
        </w:trPr>
        <w:tc>
          <w:tcPr>
            <w:tcW w:w="1332" w:type="dxa"/>
            <w:vMerge w:val="restart"/>
            <w:tcMar>
              <w:top w:w="17" w:type="dxa"/>
              <w:left w:w="17" w:type="dxa"/>
              <w:bottom w:w="0" w:type="dxa"/>
              <w:right w:w="17" w:type="dxa"/>
            </w:tcMar>
            <w:vAlign w:val="center"/>
          </w:tcPr>
          <w:p w:rsidR="00CD2A5A" w:rsidRDefault="00CD2A5A" w:rsidP="00C31703">
            <w:pPr>
              <w:spacing w:before="40" w:after="40"/>
              <w:rPr>
                <w:b/>
                <w:bCs/>
                <w:i/>
                <w:sz w:val="20"/>
                <w:szCs w:val="20"/>
                <w:lang w:val="es-SV"/>
              </w:rPr>
            </w:pPr>
            <w:r>
              <w:rPr>
                <w:b/>
                <w:bCs/>
                <w:i/>
                <w:sz w:val="20"/>
                <w:szCs w:val="20"/>
                <w:lang w:val="en-GB"/>
              </w:rPr>
              <w:t>Age group</w:t>
            </w:r>
          </w:p>
        </w:tc>
        <w:tc>
          <w:tcPr>
            <w:tcW w:w="2490" w:type="dxa"/>
            <w:vMerge w:val="restart"/>
            <w:tcMar>
              <w:top w:w="17" w:type="dxa"/>
              <w:left w:w="17" w:type="dxa"/>
              <w:bottom w:w="0" w:type="dxa"/>
              <w:right w:w="17" w:type="dxa"/>
            </w:tcMar>
            <w:vAlign w:val="center"/>
          </w:tcPr>
          <w:p w:rsidR="00CD2A5A" w:rsidRDefault="00CD2A5A" w:rsidP="00C31703">
            <w:pPr>
              <w:spacing w:before="40" w:after="40"/>
              <w:rPr>
                <w:b/>
                <w:bCs/>
                <w:i/>
                <w:sz w:val="20"/>
                <w:szCs w:val="20"/>
                <w:lang w:val="es-SV"/>
              </w:rPr>
            </w:pPr>
            <w:r>
              <w:rPr>
                <w:b/>
                <w:bCs/>
                <w:i/>
                <w:sz w:val="20"/>
                <w:szCs w:val="20"/>
                <w:lang w:val="en-GB"/>
              </w:rPr>
              <w:t>Total</w:t>
            </w:r>
          </w:p>
        </w:tc>
        <w:tc>
          <w:tcPr>
            <w:tcW w:w="5590" w:type="dxa"/>
            <w:gridSpan w:val="2"/>
            <w:noWrap/>
            <w:tcMar>
              <w:top w:w="17" w:type="dxa"/>
              <w:left w:w="17" w:type="dxa"/>
              <w:bottom w:w="0" w:type="dxa"/>
              <w:right w:w="17" w:type="dxa"/>
            </w:tcMar>
            <w:vAlign w:val="center"/>
          </w:tcPr>
          <w:p w:rsidR="00CD2A5A" w:rsidRDefault="00CD2A5A" w:rsidP="00C31703">
            <w:pPr>
              <w:spacing w:before="40" w:after="40"/>
              <w:rPr>
                <w:b/>
                <w:bCs/>
                <w:i/>
                <w:sz w:val="20"/>
                <w:szCs w:val="20"/>
                <w:lang w:val="es-SV"/>
              </w:rPr>
            </w:pPr>
            <w:r>
              <w:rPr>
                <w:b/>
                <w:bCs/>
                <w:i/>
                <w:sz w:val="20"/>
                <w:szCs w:val="20"/>
                <w:lang w:val="en-GB"/>
              </w:rPr>
              <w:t>Gender</w:t>
            </w:r>
          </w:p>
        </w:tc>
      </w:tr>
      <w:tr w:rsidR="00CD2A5A">
        <w:trPr>
          <w:cantSplit/>
          <w:trHeight w:val="270"/>
          <w:jc w:val="center"/>
        </w:trPr>
        <w:tc>
          <w:tcPr>
            <w:tcW w:w="1332" w:type="dxa"/>
            <w:vMerge/>
            <w:vAlign w:val="center"/>
          </w:tcPr>
          <w:p w:rsidR="00CD2A5A" w:rsidRDefault="00CD2A5A" w:rsidP="00C31703">
            <w:pPr>
              <w:spacing w:before="40" w:after="40"/>
              <w:rPr>
                <w:b/>
                <w:bCs/>
                <w:i/>
                <w:sz w:val="20"/>
                <w:szCs w:val="20"/>
                <w:lang w:val="es-SV"/>
              </w:rPr>
            </w:pPr>
          </w:p>
        </w:tc>
        <w:tc>
          <w:tcPr>
            <w:tcW w:w="2490" w:type="dxa"/>
            <w:vMerge/>
            <w:vAlign w:val="center"/>
          </w:tcPr>
          <w:p w:rsidR="00CD2A5A" w:rsidRDefault="00CD2A5A" w:rsidP="00C31703">
            <w:pPr>
              <w:spacing w:before="40" w:after="40"/>
              <w:rPr>
                <w:b/>
                <w:bCs/>
                <w:i/>
                <w:sz w:val="20"/>
                <w:szCs w:val="20"/>
                <w:lang w:val="es-SV"/>
              </w:rPr>
            </w:pPr>
          </w:p>
        </w:tc>
        <w:tc>
          <w:tcPr>
            <w:tcW w:w="2592" w:type="dxa"/>
            <w:noWrap/>
            <w:tcMar>
              <w:top w:w="17" w:type="dxa"/>
              <w:left w:w="17" w:type="dxa"/>
              <w:bottom w:w="0" w:type="dxa"/>
              <w:right w:w="17" w:type="dxa"/>
            </w:tcMar>
            <w:vAlign w:val="center"/>
          </w:tcPr>
          <w:p w:rsidR="00CD2A5A" w:rsidRDefault="00CD2A5A" w:rsidP="00C31703">
            <w:pPr>
              <w:spacing w:before="40" w:after="40"/>
              <w:rPr>
                <w:b/>
                <w:bCs/>
                <w:i/>
                <w:sz w:val="20"/>
                <w:szCs w:val="20"/>
                <w:lang w:val="es-SV"/>
              </w:rPr>
            </w:pPr>
            <w:r>
              <w:rPr>
                <w:b/>
                <w:bCs/>
                <w:i/>
                <w:sz w:val="20"/>
                <w:szCs w:val="20"/>
                <w:lang w:val="en-GB"/>
              </w:rPr>
              <w:t>Male</w:t>
            </w:r>
          </w:p>
        </w:tc>
        <w:tc>
          <w:tcPr>
            <w:tcW w:w="2998" w:type="dxa"/>
            <w:noWrap/>
            <w:tcMar>
              <w:top w:w="17" w:type="dxa"/>
              <w:left w:w="17" w:type="dxa"/>
              <w:bottom w:w="0" w:type="dxa"/>
              <w:right w:w="17" w:type="dxa"/>
            </w:tcMar>
            <w:vAlign w:val="center"/>
          </w:tcPr>
          <w:p w:rsidR="00CD2A5A" w:rsidRDefault="00CD2A5A" w:rsidP="00C31703">
            <w:pPr>
              <w:spacing w:before="40" w:after="40"/>
              <w:rPr>
                <w:b/>
                <w:bCs/>
                <w:i/>
                <w:sz w:val="20"/>
                <w:szCs w:val="20"/>
                <w:lang w:val="es-SV"/>
              </w:rPr>
            </w:pPr>
            <w:r>
              <w:rPr>
                <w:b/>
                <w:bCs/>
                <w:i/>
                <w:sz w:val="20"/>
                <w:szCs w:val="20"/>
                <w:lang w:val="en-GB"/>
              </w:rPr>
              <w:t>Female</w:t>
            </w:r>
          </w:p>
        </w:tc>
      </w:tr>
      <w:tr w:rsidR="00CD2A5A">
        <w:trPr>
          <w:trHeight w:val="255"/>
          <w:jc w:val="center"/>
        </w:trPr>
        <w:tc>
          <w:tcPr>
            <w:tcW w:w="1332" w:type="dxa"/>
            <w:tcMar>
              <w:top w:w="17" w:type="dxa"/>
              <w:left w:w="17" w:type="dxa"/>
              <w:bottom w:w="0" w:type="dxa"/>
              <w:right w:w="17" w:type="dxa"/>
            </w:tcMar>
            <w:vAlign w:val="bottom"/>
          </w:tcPr>
          <w:p w:rsidR="00CD2A5A" w:rsidRDefault="00CD2A5A" w:rsidP="00C31703">
            <w:pPr>
              <w:spacing w:before="40" w:after="40"/>
              <w:rPr>
                <w:bCs/>
                <w:sz w:val="20"/>
                <w:szCs w:val="20"/>
                <w:lang w:val="es-SV"/>
              </w:rPr>
            </w:pPr>
            <w:r>
              <w:rPr>
                <w:bCs/>
                <w:sz w:val="20"/>
                <w:szCs w:val="20"/>
                <w:lang w:val="en-GB"/>
              </w:rPr>
              <w:t>Total</w:t>
            </w:r>
          </w:p>
        </w:tc>
        <w:tc>
          <w:tcPr>
            <w:tcW w:w="2490"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1,275,502</w:t>
            </w:r>
          </w:p>
        </w:tc>
        <w:tc>
          <w:tcPr>
            <w:tcW w:w="2592"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645,534</w:t>
            </w:r>
          </w:p>
        </w:tc>
        <w:tc>
          <w:tcPr>
            <w:tcW w:w="2998"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629,968</w:t>
            </w:r>
          </w:p>
        </w:tc>
      </w:tr>
      <w:tr w:rsidR="00CD2A5A">
        <w:trPr>
          <w:trHeight w:val="255"/>
          <w:jc w:val="center"/>
        </w:trPr>
        <w:tc>
          <w:tcPr>
            <w:tcW w:w="1332"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0 – 4</w:t>
            </w:r>
          </w:p>
        </w:tc>
        <w:tc>
          <w:tcPr>
            <w:tcW w:w="2490"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302,735</w:t>
            </w:r>
          </w:p>
        </w:tc>
        <w:tc>
          <w:tcPr>
            <w:tcW w:w="2592"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149,992</w:t>
            </w:r>
          </w:p>
        </w:tc>
        <w:tc>
          <w:tcPr>
            <w:tcW w:w="2998"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152,743</w:t>
            </w:r>
          </w:p>
        </w:tc>
      </w:tr>
      <w:tr w:rsidR="00CD2A5A">
        <w:trPr>
          <w:trHeight w:val="255"/>
          <w:jc w:val="center"/>
        </w:trPr>
        <w:tc>
          <w:tcPr>
            <w:tcW w:w="1332"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5 – 9</w:t>
            </w:r>
          </w:p>
        </w:tc>
        <w:tc>
          <w:tcPr>
            <w:tcW w:w="2490"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387,322</w:t>
            </w:r>
          </w:p>
        </w:tc>
        <w:tc>
          <w:tcPr>
            <w:tcW w:w="2592"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195,299</w:t>
            </w:r>
          </w:p>
        </w:tc>
        <w:tc>
          <w:tcPr>
            <w:tcW w:w="2998"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192,023</w:t>
            </w:r>
          </w:p>
        </w:tc>
      </w:tr>
      <w:tr w:rsidR="00CD2A5A">
        <w:trPr>
          <w:trHeight w:val="255"/>
          <w:jc w:val="center"/>
        </w:trPr>
        <w:tc>
          <w:tcPr>
            <w:tcW w:w="1332"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10 – 14</w:t>
            </w:r>
          </w:p>
        </w:tc>
        <w:tc>
          <w:tcPr>
            <w:tcW w:w="2490"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383,103</w:t>
            </w:r>
          </w:p>
        </w:tc>
        <w:tc>
          <w:tcPr>
            <w:tcW w:w="2592"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201,294</w:t>
            </w:r>
          </w:p>
        </w:tc>
        <w:tc>
          <w:tcPr>
            <w:tcW w:w="2998"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181,809</w:t>
            </w:r>
          </w:p>
        </w:tc>
      </w:tr>
      <w:tr w:rsidR="00CD2A5A">
        <w:trPr>
          <w:trHeight w:val="270"/>
          <w:jc w:val="center"/>
        </w:trPr>
        <w:tc>
          <w:tcPr>
            <w:tcW w:w="1332" w:type="dxa"/>
            <w:noWrap/>
            <w:tcMar>
              <w:top w:w="17" w:type="dxa"/>
              <w:left w:w="17" w:type="dxa"/>
              <w:bottom w:w="0" w:type="dxa"/>
              <w:right w:w="17" w:type="dxa"/>
            </w:tcMar>
            <w:vAlign w:val="bottom"/>
          </w:tcPr>
          <w:p w:rsidR="00CD2A5A" w:rsidRDefault="00CD2A5A" w:rsidP="00C31703">
            <w:pPr>
              <w:spacing w:before="40" w:after="40"/>
              <w:rPr>
                <w:sz w:val="20"/>
                <w:szCs w:val="20"/>
                <w:lang w:val="es-SV"/>
              </w:rPr>
            </w:pPr>
            <w:r>
              <w:rPr>
                <w:sz w:val="20"/>
                <w:szCs w:val="20"/>
                <w:lang w:val="es-SV"/>
              </w:rPr>
              <w:t>15 – 17</w:t>
            </w:r>
          </w:p>
        </w:tc>
        <w:tc>
          <w:tcPr>
            <w:tcW w:w="2490" w:type="dxa"/>
            <w:noWrap/>
            <w:tcMar>
              <w:top w:w="17" w:type="dxa"/>
              <w:left w:w="17" w:type="dxa"/>
              <w:bottom w:w="0" w:type="dxa"/>
              <w:right w:w="17" w:type="dxa"/>
            </w:tcMar>
            <w:vAlign w:val="bottom"/>
          </w:tcPr>
          <w:p w:rsidR="00CD2A5A" w:rsidRDefault="00CD2A5A" w:rsidP="00C31703">
            <w:pPr>
              <w:spacing w:before="40" w:after="40"/>
              <w:ind w:right="970"/>
              <w:jc w:val="right"/>
              <w:rPr>
                <w:bCs/>
                <w:sz w:val="20"/>
                <w:szCs w:val="20"/>
                <w:lang w:val="es-SV"/>
              </w:rPr>
            </w:pPr>
            <w:r>
              <w:rPr>
                <w:bCs/>
                <w:sz w:val="20"/>
                <w:szCs w:val="20"/>
                <w:lang w:val="es-SV"/>
              </w:rPr>
              <w:t>202,342</w:t>
            </w:r>
          </w:p>
        </w:tc>
        <w:tc>
          <w:tcPr>
            <w:tcW w:w="2592"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98,949</w:t>
            </w:r>
          </w:p>
        </w:tc>
        <w:tc>
          <w:tcPr>
            <w:tcW w:w="2998" w:type="dxa"/>
            <w:noWrap/>
            <w:tcMar>
              <w:top w:w="17" w:type="dxa"/>
              <w:left w:w="17" w:type="dxa"/>
              <w:bottom w:w="0" w:type="dxa"/>
              <w:right w:w="17" w:type="dxa"/>
            </w:tcMar>
            <w:vAlign w:val="bottom"/>
          </w:tcPr>
          <w:p w:rsidR="00CD2A5A" w:rsidRDefault="00CD2A5A" w:rsidP="00C31703">
            <w:pPr>
              <w:spacing w:before="40" w:after="40"/>
              <w:ind w:right="970"/>
              <w:jc w:val="right"/>
              <w:rPr>
                <w:sz w:val="20"/>
                <w:szCs w:val="20"/>
                <w:lang w:val="es-SV"/>
              </w:rPr>
            </w:pPr>
            <w:r>
              <w:rPr>
                <w:sz w:val="20"/>
                <w:szCs w:val="20"/>
                <w:lang w:val="es-SV"/>
              </w:rPr>
              <w:t>103,393</w:t>
            </w:r>
          </w:p>
        </w:tc>
      </w:tr>
    </w:tbl>
    <w:p w:rsidR="00CD2A5A" w:rsidRDefault="00CD2A5A">
      <w:pPr>
        <w:pStyle w:val="Source"/>
        <w:rPr>
          <w:lang w:val="en-US"/>
        </w:rPr>
      </w:pPr>
      <w:r>
        <w:rPr>
          <w:i/>
        </w:rPr>
        <w:t>Source</w:t>
      </w:r>
      <w:r>
        <w:t>:</w:t>
      </w:r>
      <w:r>
        <w:rPr>
          <w:lang w:val="en-US"/>
        </w:rPr>
        <w:t xml:space="preserve"> </w:t>
      </w:r>
      <w:r>
        <w:t>Ministry of the Economy, DIGESTYC, EHPM, 2006.</w:t>
      </w:r>
    </w:p>
    <w:p w:rsidR="00CD2A5A" w:rsidRDefault="00CD2A5A">
      <w:pPr>
        <w:numPr>
          <w:ilvl w:val="0"/>
          <w:numId w:val="3"/>
        </w:numPr>
        <w:tabs>
          <w:tab w:val="clear" w:pos="720"/>
        </w:tabs>
        <w:spacing w:after="240"/>
        <w:ind w:left="0" w:firstLine="0"/>
        <w:rPr>
          <w:lang w:val="en-US"/>
        </w:rPr>
      </w:pPr>
      <w:r>
        <w:rPr>
          <w:lang w:val="en-GB"/>
        </w:rPr>
        <w:t>Annex I contains data on the child population by gender, age group and urban or rural origin, for the period 2004–2005.</w:t>
      </w:r>
    </w:p>
    <w:p w:rsidR="00CD2A5A" w:rsidRDefault="00CD2A5A">
      <w:pPr>
        <w:numPr>
          <w:ilvl w:val="0"/>
          <w:numId w:val="3"/>
        </w:numPr>
        <w:tabs>
          <w:tab w:val="clear" w:pos="720"/>
        </w:tabs>
        <w:spacing w:after="240"/>
        <w:ind w:left="0" w:firstLine="0"/>
        <w:rPr>
          <w:lang w:val="en-US"/>
        </w:rPr>
      </w:pPr>
      <w:r>
        <w:rPr>
          <w:lang w:val="en-GB"/>
        </w:rPr>
        <w:t>The Ministry of the Economy is processing the data from the 2007 National Population and Housing Census.</w:t>
      </w:r>
      <w:r>
        <w:rPr>
          <w:lang w:val="en-US"/>
        </w:rPr>
        <w:t xml:space="preserve"> </w:t>
      </w:r>
      <w:r>
        <w:rPr>
          <w:lang w:val="en-GB"/>
        </w:rPr>
        <w:t>The final results will be ready in the first quarter of 2008 and the section on general population information of the basic country document will be updated accordingly then.</w:t>
      </w:r>
    </w:p>
    <w:p w:rsidR="00CD2A5A" w:rsidRDefault="00CD2A5A">
      <w:pPr>
        <w:numPr>
          <w:ilvl w:val="0"/>
          <w:numId w:val="3"/>
        </w:numPr>
        <w:tabs>
          <w:tab w:val="clear" w:pos="720"/>
        </w:tabs>
        <w:spacing w:after="240"/>
        <w:ind w:left="0" w:firstLine="0"/>
        <w:rPr>
          <w:lang w:val="en-US"/>
        </w:rPr>
      </w:pPr>
      <w:r>
        <w:rPr>
          <w:lang w:val="en-GB"/>
        </w:rPr>
        <w:t>The Salvadoran Institute for Full Development of Children and Adolescents (ISNA)</w:t>
      </w:r>
      <w:r>
        <w:rPr>
          <w:rStyle w:val="FootnoteReference"/>
          <w:lang w:val="en-GB"/>
        </w:rPr>
        <w:footnoteReference w:id="5"/>
      </w:r>
      <w:r>
        <w:rPr>
          <w:lang w:val="en-GB"/>
        </w:rPr>
        <w:t xml:space="preserve"> has developed an Child Information System (SIPI).</w:t>
      </w:r>
      <w:r>
        <w:rPr>
          <w:lang w:val="en-US"/>
        </w:rPr>
        <w:t xml:space="preserve"> </w:t>
      </w:r>
      <w:r>
        <w:rPr>
          <w:lang w:val="en-GB"/>
        </w:rPr>
        <w:t>The system incorporates indicators in the areas of prevention with initial education, protection with care for children and adolescents whose rights have been violated, and re-education for adolescents in conflict with the current Juvenile Criminal Justice Act.</w:t>
      </w:r>
      <w:r>
        <w:rPr>
          <w:bCs/>
          <w:lang w:val="en-US"/>
        </w:rPr>
        <w:t xml:space="preserve"> </w:t>
      </w:r>
    </w:p>
    <w:p w:rsidR="00CD2A5A" w:rsidRDefault="00CD2A5A">
      <w:pPr>
        <w:numPr>
          <w:ilvl w:val="0"/>
          <w:numId w:val="3"/>
        </w:numPr>
        <w:tabs>
          <w:tab w:val="clear" w:pos="720"/>
        </w:tabs>
        <w:spacing w:after="240"/>
        <w:ind w:left="0" w:firstLine="0"/>
        <w:rPr>
          <w:bCs/>
          <w:lang w:val="en-US"/>
        </w:rPr>
      </w:pPr>
      <w:r>
        <w:rPr>
          <w:bCs/>
          <w:lang w:val="en-GB"/>
        </w:rPr>
        <w:t>The indicators are listed in Annex II.</w:t>
      </w:r>
    </w:p>
    <w:p w:rsidR="00CD2A5A" w:rsidRDefault="00CD2A5A" w:rsidP="006228EF">
      <w:pPr>
        <w:pStyle w:val="A0"/>
        <w:rPr>
          <w:lang w:val="en-US"/>
        </w:rPr>
      </w:pPr>
      <w:bookmarkStart w:id="2" w:name="_Toc174156686"/>
      <w:r>
        <w:t>C.  State of the National Policy for the Full Development of Children and Adolescents</w:t>
      </w:r>
    </w:p>
    <w:p w:rsidR="00CD2A5A" w:rsidRDefault="00CD2A5A">
      <w:pPr>
        <w:pStyle w:val="Header"/>
        <w:numPr>
          <w:ilvl w:val="0"/>
          <w:numId w:val="3"/>
        </w:numPr>
        <w:tabs>
          <w:tab w:val="clear" w:pos="720"/>
          <w:tab w:val="clear" w:pos="4252"/>
        </w:tabs>
        <w:spacing w:after="240"/>
        <w:ind w:left="0" w:firstLine="0"/>
        <w:rPr>
          <w:lang w:val="en-US"/>
        </w:rPr>
      </w:pPr>
      <w:r>
        <w:rPr>
          <w:lang w:val="en-GB"/>
        </w:rPr>
        <w:t>In 2004 activities began for improving compliance with and implementation of the National Policy for the Full Development of Children and Adolescents (PNDINA).</w:t>
      </w:r>
      <w:r>
        <w:rPr>
          <w:lang w:val="en-US"/>
        </w:rPr>
        <w:t xml:space="preserve"> </w:t>
      </w:r>
      <w:r>
        <w:rPr>
          <w:lang w:val="en-GB"/>
        </w:rPr>
        <w:t>ISNA’s institutional priority is basically to implement the PNDINA in a context of local development and joint social responsibility.</w:t>
      </w:r>
      <w:r>
        <w:rPr>
          <w:lang w:val="en-US"/>
        </w:rPr>
        <w:t xml:space="preserve"> </w:t>
      </w:r>
      <w:r>
        <w:rPr>
          <w:lang w:val="en-GB"/>
        </w:rPr>
        <w:t>In line with this priority, the Department of Policy Promotion and Adjustment was set up and was allocated human and financial resources to work in the following four areas:</w:t>
      </w:r>
    </w:p>
    <w:p w:rsidR="00CD2A5A" w:rsidRDefault="00CD2A5A">
      <w:pPr>
        <w:numPr>
          <w:ilvl w:val="1"/>
          <w:numId w:val="3"/>
        </w:numPr>
        <w:tabs>
          <w:tab w:val="clear" w:pos="1200"/>
        </w:tabs>
        <w:spacing w:after="240"/>
        <w:ind w:left="0" w:firstLine="567"/>
        <w:rPr>
          <w:lang w:val="en-US"/>
        </w:rPr>
      </w:pPr>
      <w:r>
        <w:rPr>
          <w:lang w:val="en-GB"/>
        </w:rPr>
        <w:t>Political and institutional:</w:t>
      </w:r>
      <w:r>
        <w:rPr>
          <w:lang w:val="en-US"/>
        </w:rPr>
        <w:t xml:space="preserve"> </w:t>
      </w:r>
      <w:r>
        <w:rPr>
          <w:lang w:val="en-GB"/>
        </w:rPr>
        <w:t>A training programme was promoted for human resources in public and private bodies on the policy and focus of child and adolescent rights;</w:t>
      </w:r>
    </w:p>
    <w:p w:rsidR="00CD2A5A" w:rsidRDefault="00CD2A5A">
      <w:pPr>
        <w:numPr>
          <w:ilvl w:val="1"/>
          <w:numId w:val="3"/>
        </w:numPr>
        <w:tabs>
          <w:tab w:val="clear" w:pos="1200"/>
        </w:tabs>
        <w:spacing w:after="240"/>
        <w:ind w:left="0" w:firstLine="567"/>
        <w:rPr>
          <w:lang w:val="en-US"/>
        </w:rPr>
      </w:pPr>
      <w:r>
        <w:rPr>
          <w:lang w:val="en-GB"/>
        </w:rPr>
        <w:t>Local management:</w:t>
      </w:r>
      <w:r>
        <w:rPr>
          <w:lang w:val="en-US"/>
        </w:rPr>
        <w:t xml:space="preserve"> </w:t>
      </w:r>
      <w:r>
        <w:rPr>
          <w:lang w:val="en-GB"/>
        </w:rPr>
        <w:t>The policy was promoted at local level in the municipalities using participative community methods for diagnosing the situation of child rights at local level;</w:t>
      </w:r>
    </w:p>
    <w:p w:rsidR="00CD2A5A" w:rsidRDefault="00CD2A5A">
      <w:pPr>
        <w:numPr>
          <w:ilvl w:val="1"/>
          <w:numId w:val="3"/>
        </w:numPr>
        <w:tabs>
          <w:tab w:val="clear" w:pos="1200"/>
        </w:tabs>
        <w:spacing w:after="240"/>
        <w:ind w:left="0" w:firstLine="567"/>
        <w:rPr>
          <w:lang w:val="en-US"/>
        </w:rPr>
      </w:pPr>
      <w:r>
        <w:rPr>
          <w:lang w:val="en-GB"/>
        </w:rPr>
        <w:t>Public participation:</w:t>
      </w:r>
      <w:r>
        <w:rPr>
          <w:lang w:val="en-US"/>
        </w:rPr>
        <w:t xml:space="preserve"> </w:t>
      </w:r>
      <w:r>
        <w:rPr>
          <w:lang w:val="en-GB"/>
        </w:rPr>
        <w:t>Situational diagnoses were made on child rights, work plans and the training of committees to monitor the plans;</w:t>
      </w:r>
      <w:r>
        <w:rPr>
          <w:lang w:val="en-US"/>
        </w:rPr>
        <w:t xml:space="preserve"> </w:t>
      </w:r>
    </w:p>
    <w:p w:rsidR="00CD2A5A" w:rsidRDefault="00CD2A5A">
      <w:pPr>
        <w:numPr>
          <w:ilvl w:val="1"/>
          <w:numId w:val="3"/>
        </w:numPr>
        <w:tabs>
          <w:tab w:val="clear" w:pos="1200"/>
        </w:tabs>
        <w:spacing w:after="240"/>
        <w:ind w:left="0" w:firstLine="567"/>
        <w:rPr>
          <w:lang w:val="en-US"/>
        </w:rPr>
      </w:pPr>
      <w:r>
        <w:rPr>
          <w:lang w:val="en-GB"/>
        </w:rPr>
        <w:t>Mass media:</w:t>
      </w:r>
      <w:r>
        <w:rPr>
          <w:lang w:val="en-US"/>
        </w:rPr>
        <w:t xml:space="preserve"> </w:t>
      </w:r>
      <w:r>
        <w:rPr>
          <w:lang w:val="en-GB"/>
        </w:rPr>
        <w:t>Promotion and awareness campaigns for safeguarding child and adolescent rights were carried out.</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In 2005 work continued in the same areas of action scenarios, coverage and objectives were extended in municipalities, and a new strategy of training volunteer promotion agents was implemented for promoting child rights.</w:t>
      </w:r>
      <w:r>
        <w:rPr>
          <w:lang w:val="en-US"/>
        </w:rPr>
        <w:t xml:space="preserve"> </w:t>
      </w:r>
      <w:r>
        <w:rPr>
          <w:lang w:val="en-GB"/>
        </w:rPr>
        <w:t>In 2006 there was a need to bring the services closer to the community to improve the results in terms of the strengthening of local networks in the field of child rights and national policy for full development of children.</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s-SV"/>
        </w:rPr>
      </w:pPr>
      <w:r>
        <w:rPr>
          <w:lang w:val="en-GB"/>
        </w:rPr>
        <w:t>In particular, the achievements include the agreements signed between ISNA and local governments for the promotion and protection of child rights.</w:t>
      </w:r>
      <w:r>
        <w:rPr>
          <w:lang w:val="en-US"/>
        </w:rPr>
        <w:t xml:space="preserve"> </w:t>
      </w:r>
      <w:r>
        <w:rPr>
          <w:lang w:val="en-GB"/>
        </w:rPr>
        <w:t>In 2005 agreements were signed with 21 municipalities, or 15.78% of all local authorities in the central and paracentral areas of the country.</w:t>
      </w:r>
      <w:r>
        <w:rPr>
          <w:lang w:val="en-US"/>
        </w:rPr>
        <w:t xml:space="preserve"> </w:t>
      </w:r>
      <w:r>
        <w:rPr>
          <w:lang w:val="en-GB"/>
        </w:rPr>
        <w:t>In 2006, with the change of strategy and the setting-up of nine ISNA community offices, the targets increased to 76 local governments, equivalent to 57.14% of all 133 municipalities.</w:t>
      </w:r>
      <w:r>
        <w:rPr>
          <w:lang w:val="en-US"/>
        </w:rPr>
        <w:t xml:space="preserve"> </w:t>
      </w:r>
      <w:r>
        <w:rPr>
          <w:lang w:val="en-GB"/>
        </w:rPr>
        <w:t>Implementation of the plan began in 2004 with six diagnoses of the situation of child rights, with their respective working plans and the training of local committees.</w:t>
      </w:r>
      <w:r>
        <w:rPr>
          <w:lang w:val="en-US"/>
        </w:rPr>
        <w:t xml:space="preserve"> </w:t>
      </w:r>
      <w:r>
        <w:rPr>
          <w:lang w:val="en-GB"/>
        </w:rPr>
        <w:t>In 2006 there was a total of 25 local situation diagnoses.</w:t>
      </w:r>
    </w:p>
    <w:p w:rsidR="00CD2A5A" w:rsidRDefault="00CD2A5A">
      <w:pPr>
        <w:pStyle w:val="Header"/>
        <w:numPr>
          <w:ilvl w:val="0"/>
          <w:numId w:val="3"/>
        </w:numPr>
        <w:tabs>
          <w:tab w:val="clear" w:pos="720"/>
          <w:tab w:val="clear" w:pos="4252"/>
        </w:tabs>
        <w:spacing w:after="240"/>
        <w:ind w:left="0" w:firstLine="0"/>
        <w:rPr>
          <w:lang w:val="en-US"/>
        </w:rPr>
      </w:pPr>
      <w:r>
        <w:rPr>
          <w:lang w:val="en-GB"/>
        </w:rPr>
        <w:t>In 2004 ISNA provided 52 training courses under the programme for training human resources on child rights and policy.</w:t>
      </w:r>
      <w:r>
        <w:rPr>
          <w:lang w:val="en-US"/>
        </w:rPr>
        <w:t xml:space="preserve"> </w:t>
      </w:r>
      <w:r>
        <w:rPr>
          <w:lang w:val="en-GB"/>
        </w:rPr>
        <w:t>At least 831 staff of ISNA and its other cooperating institutions were informed and made aware of child rights and freedoms.</w:t>
      </w:r>
      <w:r>
        <w:rPr>
          <w:lang w:val="en-US"/>
        </w:rPr>
        <w:t xml:space="preserve"> </w:t>
      </w:r>
      <w:r>
        <w:rPr>
          <w:lang w:val="en-GB"/>
        </w:rPr>
        <w:t>Over the period 2005</w:t>
      </w:r>
      <w:r>
        <w:rPr>
          <w:lang w:val="en-GB"/>
        </w:rPr>
        <w:noBreakHyphen/>
        <w:t>2006, 1284 more members and strategic allies were trained, bringing the total to 2115 persons over the three-year reporting period.</w:t>
      </w:r>
      <w:r>
        <w:rPr>
          <w:lang w:val="en-US"/>
        </w:rPr>
        <w:t xml:space="preserve"> </w:t>
      </w:r>
      <w:r>
        <w:rPr>
          <w:lang w:val="en-GB"/>
        </w:rPr>
        <w:t>In addition, 22 local networks were incorporated and upgraded. In 2005 these totalled six networks in the east of the country and five in the west.</w:t>
      </w:r>
      <w:r>
        <w:rPr>
          <w:lang w:val="en-US"/>
        </w:rPr>
        <w:t xml:space="preserve"> </w:t>
      </w:r>
      <w:r>
        <w:rPr>
          <w:lang w:val="en-GB"/>
        </w:rPr>
        <w:t>At the end of the period, 33 ISNA local networks for promoting and protecting child rights were operational.</w:t>
      </w:r>
    </w:p>
    <w:p w:rsidR="00CD2A5A" w:rsidRDefault="00CD2A5A">
      <w:pPr>
        <w:pStyle w:val="Header"/>
        <w:numPr>
          <w:ilvl w:val="0"/>
          <w:numId w:val="3"/>
        </w:numPr>
        <w:tabs>
          <w:tab w:val="clear" w:pos="720"/>
          <w:tab w:val="clear" w:pos="4252"/>
        </w:tabs>
        <w:spacing w:after="240"/>
        <w:ind w:left="0" w:firstLine="0"/>
        <w:rPr>
          <w:lang w:val="en-US"/>
        </w:rPr>
      </w:pPr>
      <w:r>
        <w:rPr>
          <w:lang w:val="en-GB"/>
        </w:rPr>
        <w:t>ISNA has drafted the children’s version of the PNDINA, with the aim of informing the child population about child rights, 4000 copies of which have been circulated to children and adolescents throughout the country.</w:t>
      </w:r>
    </w:p>
    <w:p w:rsidR="00CD2A5A" w:rsidRDefault="00CD2A5A">
      <w:pPr>
        <w:pStyle w:val="Header"/>
        <w:numPr>
          <w:ilvl w:val="0"/>
          <w:numId w:val="3"/>
        </w:numPr>
        <w:tabs>
          <w:tab w:val="clear" w:pos="720"/>
          <w:tab w:val="clear" w:pos="4252"/>
        </w:tabs>
        <w:spacing w:after="240"/>
        <w:ind w:left="0" w:firstLine="0"/>
        <w:rPr>
          <w:lang w:val="en-US"/>
        </w:rPr>
      </w:pPr>
      <w:r>
        <w:rPr>
          <w:lang w:val="en-GB"/>
        </w:rPr>
        <w:t>One of the obstacles to extending the coverage of the plan was that to be participative it was subject to adolescents’ time availability, reconciling the agendas of the participants and a lack of political will on the part of some local authorities. It therefore changed its strategy.</w:t>
      </w:r>
      <w:r>
        <w:rPr>
          <w:lang w:val="en-US"/>
        </w:rPr>
        <w:t xml:space="preserve"> </w:t>
      </w:r>
      <w:r>
        <w:rPr>
          <w:lang w:val="en-GB"/>
        </w:rPr>
        <w:t>The alliances were continued, and efforts focused on the working processes and immersion in the municipalities by strengthening local networks and extending coverage of services through a process of decentralizing ISNA’s institutional services.</w:t>
      </w:r>
    </w:p>
    <w:p w:rsidR="00CD2A5A" w:rsidRDefault="00CD2A5A">
      <w:pPr>
        <w:pStyle w:val="Header"/>
        <w:numPr>
          <w:ilvl w:val="0"/>
          <w:numId w:val="3"/>
        </w:numPr>
        <w:tabs>
          <w:tab w:val="clear" w:pos="720"/>
          <w:tab w:val="clear" w:pos="4252"/>
        </w:tabs>
        <w:spacing w:after="240"/>
        <w:ind w:left="0" w:firstLine="0"/>
        <w:rPr>
          <w:lang w:val="en-US"/>
        </w:rPr>
      </w:pPr>
      <w:r>
        <w:rPr>
          <w:lang w:val="en-GB"/>
        </w:rPr>
        <w:t>With the promulgation of the National Policy for the Full Development of Children and Adolescents, ISNA has put in place comprehensive protection mechanisms in 43% of the country’s 111 municipalities, with prevention programmes to promote rights and prevent violence, impacting on diagnoses and local development plans relating to children.</w:t>
      </w:r>
      <w:r>
        <w:rPr>
          <w:lang w:val="en-US"/>
        </w:rPr>
        <w:t xml:space="preserve"> </w:t>
      </w:r>
      <w:r>
        <w:rPr>
          <w:lang w:val="en-GB"/>
        </w:rPr>
        <w:t>Prevention plans were also fostered with local authorities, such as the Life Skills Preparation Plan, for adolescents aged 12 to 17 in the east of the country; management for the adoption by town halls of operational units for children and adolescents; approval of municipal orders protecting against the worst forms of child labour; and promoting mental health committees.</w:t>
      </w:r>
      <w:r>
        <w:rPr>
          <w:lang w:val="en-US"/>
        </w:rPr>
        <w:t xml:space="preserve"> </w:t>
      </w:r>
    </w:p>
    <w:p w:rsidR="00CD2A5A" w:rsidRDefault="00CD2A5A" w:rsidP="006228EF">
      <w:pPr>
        <w:pStyle w:val="A0"/>
      </w:pPr>
      <w:r>
        <w:t>D.  State of the National Action Plan (2001-2010)</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ISNA has taken various measures in compliance with the objectives of the National Action Plan for Children 2001-2010, notably:</w:t>
      </w:r>
      <w:r>
        <w:rPr>
          <w:lang w:val="en-US"/>
        </w:rPr>
        <w:t xml:space="preserve">  </w:t>
      </w:r>
    </w:p>
    <w:p w:rsidR="00CD2A5A" w:rsidRDefault="00CD2A5A">
      <w:pPr>
        <w:numPr>
          <w:ilvl w:val="1"/>
          <w:numId w:val="3"/>
        </w:numPr>
        <w:tabs>
          <w:tab w:val="clear" w:pos="1200"/>
        </w:tabs>
        <w:spacing w:after="240"/>
        <w:ind w:left="0" w:firstLine="567"/>
        <w:rPr>
          <w:lang w:val="en-US"/>
        </w:rPr>
      </w:pPr>
      <w:r>
        <w:rPr>
          <w:lang w:val="en-GB"/>
        </w:rPr>
        <w:t>Regarding the aim of extending and improving access to comprehensive early-childhood education, ISNA administers the Child Welfare Centres (CBI), Comprehensive Development Centres (CDI), and Initial Care Homes (HAI), which exist in 48.5% of the country’s 127 municipalities.</w:t>
      </w:r>
      <w:r>
        <w:rPr>
          <w:lang w:val="en-US"/>
        </w:rPr>
        <w:t xml:space="preserve"> </w:t>
      </w:r>
      <w:r>
        <w:rPr>
          <w:lang w:val="en-GB"/>
        </w:rPr>
        <w:t>One of the main areas of progress is the comprehensive approach to the concept of child care, with the participation of the family and local players in order to promote and reinforce good parenting practice in families.</w:t>
      </w:r>
      <w:r>
        <w:rPr>
          <w:lang w:val="en-US"/>
        </w:rPr>
        <w:t xml:space="preserve"> </w:t>
      </w:r>
      <w:r>
        <w:rPr>
          <w:lang w:val="en-GB"/>
        </w:rPr>
        <w:t>The activities aim to change bad practices perpetuated by cultural patterns that adversely influence child development.</w:t>
      </w:r>
      <w:r>
        <w:rPr>
          <w:lang w:val="en-US"/>
        </w:rPr>
        <w:t xml:space="preserve"> </w:t>
      </w:r>
      <w:r>
        <w:rPr>
          <w:lang w:val="en-GB"/>
        </w:rPr>
        <w:t>The strategy is based on family schools or family development workshops, which have been developed using various integration methods, such as child development and life skills materials.</w:t>
      </w:r>
      <w:r>
        <w:rPr>
          <w:lang w:val="en-US"/>
        </w:rPr>
        <w:t xml:space="preserve"> </w:t>
      </w:r>
      <w:r>
        <w:rPr>
          <w:lang w:val="en-GB"/>
        </w:rPr>
        <w:t>This enables children to receive better care both at initial care centres and within their families;</w:t>
      </w:r>
      <w:r>
        <w:rPr>
          <w:lang w:val="en-US"/>
        </w:rPr>
        <w:t xml:space="preserve"> </w:t>
      </w:r>
    </w:p>
    <w:p w:rsidR="00CD2A5A" w:rsidRDefault="00CD2A5A">
      <w:pPr>
        <w:numPr>
          <w:ilvl w:val="1"/>
          <w:numId w:val="3"/>
        </w:numPr>
        <w:tabs>
          <w:tab w:val="clear" w:pos="1200"/>
        </w:tabs>
        <w:spacing w:after="240"/>
        <w:ind w:left="0" w:firstLine="567"/>
        <w:rPr>
          <w:lang w:val="en-US"/>
        </w:rPr>
      </w:pPr>
      <w:r>
        <w:rPr>
          <w:lang w:val="en-GB"/>
        </w:rPr>
        <w:t>Another significant step forward is the implementation of the integrated curriculum guides, that have been prepared on the themes of health, education and protection, which include technical contributions from the Ministry of Public Health and Social Welfare (MSPAS), the Ministry of Education (MINED) and NGOs working for child rights.</w:t>
      </w:r>
      <w:r>
        <w:rPr>
          <w:lang w:val="en-US"/>
        </w:rPr>
        <w:t xml:space="preserve"> </w:t>
      </w:r>
      <w:r>
        <w:rPr>
          <w:lang w:val="en-GB"/>
        </w:rPr>
        <w:t>These guides, approved by the Ministry of Education, are used by personnel outside the formal teaching profession (educators, health personnel and parents) to gain a qualification in child care;</w:t>
      </w:r>
    </w:p>
    <w:p w:rsidR="00CD2A5A" w:rsidRDefault="00CD2A5A">
      <w:pPr>
        <w:numPr>
          <w:ilvl w:val="1"/>
          <w:numId w:val="3"/>
        </w:numPr>
        <w:tabs>
          <w:tab w:val="clear" w:pos="1200"/>
        </w:tabs>
        <w:spacing w:after="240"/>
        <w:ind w:left="0" w:firstLine="567"/>
        <w:rPr>
          <w:bCs/>
          <w:lang w:val="en-US"/>
        </w:rPr>
      </w:pPr>
      <w:r>
        <w:rPr>
          <w:lang w:val="en-GB"/>
        </w:rPr>
        <w:t>Regarding the objective to reduce gender inequality in education, ISNA has achieved fair and egalitarian participation in initial education progra</w:t>
      </w:r>
      <w:r w:rsidR="00D23F06">
        <w:rPr>
          <w:lang w:val="en-GB"/>
        </w:rPr>
        <w:t>mmes, with 50.7% boys and 49.3% </w:t>
      </w:r>
      <w:r>
        <w:rPr>
          <w:lang w:val="en-GB"/>
        </w:rPr>
        <w:t>girls;</w:t>
      </w:r>
    </w:p>
    <w:p w:rsidR="00CD2A5A" w:rsidRDefault="00CD2A5A">
      <w:pPr>
        <w:numPr>
          <w:ilvl w:val="1"/>
          <w:numId w:val="3"/>
        </w:numPr>
        <w:tabs>
          <w:tab w:val="clear" w:pos="1200"/>
        </w:tabs>
        <w:spacing w:after="240"/>
        <w:ind w:left="0" w:firstLine="567"/>
        <w:rPr>
          <w:lang w:val="en-US"/>
        </w:rPr>
      </w:pPr>
      <w:r>
        <w:rPr>
          <w:bCs/>
          <w:lang w:val="en-GB"/>
        </w:rPr>
        <w:t>Regarding the objective of developing protection for children against ill treatment, exploitation and violence, ISNA statistics report 351 complaints of ill-treatment in 2004; 423 in 2005 and 463 in 2006.</w:t>
      </w:r>
      <w:r>
        <w:rPr>
          <w:bCs/>
          <w:lang w:val="en-US"/>
        </w:rPr>
        <w:t xml:space="preserve"> </w:t>
      </w:r>
      <w:r>
        <w:rPr>
          <w:bCs/>
          <w:lang w:val="en-GB"/>
        </w:rPr>
        <w:t>In relation to all children whose rights were violated, this percentage distribution accounted for 10.5% of all cases in 2004, 8.6% in 2005 and 9% in 2006.</w:t>
      </w:r>
      <w:r>
        <w:rPr>
          <w:bCs/>
          <w:lang w:val="en-US"/>
        </w:rPr>
        <w:t xml:space="preserve"> </w:t>
      </w:r>
      <w:r>
        <w:rPr>
          <w:bCs/>
          <w:lang w:val="en-GB"/>
        </w:rPr>
        <w:t>Similarly, complaints of economic exploitation fell from 1.5% in 2004 to 1.1% in 2005 and 1% in 2006, with 51 cases in 2004, 64 cases in 2005 and 74 cases in 2006;</w:t>
      </w:r>
    </w:p>
    <w:p w:rsidR="00CD2A5A" w:rsidRDefault="00CD2A5A">
      <w:pPr>
        <w:numPr>
          <w:ilvl w:val="1"/>
          <w:numId w:val="3"/>
        </w:numPr>
        <w:tabs>
          <w:tab w:val="clear" w:pos="1200"/>
        </w:tabs>
        <w:spacing w:after="240"/>
        <w:ind w:left="0" w:firstLine="567"/>
        <w:rPr>
          <w:lang w:val="en-US"/>
        </w:rPr>
      </w:pPr>
      <w:r>
        <w:rPr>
          <w:rFonts w:cs="Arial"/>
          <w:lang w:val="en-GB"/>
        </w:rPr>
        <w:t>Regarding the reduction in the rates of involvement of children and adolescents in the worst forms of child labour, up to September 2007, 46,657 children and adolescents had been removed from or prevented from taking part in such activities.</w:t>
      </w:r>
      <w:r>
        <w:rPr>
          <w:rFonts w:cs="Arial"/>
          <w:lang w:val="en-US"/>
        </w:rPr>
        <w:t xml:space="preserve"> </w:t>
      </w:r>
    </w:p>
    <w:p w:rsidR="00CD2A5A" w:rsidRDefault="00CD2A5A" w:rsidP="006228EF">
      <w:pPr>
        <w:pStyle w:val="A0"/>
        <w:rPr>
          <w:lang w:val="en-US"/>
        </w:rPr>
      </w:pPr>
      <w:r>
        <w:t xml:space="preserve">E.  Allocations and trends of budgets for implementing </w:t>
      </w:r>
      <w:r>
        <w:br/>
        <w:t>the Convention on the Rights of the Child</w:t>
      </w:r>
    </w:p>
    <w:p w:rsidR="00CD2A5A" w:rsidRDefault="00CD2A5A">
      <w:pPr>
        <w:pStyle w:val="Header"/>
        <w:numPr>
          <w:ilvl w:val="0"/>
          <w:numId w:val="3"/>
        </w:numPr>
        <w:tabs>
          <w:tab w:val="clear" w:pos="720"/>
          <w:tab w:val="clear" w:pos="4252"/>
        </w:tabs>
        <w:spacing w:after="240"/>
        <w:ind w:left="0" w:firstLine="0"/>
        <w:rPr>
          <w:lang w:val="en-US"/>
        </w:rPr>
      </w:pPr>
      <w:r>
        <w:rPr>
          <w:lang w:val="en-GB"/>
        </w:rPr>
        <w:t>From 2004 to 2006 there was a sustained increase in State budget allocated to safeguarding and promoting child rights, as the following figure shows.</w:t>
      </w:r>
    </w:p>
    <w:p w:rsidR="00CD2A5A" w:rsidRDefault="00CD2A5A" w:rsidP="00CD2A5A">
      <w:pPr>
        <w:pStyle w:val="Figure"/>
        <w:rPr>
          <w:lang w:val="en-US"/>
        </w:rPr>
      </w:pPr>
      <w:r>
        <w:t>Figure 4</w:t>
      </w:r>
    </w:p>
    <w:p w:rsidR="00CD2A5A" w:rsidRDefault="00CD2A5A" w:rsidP="00CD2A5A">
      <w:pPr>
        <w:pStyle w:val="Figure"/>
        <w:rPr>
          <w:lang w:val="en-US"/>
        </w:rPr>
      </w:pPr>
      <w:r>
        <w:t>Expenditure on child rights by source of funding</w:t>
      </w:r>
    </w:p>
    <w:p w:rsidR="00CD2A5A" w:rsidRDefault="00CD2A5A">
      <w:pPr>
        <w:spacing w:after="240"/>
        <w:rPr>
          <w:sz w:val="20"/>
          <w:szCs w:val="20"/>
          <w:lang w:val="en-US"/>
        </w:rPr>
      </w:pPr>
      <w:r>
        <w:rPr>
          <w:sz w:val="20"/>
          <w:szCs w:val="20"/>
          <w:lang w:val="en-GB"/>
        </w:rPr>
        <w:t>At the top of the table there are some zero entries, relating to the Youth Secretariat and the social programmes for preventing violence and juvenile delinquency, since that institution and those programmes did not exist at the time.</w:t>
      </w:r>
      <w:r>
        <w:rPr>
          <w:sz w:val="20"/>
          <w:szCs w:val="20"/>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557"/>
        <w:gridCol w:w="1542"/>
        <w:gridCol w:w="1177"/>
        <w:gridCol w:w="1177"/>
        <w:gridCol w:w="1175"/>
      </w:tblGrid>
      <w:tr w:rsidR="00CD2A5A">
        <w:trPr>
          <w:tblHeader/>
          <w:jc w:val="center"/>
        </w:trPr>
        <w:tc>
          <w:tcPr>
            <w:tcW w:w="2367" w:type="pct"/>
          </w:tcPr>
          <w:p w:rsidR="00CD2A5A" w:rsidRDefault="00CD2A5A">
            <w:pPr>
              <w:spacing w:before="40" w:after="40"/>
              <w:rPr>
                <w:rStyle w:val="CharacterStyle1"/>
                <w:b/>
                <w:bCs/>
                <w:i/>
                <w:sz w:val="20"/>
                <w:szCs w:val="20"/>
                <w:lang w:val="es-ES_tradnl"/>
              </w:rPr>
            </w:pPr>
            <w:r>
              <w:rPr>
                <w:b/>
                <w:bCs/>
                <w:i/>
                <w:sz w:val="20"/>
                <w:szCs w:val="20"/>
                <w:lang w:val="en-GB"/>
              </w:rPr>
              <w:t>Branch/Institution</w:t>
            </w:r>
          </w:p>
        </w:tc>
        <w:tc>
          <w:tcPr>
            <w:tcW w:w="801" w:type="pct"/>
          </w:tcPr>
          <w:p w:rsidR="00CD2A5A" w:rsidRDefault="00CD2A5A">
            <w:pPr>
              <w:spacing w:before="40" w:after="40"/>
              <w:rPr>
                <w:i/>
                <w:sz w:val="20"/>
                <w:szCs w:val="20"/>
                <w:lang w:val="es-ES_tradnl"/>
              </w:rPr>
            </w:pPr>
          </w:p>
        </w:tc>
        <w:tc>
          <w:tcPr>
            <w:tcW w:w="611" w:type="pct"/>
          </w:tcPr>
          <w:p w:rsidR="00CD2A5A" w:rsidRDefault="00CD2A5A">
            <w:pPr>
              <w:spacing w:before="40" w:after="40"/>
              <w:rPr>
                <w:b/>
                <w:bCs/>
                <w:i/>
                <w:sz w:val="20"/>
                <w:szCs w:val="20"/>
                <w:lang w:val="es-ES_tradnl"/>
              </w:rPr>
            </w:pPr>
            <w:r>
              <w:rPr>
                <w:b/>
                <w:bCs/>
                <w:i/>
                <w:sz w:val="20"/>
                <w:szCs w:val="20"/>
                <w:lang w:val="es-ES_tradnl"/>
              </w:rPr>
              <w:t>2004</w:t>
            </w:r>
          </w:p>
        </w:tc>
        <w:tc>
          <w:tcPr>
            <w:tcW w:w="611" w:type="pct"/>
          </w:tcPr>
          <w:p w:rsidR="00CD2A5A" w:rsidRDefault="00CD2A5A">
            <w:pPr>
              <w:spacing w:before="40" w:after="40"/>
              <w:rPr>
                <w:b/>
                <w:bCs/>
                <w:i/>
                <w:sz w:val="20"/>
                <w:szCs w:val="20"/>
                <w:lang w:val="es-ES_tradnl"/>
              </w:rPr>
            </w:pPr>
            <w:r>
              <w:rPr>
                <w:b/>
                <w:bCs/>
                <w:i/>
                <w:sz w:val="20"/>
                <w:szCs w:val="20"/>
                <w:lang w:val="es-ES_tradnl"/>
              </w:rPr>
              <w:t>2005</w:t>
            </w:r>
          </w:p>
        </w:tc>
        <w:tc>
          <w:tcPr>
            <w:tcW w:w="611" w:type="pct"/>
          </w:tcPr>
          <w:p w:rsidR="00CD2A5A" w:rsidRDefault="00CD2A5A">
            <w:pPr>
              <w:spacing w:before="40" w:after="40"/>
              <w:rPr>
                <w:b/>
                <w:bCs/>
                <w:i/>
                <w:sz w:val="20"/>
                <w:szCs w:val="20"/>
                <w:lang w:val="es-ES_tradnl"/>
              </w:rPr>
            </w:pPr>
            <w:r>
              <w:rPr>
                <w:b/>
                <w:bCs/>
                <w:i/>
                <w:sz w:val="20"/>
                <w:szCs w:val="20"/>
                <w:lang w:val="es-ES_tradnl"/>
              </w:rPr>
              <w:t>2006</w:t>
            </w:r>
          </w:p>
        </w:tc>
      </w:tr>
      <w:tr w:rsidR="00CD2A5A">
        <w:trPr>
          <w:jc w:val="center"/>
        </w:trPr>
        <w:tc>
          <w:tcPr>
            <w:tcW w:w="2367" w:type="pct"/>
          </w:tcPr>
          <w:p w:rsidR="00CD2A5A" w:rsidRDefault="00CD2A5A">
            <w:pPr>
              <w:spacing w:before="40" w:after="40"/>
              <w:rPr>
                <w:rStyle w:val="CharacterStyle1"/>
                <w:b/>
                <w:bCs/>
                <w:i/>
                <w:sz w:val="20"/>
                <w:szCs w:val="20"/>
                <w:lang w:val="es-ES_tradnl"/>
              </w:rPr>
            </w:pPr>
            <w:r>
              <w:rPr>
                <w:b/>
                <w:bCs/>
                <w:i/>
                <w:sz w:val="20"/>
                <w:szCs w:val="20"/>
                <w:lang w:val="en-GB"/>
              </w:rPr>
              <w:t>Prime Minister’s Office</w:t>
            </w:r>
          </w:p>
        </w:tc>
        <w:tc>
          <w:tcPr>
            <w:tcW w:w="801" w:type="pct"/>
          </w:tcPr>
          <w:p w:rsidR="00CD2A5A" w:rsidRDefault="00CD2A5A">
            <w:pPr>
              <w:spacing w:before="40" w:after="40"/>
              <w:rPr>
                <w:i/>
                <w:sz w:val="20"/>
                <w:szCs w:val="20"/>
                <w:lang w:val="es-ES_tradnl"/>
              </w:rPr>
            </w:pPr>
          </w:p>
        </w:tc>
        <w:tc>
          <w:tcPr>
            <w:tcW w:w="611" w:type="pct"/>
          </w:tcPr>
          <w:p w:rsidR="00CD2A5A" w:rsidRDefault="00CD2A5A">
            <w:pPr>
              <w:spacing w:before="40" w:after="40"/>
              <w:ind w:right="114"/>
              <w:rPr>
                <w:rStyle w:val="CharacterStyle1"/>
                <w:b/>
                <w:bCs/>
                <w:i/>
                <w:sz w:val="20"/>
                <w:szCs w:val="20"/>
                <w:lang w:val="es-ES_tradnl"/>
              </w:rPr>
            </w:pPr>
            <w:r>
              <w:rPr>
                <w:rStyle w:val="CharacterStyle1"/>
                <w:b/>
                <w:bCs/>
                <w:i/>
                <w:sz w:val="20"/>
                <w:szCs w:val="20"/>
                <w:lang w:val="es-ES_tradnl"/>
              </w:rPr>
              <w:t>26,236.4</w:t>
            </w:r>
          </w:p>
        </w:tc>
        <w:tc>
          <w:tcPr>
            <w:tcW w:w="611" w:type="pct"/>
          </w:tcPr>
          <w:p w:rsidR="00CD2A5A" w:rsidRDefault="00CD2A5A">
            <w:pPr>
              <w:spacing w:before="40" w:after="40"/>
              <w:ind w:right="114"/>
              <w:rPr>
                <w:rStyle w:val="CharacterStyle1"/>
                <w:b/>
                <w:bCs/>
                <w:i/>
                <w:sz w:val="20"/>
                <w:szCs w:val="20"/>
                <w:lang w:val="es-ES_tradnl"/>
              </w:rPr>
            </w:pPr>
            <w:r>
              <w:rPr>
                <w:rStyle w:val="CharacterStyle1"/>
                <w:b/>
                <w:bCs/>
                <w:i/>
                <w:sz w:val="20"/>
                <w:szCs w:val="20"/>
                <w:lang w:val="es-ES_tradnl"/>
              </w:rPr>
              <w:t>31,627.8</w:t>
            </w:r>
          </w:p>
        </w:tc>
        <w:tc>
          <w:tcPr>
            <w:tcW w:w="611" w:type="pct"/>
          </w:tcPr>
          <w:p w:rsidR="00CD2A5A" w:rsidRDefault="00CD2A5A">
            <w:pPr>
              <w:spacing w:before="40" w:after="40"/>
              <w:ind w:right="114"/>
              <w:rPr>
                <w:rStyle w:val="CharacterStyle1"/>
                <w:b/>
                <w:bCs/>
                <w:i/>
                <w:sz w:val="20"/>
                <w:szCs w:val="20"/>
                <w:lang w:val="es-ES_tradnl"/>
              </w:rPr>
            </w:pPr>
            <w:r>
              <w:rPr>
                <w:rStyle w:val="CharacterStyle1"/>
                <w:b/>
                <w:bCs/>
                <w:i/>
                <w:sz w:val="20"/>
                <w:szCs w:val="20"/>
                <w:lang w:val="es-ES_tradnl"/>
              </w:rPr>
              <w:t>32,149.4</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Youth Secretariat</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0.0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2,569.5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4,399.1</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Social prevention of violence and juvenile delinquency</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0.0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600.7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494.5</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Social prevention of violence and juvenile delinquency (donation)</w:t>
            </w:r>
          </w:p>
        </w:tc>
        <w:tc>
          <w:tcPr>
            <w:tcW w:w="801" w:type="pct"/>
          </w:tcPr>
          <w:p w:rsidR="00CD2A5A" w:rsidRDefault="00CD2A5A">
            <w:pPr>
              <w:spacing w:before="40" w:after="40"/>
              <w:rPr>
                <w:sz w:val="20"/>
                <w:szCs w:val="20"/>
                <w:lang w:val="es-ES_tradnl"/>
              </w:rPr>
            </w:pPr>
            <w:r>
              <w:rPr>
                <w:sz w:val="20"/>
                <w:szCs w:val="20"/>
                <w:lang w:val="en-GB"/>
              </w:rPr>
              <w:t>Donation</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429.2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483.3</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1,430.7</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Grants service</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360.1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434.5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586.4</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Family care</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2,040.7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2,720.0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2,438.1</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Alimony</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989.2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1,255.6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1,212.4</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INDES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8,940.7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10,287.4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9,316.1</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ISNA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11,856.4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11,659.2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11,817.8</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ISDEMU</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1,425.9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1,423.4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260.0</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National Council for Comprehensive Care of the Disabled</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194.3</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194.3</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194.3</w:t>
            </w:r>
          </w:p>
        </w:tc>
      </w:tr>
      <w:tr w:rsidR="00CD2A5A">
        <w:trPr>
          <w:jc w:val="center"/>
        </w:trPr>
        <w:tc>
          <w:tcPr>
            <w:tcW w:w="2367" w:type="pct"/>
          </w:tcPr>
          <w:p w:rsidR="00CD2A5A" w:rsidRDefault="00CD2A5A">
            <w:pPr>
              <w:spacing w:before="40" w:after="40"/>
              <w:rPr>
                <w:rStyle w:val="CharacterStyle1"/>
                <w:b/>
                <w:bCs/>
                <w:sz w:val="20"/>
                <w:szCs w:val="20"/>
                <w:lang w:val="en-US"/>
              </w:rPr>
            </w:pPr>
            <w:r>
              <w:rPr>
                <w:b/>
                <w:bCs/>
                <w:sz w:val="20"/>
                <w:szCs w:val="20"/>
                <w:lang w:val="en-GB"/>
              </w:rPr>
              <w:t>Supreme Court of Justice (CSJ)</w:t>
            </w:r>
          </w:p>
        </w:tc>
        <w:tc>
          <w:tcPr>
            <w:tcW w:w="801" w:type="pct"/>
          </w:tcPr>
          <w:p w:rsidR="00CD2A5A" w:rsidRDefault="00CD2A5A">
            <w:pPr>
              <w:spacing w:before="40" w:after="40"/>
              <w:rPr>
                <w:sz w:val="20"/>
                <w:szCs w:val="20"/>
                <w:lang w:val="en-US"/>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10,130.8</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10,122.7</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10,894.4</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Strengthening of the CSJ’s Juvenile Justice Support Office</w:t>
            </w:r>
          </w:p>
        </w:tc>
        <w:tc>
          <w:tcPr>
            <w:tcW w:w="801" w:type="pct"/>
          </w:tcPr>
          <w:p w:rsidR="00CD2A5A" w:rsidRDefault="00CD2A5A">
            <w:pPr>
              <w:spacing w:before="40" w:after="40"/>
              <w:rPr>
                <w:sz w:val="20"/>
                <w:szCs w:val="20"/>
                <w:lang w:val="es-ES_tradnl"/>
              </w:rPr>
            </w:pPr>
            <w:r>
              <w:rPr>
                <w:sz w:val="20"/>
                <w:szCs w:val="20"/>
                <w:lang w:val="en-GB"/>
              </w:rPr>
              <w:t>External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39.2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31.1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16.2</w:t>
            </w:r>
          </w:p>
        </w:tc>
      </w:tr>
      <w:tr w:rsidR="00CD2A5A">
        <w:trPr>
          <w:jc w:val="center"/>
        </w:trPr>
        <w:tc>
          <w:tcPr>
            <w:tcW w:w="2367" w:type="pct"/>
          </w:tcPr>
          <w:p w:rsidR="00CD2A5A" w:rsidRDefault="00CD2A5A">
            <w:pPr>
              <w:spacing w:before="40" w:after="40"/>
              <w:rPr>
                <w:sz w:val="20"/>
                <w:szCs w:val="20"/>
                <w:lang w:val="es-ES_tradnl"/>
              </w:rPr>
            </w:pPr>
            <w:r>
              <w:rPr>
                <w:sz w:val="20"/>
                <w:szCs w:val="20"/>
                <w:lang w:val="en-GB"/>
              </w:rPr>
              <w:t>Juvenile courts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4,025.2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4,025.2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4,318.7</w:t>
            </w:r>
          </w:p>
        </w:tc>
      </w:tr>
      <w:tr w:rsidR="00CD2A5A">
        <w:trPr>
          <w:jc w:val="center"/>
        </w:trPr>
        <w:tc>
          <w:tcPr>
            <w:tcW w:w="2367" w:type="pct"/>
          </w:tcPr>
          <w:p w:rsidR="00CD2A5A" w:rsidRDefault="00CD2A5A">
            <w:pPr>
              <w:spacing w:before="40" w:after="40"/>
              <w:rPr>
                <w:sz w:val="20"/>
                <w:szCs w:val="20"/>
                <w:lang w:val="es-ES_tradnl"/>
              </w:rPr>
            </w:pPr>
            <w:r>
              <w:rPr>
                <w:sz w:val="20"/>
                <w:szCs w:val="20"/>
                <w:lang w:val="en-GB"/>
              </w:rPr>
              <w:t>Family courts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6,066.4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6,066.4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6,559.5</w:t>
            </w:r>
          </w:p>
        </w:tc>
      </w:tr>
      <w:tr w:rsidR="00CD2A5A">
        <w:trPr>
          <w:jc w:val="center"/>
        </w:trPr>
        <w:tc>
          <w:tcPr>
            <w:tcW w:w="2367" w:type="pct"/>
          </w:tcPr>
          <w:p w:rsidR="00CD2A5A" w:rsidRDefault="00CD2A5A">
            <w:pPr>
              <w:spacing w:before="40" w:after="40"/>
              <w:rPr>
                <w:rStyle w:val="CharacterStyle1"/>
                <w:b/>
                <w:bCs/>
                <w:sz w:val="20"/>
                <w:szCs w:val="20"/>
                <w:lang w:val="en-US"/>
              </w:rPr>
            </w:pPr>
            <w:r>
              <w:rPr>
                <w:b/>
                <w:bCs/>
                <w:sz w:val="20"/>
                <w:szCs w:val="20"/>
                <w:lang w:val="en-GB"/>
              </w:rPr>
              <w:t>Office of the Public Prosecutor of the Republic</w:t>
            </w:r>
          </w:p>
        </w:tc>
        <w:tc>
          <w:tcPr>
            <w:tcW w:w="801" w:type="pct"/>
          </w:tcPr>
          <w:p w:rsidR="00CD2A5A" w:rsidRDefault="00CD2A5A">
            <w:pPr>
              <w:spacing w:before="40" w:after="40"/>
              <w:rPr>
                <w:sz w:val="20"/>
                <w:szCs w:val="20"/>
                <w:lang w:val="en-US"/>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740.9</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775.6</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905.6</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Juvenile offenders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740.9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775.6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905.6</w:t>
            </w:r>
          </w:p>
        </w:tc>
      </w:tr>
      <w:tr w:rsidR="00CD2A5A">
        <w:trPr>
          <w:jc w:val="center"/>
        </w:trPr>
        <w:tc>
          <w:tcPr>
            <w:tcW w:w="2367" w:type="pct"/>
          </w:tcPr>
          <w:p w:rsidR="00CD2A5A" w:rsidRDefault="00CD2A5A">
            <w:pPr>
              <w:spacing w:before="40" w:after="40"/>
              <w:rPr>
                <w:rStyle w:val="CharacterStyle1"/>
                <w:b/>
                <w:bCs/>
                <w:sz w:val="20"/>
                <w:szCs w:val="20"/>
                <w:lang w:val="en-US"/>
              </w:rPr>
            </w:pPr>
            <w:r>
              <w:rPr>
                <w:b/>
                <w:bCs/>
                <w:sz w:val="20"/>
                <w:szCs w:val="20"/>
                <w:lang w:val="en-GB"/>
              </w:rPr>
              <w:t>Office of the Attorney-General of the Republic</w:t>
            </w:r>
          </w:p>
        </w:tc>
        <w:tc>
          <w:tcPr>
            <w:tcW w:w="801" w:type="pct"/>
          </w:tcPr>
          <w:p w:rsidR="00CD2A5A" w:rsidRDefault="00CD2A5A">
            <w:pPr>
              <w:spacing w:before="40" w:after="40"/>
              <w:rPr>
                <w:sz w:val="20"/>
                <w:szCs w:val="20"/>
                <w:lang w:val="en-US"/>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3,942.0</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3,709.7</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4,171.5</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Assistance to families and minors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3,942.0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3,709.7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4,171.5</w:t>
            </w:r>
          </w:p>
        </w:tc>
      </w:tr>
      <w:tr w:rsidR="00CD2A5A">
        <w:trPr>
          <w:jc w:val="center"/>
        </w:trPr>
        <w:tc>
          <w:tcPr>
            <w:tcW w:w="2367" w:type="pct"/>
          </w:tcPr>
          <w:p w:rsidR="00CD2A5A" w:rsidRDefault="00CD2A5A">
            <w:pPr>
              <w:spacing w:before="40" w:after="40"/>
              <w:rPr>
                <w:rStyle w:val="CharacterStyle1"/>
                <w:b/>
                <w:bCs/>
                <w:sz w:val="20"/>
                <w:szCs w:val="20"/>
                <w:lang w:val="es-ES_tradnl"/>
              </w:rPr>
            </w:pPr>
            <w:r>
              <w:rPr>
                <w:b/>
                <w:bCs/>
                <w:sz w:val="20"/>
                <w:szCs w:val="20"/>
                <w:lang w:val="en-GB"/>
              </w:rPr>
              <w:t>Ministry of Governance</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329.0</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355.6</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372.0</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Social prevention of drug use</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329.0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355.6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372.0</w:t>
            </w:r>
          </w:p>
        </w:tc>
      </w:tr>
      <w:tr w:rsidR="00CD2A5A">
        <w:trPr>
          <w:jc w:val="center"/>
        </w:trPr>
        <w:tc>
          <w:tcPr>
            <w:tcW w:w="2367" w:type="pct"/>
          </w:tcPr>
          <w:p w:rsidR="00CD2A5A" w:rsidRDefault="00CD2A5A">
            <w:pPr>
              <w:spacing w:before="40" w:after="40"/>
              <w:rPr>
                <w:rStyle w:val="CharacterStyle1"/>
                <w:b/>
                <w:bCs/>
                <w:sz w:val="20"/>
                <w:szCs w:val="20"/>
                <w:lang w:val="es-ES_tradnl"/>
              </w:rPr>
            </w:pPr>
            <w:r>
              <w:rPr>
                <w:rStyle w:val="CharacterStyle1"/>
                <w:b/>
                <w:bCs/>
                <w:sz w:val="20"/>
                <w:szCs w:val="20"/>
                <w:lang w:val="en-GB"/>
              </w:rPr>
              <w:t>Ministry of Public Security</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297.7</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314.6</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298.1</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National Anti-Drug Commission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40.9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31.7</w:t>
            </w:r>
          </w:p>
        </w:tc>
      </w:tr>
      <w:tr w:rsidR="00CD2A5A">
        <w:trPr>
          <w:trHeight w:val="370"/>
          <w:jc w:val="center"/>
        </w:trPr>
        <w:tc>
          <w:tcPr>
            <w:tcW w:w="2367" w:type="pct"/>
          </w:tcPr>
          <w:p w:rsidR="00CD2A5A" w:rsidRDefault="00CD2A5A">
            <w:pPr>
              <w:spacing w:before="40" w:after="40"/>
              <w:rPr>
                <w:sz w:val="20"/>
                <w:szCs w:val="20"/>
                <w:lang w:val="es-ES_tradnl"/>
              </w:rPr>
            </w:pPr>
          </w:p>
        </w:tc>
        <w:tc>
          <w:tcPr>
            <w:tcW w:w="801" w:type="pct"/>
          </w:tcPr>
          <w:p w:rsidR="00CD2A5A" w:rsidRDefault="00CD2A5A">
            <w:pPr>
              <w:spacing w:before="40" w:after="40"/>
              <w:rPr>
                <w:sz w:val="20"/>
                <w:szCs w:val="20"/>
                <w:lang w:val="es-ES_tradnl"/>
              </w:rPr>
            </w:pPr>
            <w:r>
              <w:rPr>
                <w:sz w:val="20"/>
                <w:szCs w:val="20"/>
                <w:lang w:val="en-GB"/>
              </w:rPr>
              <w:t>Donation by private enterprise</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1.8</w:t>
            </w:r>
          </w:p>
        </w:tc>
      </w:tr>
      <w:tr w:rsidR="00CD2A5A">
        <w:trPr>
          <w:trHeight w:val="361"/>
          <w:jc w:val="center"/>
        </w:trPr>
        <w:tc>
          <w:tcPr>
            <w:tcW w:w="2367" w:type="pct"/>
          </w:tcPr>
          <w:p w:rsidR="00CD2A5A" w:rsidRDefault="00CD2A5A">
            <w:pPr>
              <w:spacing w:before="40" w:after="40"/>
              <w:rPr>
                <w:rStyle w:val="CharacterStyle1"/>
                <w:sz w:val="20"/>
                <w:szCs w:val="20"/>
                <w:lang w:val="es-ES_tradnl"/>
              </w:rPr>
            </w:pPr>
          </w:p>
        </w:tc>
        <w:tc>
          <w:tcPr>
            <w:tcW w:w="801" w:type="pct"/>
          </w:tcPr>
          <w:p w:rsidR="00CD2A5A" w:rsidRDefault="00CD2A5A">
            <w:pPr>
              <w:spacing w:before="40" w:after="40"/>
              <w:rPr>
                <w:sz w:val="20"/>
                <w:szCs w:val="20"/>
                <w:lang w:val="es-ES_tradnl"/>
              </w:rPr>
            </w:pPr>
            <w:r>
              <w:rPr>
                <w:sz w:val="20"/>
                <w:szCs w:val="20"/>
                <w:lang w:val="en-GB"/>
              </w:rPr>
              <w:t>Donation by international organizations</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5.7</w:t>
            </w: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General Directorate of Public Security</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231.5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231.5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238.2</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General Directorate of Prisons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16.6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9.2</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General Directorate of Migration and Aliens</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0.4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12.2</w:t>
            </w:r>
          </w:p>
        </w:tc>
      </w:tr>
      <w:tr w:rsidR="00CD2A5A">
        <w:trPr>
          <w:trHeight w:val="550"/>
          <w:jc w:val="center"/>
        </w:trPr>
        <w:tc>
          <w:tcPr>
            <w:tcW w:w="2367" w:type="pct"/>
          </w:tcPr>
          <w:p w:rsidR="00CD2A5A" w:rsidRDefault="00CD2A5A">
            <w:pPr>
              <w:spacing w:before="40" w:after="40"/>
              <w:rPr>
                <w:rStyle w:val="CharacterStyle1"/>
                <w:sz w:val="20"/>
                <w:szCs w:val="20"/>
                <w:lang w:val="es-ES_tradnl"/>
              </w:rPr>
            </w:pPr>
            <w:r>
              <w:rPr>
                <w:sz w:val="20"/>
                <w:szCs w:val="20"/>
                <w:lang w:val="en-GB"/>
              </w:rPr>
              <w:t>National Civil Police</w:t>
            </w:r>
          </w:p>
        </w:tc>
        <w:tc>
          <w:tcPr>
            <w:tcW w:w="801" w:type="pct"/>
          </w:tcPr>
          <w:p w:rsidR="00CD2A5A" w:rsidRDefault="00CD2A5A">
            <w:pPr>
              <w:spacing w:before="40" w:after="40"/>
              <w:rPr>
                <w:sz w:val="20"/>
                <w:szCs w:val="20"/>
                <w:lang w:val="es-ES_tradnl"/>
              </w:rPr>
            </w:pPr>
            <w:r>
              <w:rPr>
                <w:sz w:val="20"/>
                <w:szCs w:val="20"/>
                <w:lang w:val="en-GB"/>
              </w:rPr>
              <w:t>Donation by international organizations</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27.4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27.4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5.0</w:t>
            </w:r>
          </w:p>
        </w:tc>
      </w:tr>
      <w:tr w:rsidR="00CD2A5A">
        <w:trPr>
          <w:jc w:val="center"/>
        </w:trPr>
        <w:tc>
          <w:tcPr>
            <w:tcW w:w="2367" w:type="pct"/>
          </w:tcPr>
          <w:p w:rsidR="00CD2A5A" w:rsidRDefault="00CD2A5A">
            <w:pPr>
              <w:spacing w:before="40" w:after="40"/>
              <w:rPr>
                <w:rStyle w:val="CharacterStyle1"/>
                <w:b/>
                <w:bCs/>
                <w:sz w:val="20"/>
                <w:szCs w:val="20"/>
                <w:lang w:val="es-ES_tradnl"/>
              </w:rPr>
            </w:pPr>
            <w:r>
              <w:rPr>
                <w:b/>
                <w:bCs/>
                <w:sz w:val="20"/>
                <w:szCs w:val="20"/>
                <w:lang w:val="en-GB"/>
              </w:rPr>
              <w:t>Ministry of Education</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371,966.8</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380,714.5</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419,282.2</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Nursery education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35,665.9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36,689.7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40,897.3</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Elementary education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285,883.5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293,332.7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313,953.9</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High-school education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29,355.1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30,407.5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33,665.9</w:t>
            </w:r>
          </w:p>
        </w:tc>
      </w:tr>
      <w:tr w:rsidR="00CD2A5A">
        <w:trPr>
          <w:jc w:val="center"/>
        </w:trPr>
        <w:tc>
          <w:tcPr>
            <w:tcW w:w="2367" w:type="pct"/>
          </w:tcPr>
          <w:p w:rsidR="00CD2A5A" w:rsidRDefault="00CD2A5A">
            <w:pPr>
              <w:keepNext/>
              <w:spacing w:before="40" w:after="40"/>
              <w:rPr>
                <w:rStyle w:val="CharacterStyle1"/>
                <w:b/>
                <w:bCs/>
                <w:sz w:val="20"/>
                <w:szCs w:val="20"/>
                <w:lang w:val="es-ES_tradnl"/>
              </w:rPr>
            </w:pPr>
            <w:r>
              <w:rPr>
                <w:b/>
                <w:bCs/>
                <w:sz w:val="20"/>
                <w:szCs w:val="20"/>
                <w:lang w:val="en-GB"/>
              </w:rPr>
              <w:t>Subsidies to:</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rPr>
              <w:t>Roberto Callejas Montalvo Cerebral Palsy Home</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38.9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38.9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38.9</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Children’s Museum Association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48.6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48.6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48.6</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National Children’s Association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 xml:space="preserve">El Salvador Scouts’ Association </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97.6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77.7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77.7</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El Salvador Girl Guides’ Assocation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9.7</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Special Education Foundation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48.6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48.6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128.6</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FUNDASALVA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77.7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77.7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77.7</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 xml:space="preserve">National Special Olympics Committee </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w:t>
            </w:r>
          </w:p>
        </w:tc>
      </w:tr>
      <w:tr w:rsidR="00CD2A5A">
        <w:trPr>
          <w:jc w:val="center"/>
        </w:trPr>
        <w:tc>
          <w:tcPr>
            <w:tcW w:w="2367" w:type="pct"/>
          </w:tcPr>
          <w:p w:rsidR="00CD2A5A" w:rsidRDefault="00CD2A5A">
            <w:pPr>
              <w:spacing w:before="40" w:after="40"/>
              <w:rPr>
                <w:rStyle w:val="CharacterStyle1"/>
                <w:sz w:val="20"/>
                <w:szCs w:val="20"/>
                <w:lang w:val="en-US"/>
              </w:rPr>
            </w:pPr>
            <w:r>
              <w:rPr>
                <w:rStyle w:val="CharacterStyle1"/>
                <w:sz w:val="20"/>
                <w:szCs w:val="20"/>
                <w:lang w:val="en-GB"/>
              </w:rPr>
              <w:t>Salesian Educational Association of the Daughters of Mary Help of Christians of the city of Chalchuapa.</w:t>
            </w:r>
            <w:r>
              <w:rPr>
                <w:rStyle w:val="CharacterStyle1"/>
                <w:sz w:val="20"/>
                <w:szCs w:val="20"/>
                <w:lang w:val="en-US"/>
              </w:rPr>
              <w:t xml:space="preserve"> </w:t>
            </w:r>
            <w:r>
              <w:rPr>
                <w:rStyle w:val="CharacterStyle1"/>
                <w:sz w:val="20"/>
                <w:szCs w:val="20"/>
                <w:lang w:val="en-GB"/>
              </w:rPr>
              <w:t>Department of Santa Ana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75.0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4.7</w:t>
            </w:r>
          </w:p>
        </w:tc>
      </w:tr>
      <w:tr w:rsidR="00CD2A5A">
        <w:trPr>
          <w:trHeight w:val="370"/>
          <w:jc w:val="center"/>
        </w:trPr>
        <w:tc>
          <w:tcPr>
            <w:tcW w:w="2367" w:type="pct"/>
          </w:tcPr>
          <w:p w:rsidR="00CD2A5A" w:rsidRDefault="00CD2A5A">
            <w:pPr>
              <w:spacing w:before="40" w:after="40"/>
              <w:rPr>
                <w:rStyle w:val="CharacterStyle1"/>
                <w:sz w:val="20"/>
                <w:szCs w:val="20"/>
                <w:lang w:val="en-US"/>
              </w:rPr>
            </w:pPr>
            <w:r>
              <w:rPr>
                <w:sz w:val="20"/>
                <w:szCs w:val="20"/>
                <w:lang w:val="en-GB"/>
              </w:rPr>
              <w:t>Investment programmes for competitiveness, equity and innovation in education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9,370.8</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Improving access, quality and equity in education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sz w:val="20"/>
                <w:szCs w:val="20"/>
                <w:lang w:val="es-ES_tradnl"/>
              </w:rPr>
            </w:pPr>
            <w:r>
              <w:rPr>
                <w:sz w:val="20"/>
                <w:szCs w:val="20"/>
                <w:lang w:val="es-ES_tradnl"/>
              </w:rPr>
              <w:t>9,201.8</w:t>
            </w:r>
          </w:p>
        </w:tc>
        <w:tc>
          <w:tcPr>
            <w:tcW w:w="611" w:type="pct"/>
          </w:tcPr>
          <w:p w:rsidR="00CD2A5A" w:rsidRDefault="00CD2A5A">
            <w:pPr>
              <w:spacing w:before="40" w:after="40"/>
              <w:ind w:right="114"/>
              <w:jc w:val="right"/>
              <w:rPr>
                <w:sz w:val="20"/>
                <w:szCs w:val="20"/>
                <w:lang w:val="es-ES_tradnl"/>
              </w:rPr>
            </w:pPr>
            <w:r>
              <w:rPr>
                <w:sz w:val="20"/>
                <w:szCs w:val="20"/>
                <w:lang w:val="es-ES_tradnl"/>
              </w:rPr>
              <w:t>9,015.4</w:t>
            </w:r>
          </w:p>
        </w:tc>
        <w:tc>
          <w:tcPr>
            <w:tcW w:w="611" w:type="pct"/>
          </w:tcPr>
          <w:p w:rsidR="00CD2A5A" w:rsidRDefault="00CD2A5A">
            <w:pPr>
              <w:spacing w:before="40" w:after="40"/>
              <w:ind w:right="114"/>
              <w:jc w:val="right"/>
              <w:rPr>
                <w:sz w:val="20"/>
                <w:szCs w:val="20"/>
                <w:lang w:val="es-ES_tradnl"/>
              </w:rPr>
            </w:pPr>
            <w:r>
              <w:rPr>
                <w:sz w:val="20"/>
                <w:szCs w:val="20"/>
                <w:lang w:val="es-ES_tradnl"/>
              </w:rPr>
              <w:t>9,190.5</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CONCULTURA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11,444.0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10,942.8</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11,797.4</w:t>
            </w:r>
          </w:p>
        </w:tc>
      </w:tr>
      <w:tr w:rsidR="00CD2A5A">
        <w:trPr>
          <w:jc w:val="center"/>
        </w:trPr>
        <w:tc>
          <w:tcPr>
            <w:tcW w:w="2367" w:type="pct"/>
          </w:tcPr>
          <w:p w:rsidR="00CD2A5A" w:rsidRDefault="00CD2A5A">
            <w:pPr>
              <w:spacing w:before="40" w:after="40"/>
              <w:rPr>
                <w:rStyle w:val="CharacterStyle1"/>
                <w:b/>
                <w:bCs/>
                <w:sz w:val="20"/>
                <w:szCs w:val="20"/>
                <w:lang w:val="es-ES_tradnl"/>
              </w:rPr>
            </w:pPr>
            <w:r>
              <w:rPr>
                <w:b/>
                <w:bCs/>
                <w:sz w:val="20"/>
                <w:szCs w:val="20"/>
                <w:lang w:val="en-GB"/>
              </w:rPr>
              <w:t>Ministry of Health</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78,115.1</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93,604.5</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104,043.6</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National Health System 1/</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51,513.4</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59,284.1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56,569.4</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Bloom Hospital</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14,237.9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13,578.5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14,944.2</w:t>
            </w:r>
          </w:p>
        </w:tc>
      </w:tr>
      <w:tr w:rsidR="00CD2A5A">
        <w:trPr>
          <w:jc w:val="center"/>
        </w:trPr>
        <w:tc>
          <w:tcPr>
            <w:tcW w:w="2367" w:type="pct"/>
          </w:tcPr>
          <w:p w:rsidR="00CD2A5A" w:rsidRDefault="00CD2A5A">
            <w:pPr>
              <w:spacing w:before="40" w:after="40"/>
              <w:rPr>
                <w:rStyle w:val="CharacterStyle1"/>
                <w:sz w:val="20"/>
                <w:szCs w:val="20"/>
                <w:lang w:val="es-ES_tradnl"/>
              </w:rPr>
            </w:pPr>
          </w:p>
        </w:tc>
        <w:tc>
          <w:tcPr>
            <w:tcW w:w="801" w:type="pct"/>
          </w:tcPr>
          <w:p w:rsidR="00CD2A5A" w:rsidRDefault="00CD2A5A">
            <w:pPr>
              <w:spacing w:before="40" w:after="40"/>
              <w:rPr>
                <w:sz w:val="20"/>
                <w:szCs w:val="20"/>
                <w:lang w:val="es-ES_tradnl"/>
              </w:rPr>
            </w:pPr>
            <w:r>
              <w:rPr>
                <w:sz w:val="20"/>
                <w:szCs w:val="20"/>
                <w:lang w:val="en-GB"/>
              </w:rPr>
              <w:t>Own resources</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748.9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648.6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1,623.6</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Salvadoran Institute for the Rehabilitation of Invalids</w:t>
            </w:r>
          </w:p>
        </w:tc>
        <w:tc>
          <w:tcPr>
            <w:tcW w:w="801" w:type="pct"/>
          </w:tcPr>
          <w:p w:rsidR="00CD2A5A" w:rsidRDefault="00CD2A5A">
            <w:pPr>
              <w:spacing w:before="40" w:after="40"/>
              <w:rPr>
                <w:sz w:val="20"/>
                <w:szCs w:val="20"/>
                <w:lang w:val="es-ES_tradnl"/>
              </w:rPr>
            </w:pPr>
            <w:r>
              <w:rPr>
                <w:sz w:val="20"/>
                <w:szCs w:val="20"/>
                <w:lang w:val="en-GB"/>
              </w:rPr>
              <w:t>Own resources</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319.2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372.0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415.0</w:t>
            </w:r>
          </w:p>
        </w:tc>
      </w:tr>
      <w:tr w:rsidR="00CD2A5A">
        <w:trPr>
          <w:jc w:val="center"/>
        </w:trPr>
        <w:tc>
          <w:tcPr>
            <w:tcW w:w="2367" w:type="pct"/>
          </w:tcPr>
          <w:p w:rsidR="00CD2A5A" w:rsidRDefault="00CD2A5A">
            <w:pPr>
              <w:spacing w:before="40" w:after="40"/>
              <w:rPr>
                <w:rStyle w:val="CharacterStyle1"/>
                <w:sz w:val="20"/>
                <w:szCs w:val="20"/>
                <w:lang w:val="es-ES_tradnl"/>
              </w:rPr>
            </w:pP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3,765.1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3,978.2</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4,178.2</w:t>
            </w:r>
          </w:p>
        </w:tc>
      </w:tr>
      <w:tr w:rsidR="00CD2A5A">
        <w:trPr>
          <w:jc w:val="center"/>
        </w:trPr>
        <w:tc>
          <w:tcPr>
            <w:tcW w:w="2367" w:type="pct"/>
          </w:tcPr>
          <w:p w:rsidR="00CD2A5A" w:rsidRDefault="00CD2A5A">
            <w:pPr>
              <w:spacing w:before="40" w:after="40"/>
              <w:rPr>
                <w:rStyle w:val="CharacterStyle1"/>
                <w:sz w:val="20"/>
                <w:szCs w:val="20"/>
                <w:lang w:val="en-US"/>
              </w:rPr>
            </w:pPr>
            <w:r>
              <w:rPr>
                <w:sz w:val="20"/>
                <w:szCs w:val="20"/>
                <w:lang w:val="en-GB"/>
              </w:rPr>
              <w:t>Health Solidarity Fund (operational from August 2005)</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0.0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4,136.1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13,876.2</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Salvadoran Social Security Institute</w:t>
            </w:r>
          </w:p>
        </w:tc>
        <w:tc>
          <w:tcPr>
            <w:tcW w:w="801" w:type="pct"/>
          </w:tcPr>
          <w:p w:rsidR="00CD2A5A" w:rsidRDefault="00CD2A5A">
            <w:pPr>
              <w:spacing w:before="40" w:after="40"/>
              <w:rPr>
                <w:sz w:val="20"/>
                <w:szCs w:val="20"/>
                <w:lang w:val="es-ES_tradnl"/>
              </w:rPr>
            </w:pPr>
            <w:r>
              <w:rPr>
                <w:sz w:val="20"/>
                <w:szCs w:val="20"/>
                <w:lang w:val="en-GB"/>
              </w:rPr>
              <w:t>Own resources</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6,792.6</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11 ,059.8</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11 ,714.8</w:t>
            </w:r>
          </w:p>
        </w:tc>
      </w:tr>
      <w:tr w:rsidR="00CD2A5A">
        <w:trPr>
          <w:jc w:val="center"/>
        </w:trPr>
        <w:tc>
          <w:tcPr>
            <w:tcW w:w="2367" w:type="pct"/>
          </w:tcPr>
          <w:p w:rsidR="00CD2A5A" w:rsidRDefault="00CD2A5A">
            <w:pPr>
              <w:spacing w:before="40" w:after="40"/>
              <w:rPr>
                <w:rStyle w:val="CharacterStyle1"/>
                <w:b/>
                <w:bCs/>
                <w:sz w:val="20"/>
                <w:szCs w:val="20"/>
                <w:lang w:val="es-ES_tradnl"/>
              </w:rPr>
            </w:pPr>
            <w:r>
              <w:rPr>
                <w:b/>
                <w:bCs/>
                <w:sz w:val="20"/>
                <w:szCs w:val="20"/>
                <w:lang w:val="en-GB"/>
              </w:rPr>
              <w:t>Subsidies to</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Ayúdame a Vivir Foundation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522.9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422.9</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422.9</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FUNDASALVA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190.1</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114.3</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194.3</w:t>
            </w:r>
          </w:p>
        </w:tc>
      </w:tr>
      <w:tr w:rsidR="00CD2A5A">
        <w:trPr>
          <w:jc w:val="center"/>
        </w:trPr>
        <w:tc>
          <w:tcPr>
            <w:tcW w:w="2367" w:type="pct"/>
          </w:tcPr>
          <w:p w:rsidR="00CD2A5A" w:rsidRDefault="00CD2A5A">
            <w:pPr>
              <w:spacing w:before="40" w:after="40"/>
              <w:rPr>
                <w:sz w:val="20"/>
                <w:szCs w:val="20"/>
                <w:u w:val="single"/>
                <w:lang w:val="es-ES_tradnl"/>
              </w:rPr>
            </w:pPr>
            <w:r>
              <w:rPr>
                <w:sz w:val="20"/>
                <w:szCs w:val="20"/>
              </w:rPr>
              <w:t xml:space="preserve">Albergue Jardín de amor, </w:t>
            </w:r>
            <w:r>
              <w:rPr>
                <w:sz w:val="20"/>
                <w:szCs w:val="20"/>
                <w:u w:val="single"/>
              </w:rPr>
              <w:t>Zacatecoluc</w:t>
            </w:r>
            <w:r>
              <w:rPr>
                <w:sz w:val="20"/>
                <w:szCs w:val="20"/>
              </w:rPr>
              <w:t>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5.0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10.0</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10.0</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Hogares Providencia Foundation</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20.0</w:t>
            </w: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40.0</w:t>
            </w:r>
          </w:p>
        </w:tc>
      </w:tr>
      <w:tr w:rsidR="00CD2A5A">
        <w:trPr>
          <w:jc w:val="center"/>
        </w:trPr>
        <w:tc>
          <w:tcPr>
            <w:tcW w:w="2367" w:type="pct"/>
          </w:tcPr>
          <w:p w:rsidR="00CD2A5A" w:rsidRDefault="00CD2A5A">
            <w:pPr>
              <w:spacing w:before="40" w:after="40"/>
              <w:rPr>
                <w:rStyle w:val="CharacterStyle1"/>
                <w:sz w:val="20"/>
                <w:szCs w:val="20"/>
                <w:lang w:val="en-US"/>
              </w:rPr>
            </w:pPr>
            <w:r>
              <w:rPr>
                <w:rStyle w:val="CharacterStyle1"/>
                <w:sz w:val="20"/>
                <w:szCs w:val="20"/>
                <w:lang w:val="en-GB"/>
              </w:rPr>
              <w:t>CREA Households Association of El Salvador</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25.0</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FUNDA INOCENCIA</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sz w:val="20"/>
                <w:szCs w:val="20"/>
                <w:lang w:val="es-ES_tradnl"/>
              </w:rPr>
            </w:pP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30.0</w:t>
            </w:r>
          </w:p>
        </w:tc>
      </w:tr>
      <w:tr w:rsidR="00CD2A5A">
        <w:trPr>
          <w:jc w:val="center"/>
        </w:trPr>
        <w:tc>
          <w:tcPr>
            <w:tcW w:w="2367" w:type="pct"/>
          </w:tcPr>
          <w:p w:rsidR="00CD2A5A" w:rsidRDefault="00CD2A5A">
            <w:pPr>
              <w:spacing w:before="40" w:after="40"/>
              <w:rPr>
                <w:rStyle w:val="CharacterStyle1"/>
                <w:b/>
                <w:bCs/>
                <w:sz w:val="20"/>
                <w:szCs w:val="20"/>
                <w:lang w:val="en-US"/>
              </w:rPr>
            </w:pPr>
            <w:r>
              <w:rPr>
                <w:b/>
                <w:bCs/>
                <w:sz w:val="20"/>
                <w:szCs w:val="20"/>
                <w:lang w:val="en-GB"/>
              </w:rPr>
              <w:t>Ministry of Employment and Social Security</w:t>
            </w:r>
          </w:p>
        </w:tc>
        <w:tc>
          <w:tcPr>
            <w:tcW w:w="801" w:type="pct"/>
          </w:tcPr>
          <w:p w:rsidR="00CD2A5A" w:rsidRDefault="00CD2A5A">
            <w:pPr>
              <w:spacing w:before="40" w:after="40"/>
              <w:rPr>
                <w:sz w:val="20"/>
                <w:szCs w:val="20"/>
                <w:lang w:val="en-US"/>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41.4</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43.2</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43.2</w:t>
            </w:r>
          </w:p>
        </w:tc>
      </w:tr>
      <w:tr w:rsidR="00CD2A5A">
        <w:trPr>
          <w:jc w:val="center"/>
        </w:trPr>
        <w:tc>
          <w:tcPr>
            <w:tcW w:w="2367" w:type="pct"/>
          </w:tcPr>
          <w:p w:rsidR="00CD2A5A" w:rsidRDefault="00CD2A5A">
            <w:pPr>
              <w:spacing w:before="40" w:after="40"/>
              <w:rPr>
                <w:rStyle w:val="CharacterStyle1"/>
                <w:sz w:val="20"/>
                <w:szCs w:val="20"/>
                <w:lang w:val="es-ES_tradnl"/>
              </w:rPr>
            </w:pPr>
            <w:r>
              <w:rPr>
                <w:sz w:val="20"/>
                <w:szCs w:val="20"/>
                <w:lang w:val="en-GB"/>
              </w:rPr>
              <w:t>Eradication of Child Labour</w:t>
            </w:r>
          </w:p>
        </w:tc>
        <w:tc>
          <w:tcPr>
            <w:tcW w:w="801" w:type="pct"/>
          </w:tcPr>
          <w:p w:rsidR="00CD2A5A" w:rsidRDefault="00CD2A5A">
            <w:pPr>
              <w:spacing w:before="40" w:after="40"/>
              <w:rPr>
                <w:sz w:val="20"/>
                <w:szCs w:val="20"/>
                <w:lang w:val="es-ES_tradnl"/>
              </w:rPr>
            </w:pPr>
            <w:r>
              <w:rPr>
                <w:sz w:val="20"/>
                <w:szCs w:val="20"/>
                <w:lang w:val="en-GB"/>
              </w:rPr>
              <w:t>General fund</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34.7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36.5</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36.5</w:t>
            </w:r>
          </w:p>
        </w:tc>
      </w:tr>
      <w:tr w:rsidR="00CD2A5A">
        <w:trPr>
          <w:jc w:val="center"/>
        </w:trPr>
        <w:tc>
          <w:tcPr>
            <w:tcW w:w="2367" w:type="pct"/>
          </w:tcPr>
          <w:p w:rsidR="00CD2A5A" w:rsidRDefault="00CD2A5A">
            <w:pPr>
              <w:spacing w:before="40" w:after="40"/>
              <w:rPr>
                <w:rStyle w:val="CharacterStyle1"/>
                <w:sz w:val="20"/>
                <w:szCs w:val="20"/>
                <w:lang w:val="es-ES_tradnl"/>
              </w:rPr>
            </w:pPr>
            <w:r>
              <w:rPr>
                <w:rStyle w:val="CharacterStyle1"/>
                <w:sz w:val="20"/>
                <w:szCs w:val="20"/>
                <w:lang w:val="en-GB"/>
              </w:rPr>
              <w:t>INSAFOR</w:t>
            </w:r>
          </w:p>
        </w:tc>
        <w:tc>
          <w:tcPr>
            <w:tcW w:w="801" w:type="pct"/>
          </w:tcPr>
          <w:p w:rsidR="00CD2A5A" w:rsidRDefault="00CD2A5A">
            <w:pPr>
              <w:spacing w:before="40" w:after="40"/>
              <w:rPr>
                <w:sz w:val="20"/>
                <w:szCs w:val="20"/>
                <w:lang w:val="es-ES_tradnl"/>
              </w:rPr>
            </w:pPr>
            <w:r>
              <w:rPr>
                <w:sz w:val="20"/>
                <w:szCs w:val="20"/>
                <w:lang w:val="en-GB"/>
              </w:rPr>
              <w:t>Own resources</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6.7</w:t>
            </w:r>
          </w:p>
        </w:tc>
        <w:tc>
          <w:tcPr>
            <w:tcW w:w="611" w:type="pct"/>
          </w:tcPr>
          <w:p w:rsidR="00CD2A5A" w:rsidRDefault="00CD2A5A">
            <w:pPr>
              <w:spacing w:before="40" w:after="40"/>
              <w:ind w:right="114"/>
              <w:jc w:val="right"/>
              <w:rPr>
                <w:rStyle w:val="CharacterStyle1"/>
                <w:sz w:val="20"/>
                <w:szCs w:val="20"/>
                <w:lang w:val="es-ES_tradnl"/>
              </w:rPr>
            </w:pPr>
            <w:r>
              <w:rPr>
                <w:rStyle w:val="CharacterStyle1"/>
                <w:sz w:val="20"/>
                <w:szCs w:val="20"/>
                <w:lang w:val="es-ES_tradnl"/>
              </w:rPr>
              <w:t>6.7</w:t>
            </w:r>
          </w:p>
        </w:tc>
      </w:tr>
      <w:tr w:rsidR="00CD2A5A">
        <w:trPr>
          <w:jc w:val="center"/>
        </w:trPr>
        <w:tc>
          <w:tcPr>
            <w:tcW w:w="2367" w:type="pct"/>
          </w:tcPr>
          <w:p w:rsidR="00CD2A5A" w:rsidRDefault="00CD2A5A">
            <w:pPr>
              <w:spacing w:before="40" w:after="40"/>
              <w:rPr>
                <w:b/>
                <w:bCs/>
                <w:sz w:val="20"/>
                <w:szCs w:val="20"/>
                <w:lang w:val="es-ES_tradnl"/>
              </w:rPr>
            </w:pPr>
            <w:r>
              <w:rPr>
                <w:b/>
                <w:bCs/>
                <w:sz w:val="20"/>
                <w:szCs w:val="20"/>
                <w:lang w:val="en-GB"/>
              </w:rPr>
              <w:t>Total</w:t>
            </w:r>
          </w:p>
        </w:tc>
        <w:tc>
          <w:tcPr>
            <w:tcW w:w="801" w:type="pct"/>
          </w:tcPr>
          <w:p w:rsidR="00CD2A5A" w:rsidRDefault="00CD2A5A">
            <w:pPr>
              <w:spacing w:before="40" w:after="40"/>
              <w:rPr>
                <w:sz w:val="20"/>
                <w:szCs w:val="20"/>
                <w:lang w:val="es-ES_tradnl"/>
              </w:rPr>
            </w:pP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491,800.1</w:t>
            </w:r>
          </w:p>
        </w:tc>
        <w:tc>
          <w:tcPr>
            <w:tcW w:w="611" w:type="pct"/>
          </w:tcPr>
          <w:p w:rsidR="00CD2A5A" w:rsidRDefault="00CD2A5A">
            <w:pPr>
              <w:spacing w:before="40" w:after="40"/>
              <w:ind w:right="114"/>
              <w:jc w:val="right"/>
              <w:rPr>
                <w:rStyle w:val="CharacterStyle1"/>
                <w:b/>
                <w:bCs/>
                <w:sz w:val="20"/>
                <w:szCs w:val="20"/>
                <w:lang w:val="es-ES_tradnl"/>
              </w:rPr>
            </w:pPr>
            <w:r>
              <w:rPr>
                <w:rStyle w:val="CharacterStyle1"/>
                <w:b/>
                <w:bCs/>
                <w:sz w:val="20"/>
                <w:szCs w:val="20"/>
                <w:lang w:val="es-ES_tradnl"/>
              </w:rPr>
              <w:t>521,268.1</w:t>
            </w:r>
          </w:p>
        </w:tc>
        <w:tc>
          <w:tcPr>
            <w:tcW w:w="611" w:type="pct"/>
          </w:tcPr>
          <w:p w:rsidR="00CD2A5A" w:rsidRDefault="00CD2A5A">
            <w:pPr>
              <w:spacing w:before="40" w:after="40"/>
              <w:ind w:right="114"/>
              <w:jc w:val="right"/>
              <w:rPr>
                <w:rStyle w:val="CharacterStyle1"/>
                <w:w w:val="103"/>
                <w:sz w:val="20"/>
                <w:szCs w:val="20"/>
                <w:lang w:val="es-ES_tradnl"/>
              </w:rPr>
            </w:pPr>
            <w:r>
              <w:rPr>
                <w:rStyle w:val="CharacterStyle1"/>
                <w:b/>
                <w:bCs/>
                <w:sz w:val="20"/>
                <w:szCs w:val="20"/>
                <w:lang w:val="es-ES_tradnl"/>
              </w:rPr>
              <w:t>572,160.1</w:t>
            </w:r>
          </w:p>
        </w:tc>
      </w:tr>
    </w:tbl>
    <w:p w:rsidR="00CD2A5A" w:rsidRDefault="00CD2A5A">
      <w:pPr>
        <w:pStyle w:val="Source"/>
        <w:spacing w:after="80"/>
      </w:pPr>
      <w:r>
        <w:rPr>
          <w:i/>
        </w:rPr>
        <w:t>Source</w:t>
      </w:r>
      <w:r>
        <w:t>: SAFI, ISRI, FOSALUD ISSS, MISPYAS.</w:t>
      </w:r>
    </w:p>
    <w:p w:rsidR="00CD2A5A" w:rsidRDefault="00CD2A5A">
      <w:pPr>
        <w:pStyle w:val="Source"/>
      </w:pPr>
      <w:r>
        <w:t>1/ The information on hospital care for 2006 has yet to be completed with Ministry of Health data. It was therefore estimated to be the same as for 2005.</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As an agency specializing in caring for vulnerable children, ISNA was allocated the following budget for the past three years:</w:t>
      </w:r>
    </w:p>
    <w:p w:rsidR="00CD2A5A" w:rsidRDefault="00CD2A5A" w:rsidP="00CD2A5A">
      <w:pPr>
        <w:pStyle w:val="Figure"/>
      </w:pPr>
      <w:r>
        <w:t>Figure 5</w:t>
      </w:r>
    </w:p>
    <w:p w:rsidR="00CD2A5A" w:rsidRDefault="00CD2A5A" w:rsidP="00CD2A5A">
      <w:pPr>
        <w:pStyle w:val="Figure"/>
      </w:pPr>
      <w:r>
        <w:t>Budget allocated to ISNA (2004-2006)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4706"/>
      </w:tblGrid>
      <w:tr w:rsidR="00CD2A5A">
        <w:trPr>
          <w:jc w:val="center"/>
        </w:trPr>
        <w:tc>
          <w:tcPr>
            <w:tcW w:w="3600" w:type="dxa"/>
            <w:vAlign w:val="center"/>
          </w:tcPr>
          <w:p w:rsidR="00CD2A5A" w:rsidRDefault="00CD2A5A" w:rsidP="006228EF">
            <w:pPr>
              <w:spacing w:before="40" w:after="40"/>
              <w:jc w:val="center"/>
              <w:rPr>
                <w:b/>
                <w:i/>
                <w:sz w:val="20"/>
                <w:szCs w:val="20"/>
                <w:lang w:val="es-SV"/>
              </w:rPr>
            </w:pPr>
            <w:r>
              <w:rPr>
                <w:b/>
                <w:i/>
                <w:sz w:val="20"/>
                <w:szCs w:val="20"/>
                <w:lang w:val="en-GB"/>
              </w:rPr>
              <w:t>Year</w:t>
            </w:r>
          </w:p>
        </w:tc>
        <w:tc>
          <w:tcPr>
            <w:tcW w:w="3600" w:type="dxa"/>
            <w:vAlign w:val="center"/>
          </w:tcPr>
          <w:p w:rsidR="00CD2A5A" w:rsidRDefault="00CD2A5A" w:rsidP="006228EF">
            <w:pPr>
              <w:spacing w:before="40" w:after="40"/>
              <w:jc w:val="center"/>
              <w:rPr>
                <w:b/>
                <w:i/>
                <w:sz w:val="20"/>
                <w:szCs w:val="20"/>
                <w:lang w:val="es-SV"/>
              </w:rPr>
            </w:pPr>
            <w:r>
              <w:rPr>
                <w:b/>
                <w:i/>
                <w:sz w:val="20"/>
                <w:szCs w:val="20"/>
                <w:lang w:val="en-GB"/>
              </w:rPr>
              <w:t>Budget (US dollars)</w:t>
            </w:r>
          </w:p>
        </w:tc>
      </w:tr>
      <w:tr w:rsidR="00CD2A5A">
        <w:trPr>
          <w:jc w:val="center"/>
        </w:trPr>
        <w:tc>
          <w:tcPr>
            <w:tcW w:w="3600" w:type="dxa"/>
          </w:tcPr>
          <w:p w:rsidR="00CD2A5A" w:rsidRDefault="00CD2A5A">
            <w:pPr>
              <w:spacing w:before="40" w:after="40"/>
              <w:rPr>
                <w:sz w:val="20"/>
                <w:szCs w:val="20"/>
                <w:lang w:val="es-SV"/>
              </w:rPr>
            </w:pPr>
            <w:r>
              <w:rPr>
                <w:sz w:val="20"/>
                <w:szCs w:val="20"/>
                <w:lang w:val="es-SV"/>
              </w:rPr>
              <w:t>2004</w:t>
            </w:r>
          </w:p>
        </w:tc>
        <w:tc>
          <w:tcPr>
            <w:tcW w:w="3600" w:type="dxa"/>
          </w:tcPr>
          <w:p w:rsidR="00CD2A5A" w:rsidRDefault="00CD2A5A" w:rsidP="006228EF">
            <w:pPr>
              <w:spacing w:before="40" w:after="40"/>
              <w:ind w:right="2074"/>
              <w:jc w:val="right"/>
              <w:rPr>
                <w:sz w:val="20"/>
                <w:szCs w:val="20"/>
                <w:lang w:val="es-SV"/>
              </w:rPr>
            </w:pPr>
            <w:r>
              <w:rPr>
                <w:sz w:val="20"/>
                <w:szCs w:val="20"/>
                <w:lang w:val="es-SV"/>
              </w:rPr>
              <w:t>12,357,166.36</w:t>
            </w:r>
          </w:p>
        </w:tc>
      </w:tr>
      <w:tr w:rsidR="00CD2A5A">
        <w:trPr>
          <w:trHeight w:val="173"/>
          <w:jc w:val="center"/>
        </w:trPr>
        <w:tc>
          <w:tcPr>
            <w:tcW w:w="3600" w:type="dxa"/>
          </w:tcPr>
          <w:p w:rsidR="00CD2A5A" w:rsidRDefault="00CD2A5A">
            <w:pPr>
              <w:spacing w:before="40" w:after="40"/>
              <w:rPr>
                <w:sz w:val="20"/>
                <w:szCs w:val="20"/>
                <w:lang w:val="es-SV"/>
              </w:rPr>
            </w:pPr>
            <w:r>
              <w:rPr>
                <w:sz w:val="20"/>
                <w:szCs w:val="20"/>
                <w:lang w:val="es-SV"/>
              </w:rPr>
              <w:t>2005</w:t>
            </w:r>
          </w:p>
        </w:tc>
        <w:tc>
          <w:tcPr>
            <w:tcW w:w="3600" w:type="dxa"/>
          </w:tcPr>
          <w:p w:rsidR="00CD2A5A" w:rsidRDefault="00CD2A5A" w:rsidP="006228EF">
            <w:pPr>
              <w:spacing w:before="40" w:after="40"/>
              <w:ind w:right="2074"/>
              <w:jc w:val="right"/>
              <w:rPr>
                <w:sz w:val="20"/>
                <w:szCs w:val="20"/>
                <w:lang w:val="es-SV"/>
              </w:rPr>
            </w:pPr>
            <w:r>
              <w:rPr>
                <w:sz w:val="20"/>
                <w:szCs w:val="20"/>
                <w:lang w:val="es-SV"/>
              </w:rPr>
              <w:t>11,763,675.00</w:t>
            </w:r>
          </w:p>
        </w:tc>
      </w:tr>
      <w:tr w:rsidR="00CD2A5A">
        <w:trPr>
          <w:trHeight w:val="173"/>
          <w:jc w:val="center"/>
        </w:trPr>
        <w:tc>
          <w:tcPr>
            <w:tcW w:w="3600" w:type="dxa"/>
          </w:tcPr>
          <w:p w:rsidR="00CD2A5A" w:rsidRDefault="00CD2A5A">
            <w:pPr>
              <w:spacing w:before="40" w:after="40"/>
              <w:rPr>
                <w:sz w:val="20"/>
                <w:szCs w:val="20"/>
                <w:lang w:val="es-SV"/>
              </w:rPr>
            </w:pPr>
            <w:r>
              <w:rPr>
                <w:sz w:val="20"/>
                <w:szCs w:val="20"/>
                <w:lang w:val="es-SV"/>
              </w:rPr>
              <w:t>2006</w:t>
            </w:r>
          </w:p>
        </w:tc>
        <w:tc>
          <w:tcPr>
            <w:tcW w:w="3600" w:type="dxa"/>
          </w:tcPr>
          <w:p w:rsidR="00CD2A5A" w:rsidRDefault="00CD2A5A" w:rsidP="006228EF">
            <w:pPr>
              <w:spacing w:before="40" w:after="40"/>
              <w:ind w:right="2074"/>
              <w:jc w:val="right"/>
              <w:rPr>
                <w:sz w:val="20"/>
                <w:szCs w:val="20"/>
                <w:lang w:val="es-SV"/>
              </w:rPr>
            </w:pPr>
            <w:r>
              <w:rPr>
                <w:sz w:val="20"/>
                <w:szCs w:val="20"/>
                <w:lang w:val="es-SV"/>
              </w:rPr>
              <w:t>12,701,745.55</w:t>
            </w:r>
          </w:p>
        </w:tc>
      </w:tr>
    </w:tbl>
    <w:p w:rsidR="00CD2A5A" w:rsidRDefault="00CD2A5A">
      <w:pPr>
        <w:pStyle w:val="Source"/>
        <w:rPr>
          <w:lang w:val="en-US"/>
        </w:rPr>
      </w:pPr>
      <w:r>
        <w:t>Data taken from the ISNA Financial Unit on the basis of executed budgets.</w:t>
      </w:r>
    </w:p>
    <w:p w:rsidR="00CD2A5A" w:rsidRDefault="00CD2A5A">
      <w:pPr>
        <w:pStyle w:val="Header"/>
        <w:numPr>
          <w:ilvl w:val="0"/>
          <w:numId w:val="3"/>
        </w:numPr>
        <w:tabs>
          <w:tab w:val="clear" w:pos="720"/>
          <w:tab w:val="clear" w:pos="4252"/>
        </w:tabs>
        <w:spacing w:after="240"/>
        <w:ind w:left="0" w:firstLine="0"/>
        <w:rPr>
          <w:lang w:val="en-US"/>
        </w:rPr>
      </w:pPr>
      <w:r>
        <w:rPr>
          <w:lang w:val="en-GB"/>
        </w:rPr>
        <w:t>We would point out that the tendency to support budgets earmarked for child care also applies to the strengthening of the courts and specialist offices of the judiciary for minors, as the following table shows:</w:t>
      </w:r>
    </w:p>
    <w:p w:rsidR="00CD2A5A" w:rsidRDefault="00CD2A5A" w:rsidP="00ED5B89">
      <w:pPr>
        <w:pStyle w:val="Figure"/>
        <w:spacing w:after="120"/>
        <w:rPr>
          <w:lang w:val="en-US"/>
        </w:rPr>
      </w:pPr>
      <w:r>
        <w:br w:type="page"/>
        <w:t>Figure 6</w:t>
      </w:r>
    </w:p>
    <w:p w:rsidR="00CD2A5A" w:rsidRDefault="00CD2A5A" w:rsidP="00ED5B89">
      <w:pPr>
        <w:pStyle w:val="Figure"/>
        <w:spacing w:after="120"/>
      </w:pPr>
      <w:r>
        <w:t>Judiciary</w:t>
      </w:r>
    </w:p>
    <w:p w:rsidR="00CD2A5A" w:rsidRDefault="00CD2A5A" w:rsidP="00ED5B89">
      <w:pPr>
        <w:pStyle w:val="Figure"/>
        <w:spacing w:after="120"/>
      </w:pPr>
      <w:r>
        <w:t>Supreme court of justice</w:t>
      </w:r>
    </w:p>
    <w:p w:rsidR="00CD2A5A" w:rsidRDefault="00CD2A5A" w:rsidP="00ED5B89">
      <w:pPr>
        <w:pStyle w:val="Figure"/>
        <w:spacing w:after="120"/>
      </w:pPr>
      <w:r>
        <w:t>Department of institutional finance</w:t>
      </w:r>
    </w:p>
    <w:p w:rsidR="00CD2A5A" w:rsidRDefault="00CD2A5A" w:rsidP="00ED5B89">
      <w:pPr>
        <w:pStyle w:val="Figure"/>
        <w:spacing w:after="120"/>
      </w:pPr>
      <w:r>
        <w:t>Dollars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77"/>
        <w:gridCol w:w="1283"/>
        <w:gridCol w:w="1312"/>
        <w:gridCol w:w="1216"/>
        <w:gridCol w:w="1216"/>
        <w:gridCol w:w="1408"/>
      </w:tblGrid>
      <w:tr w:rsidR="00CD2A5A">
        <w:trPr>
          <w:jc w:val="center"/>
        </w:trPr>
        <w:tc>
          <w:tcPr>
            <w:tcW w:w="2977" w:type="dxa"/>
            <w:vAlign w:val="center"/>
          </w:tcPr>
          <w:p w:rsidR="00CD2A5A" w:rsidRDefault="00CD2A5A">
            <w:pPr>
              <w:keepNext/>
              <w:spacing w:before="40" w:after="40"/>
              <w:jc w:val="center"/>
              <w:rPr>
                <w:b/>
                <w:i/>
                <w:sz w:val="20"/>
                <w:szCs w:val="20"/>
                <w:lang w:val="es-SV"/>
              </w:rPr>
            </w:pPr>
          </w:p>
        </w:tc>
        <w:tc>
          <w:tcPr>
            <w:tcW w:w="1283" w:type="dxa"/>
            <w:vAlign w:val="center"/>
          </w:tcPr>
          <w:p w:rsidR="00CD2A5A" w:rsidRDefault="00CD2A5A">
            <w:pPr>
              <w:keepNext/>
              <w:spacing w:before="40" w:after="40"/>
              <w:jc w:val="center"/>
              <w:rPr>
                <w:b/>
                <w:i/>
                <w:sz w:val="20"/>
                <w:szCs w:val="20"/>
                <w:lang w:val="es-SV"/>
              </w:rPr>
            </w:pPr>
            <w:r>
              <w:rPr>
                <w:b/>
                <w:i/>
                <w:sz w:val="20"/>
                <w:szCs w:val="20"/>
                <w:lang w:val="es-SV"/>
              </w:rPr>
              <w:t>Source of funding</w:t>
            </w:r>
          </w:p>
        </w:tc>
        <w:tc>
          <w:tcPr>
            <w:tcW w:w="1312" w:type="dxa"/>
            <w:vAlign w:val="center"/>
          </w:tcPr>
          <w:p w:rsidR="00CD2A5A" w:rsidRDefault="00CD2A5A">
            <w:pPr>
              <w:keepNext/>
              <w:spacing w:before="40" w:after="40"/>
              <w:jc w:val="center"/>
              <w:rPr>
                <w:b/>
                <w:i/>
                <w:sz w:val="20"/>
                <w:szCs w:val="20"/>
                <w:lang w:val="es-SV"/>
              </w:rPr>
            </w:pPr>
            <w:r>
              <w:rPr>
                <w:b/>
                <w:i/>
                <w:sz w:val="20"/>
                <w:szCs w:val="20"/>
                <w:lang w:val="es-SV"/>
              </w:rPr>
              <w:t>2004</w:t>
            </w:r>
          </w:p>
        </w:tc>
        <w:tc>
          <w:tcPr>
            <w:tcW w:w="1216" w:type="dxa"/>
            <w:vAlign w:val="center"/>
          </w:tcPr>
          <w:p w:rsidR="00CD2A5A" w:rsidRDefault="00CD2A5A">
            <w:pPr>
              <w:keepNext/>
              <w:spacing w:before="40" w:after="40"/>
              <w:jc w:val="center"/>
              <w:rPr>
                <w:b/>
                <w:i/>
                <w:sz w:val="20"/>
                <w:szCs w:val="20"/>
                <w:lang w:val="es-SV"/>
              </w:rPr>
            </w:pPr>
            <w:r>
              <w:rPr>
                <w:b/>
                <w:i/>
                <w:sz w:val="20"/>
                <w:szCs w:val="20"/>
                <w:lang w:val="es-SV"/>
              </w:rPr>
              <w:t>2005</w:t>
            </w:r>
          </w:p>
        </w:tc>
        <w:tc>
          <w:tcPr>
            <w:tcW w:w="1216" w:type="dxa"/>
            <w:vAlign w:val="center"/>
          </w:tcPr>
          <w:p w:rsidR="00CD2A5A" w:rsidRDefault="00CD2A5A">
            <w:pPr>
              <w:keepNext/>
              <w:spacing w:before="40" w:after="40"/>
              <w:jc w:val="center"/>
              <w:rPr>
                <w:b/>
                <w:i/>
                <w:sz w:val="20"/>
                <w:szCs w:val="20"/>
                <w:lang w:val="es-SV"/>
              </w:rPr>
            </w:pPr>
            <w:r>
              <w:rPr>
                <w:b/>
                <w:i/>
                <w:sz w:val="20"/>
                <w:szCs w:val="20"/>
                <w:lang w:val="es-SV"/>
              </w:rPr>
              <w:t>2006</w:t>
            </w:r>
          </w:p>
        </w:tc>
        <w:tc>
          <w:tcPr>
            <w:tcW w:w="1408" w:type="dxa"/>
            <w:vAlign w:val="center"/>
          </w:tcPr>
          <w:p w:rsidR="00CD2A5A" w:rsidRDefault="00CD2A5A">
            <w:pPr>
              <w:keepNext/>
              <w:spacing w:before="40" w:after="40"/>
              <w:jc w:val="center"/>
              <w:rPr>
                <w:b/>
                <w:i/>
                <w:sz w:val="20"/>
                <w:szCs w:val="20"/>
                <w:lang w:val="es-SV"/>
              </w:rPr>
            </w:pPr>
            <w:r>
              <w:rPr>
                <w:b/>
                <w:i/>
                <w:sz w:val="20"/>
                <w:szCs w:val="20"/>
                <w:lang w:val="es-SV"/>
              </w:rPr>
              <w:t>Cumulative total</w:t>
            </w:r>
          </w:p>
        </w:tc>
      </w:tr>
      <w:tr w:rsidR="00CD2A5A">
        <w:trPr>
          <w:jc w:val="center"/>
        </w:trPr>
        <w:tc>
          <w:tcPr>
            <w:tcW w:w="2977" w:type="dxa"/>
          </w:tcPr>
          <w:p w:rsidR="00CD2A5A" w:rsidRDefault="00CD2A5A">
            <w:pPr>
              <w:spacing w:before="40" w:after="40"/>
              <w:rPr>
                <w:sz w:val="20"/>
                <w:szCs w:val="20"/>
                <w:lang w:val="en-US"/>
              </w:rPr>
            </w:pPr>
            <w:r>
              <w:rPr>
                <w:sz w:val="20"/>
                <w:szCs w:val="20"/>
                <w:lang w:val="en-US"/>
              </w:rPr>
              <w:t>Strengthening of the CSJ Juvenile Justice Support Office</w:t>
            </w:r>
          </w:p>
        </w:tc>
        <w:tc>
          <w:tcPr>
            <w:tcW w:w="1283" w:type="dxa"/>
          </w:tcPr>
          <w:p w:rsidR="00CD2A5A" w:rsidRDefault="00CD2A5A">
            <w:pPr>
              <w:spacing w:before="40" w:after="40"/>
              <w:rPr>
                <w:sz w:val="20"/>
                <w:szCs w:val="20"/>
                <w:lang w:val="es-SV"/>
              </w:rPr>
            </w:pPr>
            <w:r>
              <w:rPr>
                <w:sz w:val="20"/>
                <w:szCs w:val="20"/>
                <w:lang w:val="es-SV"/>
              </w:rPr>
              <w:t>External fund</w:t>
            </w:r>
          </w:p>
        </w:tc>
        <w:tc>
          <w:tcPr>
            <w:tcW w:w="1312" w:type="dxa"/>
          </w:tcPr>
          <w:p w:rsidR="00CD2A5A" w:rsidRDefault="00CD2A5A">
            <w:pPr>
              <w:spacing w:before="40" w:after="40"/>
              <w:jc w:val="right"/>
              <w:rPr>
                <w:sz w:val="20"/>
                <w:szCs w:val="20"/>
                <w:lang w:val="es-SV"/>
              </w:rPr>
            </w:pPr>
            <w:r>
              <w:rPr>
                <w:sz w:val="20"/>
                <w:szCs w:val="20"/>
                <w:lang w:val="es-SV"/>
              </w:rPr>
              <w:t>$39,231</w:t>
            </w:r>
          </w:p>
        </w:tc>
        <w:tc>
          <w:tcPr>
            <w:tcW w:w="1216" w:type="dxa"/>
          </w:tcPr>
          <w:p w:rsidR="00CD2A5A" w:rsidRDefault="00CD2A5A">
            <w:pPr>
              <w:spacing w:before="40" w:after="40"/>
              <w:jc w:val="right"/>
              <w:rPr>
                <w:sz w:val="20"/>
                <w:szCs w:val="20"/>
                <w:lang w:val="es-SV"/>
              </w:rPr>
            </w:pPr>
            <w:r>
              <w:rPr>
                <w:sz w:val="20"/>
                <w:szCs w:val="20"/>
                <w:lang w:val="es-SV"/>
              </w:rPr>
              <w:t>$31,116</w:t>
            </w:r>
          </w:p>
        </w:tc>
        <w:tc>
          <w:tcPr>
            <w:tcW w:w="1216" w:type="dxa"/>
          </w:tcPr>
          <w:p w:rsidR="00CD2A5A" w:rsidRDefault="00CD2A5A">
            <w:pPr>
              <w:spacing w:before="40" w:after="40"/>
              <w:jc w:val="right"/>
              <w:rPr>
                <w:sz w:val="20"/>
                <w:szCs w:val="20"/>
                <w:lang w:val="es-SV"/>
              </w:rPr>
            </w:pPr>
            <w:r>
              <w:rPr>
                <w:sz w:val="20"/>
                <w:szCs w:val="20"/>
                <w:lang w:val="es-SV"/>
              </w:rPr>
              <w:t>$16,221</w:t>
            </w:r>
          </w:p>
        </w:tc>
        <w:tc>
          <w:tcPr>
            <w:tcW w:w="1408" w:type="dxa"/>
          </w:tcPr>
          <w:p w:rsidR="00CD2A5A" w:rsidRDefault="00CD2A5A">
            <w:pPr>
              <w:spacing w:before="40" w:after="40"/>
              <w:jc w:val="right"/>
              <w:rPr>
                <w:sz w:val="20"/>
                <w:szCs w:val="20"/>
                <w:lang w:val="es-SV"/>
              </w:rPr>
            </w:pPr>
            <w:r>
              <w:rPr>
                <w:sz w:val="20"/>
                <w:szCs w:val="20"/>
                <w:lang w:val="es-SV"/>
              </w:rPr>
              <w:t>$86,568</w:t>
            </w:r>
          </w:p>
        </w:tc>
      </w:tr>
      <w:tr w:rsidR="00CD2A5A">
        <w:trPr>
          <w:jc w:val="center"/>
        </w:trPr>
        <w:tc>
          <w:tcPr>
            <w:tcW w:w="2977" w:type="dxa"/>
          </w:tcPr>
          <w:p w:rsidR="00CD2A5A" w:rsidRDefault="00CD2A5A">
            <w:pPr>
              <w:spacing w:before="40" w:after="40"/>
              <w:rPr>
                <w:sz w:val="20"/>
                <w:szCs w:val="20"/>
                <w:lang w:val="en-US"/>
              </w:rPr>
            </w:pPr>
            <w:r>
              <w:rPr>
                <w:sz w:val="20"/>
                <w:szCs w:val="20"/>
                <w:lang w:val="en-US"/>
              </w:rPr>
              <w:t xml:space="preserve">Juvenile courts </w:t>
            </w:r>
            <w:r>
              <w:rPr>
                <w:sz w:val="20"/>
                <w:szCs w:val="20"/>
                <w:lang w:val="en-US"/>
              </w:rPr>
              <w:br/>
              <w:t>(3 chambers and 20 judges)</w:t>
            </w:r>
          </w:p>
        </w:tc>
        <w:tc>
          <w:tcPr>
            <w:tcW w:w="1283" w:type="dxa"/>
          </w:tcPr>
          <w:p w:rsidR="00CD2A5A" w:rsidRDefault="00CD2A5A">
            <w:pPr>
              <w:spacing w:before="40" w:after="40"/>
              <w:rPr>
                <w:sz w:val="20"/>
                <w:szCs w:val="20"/>
                <w:lang w:val="en-US"/>
              </w:rPr>
            </w:pPr>
            <w:r>
              <w:rPr>
                <w:sz w:val="20"/>
                <w:szCs w:val="20"/>
                <w:lang w:val="en-US"/>
              </w:rPr>
              <w:t>General fund</w:t>
            </w:r>
          </w:p>
        </w:tc>
        <w:tc>
          <w:tcPr>
            <w:tcW w:w="1312" w:type="dxa"/>
          </w:tcPr>
          <w:p w:rsidR="00CD2A5A" w:rsidRDefault="00CD2A5A">
            <w:pPr>
              <w:spacing w:before="40" w:after="40"/>
              <w:jc w:val="right"/>
              <w:rPr>
                <w:sz w:val="20"/>
                <w:szCs w:val="20"/>
                <w:lang w:val="en-US"/>
              </w:rPr>
            </w:pPr>
            <w:r>
              <w:rPr>
                <w:sz w:val="20"/>
                <w:szCs w:val="20"/>
                <w:lang w:val="en-US"/>
              </w:rPr>
              <w:t>$4,025,187*</w:t>
            </w:r>
          </w:p>
        </w:tc>
        <w:tc>
          <w:tcPr>
            <w:tcW w:w="1216" w:type="dxa"/>
          </w:tcPr>
          <w:p w:rsidR="00CD2A5A" w:rsidRDefault="00CD2A5A">
            <w:pPr>
              <w:spacing w:before="40" w:after="40"/>
              <w:jc w:val="right"/>
              <w:rPr>
                <w:sz w:val="20"/>
                <w:szCs w:val="20"/>
                <w:lang w:val="en-US"/>
              </w:rPr>
            </w:pPr>
            <w:r>
              <w:rPr>
                <w:sz w:val="20"/>
                <w:szCs w:val="20"/>
                <w:lang w:val="en-US"/>
              </w:rPr>
              <w:t>$4,025,187</w:t>
            </w:r>
          </w:p>
        </w:tc>
        <w:tc>
          <w:tcPr>
            <w:tcW w:w="1216" w:type="dxa"/>
          </w:tcPr>
          <w:p w:rsidR="00CD2A5A" w:rsidRDefault="00CD2A5A">
            <w:pPr>
              <w:spacing w:before="40" w:after="40"/>
              <w:jc w:val="right"/>
              <w:rPr>
                <w:sz w:val="20"/>
                <w:szCs w:val="20"/>
                <w:lang w:val="en-US"/>
              </w:rPr>
            </w:pPr>
            <w:r>
              <w:rPr>
                <w:sz w:val="20"/>
                <w:szCs w:val="20"/>
                <w:lang w:val="en-US"/>
              </w:rPr>
              <w:t>$4,348,689</w:t>
            </w:r>
          </w:p>
        </w:tc>
        <w:tc>
          <w:tcPr>
            <w:tcW w:w="1408" w:type="dxa"/>
          </w:tcPr>
          <w:p w:rsidR="00CD2A5A" w:rsidRDefault="00CD2A5A">
            <w:pPr>
              <w:spacing w:before="40" w:after="40"/>
              <w:jc w:val="right"/>
              <w:rPr>
                <w:sz w:val="20"/>
                <w:szCs w:val="20"/>
                <w:lang w:val="en-US"/>
              </w:rPr>
            </w:pPr>
            <w:r>
              <w:rPr>
                <w:sz w:val="20"/>
                <w:szCs w:val="20"/>
                <w:lang w:val="en-US"/>
              </w:rPr>
              <w:t>$12,399,063</w:t>
            </w:r>
          </w:p>
        </w:tc>
      </w:tr>
      <w:tr w:rsidR="00CD2A5A">
        <w:trPr>
          <w:jc w:val="center"/>
        </w:trPr>
        <w:tc>
          <w:tcPr>
            <w:tcW w:w="2977" w:type="dxa"/>
            <w:tcBorders>
              <w:bottom w:val="single" w:sz="4" w:space="0" w:color="auto"/>
            </w:tcBorders>
          </w:tcPr>
          <w:p w:rsidR="00CD2A5A" w:rsidRDefault="00CD2A5A">
            <w:pPr>
              <w:spacing w:before="40" w:after="40"/>
              <w:rPr>
                <w:sz w:val="20"/>
                <w:szCs w:val="20"/>
                <w:lang w:val="en-US"/>
              </w:rPr>
            </w:pPr>
            <w:r>
              <w:rPr>
                <w:sz w:val="20"/>
                <w:szCs w:val="20"/>
                <w:lang w:val="en-US"/>
              </w:rPr>
              <w:t xml:space="preserve">Family courts </w:t>
            </w:r>
            <w:r>
              <w:rPr>
                <w:sz w:val="20"/>
                <w:szCs w:val="20"/>
                <w:lang w:val="en-US"/>
              </w:rPr>
              <w:br/>
              <w:t>(3 chambers and 22 judges)</w:t>
            </w:r>
          </w:p>
        </w:tc>
        <w:tc>
          <w:tcPr>
            <w:tcW w:w="1283" w:type="dxa"/>
            <w:tcBorders>
              <w:bottom w:val="single" w:sz="4" w:space="0" w:color="auto"/>
            </w:tcBorders>
          </w:tcPr>
          <w:p w:rsidR="00CD2A5A" w:rsidRDefault="00CD2A5A">
            <w:pPr>
              <w:spacing w:before="40" w:after="40"/>
              <w:rPr>
                <w:sz w:val="20"/>
                <w:szCs w:val="20"/>
                <w:lang w:val="en-US"/>
              </w:rPr>
            </w:pPr>
            <w:r>
              <w:rPr>
                <w:sz w:val="20"/>
                <w:szCs w:val="20"/>
                <w:lang w:val="en-US"/>
              </w:rPr>
              <w:t>General fund</w:t>
            </w:r>
          </w:p>
        </w:tc>
        <w:tc>
          <w:tcPr>
            <w:tcW w:w="1312" w:type="dxa"/>
            <w:tcBorders>
              <w:bottom w:val="single" w:sz="4" w:space="0" w:color="auto"/>
            </w:tcBorders>
          </w:tcPr>
          <w:p w:rsidR="00CD2A5A" w:rsidRDefault="00CD2A5A">
            <w:pPr>
              <w:spacing w:before="40" w:after="40"/>
              <w:jc w:val="right"/>
              <w:rPr>
                <w:sz w:val="20"/>
                <w:szCs w:val="20"/>
                <w:lang w:val="en-US"/>
              </w:rPr>
            </w:pPr>
            <w:r>
              <w:rPr>
                <w:sz w:val="20"/>
                <w:szCs w:val="20"/>
                <w:lang w:val="en-US"/>
              </w:rPr>
              <w:t>$6,066,432*</w:t>
            </w:r>
          </w:p>
        </w:tc>
        <w:tc>
          <w:tcPr>
            <w:tcW w:w="1216" w:type="dxa"/>
            <w:tcBorders>
              <w:bottom w:val="single" w:sz="4" w:space="0" w:color="auto"/>
            </w:tcBorders>
          </w:tcPr>
          <w:p w:rsidR="00CD2A5A" w:rsidRDefault="00CD2A5A">
            <w:pPr>
              <w:spacing w:before="40" w:after="40"/>
              <w:jc w:val="right"/>
              <w:rPr>
                <w:sz w:val="20"/>
                <w:szCs w:val="20"/>
                <w:lang w:val="es-SV"/>
              </w:rPr>
            </w:pPr>
            <w:r>
              <w:rPr>
                <w:sz w:val="20"/>
                <w:szCs w:val="20"/>
                <w:lang w:val="en-US"/>
              </w:rPr>
              <w:t>$</w:t>
            </w:r>
            <w:r>
              <w:rPr>
                <w:sz w:val="20"/>
                <w:szCs w:val="20"/>
                <w:lang w:val="es-SV"/>
              </w:rPr>
              <w:t>6,066,432</w:t>
            </w:r>
          </w:p>
        </w:tc>
        <w:tc>
          <w:tcPr>
            <w:tcW w:w="1216" w:type="dxa"/>
            <w:tcBorders>
              <w:bottom w:val="single" w:sz="4" w:space="0" w:color="auto"/>
            </w:tcBorders>
          </w:tcPr>
          <w:p w:rsidR="00CD2A5A" w:rsidRDefault="00CD2A5A">
            <w:pPr>
              <w:spacing w:before="40" w:after="40"/>
              <w:jc w:val="right"/>
              <w:rPr>
                <w:sz w:val="20"/>
                <w:szCs w:val="20"/>
                <w:lang w:val="es-SV"/>
              </w:rPr>
            </w:pPr>
            <w:r>
              <w:rPr>
                <w:sz w:val="20"/>
                <w:szCs w:val="20"/>
                <w:lang w:val="es-SV"/>
              </w:rPr>
              <w:t>$6,559,487</w:t>
            </w:r>
          </w:p>
        </w:tc>
        <w:tc>
          <w:tcPr>
            <w:tcW w:w="1408" w:type="dxa"/>
            <w:tcBorders>
              <w:bottom w:val="single" w:sz="4" w:space="0" w:color="auto"/>
            </w:tcBorders>
          </w:tcPr>
          <w:p w:rsidR="00CD2A5A" w:rsidRDefault="00CD2A5A">
            <w:pPr>
              <w:spacing w:before="40" w:after="40"/>
              <w:jc w:val="right"/>
              <w:rPr>
                <w:sz w:val="20"/>
                <w:szCs w:val="20"/>
                <w:lang w:val="es-SV"/>
              </w:rPr>
            </w:pPr>
            <w:r>
              <w:rPr>
                <w:sz w:val="20"/>
                <w:szCs w:val="20"/>
                <w:lang w:val="es-SV"/>
              </w:rPr>
              <w:t>$18,692,351</w:t>
            </w:r>
          </w:p>
        </w:tc>
      </w:tr>
      <w:tr w:rsidR="00CD2A5A">
        <w:trPr>
          <w:jc w:val="center"/>
        </w:trPr>
        <w:tc>
          <w:tcPr>
            <w:tcW w:w="2977" w:type="dxa"/>
          </w:tcPr>
          <w:p w:rsidR="00CD2A5A" w:rsidRDefault="00CD2A5A">
            <w:pPr>
              <w:keepNext/>
              <w:spacing w:before="40" w:after="40"/>
              <w:rPr>
                <w:sz w:val="20"/>
                <w:szCs w:val="20"/>
                <w:lang w:val="es-SV"/>
              </w:rPr>
            </w:pPr>
            <w:r>
              <w:rPr>
                <w:sz w:val="20"/>
                <w:szCs w:val="20"/>
                <w:lang w:val="es-SV"/>
              </w:rPr>
              <w:t xml:space="preserve">  Total:</w:t>
            </w:r>
          </w:p>
        </w:tc>
        <w:tc>
          <w:tcPr>
            <w:tcW w:w="1283" w:type="dxa"/>
          </w:tcPr>
          <w:p w:rsidR="00CD2A5A" w:rsidRDefault="00CD2A5A">
            <w:pPr>
              <w:spacing w:before="40" w:after="40"/>
              <w:rPr>
                <w:sz w:val="20"/>
                <w:szCs w:val="20"/>
                <w:lang w:val="es-SV"/>
              </w:rPr>
            </w:pPr>
          </w:p>
        </w:tc>
        <w:tc>
          <w:tcPr>
            <w:tcW w:w="1312" w:type="dxa"/>
          </w:tcPr>
          <w:p w:rsidR="00CD2A5A" w:rsidRDefault="00CD2A5A">
            <w:pPr>
              <w:spacing w:before="40" w:after="40"/>
              <w:jc w:val="right"/>
              <w:rPr>
                <w:sz w:val="20"/>
                <w:szCs w:val="20"/>
                <w:lang w:val="es-SV"/>
              </w:rPr>
            </w:pPr>
            <w:r>
              <w:rPr>
                <w:sz w:val="20"/>
                <w:szCs w:val="20"/>
                <w:lang w:val="es-SV"/>
              </w:rPr>
              <w:t>$10,130,850</w:t>
            </w:r>
          </w:p>
        </w:tc>
        <w:tc>
          <w:tcPr>
            <w:tcW w:w="1216" w:type="dxa"/>
          </w:tcPr>
          <w:p w:rsidR="00CD2A5A" w:rsidRDefault="00CD2A5A">
            <w:pPr>
              <w:spacing w:before="40" w:after="40"/>
              <w:jc w:val="right"/>
              <w:rPr>
                <w:sz w:val="20"/>
                <w:szCs w:val="20"/>
                <w:lang w:val="es-SV"/>
              </w:rPr>
            </w:pPr>
            <w:r>
              <w:rPr>
                <w:sz w:val="20"/>
                <w:szCs w:val="20"/>
                <w:lang w:val="es-SV"/>
              </w:rPr>
              <w:t>$10,122,735</w:t>
            </w:r>
          </w:p>
        </w:tc>
        <w:tc>
          <w:tcPr>
            <w:tcW w:w="1216" w:type="dxa"/>
          </w:tcPr>
          <w:p w:rsidR="00CD2A5A" w:rsidRDefault="00CD2A5A">
            <w:pPr>
              <w:spacing w:before="40" w:after="40"/>
              <w:jc w:val="right"/>
              <w:rPr>
                <w:sz w:val="20"/>
                <w:szCs w:val="20"/>
                <w:lang w:val="es-SV"/>
              </w:rPr>
            </w:pPr>
            <w:r>
              <w:rPr>
                <w:sz w:val="20"/>
                <w:szCs w:val="20"/>
                <w:lang w:val="es-SV"/>
              </w:rPr>
              <w:t>$10,924,397</w:t>
            </w:r>
          </w:p>
        </w:tc>
        <w:tc>
          <w:tcPr>
            <w:tcW w:w="1408" w:type="dxa"/>
          </w:tcPr>
          <w:p w:rsidR="00CD2A5A" w:rsidRDefault="00CD2A5A">
            <w:pPr>
              <w:spacing w:before="40" w:after="40"/>
              <w:jc w:val="right"/>
              <w:rPr>
                <w:sz w:val="20"/>
                <w:szCs w:val="20"/>
                <w:lang w:val="es-SV"/>
              </w:rPr>
            </w:pPr>
            <w:r>
              <w:rPr>
                <w:sz w:val="20"/>
                <w:szCs w:val="20"/>
                <w:lang w:val="es-SV"/>
              </w:rPr>
              <w:t>$31,177,982</w:t>
            </w:r>
          </w:p>
        </w:tc>
      </w:tr>
    </w:tbl>
    <w:p w:rsidR="00CD2A5A" w:rsidRDefault="00CD2A5A">
      <w:pPr>
        <w:pStyle w:val="Source"/>
      </w:pPr>
      <w:r>
        <w:t>*Estimate</w:t>
      </w:r>
    </w:p>
    <w:p w:rsidR="00CD2A5A" w:rsidRDefault="00CD2A5A">
      <w:pPr>
        <w:pStyle w:val="Header"/>
        <w:numPr>
          <w:ilvl w:val="0"/>
          <w:numId w:val="3"/>
        </w:numPr>
        <w:tabs>
          <w:tab w:val="clear" w:pos="720"/>
          <w:tab w:val="clear" w:pos="4252"/>
        </w:tabs>
        <w:spacing w:after="240"/>
        <w:ind w:left="0" w:firstLine="0"/>
        <w:rPr>
          <w:lang w:val="en-US"/>
        </w:rPr>
      </w:pPr>
      <w:r>
        <w:rPr>
          <w:lang w:val="en-GB"/>
        </w:rPr>
        <w:t>In addition, the Ministry of Public Security has allocated substantial financial resources to the prevention of juvenile delinquency, as shown in the following table.</w:t>
      </w:r>
    </w:p>
    <w:p w:rsidR="00CD2A5A" w:rsidRDefault="00CD2A5A" w:rsidP="00ED5B89">
      <w:pPr>
        <w:pStyle w:val="Figure"/>
        <w:spacing w:after="120"/>
        <w:rPr>
          <w:lang w:val="en-US"/>
        </w:rPr>
      </w:pPr>
      <w:r>
        <w:t>Figure 7</w:t>
      </w:r>
    </w:p>
    <w:p w:rsidR="00CD2A5A" w:rsidRDefault="00CD2A5A" w:rsidP="00ED5B89">
      <w:pPr>
        <w:pStyle w:val="Figure"/>
        <w:spacing w:after="120"/>
      </w:pPr>
      <w:r>
        <w:t>Ministry of public security</w:t>
      </w:r>
    </w:p>
    <w:p w:rsidR="00CD2A5A" w:rsidRDefault="00CD2A5A" w:rsidP="00ED5B89">
      <w:pPr>
        <w:pStyle w:val="Figure"/>
        <w:spacing w:after="120"/>
      </w:pPr>
      <w:r>
        <w:t>In dollars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000"/>
        <w:gridCol w:w="2812"/>
        <w:gridCol w:w="1200"/>
        <w:gridCol w:w="1200"/>
        <w:gridCol w:w="1200"/>
      </w:tblGrid>
      <w:tr w:rsidR="00CD2A5A">
        <w:trPr>
          <w:jc w:val="center"/>
        </w:trPr>
        <w:tc>
          <w:tcPr>
            <w:tcW w:w="3000" w:type="dxa"/>
            <w:vAlign w:val="center"/>
          </w:tcPr>
          <w:p w:rsidR="00CD2A5A" w:rsidRDefault="00CD2A5A">
            <w:pPr>
              <w:spacing w:before="40" w:after="40"/>
              <w:rPr>
                <w:b/>
                <w:i/>
                <w:spacing w:val="-2"/>
                <w:sz w:val="20"/>
                <w:szCs w:val="20"/>
                <w:lang w:val="en-US" w:eastAsia="en-US" w:bidi="en-US"/>
              </w:rPr>
            </w:pPr>
            <w:r>
              <w:rPr>
                <w:b/>
                <w:i/>
                <w:spacing w:val="-2"/>
                <w:sz w:val="20"/>
                <w:szCs w:val="20"/>
                <w:lang w:val="en-GB"/>
              </w:rPr>
              <w:t>Programme and institution</w:t>
            </w:r>
          </w:p>
        </w:tc>
        <w:tc>
          <w:tcPr>
            <w:tcW w:w="2812" w:type="dxa"/>
            <w:vAlign w:val="center"/>
          </w:tcPr>
          <w:p w:rsidR="00CD2A5A" w:rsidRDefault="00CD2A5A">
            <w:pPr>
              <w:spacing w:before="40" w:after="40"/>
              <w:rPr>
                <w:b/>
                <w:i/>
                <w:spacing w:val="-2"/>
                <w:sz w:val="20"/>
                <w:szCs w:val="20"/>
                <w:lang w:val="en-US" w:eastAsia="en-US" w:bidi="en-US"/>
              </w:rPr>
            </w:pPr>
            <w:r>
              <w:rPr>
                <w:b/>
                <w:i/>
                <w:spacing w:val="-2"/>
                <w:sz w:val="20"/>
                <w:szCs w:val="20"/>
                <w:lang w:val="en-GB"/>
              </w:rPr>
              <w:t>Source of funding</w:t>
            </w:r>
          </w:p>
        </w:tc>
        <w:tc>
          <w:tcPr>
            <w:tcW w:w="1200" w:type="dxa"/>
            <w:vAlign w:val="center"/>
          </w:tcPr>
          <w:p w:rsidR="00CD2A5A" w:rsidRDefault="00CD2A5A">
            <w:pPr>
              <w:spacing w:before="40" w:after="40"/>
              <w:rPr>
                <w:b/>
                <w:i/>
                <w:spacing w:val="-2"/>
                <w:sz w:val="20"/>
                <w:szCs w:val="20"/>
                <w:lang w:val="en-US" w:eastAsia="en-US" w:bidi="en-US"/>
              </w:rPr>
            </w:pPr>
            <w:r>
              <w:rPr>
                <w:b/>
                <w:i/>
                <w:spacing w:val="-2"/>
                <w:sz w:val="20"/>
                <w:szCs w:val="20"/>
              </w:rPr>
              <w:t>2004</w:t>
            </w:r>
          </w:p>
        </w:tc>
        <w:tc>
          <w:tcPr>
            <w:tcW w:w="1200" w:type="dxa"/>
            <w:vAlign w:val="center"/>
          </w:tcPr>
          <w:p w:rsidR="00CD2A5A" w:rsidRDefault="00CD2A5A">
            <w:pPr>
              <w:spacing w:before="40" w:after="40"/>
              <w:rPr>
                <w:b/>
                <w:i/>
                <w:spacing w:val="-2"/>
                <w:sz w:val="20"/>
                <w:szCs w:val="20"/>
                <w:lang w:val="en-US" w:eastAsia="en-US" w:bidi="en-US"/>
              </w:rPr>
            </w:pPr>
            <w:r>
              <w:rPr>
                <w:b/>
                <w:i/>
                <w:spacing w:val="-2"/>
                <w:sz w:val="20"/>
                <w:szCs w:val="20"/>
              </w:rPr>
              <w:t>2005</w:t>
            </w:r>
          </w:p>
        </w:tc>
        <w:tc>
          <w:tcPr>
            <w:tcW w:w="1200" w:type="dxa"/>
            <w:vAlign w:val="center"/>
          </w:tcPr>
          <w:p w:rsidR="00CD2A5A" w:rsidRDefault="00CD2A5A">
            <w:pPr>
              <w:spacing w:before="40" w:after="40"/>
              <w:rPr>
                <w:b/>
                <w:i/>
                <w:spacing w:val="-2"/>
                <w:sz w:val="20"/>
                <w:szCs w:val="20"/>
                <w:lang w:val="en-US" w:eastAsia="en-US" w:bidi="en-US"/>
              </w:rPr>
            </w:pPr>
            <w:r>
              <w:rPr>
                <w:b/>
                <w:i/>
                <w:spacing w:val="-2"/>
                <w:sz w:val="20"/>
                <w:szCs w:val="20"/>
              </w:rPr>
              <w:t>2006</w:t>
            </w:r>
          </w:p>
        </w:tc>
      </w:tr>
      <w:tr w:rsidR="00CD2A5A">
        <w:trPr>
          <w:jc w:val="center"/>
        </w:trPr>
        <w:tc>
          <w:tcPr>
            <w:tcW w:w="3000" w:type="dxa"/>
          </w:tcPr>
          <w:p w:rsidR="00CD2A5A" w:rsidRDefault="00CD2A5A">
            <w:pPr>
              <w:spacing w:before="40" w:after="40"/>
              <w:rPr>
                <w:spacing w:val="-2"/>
                <w:sz w:val="20"/>
                <w:szCs w:val="20"/>
                <w:lang w:val="en-US" w:eastAsia="en-US" w:bidi="en-US"/>
              </w:rPr>
            </w:pPr>
            <w:r>
              <w:rPr>
                <w:spacing w:val="-2"/>
                <w:sz w:val="20"/>
                <w:szCs w:val="20"/>
                <w:lang w:val="en-GB"/>
              </w:rPr>
              <w:t>National Anti-Drugs Commission</w:t>
            </w: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General fund</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4,964.7</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40,943.7</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31,736.6</w:t>
            </w:r>
          </w:p>
        </w:tc>
      </w:tr>
      <w:tr w:rsidR="00CD2A5A">
        <w:trPr>
          <w:jc w:val="center"/>
        </w:trPr>
        <w:tc>
          <w:tcPr>
            <w:tcW w:w="3000" w:type="dxa"/>
          </w:tcPr>
          <w:p w:rsidR="00CD2A5A" w:rsidRDefault="00CD2A5A">
            <w:pPr>
              <w:spacing w:before="40" w:after="40"/>
              <w:rPr>
                <w:rStyle w:val="CharacterStyle2"/>
                <w:rFonts w:ascii="Times New Roman" w:hAnsi="Times New Roman"/>
                <w:spacing w:val="-2"/>
                <w:sz w:val="20"/>
                <w:szCs w:val="20"/>
                <w:lang w:val="en-US" w:eastAsia="en-US" w:bidi="en-US"/>
              </w:rPr>
            </w:pP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Donation from private enterprise</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11,057.5</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2,203.4</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1,777.1</w:t>
            </w:r>
          </w:p>
        </w:tc>
      </w:tr>
      <w:tr w:rsidR="00CD2A5A">
        <w:trPr>
          <w:jc w:val="center"/>
        </w:trPr>
        <w:tc>
          <w:tcPr>
            <w:tcW w:w="3000" w:type="dxa"/>
          </w:tcPr>
          <w:p w:rsidR="00CD2A5A" w:rsidRDefault="00CD2A5A">
            <w:pPr>
              <w:spacing w:before="40" w:after="40"/>
              <w:rPr>
                <w:rStyle w:val="CharacterStyle2"/>
                <w:rFonts w:ascii="Times New Roman" w:hAnsi="Times New Roman"/>
                <w:spacing w:val="-2"/>
                <w:sz w:val="20"/>
                <w:szCs w:val="20"/>
                <w:lang w:val="en-US" w:eastAsia="en-US" w:bidi="en-US"/>
              </w:rPr>
            </w:pPr>
          </w:p>
        </w:tc>
        <w:tc>
          <w:tcPr>
            <w:tcW w:w="2812" w:type="dxa"/>
          </w:tcPr>
          <w:p w:rsidR="00CD2A5A" w:rsidRDefault="00CD2A5A">
            <w:pPr>
              <w:spacing w:before="40" w:after="40"/>
              <w:rPr>
                <w:sz w:val="20"/>
                <w:szCs w:val="20"/>
                <w:lang w:val="en-US" w:eastAsia="en-US" w:bidi="en-US"/>
              </w:rPr>
            </w:pPr>
            <w:r>
              <w:rPr>
                <w:sz w:val="20"/>
                <w:szCs w:val="20"/>
                <w:lang w:val="en-GB"/>
              </w:rPr>
              <w:t>Donation from international organizations</w:t>
            </w:r>
          </w:p>
        </w:tc>
        <w:tc>
          <w:tcPr>
            <w:tcW w:w="1200" w:type="dxa"/>
          </w:tcPr>
          <w:p w:rsidR="00CD2A5A" w:rsidRDefault="00CD2A5A">
            <w:pPr>
              <w:spacing w:before="40" w:after="40"/>
              <w:ind w:right="164"/>
              <w:jc w:val="right"/>
              <w:rPr>
                <w:sz w:val="20"/>
                <w:szCs w:val="20"/>
                <w:lang w:val="en-US" w:eastAsia="en-US" w:bidi="en-US"/>
              </w:rPr>
            </w:pPr>
            <w:r>
              <w:rPr>
                <w:sz w:val="20"/>
                <w:szCs w:val="20"/>
              </w:rPr>
              <w:t>5,669.8</w:t>
            </w: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p>
        </w:tc>
      </w:tr>
      <w:tr w:rsidR="00CD2A5A">
        <w:trPr>
          <w:jc w:val="center"/>
        </w:trPr>
        <w:tc>
          <w:tcPr>
            <w:tcW w:w="3000" w:type="dxa"/>
          </w:tcPr>
          <w:p w:rsidR="00CD2A5A" w:rsidRDefault="00CD2A5A">
            <w:pPr>
              <w:spacing w:before="40" w:after="40"/>
              <w:rPr>
                <w:spacing w:val="-2"/>
                <w:sz w:val="20"/>
                <w:szCs w:val="20"/>
                <w:lang w:val="en-US" w:eastAsia="en-US" w:bidi="en-US"/>
              </w:rPr>
            </w:pPr>
            <w:r>
              <w:rPr>
                <w:spacing w:val="-2"/>
                <w:sz w:val="20"/>
                <w:szCs w:val="20"/>
                <w:lang w:val="en-GB"/>
              </w:rPr>
              <w:t>General Directorate for Public Security</w:t>
            </w: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General fund</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231,505.4</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231,505.4</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238,165.4</w:t>
            </w:r>
          </w:p>
        </w:tc>
      </w:tr>
      <w:tr w:rsidR="00CD2A5A">
        <w:trPr>
          <w:jc w:val="center"/>
        </w:trPr>
        <w:tc>
          <w:tcPr>
            <w:tcW w:w="3000" w:type="dxa"/>
          </w:tcPr>
          <w:p w:rsidR="00CD2A5A" w:rsidRDefault="00CD2A5A">
            <w:pPr>
              <w:spacing w:before="40" w:after="40"/>
              <w:rPr>
                <w:spacing w:val="-2"/>
                <w:sz w:val="20"/>
                <w:szCs w:val="20"/>
                <w:lang w:val="en-US" w:eastAsia="en-US" w:bidi="en-US"/>
              </w:rPr>
            </w:pPr>
            <w:r>
              <w:rPr>
                <w:spacing w:val="-2"/>
                <w:sz w:val="20"/>
                <w:szCs w:val="20"/>
                <w:lang w:val="en-GB"/>
              </w:rPr>
              <w:t>General Directorate for Prisons</w:t>
            </w: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General fund</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16,644.0</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11,234.7</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9,154.2</w:t>
            </w:r>
          </w:p>
        </w:tc>
      </w:tr>
      <w:tr w:rsidR="00CD2A5A">
        <w:trPr>
          <w:jc w:val="center"/>
        </w:trPr>
        <w:tc>
          <w:tcPr>
            <w:tcW w:w="3000" w:type="dxa"/>
          </w:tcPr>
          <w:p w:rsidR="00CD2A5A" w:rsidRDefault="00CD2A5A">
            <w:pPr>
              <w:spacing w:before="40" w:after="40"/>
              <w:rPr>
                <w:spacing w:val="-2"/>
                <w:sz w:val="20"/>
                <w:szCs w:val="20"/>
                <w:lang w:val="en-US" w:eastAsia="en-US" w:bidi="en-US"/>
              </w:rPr>
            </w:pPr>
            <w:r>
              <w:rPr>
                <w:spacing w:val="-2"/>
                <w:sz w:val="20"/>
                <w:szCs w:val="20"/>
                <w:lang w:val="en-GB"/>
              </w:rPr>
              <w:t>General Directorate for Migration and Aliens</w:t>
            </w: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General fund</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386.2</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1,433.2</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12,199.8</w:t>
            </w:r>
          </w:p>
        </w:tc>
      </w:tr>
      <w:tr w:rsidR="00CD2A5A">
        <w:trPr>
          <w:jc w:val="center"/>
        </w:trPr>
        <w:tc>
          <w:tcPr>
            <w:tcW w:w="3000" w:type="dxa"/>
          </w:tcPr>
          <w:p w:rsidR="00CD2A5A" w:rsidRDefault="00CD2A5A">
            <w:pPr>
              <w:spacing w:before="40" w:after="40"/>
              <w:rPr>
                <w:spacing w:val="-2"/>
                <w:sz w:val="20"/>
                <w:szCs w:val="20"/>
                <w:lang w:val="en-US" w:eastAsia="en-US" w:bidi="en-US"/>
              </w:rPr>
            </w:pPr>
            <w:r>
              <w:rPr>
                <w:spacing w:val="-2"/>
                <w:sz w:val="20"/>
                <w:szCs w:val="20"/>
                <w:lang w:val="en-GB"/>
              </w:rPr>
              <w:t>National Civil Police</w:t>
            </w: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General fund</w:t>
            </w: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p>
        </w:tc>
      </w:tr>
      <w:tr w:rsidR="00CD2A5A">
        <w:trPr>
          <w:jc w:val="center"/>
        </w:trPr>
        <w:tc>
          <w:tcPr>
            <w:tcW w:w="3000" w:type="dxa"/>
          </w:tcPr>
          <w:p w:rsidR="00CD2A5A" w:rsidRDefault="00CD2A5A">
            <w:pPr>
              <w:spacing w:before="40" w:after="40"/>
              <w:rPr>
                <w:rStyle w:val="CharacterStyle2"/>
                <w:rFonts w:ascii="Times New Roman" w:hAnsi="Times New Roman"/>
                <w:spacing w:val="-2"/>
                <w:sz w:val="20"/>
                <w:szCs w:val="20"/>
                <w:lang w:val="en-US" w:eastAsia="en-US" w:bidi="en-US"/>
              </w:rPr>
            </w:pPr>
          </w:p>
        </w:tc>
        <w:tc>
          <w:tcPr>
            <w:tcW w:w="2812" w:type="dxa"/>
          </w:tcPr>
          <w:p w:rsidR="00CD2A5A" w:rsidRDefault="00CD2A5A">
            <w:pPr>
              <w:spacing w:before="40" w:after="40"/>
              <w:rPr>
                <w:spacing w:val="-2"/>
                <w:sz w:val="20"/>
                <w:szCs w:val="20"/>
                <w:lang w:val="en-US" w:eastAsia="en-US" w:bidi="en-US"/>
              </w:rPr>
            </w:pPr>
            <w:r>
              <w:rPr>
                <w:spacing w:val="-2"/>
                <w:sz w:val="20"/>
                <w:szCs w:val="20"/>
                <w:lang w:val="en-GB"/>
              </w:rPr>
              <w:t>Donation from international organizations</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27,392.7</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27,392.7</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5,000.0</w:t>
            </w:r>
          </w:p>
        </w:tc>
      </w:tr>
      <w:tr w:rsidR="00CD2A5A">
        <w:trPr>
          <w:jc w:val="center"/>
        </w:trPr>
        <w:tc>
          <w:tcPr>
            <w:tcW w:w="3000" w:type="dxa"/>
          </w:tcPr>
          <w:p w:rsidR="00CD2A5A" w:rsidRDefault="00CD2A5A">
            <w:pPr>
              <w:spacing w:before="40" w:after="40"/>
              <w:rPr>
                <w:spacing w:val="-2"/>
                <w:sz w:val="20"/>
                <w:szCs w:val="20"/>
                <w:lang w:val="en-US" w:eastAsia="en-US" w:bidi="en-US"/>
              </w:rPr>
            </w:pPr>
            <w:r>
              <w:rPr>
                <w:spacing w:val="-2"/>
                <w:sz w:val="20"/>
                <w:szCs w:val="20"/>
                <w:lang w:val="en-GB"/>
              </w:rPr>
              <w:t>Total</w:t>
            </w:r>
          </w:p>
        </w:tc>
        <w:tc>
          <w:tcPr>
            <w:tcW w:w="2812" w:type="dxa"/>
          </w:tcPr>
          <w:p w:rsidR="00CD2A5A" w:rsidRDefault="00CD2A5A">
            <w:pPr>
              <w:spacing w:before="40" w:after="40"/>
              <w:rPr>
                <w:spacing w:val="-2"/>
                <w:sz w:val="20"/>
                <w:szCs w:val="20"/>
                <w:lang w:val="en-US" w:eastAsia="en-US" w:bidi="en-US"/>
              </w:rPr>
            </w:pP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r>
              <w:rPr>
                <w:spacing w:val="-2"/>
                <w:sz w:val="20"/>
                <w:szCs w:val="20"/>
              </w:rPr>
              <w:t>297,620.3</w:t>
            </w:r>
          </w:p>
        </w:tc>
        <w:tc>
          <w:tcPr>
            <w:tcW w:w="1200" w:type="dxa"/>
          </w:tcPr>
          <w:p w:rsidR="00CD2A5A" w:rsidRDefault="00CD2A5A">
            <w:pPr>
              <w:spacing w:before="40" w:after="40"/>
              <w:ind w:right="164"/>
              <w:jc w:val="right"/>
              <w:rPr>
                <w:spacing w:val="-2"/>
                <w:sz w:val="20"/>
                <w:szCs w:val="20"/>
                <w:lang w:val="en-US" w:eastAsia="en-US" w:bidi="en-US"/>
              </w:rPr>
            </w:pPr>
            <w:r>
              <w:rPr>
                <w:spacing w:val="-2"/>
                <w:sz w:val="20"/>
                <w:szCs w:val="20"/>
              </w:rPr>
              <w:t>314,713.2</w:t>
            </w:r>
          </w:p>
        </w:tc>
        <w:tc>
          <w:tcPr>
            <w:tcW w:w="1200" w:type="dxa"/>
          </w:tcPr>
          <w:p w:rsidR="00CD2A5A" w:rsidRDefault="00CD2A5A">
            <w:pPr>
              <w:spacing w:before="40" w:after="40"/>
              <w:ind w:right="164"/>
              <w:jc w:val="right"/>
              <w:rPr>
                <w:rStyle w:val="CharacterStyle2"/>
                <w:rFonts w:ascii="Times New Roman" w:hAnsi="Times New Roman"/>
                <w:spacing w:val="-2"/>
                <w:sz w:val="20"/>
                <w:szCs w:val="20"/>
                <w:lang w:val="en-US" w:eastAsia="en-US" w:bidi="en-US"/>
              </w:rPr>
            </w:pPr>
            <w:r>
              <w:rPr>
                <w:spacing w:val="-2"/>
                <w:sz w:val="20"/>
                <w:szCs w:val="20"/>
              </w:rPr>
              <w:t>298,033.1</w:t>
            </w:r>
          </w:p>
        </w:tc>
      </w:tr>
    </w:tbl>
    <w:p w:rsidR="00CD2A5A" w:rsidRDefault="00CD2A5A">
      <w:pPr>
        <w:pStyle w:val="Source"/>
        <w:rPr>
          <w:spacing w:val="-4"/>
        </w:rPr>
      </w:pPr>
      <w:r>
        <w:rPr>
          <w:i/>
        </w:rPr>
        <w:t>Source</w:t>
      </w:r>
      <w:r>
        <w:t xml:space="preserve">: Financial units of the: National Anti-Drugs Commission, General Directorate for Public Security; General Directorate for Prisons; </w:t>
      </w:r>
      <w:r>
        <w:rPr>
          <w:spacing w:val="-4"/>
        </w:rPr>
        <w:t>General Directorate for Migration and Aliens, National Civil Police.</w:t>
      </w:r>
    </w:p>
    <w:p w:rsidR="00CD2A5A" w:rsidRDefault="00CD2A5A" w:rsidP="006228EF">
      <w:pPr>
        <w:pStyle w:val="A0"/>
      </w:pPr>
      <w:r>
        <w:t>F.  International cooperation</w:t>
      </w:r>
    </w:p>
    <w:p w:rsidR="00CD2A5A" w:rsidRDefault="00CD2A5A">
      <w:pPr>
        <w:pStyle w:val="Header"/>
        <w:numPr>
          <w:ilvl w:val="0"/>
          <w:numId w:val="3"/>
        </w:numPr>
        <w:tabs>
          <w:tab w:val="clear" w:pos="720"/>
          <w:tab w:val="clear" w:pos="4252"/>
        </w:tabs>
        <w:spacing w:after="240"/>
        <w:ind w:left="0" w:firstLine="0"/>
        <w:rPr>
          <w:b/>
          <w:lang w:val="en-US"/>
        </w:rPr>
      </w:pPr>
      <w:r>
        <w:rPr>
          <w:lang w:val="en-GB"/>
        </w:rPr>
        <w:t>Over the reporting period, ISNA formed strategic alliances by signing cooperation agreements with international organizations such as the International Labour Organization (ILO), technical cooperation organization GTZ, the United Nations Children’s Fund (UNICEF), the United Nations Development Programme (UNDP), the United States Agency for International Development (USAID), the El Salvador International Plan and Save The Children, for implementing plans and programmes at national level in the field of the promotion and protection of child rights, as provided for in the National Policy for the Full Development of Children and Adolescents (PNDINA).</w:t>
      </w:r>
      <w:r>
        <w:rPr>
          <w:lang w:val="en-US"/>
        </w:rPr>
        <w:t xml:space="preserve"> </w:t>
      </w:r>
      <w:r>
        <w:rPr>
          <w:lang w:val="en-GB"/>
        </w:rPr>
        <w:t>These include:</w:t>
      </w:r>
      <w:r>
        <w:rPr>
          <w:lang w:val="en-US"/>
        </w:rPr>
        <w:t xml:space="preserve"> </w:t>
      </w:r>
      <w:r>
        <w:rPr>
          <w:i/>
          <w:iCs/>
          <w:lang w:val="en-GB"/>
        </w:rPr>
        <w:t>a</w:t>
      </w:r>
      <w:r>
        <w:rPr>
          <w:lang w:val="en-GB"/>
        </w:rPr>
        <w:t>) implementation of child policy with emphasis on eradicating child labour, covering 19 municipalities nationwide where there is child labour, carried out with funding and technical support from ILO;</w:t>
      </w:r>
      <w:r>
        <w:rPr>
          <w:lang w:val="en-US"/>
        </w:rPr>
        <w:t xml:space="preserve"> </w:t>
      </w:r>
      <w:r>
        <w:rPr>
          <w:i/>
          <w:iCs/>
          <w:lang w:val="en-GB"/>
        </w:rPr>
        <w:t>b</w:t>
      </w:r>
      <w:r>
        <w:rPr>
          <w:lang w:val="en-GB"/>
        </w:rPr>
        <w:t>) the methodology school for training key players and for establishing local connections in 27 municipalities, with funding and technical support from UNICEF;</w:t>
      </w:r>
      <w:r>
        <w:rPr>
          <w:lang w:val="en-US"/>
        </w:rPr>
        <w:t xml:space="preserve"> </w:t>
      </w:r>
      <w:r>
        <w:rPr>
          <w:i/>
          <w:iCs/>
          <w:lang w:val="en-GB"/>
        </w:rPr>
        <w:t>c</w:t>
      </w:r>
      <w:r>
        <w:rPr>
          <w:lang w:val="en-GB"/>
        </w:rPr>
        <w:t>) the German GTZ foundation provided technical support for research and the formulation of proposals for municipal development, and funding for local projects;</w:t>
      </w:r>
      <w:r>
        <w:rPr>
          <w:lang w:val="en-US"/>
        </w:rPr>
        <w:t xml:space="preserve"> </w:t>
      </w:r>
      <w:r>
        <w:rPr>
          <w:lang w:val="en-GB"/>
        </w:rPr>
        <w:t xml:space="preserve">and </w:t>
      </w:r>
      <w:r>
        <w:rPr>
          <w:i/>
          <w:iCs/>
          <w:lang w:val="en-GB"/>
        </w:rPr>
        <w:t>d</w:t>
      </w:r>
      <w:r>
        <w:rPr>
          <w:lang w:val="en-GB"/>
        </w:rPr>
        <w:t>) USAID, as part of the project Initial Education from the Family (EDIFAM), supported the promotion and implementation of the policy by funding the design and reproduction of the children’s version, and a number of social mobilization activities.</w:t>
      </w:r>
      <w:r>
        <w:rPr>
          <w:lang w:val="en-US"/>
        </w:rPr>
        <w:t xml:space="preserve"> </w:t>
      </w:r>
      <w:r>
        <w:rPr>
          <w:lang w:val="en-GB"/>
        </w:rPr>
        <w:t>Furthermore, the National Committee against Trafficking in Persons has cooperation relations with the International Organisation for Migration (IOM), UNICEF, the United Nations Population Fund (UNFPA), ILO and the United Nations High Commission for Refugees (UNHCR), among others, which provide support for the various activities carried out.</w:t>
      </w:r>
    </w:p>
    <w:bookmarkEnd w:id="2"/>
    <w:p w:rsidR="00CD2A5A" w:rsidRDefault="00CD2A5A" w:rsidP="006228EF">
      <w:pPr>
        <w:pStyle w:val="A0"/>
        <w:rPr>
          <w:lang w:val="en-US"/>
        </w:rPr>
      </w:pPr>
      <w:r>
        <w:t>G.  Information on programmes for caring for children in vulnerable groups</w:t>
      </w:r>
    </w:p>
    <w:p w:rsidR="00CD2A5A" w:rsidRDefault="00CD2A5A">
      <w:pPr>
        <w:pStyle w:val="Header"/>
        <w:numPr>
          <w:ilvl w:val="0"/>
          <w:numId w:val="3"/>
        </w:numPr>
        <w:tabs>
          <w:tab w:val="clear" w:pos="720"/>
          <w:tab w:val="clear" w:pos="4252"/>
        </w:tabs>
        <w:spacing w:after="240"/>
        <w:ind w:left="0" w:firstLine="0"/>
        <w:rPr>
          <w:lang w:val="en-US"/>
        </w:rPr>
      </w:pPr>
      <w:r>
        <w:rPr>
          <w:lang w:val="en-GB"/>
        </w:rPr>
        <w:t>ISNA has the following main responsibilities:</w:t>
      </w:r>
      <w:r>
        <w:rPr>
          <w:lang w:val="en-US"/>
        </w:rPr>
        <w:t xml:space="preserve"> </w:t>
      </w:r>
      <w:r>
        <w:rPr>
          <w:i/>
          <w:iCs/>
          <w:lang w:val="en-GB"/>
        </w:rPr>
        <w:t>a</w:t>
      </w:r>
      <w:r>
        <w:rPr>
          <w:lang w:val="en-GB"/>
        </w:rPr>
        <w:t>) to promote the full development of children’s personalities, taking account of the fundamental rights and duties, and their subjective needs, involving in that protection the family, the community, the municipalities and the State;</w:t>
      </w:r>
      <w:r>
        <w:rPr>
          <w:lang w:val="en-US"/>
        </w:rPr>
        <w:t xml:space="preserve"> </w:t>
      </w:r>
      <w:r>
        <w:rPr>
          <w:i/>
          <w:iCs/>
          <w:lang w:val="en-GB"/>
        </w:rPr>
        <w:t>b</w:t>
      </w:r>
      <w:r>
        <w:rPr>
          <w:lang w:val="en-GB"/>
        </w:rPr>
        <w:t>) to promote the participation of the community and society in solving problems facing children and the family;</w:t>
      </w:r>
      <w:r>
        <w:rPr>
          <w:lang w:val="en-US"/>
        </w:rPr>
        <w:t xml:space="preserve"> </w:t>
      </w:r>
      <w:r>
        <w:rPr>
          <w:i/>
          <w:iCs/>
          <w:lang w:val="en-GB"/>
        </w:rPr>
        <w:t>c</w:t>
      </w:r>
      <w:r>
        <w:rPr>
          <w:lang w:val="en-GB"/>
        </w:rPr>
        <w:t>) to investigate threats to and violations of child rights and any orphaned children; to investigate and assess the situation of such children, their families, and those aiming to offer them protection in their homes, and to take any appropriate measures to protect them where they are found to be threatened, their rights violated or orphaned;</w:t>
      </w:r>
      <w:r>
        <w:rPr>
          <w:lang w:val="en-US"/>
        </w:rPr>
        <w:t xml:space="preserve"> </w:t>
      </w:r>
      <w:r>
        <w:rPr>
          <w:i/>
          <w:iCs/>
          <w:lang w:val="en-GB"/>
        </w:rPr>
        <w:t>d</w:t>
      </w:r>
      <w:r>
        <w:rPr>
          <w:lang w:val="en-GB"/>
        </w:rPr>
        <w:t>) to devise prevention plans and programmes to protect children in the home environment, and care programmes in State, municipal and NGO centres, in line with their personal circumstances and type; and</w:t>
      </w:r>
      <w:r>
        <w:rPr>
          <w:lang w:val="en-US"/>
        </w:rPr>
        <w:t xml:space="preserve"> </w:t>
      </w:r>
      <w:r>
        <w:rPr>
          <w:i/>
          <w:iCs/>
          <w:lang w:val="en-GB"/>
        </w:rPr>
        <w:t>e</w:t>
      </w:r>
      <w:r>
        <w:rPr>
          <w:lang w:val="en-GB"/>
        </w:rPr>
        <w:t>) to coordinate and supervise the execution of programmes and to set up a register of children cared for in such centres, establishments or bodies.</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In accordance with the responsibilities set out above, ISNA implemented the following programmes during the reporting period:</w:t>
      </w:r>
    </w:p>
    <w:p w:rsidR="00CD2A5A" w:rsidRDefault="00CD2A5A" w:rsidP="00ED5B89">
      <w:pPr>
        <w:pStyle w:val="Figure"/>
        <w:spacing w:after="120"/>
      </w:pPr>
      <w:r>
        <w:t>Figure 8</w:t>
      </w:r>
    </w:p>
    <w:p w:rsidR="00CD2A5A" w:rsidRDefault="00CD2A5A" w:rsidP="00ED5B89">
      <w:pPr>
        <w:pStyle w:val="Figure"/>
        <w:spacing w:after="120"/>
      </w:pPr>
      <w:r>
        <w:t>Programmes implemented by ISNA</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3063"/>
        <w:gridCol w:w="4672"/>
      </w:tblGrid>
      <w:tr w:rsidR="00CD2A5A">
        <w:trPr>
          <w:trHeight w:val="478"/>
          <w:tblHeader/>
          <w:jc w:val="center"/>
        </w:trPr>
        <w:tc>
          <w:tcPr>
            <w:tcW w:w="891" w:type="pct"/>
            <w:vAlign w:val="center"/>
          </w:tcPr>
          <w:p w:rsidR="00CD2A5A" w:rsidRDefault="00CD2A5A" w:rsidP="006228EF">
            <w:pPr>
              <w:keepNext/>
              <w:spacing w:before="20" w:after="20"/>
              <w:rPr>
                <w:b/>
                <w:i/>
                <w:sz w:val="20"/>
                <w:szCs w:val="20"/>
                <w:lang w:val="es-SV"/>
              </w:rPr>
            </w:pPr>
            <w:r>
              <w:rPr>
                <w:b/>
                <w:i/>
                <w:sz w:val="20"/>
                <w:szCs w:val="20"/>
                <w:lang w:val="en-GB"/>
              </w:rPr>
              <w:t>Programme</w:t>
            </w:r>
          </w:p>
        </w:tc>
        <w:tc>
          <w:tcPr>
            <w:tcW w:w="1627" w:type="pct"/>
            <w:vAlign w:val="center"/>
          </w:tcPr>
          <w:p w:rsidR="00CD2A5A" w:rsidRDefault="00CD2A5A" w:rsidP="006228EF">
            <w:pPr>
              <w:keepNext/>
              <w:spacing w:before="20" w:after="20"/>
              <w:rPr>
                <w:b/>
                <w:i/>
                <w:sz w:val="20"/>
                <w:szCs w:val="20"/>
                <w:lang w:val="es-SV"/>
              </w:rPr>
            </w:pPr>
            <w:r>
              <w:rPr>
                <w:b/>
                <w:i/>
                <w:sz w:val="20"/>
                <w:szCs w:val="20"/>
                <w:lang w:val="en-GB"/>
              </w:rPr>
              <w:t>Objectives</w:t>
            </w:r>
          </w:p>
        </w:tc>
        <w:tc>
          <w:tcPr>
            <w:tcW w:w="2482" w:type="pct"/>
            <w:vAlign w:val="center"/>
          </w:tcPr>
          <w:p w:rsidR="00CD2A5A" w:rsidRDefault="00CD2A5A" w:rsidP="006228EF">
            <w:pPr>
              <w:keepNext/>
              <w:spacing w:before="20" w:after="20"/>
              <w:rPr>
                <w:b/>
                <w:i/>
                <w:sz w:val="20"/>
                <w:szCs w:val="20"/>
                <w:lang w:val="es-SV"/>
              </w:rPr>
            </w:pPr>
            <w:r>
              <w:rPr>
                <w:b/>
                <w:i/>
                <w:sz w:val="20"/>
                <w:szCs w:val="20"/>
                <w:lang w:val="en-GB"/>
              </w:rPr>
              <w:t>Brief description</w:t>
            </w:r>
          </w:p>
        </w:tc>
      </w:tr>
      <w:tr w:rsidR="00CD2A5A">
        <w:trPr>
          <w:jc w:val="center"/>
        </w:trPr>
        <w:tc>
          <w:tcPr>
            <w:tcW w:w="891" w:type="pct"/>
          </w:tcPr>
          <w:p w:rsidR="00CD2A5A" w:rsidRDefault="00CD2A5A" w:rsidP="006228EF">
            <w:pPr>
              <w:spacing w:before="20" w:after="20"/>
              <w:rPr>
                <w:sz w:val="20"/>
                <w:szCs w:val="20"/>
                <w:lang w:val="en-US"/>
              </w:rPr>
            </w:pPr>
            <w:r>
              <w:rPr>
                <w:sz w:val="20"/>
                <w:szCs w:val="20"/>
                <w:lang w:val="en-GB"/>
              </w:rPr>
              <w:t>Protection and specialist care for children and adolescents whose rights have been violated or with special needs, and for their families</w:t>
            </w:r>
            <w:r>
              <w:rPr>
                <w:sz w:val="20"/>
                <w:szCs w:val="20"/>
                <w:lang w:val="en-US"/>
              </w:rPr>
              <w:t xml:space="preserve"> </w:t>
            </w:r>
          </w:p>
        </w:tc>
        <w:tc>
          <w:tcPr>
            <w:tcW w:w="1627" w:type="pct"/>
          </w:tcPr>
          <w:p w:rsidR="00CD2A5A" w:rsidRDefault="00CD2A5A" w:rsidP="006228EF">
            <w:pPr>
              <w:spacing w:before="20" w:after="20"/>
              <w:rPr>
                <w:sz w:val="20"/>
                <w:szCs w:val="20"/>
                <w:lang w:val="en-US"/>
              </w:rPr>
            </w:pPr>
            <w:r>
              <w:rPr>
                <w:sz w:val="20"/>
                <w:szCs w:val="20"/>
                <w:lang w:val="en-GB"/>
              </w:rPr>
              <w:t>To restore violated or denied rights of children and adolescents and their families to overcome the need arising out of the particular issue or living conditions at the time the right was violated and enforceable.</w:t>
            </w:r>
            <w:r>
              <w:rPr>
                <w:sz w:val="20"/>
                <w:szCs w:val="20"/>
                <w:lang w:val="en-US"/>
              </w:rPr>
              <w:t xml:space="preserve"> </w:t>
            </w:r>
          </w:p>
        </w:tc>
        <w:tc>
          <w:tcPr>
            <w:tcW w:w="2482" w:type="pct"/>
          </w:tcPr>
          <w:p w:rsidR="00CD2A5A" w:rsidRDefault="00CD2A5A" w:rsidP="006228EF">
            <w:pPr>
              <w:spacing w:before="20" w:after="20"/>
              <w:rPr>
                <w:sz w:val="20"/>
                <w:szCs w:val="20"/>
                <w:lang w:val="en-US"/>
              </w:rPr>
            </w:pPr>
            <w:r>
              <w:rPr>
                <w:sz w:val="20"/>
                <w:szCs w:val="20"/>
                <w:lang w:val="en-GB"/>
              </w:rPr>
              <w:t>Temporary or permanent protection and comprehensive and specialist care services are provided in Government or private centres for child or adolescent victims of commercial sexual exploitation, trade in persons, illegal trafficking, child labour, sexual abuse, abandonment, ill-treatment, addiction, HIV, special skills and disaster victims; supporting the biological or extended family or family through marriage, by inter-institutional coordination and catering for risk areas, working with civil society on guidance, support and information to help restore rights.</w:t>
            </w:r>
            <w:r>
              <w:rPr>
                <w:sz w:val="20"/>
                <w:szCs w:val="20"/>
                <w:lang w:val="en-US"/>
              </w:rPr>
              <w:t xml:space="preserve">  </w:t>
            </w:r>
          </w:p>
        </w:tc>
      </w:tr>
      <w:tr w:rsidR="00CD2A5A">
        <w:trPr>
          <w:trHeight w:val="567"/>
          <w:jc w:val="center"/>
        </w:trPr>
        <w:tc>
          <w:tcPr>
            <w:tcW w:w="891" w:type="pct"/>
          </w:tcPr>
          <w:p w:rsidR="00CD2A5A" w:rsidRDefault="00CD2A5A" w:rsidP="006228EF">
            <w:pPr>
              <w:keepNext/>
              <w:spacing w:before="20" w:after="20"/>
              <w:rPr>
                <w:sz w:val="20"/>
                <w:szCs w:val="20"/>
                <w:lang w:val="en-US"/>
              </w:rPr>
            </w:pPr>
            <w:r>
              <w:rPr>
                <w:sz w:val="20"/>
                <w:szCs w:val="20"/>
                <w:lang w:val="en-GB"/>
              </w:rPr>
              <w:t>Care for the social integration of street children and adolescents</w:t>
            </w:r>
          </w:p>
        </w:tc>
        <w:tc>
          <w:tcPr>
            <w:tcW w:w="1627" w:type="pct"/>
          </w:tcPr>
          <w:p w:rsidR="00CD2A5A" w:rsidRDefault="00CD2A5A" w:rsidP="006228EF">
            <w:pPr>
              <w:keepNext/>
              <w:spacing w:before="20" w:after="20"/>
              <w:rPr>
                <w:sz w:val="20"/>
                <w:szCs w:val="20"/>
                <w:lang w:val="en-US"/>
              </w:rPr>
            </w:pPr>
            <w:r>
              <w:rPr>
                <w:sz w:val="20"/>
                <w:szCs w:val="20"/>
                <w:lang w:val="en-GB"/>
              </w:rPr>
              <w:t>To provide a life project and return street children to their families, thereby furthering a social and family rehabilitation process.</w:t>
            </w:r>
            <w:r>
              <w:rPr>
                <w:sz w:val="20"/>
                <w:szCs w:val="20"/>
                <w:lang w:val="en-US"/>
              </w:rPr>
              <w:t xml:space="preserve"> </w:t>
            </w:r>
          </w:p>
        </w:tc>
        <w:tc>
          <w:tcPr>
            <w:tcW w:w="2482" w:type="pct"/>
          </w:tcPr>
          <w:p w:rsidR="00CD2A5A" w:rsidRDefault="00CD2A5A" w:rsidP="006228EF">
            <w:pPr>
              <w:keepNext/>
              <w:spacing w:before="20" w:after="20"/>
              <w:rPr>
                <w:sz w:val="20"/>
                <w:szCs w:val="20"/>
                <w:lang w:val="en-US"/>
              </w:rPr>
            </w:pPr>
            <w:r>
              <w:rPr>
                <w:sz w:val="20"/>
                <w:szCs w:val="20"/>
                <w:lang w:val="en-GB"/>
              </w:rPr>
              <w:t>Children are offered reintegration alternatives and an alternative to the street in a children’s centre where they receive a model of social and educational care designed specifically for young people living on the street.</w:t>
            </w:r>
            <w:r>
              <w:rPr>
                <w:sz w:val="20"/>
                <w:szCs w:val="20"/>
                <w:lang w:val="en-US"/>
              </w:rPr>
              <w:t xml:space="preserve"> </w:t>
            </w:r>
          </w:p>
        </w:tc>
      </w:tr>
      <w:tr w:rsidR="00CD2A5A">
        <w:trPr>
          <w:trHeight w:val="567"/>
          <w:jc w:val="center"/>
        </w:trPr>
        <w:tc>
          <w:tcPr>
            <w:tcW w:w="891" w:type="pct"/>
          </w:tcPr>
          <w:p w:rsidR="00CD2A5A" w:rsidRDefault="00CD2A5A" w:rsidP="006228EF">
            <w:pPr>
              <w:spacing w:before="20" w:after="20"/>
              <w:rPr>
                <w:sz w:val="20"/>
                <w:szCs w:val="20"/>
                <w:lang w:val="en-US"/>
              </w:rPr>
            </w:pPr>
            <w:r>
              <w:rPr>
                <w:sz w:val="20"/>
                <w:szCs w:val="20"/>
                <w:lang w:val="en-GB"/>
              </w:rPr>
              <w:t>Alternative measures and internment of young people in conflict with the Juvenile Criminal Justice Act</w:t>
            </w:r>
          </w:p>
        </w:tc>
        <w:tc>
          <w:tcPr>
            <w:tcW w:w="1627" w:type="pct"/>
          </w:tcPr>
          <w:p w:rsidR="00CD2A5A" w:rsidRDefault="00CD2A5A" w:rsidP="006228EF">
            <w:pPr>
              <w:spacing w:before="20" w:after="20"/>
              <w:rPr>
                <w:sz w:val="20"/>
                <w:szCs w:val="20"/>
                <w:lang w:val="en-US"/>
              </w:rPr>
            </w:pPr>
            <w:r>
              <w:rPr>
                <w:sz w:val="20"/>
                <w:szCs w:val="20"/>
                <w:lang w:val="en-GB"/>
              </w:rPr>
              <w:t>Family and social reintegration of young people tried for criminal misconduct or offences</w:t>
            </w:r>
            <w:r>
              <w:rPr>
                <w:sz w:val="20"/>
                <w:szCs w:val="20"/>
                <w:lang w:val="en-US"/>
              </w:rPr>
              <w:t xml:space="preserve"> </w:t>
            </w:r>
          </w:p>
        </w:tc>
        <w:tc>
          <w:tcPr>
            <w:tcW w:w="2482" w:type="pct"/>
          </w:tcPr>
          <w:p w:rsidR="00CD2A5A" w:rsidRDefault="00CD2A5A" w:rsidP="006228EF">
            <w:pPr>
              <w:spacing w:before="20" w:after="20"/>
              <w:rPr>
                <w:sz w:val="20"/>
                <w:szCs w:val="20"/>
                <w:lang w:val="en-US"/>
              </w:rPr>
            </w:pPr>
            <w:r>
              <w:rPr>
                <w:sz w:val="20"/>
                <w:szCs w:val="20"/>
                <w:lang w:val="en-GB"/>
              </w:rPr>
              <w:t>It consists of implementing a framework programme under which young people are offered re-education and vocational training to enable them to rejoin society once they have served their sentence.</w:t>
            </w:r>
            <w:r>
              <w:rPr>
                <w:sz w:val="20"/>
                <w:szCs w:val="20"/>
                <w:lang w:val="en-US"/>
              </w:rPr>
              <w:t xml:space="preserve">  </w:t>
            </w:r>
          </w:p>
        </w:tc>
      </w:tr>
      <w:tr w:rsidR="00CD2A5A">
        <w:trPr>
          <w:trHeight w:val="567"/>
          <w:jc w:val="center"/>
        </w:trPr>
        <w:tc>
          <w:tcPr>
            <w:tcW w:w="891" w:type="pct"/>
          </w:tcPr>
          <w:p w:rsidR="00CD2A5A" w:rsidRDefault="00CD2A5A" w:rsidP="006228EF">
            <w:pPr>
              <w:spacing w:before="20" w:after="20"/>
              <w:rPr>
                <w:sz w:val="20"/>
                <w:szCs w:val="20"/>
                <w:lang w:val="en-US"/>
              </w:rPr>
            </w:pPr>
            <w:r>
              <w:rPr>
                <w:sz w:val="20"/>
                <w:szCs w:val="20"/>
                <w:lang w:val="en-GB"/>
              </w:rPr>
              <w:t>Prevention of violation of rights by strengthening the family, inter-institutional coordination and citizens’ participation at national and local level</w:t>
            </w:r>
            <w:r>
              <w:rPr>
                <w:sz w:val="20"/>
                <w:szCs w:val="20"/>
                <w:lang w:val="en-US"/>
              </w:rPr>
              <w:t xml:space="preserve"> </w:t>
            </w:r>
          </w:p>
        </w:tc>
        <w:tc>
          <w:tcPr>
            <w:tcW w:w="1627" w:type="pct"/>
          </w:tcPr>
          <w:p w:rsidR="00CD2A5A" w:rsidRDefault="00CD2A5A" w:rsidP="006228EF">
            <w:pPr>
              <w:spacing w:before="20" w:after="20"/>
              <w:rPr>
                <w:sz w:val="20"/>
                <w:szCs w:val="20"/>
                <w:lang w:val="en-US"/>
              </w:rPr>
            </w:pPr>
            <w:r>
              <w:rPr>
                <w:sz w:val="20"/>
                <w:szCs w:val="20"/>
                <w:lang w:val="en-GB"/>
              </w:rPr>
              <w:t>To promote compliance with children’s and adolescents’ rights by supporting municipal governments through setting up, strengthening and consolidating local protection networks, with a risk-prevention and/or social damage focus, under the ISNA Act and PNDINA’s lines of action.</w:t>
            </w:r>
          </w:p>
        </w:tc>
        <w:tc>
          <w:tcPr>
            <w:tcW w:w="2482" w:type="pct"/>
          </w:tcPr>
          <w:p w:rsidR="00CD2A5A" w:rsidRDefault="00CD2A5A" w:rsidP="006228EF">
            <w:pPr>
              <w:spacing w:before="20" w:after="20"/>
              <w:rPr>
                <w:sz w:val="20"/>
                <w:szCs w:val="20"/>
                <w:lang w:val="en-US"/>
              </w:rPr>
            </w:pPr>
            <w:r>
              <w:rPr>
                <w:sz w:val="20"/>
                <w:szCs w:val="20"/>
                <w:lang w:val="en-GB"/>
              </w:rPr>
              <w:t>It consists of coordinating with municipal councils, civil society and government organizations the rights of children to implement projects that directly and specifically benefit children in the municipality, by means of local diagnoses and work plans, child welfare centres, full development centres and initial care homes in connection with parent school support centres and mediation centres.</w:t>
            </w:r>
            <w:r>
              <w:rPr>
                <w:sz w:val="20"/>
                <w:szCs w:val="20"/>
                <w:lang w:val="en-US"/>
              </w:rPr>
              <w:t xml:space="preserve"> </w:t>
            </w:r>
          </w:p>
        </w:tc>
      </w:tr>
      <w:tr w:rsidR="00CD2A5A">
        <w:trPr>
          <w:trHeight w:val="567"/>
          <w:jc w:val="center"/>
        </w:trPr>
        <w:tc>
          <w:tcPr>
            <w:tcW w:w="891" w:type="pct"/>
          </w:tcPr>
          <w:p w:rsidR="00CD2A5A" w:rsidRDefault="00CD2A5A" w:rsidP="006228EF">
            <w:pPr>
              <w:spacing w:before="20" w:after="20"/>
              <w:rPr>
                <w:sz w:val="20"/>
                <w:szCs w:val="20"/>
                <w:lang w:val="en-US"/>
              </w:rPr>
            </w:pPr>
            <w:r>
              <w:rPr>
                <w:sz w:val="20"/>
                <w:szCs w:val="20"/>
                <w:lang w:val="en-GB"/>
              </w:rPr>
              <w:t>Registration and assessment of ONGs, governmental organizations and private bodies running children’s programmes</w:t>
            </w:r>
          </w:p>
        </w:tc>
        <w:tc>
          <w:tcPr>
            <w:tcW w:w="1627" w:type="pct"/>
          </w:tcPr>
          <w:p w:rsidR="00CD2A5A" w:rsidRDefault="00CD2A5A" w:rsidP="006228EF">
            <w:pPr>
              <w:spacing w:before="20" w:after="20"/>
              <w:rPr>
                <w:sz w:val="20"/>
                <w:szCs w:val="20"/>
                <w:lang w:val="en-US"/>
              </w:rPr>
            </w:pPr>
            <w:r>
              <w:rPr>
                <w:sz w:val="20"/>
                <w:szCs w:val="20"/>
                <w:lang w:val="en-GB"/>
              </w:rPr>
              <w:t>To oversee compliance with child rights in authorized institutions registered with ISNA</w:t>
            </w:r>
          </w:p>
        </w:tc>
        <w:tc>
          <w:tcPr>
            <w:tcW w:w="2482" w:type="pct"/>
          </w:tcPr>
          <w:p w:rsidR="00CD2A5A" w:rsidRDefault="00CD2A5A" w:rsidP="006228EF">
            <w:pPr>
              <w:spacing w:before="20" w:after="20"/>
              <w:rPr>
                <w:sz w:val="20"/>
                <w:szCs w:val="20"/>
                <w:lang w:val="en-US"/>
              </w:rPr>
            </w:pPr>
            <w:r>
              <w:rPr>
                <w:sz w:val="20"/>
                <w:szCs w:val="20"/>
                <w:lang w:val="en-GB"/>
              </w:rPr>
              <w:t>Monitoring and assessment of working models applied by the various bodies registered with ISNA, supervising the care, treatment and legal circumstances of children and adolescents benefiting under the programmes; recommending measures or penalties where rights are violated</w:t>
            </w:r>
          </w:p>
        </w:tc>
      </w:tr>
    </w:tbl>
    <w:p w:rsidR="00CD2A5A" w:rsidRDefault="00CD2A5A">
      <w:pPr>
        <w:pStyle w:val="Header"/>
        <w:numPr>
          <w:ilvl w:val="0"/>
          <w:numId w:val="3"/>
        </w:numPr>
        <w:tabs>
          <w:tab w:val="clear" w:pos="720"/>
          <w:tab w:val="clear" w:pos="4252"/>
        </w:tabs>
        <w:spacing w:before="240" w:after="240"/>
        <w:ind w:left="0" w:firstLine="0"/>
        <w:rPr>
          <w:lang w:val="en-US"/>
        </w:rPr>
      </w:pPr>
      <w:r>
        <w:rPr>
          <w:lang w:val="en-GB"/>
        </w:rPr>
        <w:t>See Annex III for ISNA’s geographical distribution nationwide.</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following tables show the age and gender distribution of children in ISNA’s care.</w:t>
      </w:r>
    </w:p>
    <w:p w:rsidR="00CD2A5A" w:rsidRDefault="00CD2A5A" w:rsidP="00CD2A5A">
      <w:pPr>
        <w:pStyle w:val="Figure"/>
        <w:rPr>
          <w:lang w:val="en-US"/>
        </w:rPr>
      </w:pPr>
      <w:r>
        <w:t>Figure 9</w:t>
      </w:r>
    </w:p>
    <w:p w:rsidR="00CD2A5A" w:rsidRDefault="00CD2A5A" w:rsidP="00CD2A5A">
      <w:pPr>
        <w:pStyle w:val="Figure"/>
        <w:rPr>
          <w:lang w:val="en-US"/>
        </w:rPr>
      </w:pPr>
      <w:r>
        <w:t>Total population in ISNA care by gender (2004, 2005 and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7"/>
        <w:gridCol w:w="1233"/>
        <w:gridCol w:w="1232"/>
        <w:gridCol w:w="1233"/>
        <w:gridCol w:w="1232"/>
        <w:gridCol w:w="1232"/>
        <w:gridCol w:w="1233"/>
      </w:tblGrid>
      <w:tr w:rsidR="00CD2A5A">
        <w:trPr>
          <w:cantSplit/>
          <w:trHeight w:val="187"/>
          <w:jc w:val="center"/>
        </w:trPr>
        <w:tc>
          <w:tcPr>
            <w:tcW w:w="2017" w:type="dxa"/>
            <w:vMerge w:val="restart"/>
            <w:vAlign w:val="center"/>
          </w:tcPr>
          <w:p w:rsidR="00CD2A5A" w:rsidRDefault="00CD2A5A">
            <w:pPr>
              <w:spacing w:before="40" w:after="40"/>
              <w:jc w:val="center"/>
              <w:rPr>
                <w:b/>
                <w:i/>
                <w:sz w:val="20"/>
                <w:szCs w:val="20"/>
                <w:lang w:val="es-SV"/>
              </w:rPr>
            </w:pPr>
            <w:r>
              <w:rPr>
                <w:b/>
                <w:i/>
                <w:sz w:val="20"/>
                <w:szCs w:val="20"/>
                <w:lang w:val="en-GB"/>
              </w:rPr>
              <w:t>Gender</w:t>
            </w:r>
          </w:p>
        </w:tc>
        <w:tc>
          <w:tcPr>
            <w:tcW w:w="2465" w:type="dxa"/>
            <w:gridSpan w:val="2"/>
            <w:vAlign w:val="center"/>
          </w:tcPr>
          <w:p w:rsidR="00CD2A5A" w:rsidRDefault="00CD2A5A">
            <w:pPr>
              <w:spacing w:before="40" w:after="40"/>
              <w:jc w:val="center"/>
              <w:rPr>
                <w:b/>
                <w:i/>
                <w:sz w:val="20"/>
                <w:szCs w:val="20"/>
                <w:lang w:val="es-SV"/>
              </w:rPr>
            </w:pPr>
            <w:r>
              <w:rPr>
                <w:b/>
                <w:i/>
                <w:sz w:val="20"/>
                <w:szCs w:val="20"/>
                <w:lang w:val="es-SV"/>
              </w:rPr>
              <w:t>2004</w:t>
            </w:r>
          </w:p>
        </w:tc>
        <w:tc>
          <w:tcPr>
            <w:tcW w:w="2465" w:type="dxa"/>
            <w:gridSpan w:val="2"/>
            <w:vAlign w:val="center"/>
          </w:tcPr>
          <w:p w:rsidR="00CD2A5A" w:rsidRDefault="00CD2A5A">
            <w:pPr>
              <w:spacing w:before="40" w:after="40"/>
              <w:jc w:val="center"/>
              <w:rPr>
                <w:b/>
                <w:i/>
                <w:sz w:val="20"/>
                <w:szCs w:val="20"/>
                <w:lang w:val="es-SV"/>
              </w:rPr>
            </w:pPr>
            <w:r>
              <w:rPr>
                <w:b/>
                <w:i/>
                <w:sz w:val="20"/>
                <w:szCs w:val="20"/>
                <w:lang w:val="es-SV"/>
              </w:rPr>
              <w:t>2005</w:t>
            </w:r>
          </w:p>
        </w:tc>
        <w:tc>
          <w:tcPr>
            <w:tcW w:w="2465" w:type="dxa"/>
            <w:gridSpan w:val="2"/>
            <w:vAlign w:val="center"/>
          </w:tcPr>
          <w:p w:rsidR="00CD2A5A" w:rsidRDefault="00CD2A5A">
            <w:pPr>
              <w:spacing w:before="40" w:after="40"/>
              <w:jc w:val="center"/>
              <w:rPr>
                <w:b/>
                <w:i/>
                <w:sz w:val="20"/>
                <w:szCs w:val="20"/>
                <w:lang w:val="es-SV"/>
              </w:rPr>
            </w:pPr>
            <w:r>
              <w:rPr>
                <w:b/>
                <w:i/>
                <w:sz w:val="20"/>
                <w:szCs w:val="20"/>
                <w:lang w:val="es-SV"/>
              </w:rPr>
              <w:t>2006</w:t>
            </w:r>
          </w:p>
        </w:tc>
      </w:tr>
      <w:tr w:rsidR="00CD2A5A">
        <w:trPr>
          <w:cantSplit/>
          <w:trHeight w:val="187"/>
          <w:jc w:val="center"/>
        </w:trPr>
        <w:tc>
          <w:tcPr>
            <w:tcW w:w="2017" w:type="dxa"/>
            <w:vMerge/>
            <w:vAlign w:val="center"/>
          </w:tcPr>
          <w:p w:rsidR="00CD2A5A" w:rsidRDefault="00CD2A5A">
            <w:pPr>
              <w:spacing w:before="40" w:after="40"/>
              <w:jc w:val="center"/>
              <w:rPr>
                <w:b/>
                <w:i/>
                <w:sz w:val="20"/>
                <w:szCs w:val="20"/>
                <w:lang w:val="es-SV"/>
              </w:rPr>
            </w:pPr>
          </w:p>
        </w:tc>
        <w:tc>
          <w:tcPr>
            <w:tcW w:w="1233" w:type="dxa"/>
            <w:vAlign w:val="center"/>
          </w:tcPr>
          <w:p w:rsidR="00CD2A5A" w:rsidRDefault="00CD2A5A">
            <w:pPr>
              <w:spacing w:before="40" w:after="40"/>
              <w:jc w:val="center"/>
              <w:rPr>
                <w:b/>
                <w:i/>
                <w:sz w:val="20"/>
                <w:szCs w:val="20"/>
                <w:lang w:val="es-SV"/>
              </w:rPr>
            </w:pPr>
            <w:r>
              <w:rPr>
                <w:b/>
                <w:i/>
                <w:sz w:val="20"/>
                <w:szCs w:val="20"/>
                <w:lang w:val="en-GB"/>
              </w:rPr>
              <w:t>Children</w:t>
            </w:r>
          </w:p>
        </w:tc>
        <w:tc>
          <w:tcPr>
            <w:tcW w:w="1232" w:type="dxa"/>
            <w:vAlign w:val="center"/>
          </w:tcPr>
          <w:p w:rsidR="00CD2A5A" w:rsidRDefault="00CD2A5A">
            <w:pPr>
              <w:spacing w:before="40" w:after="40"/>
              <w:jc w:val="center"/>
              <w:rPr>
                <w:b/>
                <w:i/>
                <w:sz w:val="20"/>
                <w:szCs w:val="20"/>
                <w:lang w:val="es-SV"/>
              </w:rPr>
            </w:pPr>
            <w:r>
              <w:rPr>
                <w:b/>
                <w:i/>
                <w:sz w:val="20"/>
                <w:szCs w:val="20"/>
                <w:lang w:val="es-SV"/>
              </w:rPr>
              <w:t>%</w:t>
            </w:r>
          </w:p>
        </w:tc>
        <w:tc>
          <w:tcPr>
            <w:tcW w:w="1233" w:type="dxa"/>
            <w:vAlign w:val="center"/>
          </w:tcPr>
          <w:p w:rsidR="00CD2A5A" w:rsidRDefault="00CD2A5A">
            <w:pPr>
              <w:spacing w:before="40" w:after="40"/>
              <w:jc w:val="center"/>
              <w:rPr>
                <w:b/>
                <w:i/>
                <w:sz w:val="20"/>
                <w:szCs w:val="20"/>
                <w:lang w:val="es-SV"/>
              </w:rPr>
            </w:pPr>
            <w:r>
              <w:rPr>
                <w:b/>
                <w:i/>
                <w:sz w:val="20"/>
                <w:szCs w:val="20"/>
                <w:lang w:val="en-GB"/>
              </w:rPr>
              <w:t>Children</w:t>
            </w:r>
          </w:p>
        </w:tc>
        <w:tc>
          <w:tcPr>
            <w:tcW w:w="1232" w:type="dxa"/>
            <w:vAlign w:val="center"/>
          </w:tcPr>
          <w:p w:rsidR="00CD2A5A" w:rsidRDefault="00CD2A5A">
            <w:pPr>
              <w:spacing w:before="40" w:after="40"/>
              <w:jc w:val="center"/>
              <w:rPr>
                <w:b/>
                <w:i/>
                <w:sz w:val="20"/>
                <w:szCs w:val="20"/>
                <w:lang w:val="es-SV"/>
              </w:rPr>
            </w:pPr>
            <w:r>
              <w:rPr>
                <w:b/>
                <w:i/>
                <w:sz w:val="20"/>
                <w:szCs w:val="20"/>
                <w:lang w:val="es-SV"/>
              </w:rPr>
              <w:t>%</w:t>
            </w:r>
          </w:p>
        </w:tc>
        <w:tc>
          <w:tcPr>
            <w:tcW w:w="1232" w:type="dxa"/>
            <w:vAlign w:val="center"/>
          </w:tcPr>
          <w:p w:rsidR="00CD2A5A" w:rsidRDefault="00CD2A5A">
            <w:pPr>
              <w:spacing w:before="40" w:after="40"/>
              <w:jc w:val="center"/>
              <w:rPr>
                <w:b/>
                <w:i/>
                <w:sz w:val="20"/>
                <w:szCs w:val="20"/>
                <w:lang w:val="es-SV"/>
              </w:rPr>
            </w:pPr>
            <w:r>
              <w:rPr>
                <w:b/>
                <w:i/>
                <w:sz w:val="20"/>
                <w:szCs w:val="20"/>
                <w:lang w:val="en-GB"/>
              </w:rPr>
              <w:t>Children</w:t>
            </w:r>
          </w:p>
        </w:tc>
        <w:tc>
          <w:tcPr>
            <w:tcW w:w="1233" w:type="dxa"/>
            <w:vAlign w:val="center"/>
          </w:tcPr>
          <w:p w:rsidR="00CD2A5A" w:rsidRDefault="00CD2A5A">
            <w:pPr>
              <w:spacing w:before="40" w:after="40"/>
              <w:jc w:val="center"/>
              <w:rPr>
                <w:b/>
                <w:i/>
                <w:sz w:val="20"/>
                <w:szCs w:val="20"/>
                <w:lang w:val="es-SV"/>
              </w:rPr>
            </w:pPr>
            <w:r>
              <w:rPr>
                <w:b/>
                <w:i/>
                <w:sz w:val="20"/>
                <w:szCs w:val="20"/>
                <w:lang w:val="es-SV"/>
              </w:rPr>
              <w:t>%</w:t>
            </w:r>
          </w:p>
        </w:tc>
      </w:tr>
      <w:tr w:rsidR="00CD2A5A">
        <w:trPr>
          <w:trHeight w:val="227"/>
          <w:jc w:val="center"/>
        </w:trPr>
        <w:tc>
          <w:tcPr>
            <w:tcW w:w="2017" w:type="dxa"/>
            <w:vAlign w:val="center"/>
          </w:tcPr>
          <w:p w:rsidR="00CD2A5A" w:rsidRDefault="00CD2A5A">
            <w:pPr>
              <w:spacing w:before="40" w:after="40"/>
              <w:rPr>
                <w:sz w:val="20"/>
                <w:szCs w:val="20"/>
                <w:lang w:val="es-SV"/>
              </w:rPr>
            </w:pPr>
            <w:r>
              <w:rPr>
                <w:sz w:val="20"/>
                <w:szCs w:val="20"/>
                <w:lang w:val="en-GB"/>
              </w:rPr>
              <w:t>Females</w:t>
            </w:r>
            <w:r>
              <w:rPr>
                <w:sz w:val="20"/>
                <w:szCs w:val="20"/>
                <w:lang w:val="es-SV"/>
              </w:rPr>
              <w:t xml:space="preserve"> </w:t>
            </w:r>
          </w:p>
        </w:tc>
        <w:tc>
          <w:tcPr>
            <w:tcW w:w="1233" w:type="dxa"/>
            <w:vAlign w:val="center"/>
          </w:tcPr>
          <w:p w:rsidR="00CD2A5A" w:rsidRDefault="00CD2A5A">
            <w:pPr>
              <w:pStyle w:val="Chiffrestableau"/>
            </w:pPr>
            <w:r>
              <w:t>3,059</w:t>
            </w:r>
          </w:p>
        </w:tc>
        <w:tc>
          <w:tcPr>
            <w:tcW w:w="1232" w:type="dxa"/>
            <w:vAlign w:val="center"/>
          </w:tcPr>
          <w:p w:rsidR="00CD2A5A" w:rsidRDefault="00CD2A5A">
            <w:pPr>
              <w:pStyle w:val="Chiffrestableau"/>
            </w:pPr>
            <w:r>
              <w:t>50.9%</w:t>
            </w:r>
          </w:p>
        </w:tc>
        <w:tc>
          <w:tcPr>
            <w:tcW w:w="1233" w:type="dxa"/>
            <w:vAlign w:val="center"/>
          </w:tcPr>
          <w:p w:rsidR="00CD2A5A" w:rsidRDefault="00CD2A5A">
            <w:pPr>
              <w:pStyle w:val="Chiffrestableau"/>
            </w:pPr>
            <w:r>
              <w:t>3,517</w:t>
            </w:r>
          </w:p>
        </w:tc>
        <w:tc>
          <w:tcPr>
            <w:tcW w:w="1232" w:type="dxa"/>
            <w:vAlign w:val="center"/>
          </w:tcPr>
          <w:p w:rsidR="00CD2A5A" w:rsidRDefault="00CD2A5A">
            <w:pPr>
              <w:pStyle w:val="Chiffrestableau"/>
            </w:pPr>
            <w:r>
              <w:t>52.4%</w:t>
            </w:r>
          </w:p>
        </w:tc>
        <w:tc>
          <w:tcPr>
            <w:tcW w:w="1232" w:type="dxa"/>
            <w:vAlign w:val="center"/>
          </w:tcPr>
          <w:p w:rsidR="00CD2A5A" w:rsidRDefault="00CD2A5A">
            <w:pPr>
              <w:pStyle w:val="Chiffrestableau"/>
            </w:pPr>
            <w:r>
              <w:t>3,971</w:t>
            </w:r>
          </w:p>
        </w:tc>
        <w:tc>
          <w:tcPr>
            <w:tcW w:w="1233" w:type="dxa"/>
            <w:vAlign w:val="center"/>
          </w:tcPr>
          <w:p w:rsidR="00CD2A5A" w:rsidRDefault="00CD2A5A">
            <w:pPr>
              <w:pStyle w:val="Chiffrestableau"/>
            </w:pPr>
            <w:r>
              <w:t>51%</w:t>
            </w:r>
          </w:p>
        </w:tc>
      </w:tr>
      <w:tr w:rsidR="00CD2A5A">
        <w:trPr>
          <w:trHeight w:val="227"/>
          <w:jc w:val="center"/>
        </w:trPr>
        <w:tc>
          <w:tcPr>
            <w:tcW w:w="2017" w:type="dxa"/>
            <w:vAlign w:val="center"/>
          </w:tcPr>
          <w:p w:rsidR="00CD2A5A" w:rsidRDefault="00CD2A5A">
            <w:pPr>
              <w:spacing w:before="40" w:after="40"/>
              <w:rPr>
                <w:sz w:val="20"/>
                <w:szCs w:val="20"/>
                <w:lang w:val="es-SV"/>
              </w:rPr>
            </w:pPr>
            <w:r>
              <w:rPr>
                <w:sz w:val="20"/>
                <w:szCs w:val="20"/>
                <w:lang w:val="en-GB"/>
              </w:rPr>
              <w:t>Males</w:t>
            </w:r>
          </w:p>
        </w:tc>
        <w:tc>
          <w:tcPr>
            <w:tcW w:w="1233" w:type="dxa"/>
            <w:vAlign w:val="center"/>
          </w:tcPr>
          <w:p w:rsidR="00CD2A5A" w:rsidRDefault="00CD2A5A">
            <w:pPr>
              <w:pStyle w:val="Chiffrestableau"/>
            </w:pPr>
            <w:r>
              <w:t>2,945</w:t>
            </w:r>
          </w:p>
        </w:tc>
        <w:tc>
          <w:tcPr>
            <w:tcW w:w="1232" w:type="dxa"/>
            <w:vAlign w:val="center"/>
          </w:tcPr>
          <w:p w:rsidR="00CD2A5A" w:rsidRDefault="00CD2A5A">
            <w:pPr>
              <w:pStyle w:val="Chiffrestableau"/>
            </w:pPr>
            <w:r>
              <w:t>49.1%</w:t>
            </w:r>
          </w:p>
        </w:tc>
        <w:tc>
          <w:tcPr>
            <w:tcW w:w="1233" w:type="dxa"/>
            <w:vAlign w:val="center"/>
          </w:tcPr>
          <w:p w:rsidR="00CD2A5A" w:rsidRDefault="00CD2A5A">
            <w:pPr>
              <w:pStyle w:val="Chiffrestableau"/>
            </w:pPr>
            <w:r>
              <w:t>3,197</w:t>
            </w:r>
          </w:p>
        </w:tc>
        <w:tc>
          <w:tcPr>
            <w:tcW w:w="1232" w:type="dxa"/>
            <w:vAlign w:val="center"/>
          </w:tcPr>
          <w:p w:rsidR="00CD2A5A" w:rsidRDefault="00CD2A5A">
            <w:pPr>
              <w:pStyle w:val="Chiffrestableau"/>
            </w:pPr>
            <w:r>
              <w:t>47.6%</w:t>
            </w:r>
          </w:p>
        </w:tc>
        <w:tc>
          <w:tcPr>
            <w:tcW w:w="1232" w:type="dxa"/>
            <w:vAlign w:val="center"/>
          </w:tcPr>
          <w:p w:rsidR="00CD2A5A" w:rsidRDefault="00CD2A5A">
            <w:pPr>
              <w:pStyle w:val="Chiffrestableau"/>
            </w:pPr>
            <w:r>
              <w:t>3,855</w:t>
            </w:r>
          </w:p>
        </w:tc>
        <w:tc>
          <w:tcPr>
            <w:tcW w:w="1233" w:type="dxa"/>
            <w:vAlign w:val="center"/>
          </w:tcPr>
          <w:p w:rsidR="00CD2A5A" w:rsidRDefault="00CD2A5A">
            <w:pPr>
              <w:pStyle w:val="Chiffrestableau"/>
            </w:pPr>
            <w:r>
              <w:t>49%</w:t>
            </w:r>
          </w:p>
        </w:tc>
      </w:tr>
      <w:tr w:rsidR="00CD2A5A">
        <w:trPr>
          <w:trHeight w:val="227"/>
          <w:jc w:val="center"/>
        </w:trPr>
        <w:tc>
          <w:tcPr>
            <w:tcW w:w="2017" w:type="dxa"/>
            <w:vAlign w:val="center"/>
          </w:tcPr>
          <w:p w:rsidR="00CD2A5A" w:rsidRDefault="00CD2A5A">
            <w:pPr>
              <w:spacing w:before="40" w:after="40"/>
              <w:rPr>
                <w:sz w:val="20"/>
                <w:szCs w:val="20"/>
                <w:lang w:val="es-SV"/>
              </w:rPr>
            </w:pPr>
            <w:r>
              <w:rPr>
                <w:sz w:val="20"/>
                <w:szCs w:val="20"/>
                <w:lang w:val="en-GB"/>
              </w:rPr>
              <w:t>Total</w:t>
            </w:r>
          </w:p>
        </w:tc>
        <w:tc>
          <w:tcPr>
            <w:tcW w:w="1233" w:type="dxa"/>
            <w:vAlign w:val="center"/>
          </w:tcPr>
          <w:p w:rsidR="00CD2A5A" w:rsidRDefault="00CD2A5A">
            <w:pPr>
              <w:pStyle w:val="Chiffrestableau"/>
            </w:pPr>
            <w:r>
              <w:t>6,004</w:t>
            </w:r>
          </w:p>
        </w:tc>
        <w:tc>
          <w:tcPr>
            <w:tcW w:w="1232" w:type="dxa"/>
            <w:vAlign w:val="center"/>
          </w:tcPr>
          <w:p w:rsidR="00CD2A5A" w:rsidRDefault="00CD2A5A">
            <w:pPr>
              <w:pStyle w:val="Chiffrestableau"/>
            </w:pPr>
            <w:r>
              <w:t>100%</w:t>
            </w:r>
          </w:p>
        </w:tc>
        <w:tc>
          <w:tcPr>
            <w:tcW w:w="1233" w:type="dxa"/>
            <w:vAlign w:val="center"/>
          </w:tcPr>
          <w:p w:rsidR="00CD2A5A" w:rsidRDefault="00CD2A5A">
            <w:pPr>
              <w:pStyle w:val="Chiffrestableau"/>
            </w:pPr>
            <w:r>
              <w:t>6,714</w:t>
            </w:r>
          </w:p>
        </w:tc>
        <w:tc>
          <w:tcPr>
            <w:tcW w:w="1232" w:type="dxa"/>
            <w:vAlign w:val="center"/>
          </w:tcPr>
          <w:p w:rsidR="00CD2A5A" w:rsidRDefault="00CD2A5A">
            <w:pPr>
              <w:pStyle w:val="Chiffrestableau"/>
            </w:pPr>
            <w:r>
              <w:t>100%</w:t>
            </w:r>
          </w:p>
        </w:tc>
        <w:tc>
          <w:tcPr>
            <w:tcW w:w="1232" w:type="dxa"/>
            <w:vAlign w:val="center"/>
          </w:tcPr>
          <w:p w:rsidR="00CD2A5A" w:rsidRDefault="00CD2A5A">
            <w:pPr>
              <w:pStyle w:val="Chiffrestableau"/>
            </w:pPr>
            <w:r>
              <w:t>7,826</w:t>
            </w:r>
          </w:p>
        </w:tc>
        <w:tc>
          <w:tcPr>
            <w:tcW w:w="1233" w:type="dxa"/>
            <w:vAlign w:val="center"/>
          </w:tcPr>
          <w:p w:rsidR="00CD2A5A" w:rsidRDefault="00CD2A5A">
            <w:pPr>
              <w:pStyle w:val="Chiffrestableau"/>
            </w:pPr>
            <w:r>
              <w:t>100%</w:t>
            </w:r>
          </w:p>
        </w:tc>
      </w:tr>
    </w:tbl>
    <w:p w:rsidR="00CD2A5A" w:rsidRDefault="00CD2A5A">
      <w:pPr>
        <w:spacing w:after="240"/>
        <w:rPr>
          <w:b/>
          <w:lang w:val="es-SV"/>
        </w:rPr>
      </w:pPr>
    </w:p>
    <w:p w:rsidR="00CD2A5A" w:rsidRDefault="00CD2A5A" w:rsidP="00ED5B89">
      <w:pPr>
        <w:pStyle w:val="Figure"/>
        <w:spacing w:after="120"/>
        <w:rPr>
          <w:lang w:val="es-SV"/>
        </w:rPr>
      </w:pPr>
      <w:r>
        <w:br w:type="page"/>
        <w:t>Figure 10</w:t>
      </w:r>
    </w:p>
    <w:p w:rsidR="00CD2A5A" w:rsidRPr="00ED5B89" w:rsidRDefault="00CD2A5A" w:rsidP="00ED5B89">
      <w:pPr>
        <w:pStyle w:val="Figure"/>
        <w:spacing w:after="120"/>
        <w:rPr>
          <w:lang w:val="en-US"/>
        </w:rPr>
      </w:pPr>
      <w:r>
        <w:t>Population in the care of the ISNA protection subsystem by age group</w:t>
      </w:r>
      <w:r w:rsidR="00ED5B89">
        <w:t>,</w:t>
      </w:r>
      <w:r>
        <w:rPr>
          <w:lang w:val="en-US"/>
        </w:rPr>
        <w:t xml:space="preserve"> </w:t>
      </w:r>
      <w:r>
        <w:t>(2004, 2005 and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1237"/>
        <w:gridCol w:w="1238"/>
        <w:gridCol w:w="1239"/>
        <w:gridCol w:w="1238"/>
        <w:gridCol w:w="1238"/>
        <w:gridCol w:w="1239"/>
      </w:tblGrid>
      <w:tr w:rsidR="00CD2A5A">
        <w:trPr>
          <w:cantSplit/>
          <w:trHeight w:val="187"/>
          <w:jc w:val="center"/>
        </w:trPr>
        <w:tc>
          <w:tcPr>
            <w:tcW w:w="1983" w:type="dxa"/>
            <w:vMerge w:val="restart"/>
            <w:vAlign w:val="center"/>
          </w:tcPr>
          <w:p w:rsidR="00CD2A5A" w:rsidRDefault="00CD2A5A">
            <w:pPr>
              <w:spacing w:before="40" w:after="40"/>
              <w:jc w:val="center"/>
              <w:rPr>
                <w:b/>
                <w:i/>
                <w:sz w:val="20"/>
                <w:szCs w:val="20"/>
                <w:lang w:val="es-SV"/>
              </w:rPr>
            </w:pPr>
            <w:r>
              <w:rPr>
                <w:b/>
                <w:i/>
                <w:sz w:val="20"/>
                <w:szCs w:val="20"/>
                <w:lang w:val="en-GB"/>
              </w:rPr>
              <w:t>Age group</w:t>
            </w:r>
          </w:p>
        </w:tc>
        <w:tc>
          <w:tcPr>
            <w:tcW w:w="2475" w:type="dxa"/>
            <w:gridSpan w:val="2"/>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s-SV"/>
              </w:rPr>
              <w:t>2004</w:t>
            </w:r>
          </w:p>
        </w:tc>
        <w:tc>
          <w:tcPr>
            <w:tcW w:w="2477" w:type="dxa"/>
            <w:gridSpan w:val="2"/>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s-SV"/>
              </w:rPr>
              <w:t>2005</w:t>
            </w:r>
          </w:p>
        </w:tc>
        <w:tc>
          <w:tcPr>
            <w:tcW w:w="2477" w:type="dxa"/>
            <w:gridSpan w:val="2"/>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s-SV"/>
              </w:rPr>
              <w:t>2006</w:t>
            </w:r>
          </w:p>
        </w:tc>
      </w:tr>
      <w:tr w:rsidR="00CD2A5A">
        <w:trPr>
          <w:cantSplit/>
          <w:trHeight w:val="187"/>
          <w:jc w:val="center"/>
        </w:trPr>
        <w:tc>
          <w:tcPr>
            <w:tcW w:w="1983" w:type="dxa"/>
            <w:vMerge/>
            <w:tcBorders>
              <w:bottom w:val="single" w:sz="4" w:space="0" w:color="auto"/>
            </w:tcBorders>
            <w:vAlign w:val="center"/>
          </w:tcPr>
          <w:p w:rsidR="00CD2A5A" w:rsidRDefault="00CD2A5A">
            <w:pPr>
              <w:spacing w:before="40" w:after="40"/>
              <w:jc w:val="center"/>
              <w:rPr>
                <w:b/>
                <w:i/>
                <w:sz w:val="20"/>
                <w:szCs w:val="20"/>
                <w:lang w:val="es-SV"/>
              </w:rPr>
            </w:pPr>
          </w:p>
        </w:tc>
        <w:tc>
          <w:tcPr>
            <w:tcW w:w="1237" w:type="dxa"/>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Children</w:t>
            </w:r>
          </w:p>
        </w:tc>
        <w:tc>
          <w:tcPr>
            <w:tcW w:w="1238" w:type="dxa"/>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s-SV"/>
              </w:rPr>
              <w:t>%</w:t>
            </w:r>
          </w:p>
        </w:tc>
        <w:tc>
          <w:tcPr>
            <w:tcW w:w="1239" w:type="dxa"/>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Children</w:t>
            </w:r>
          </w:p>
        </w:tc>
        <w:tc>
          <w:tcPr>
            <w:tcW w:w="1238" w:type="dxa"/>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s-SV"/>
              </w:rPr>
              <w:t>%</w:t>
            </w:r>
          </w:p>
        </w:tc>
        <w:tc>
          <w:tcPr>
            <w:tcW w:w="1238" w:type="dxa"/>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Children</w:t>
            </w:r>
          </w:p>
        </w:tc>
        <w:tc>
          <w:tcPr>
            <w:tcW w:w="1239" w:type="dxa"/>
            <w:tcBorders>
              <w:bottom w:val="single" w:sz="4" w:space="0" w:color="auto"/>
            </w:tcBorders>
            <w:vAlign w:val="center"/>
          </w:tcPr>
          <w:p w:rsidR="00CD2A5A" w:rsidRDefault="00CD2A5A">
            <w:pPr>
              <w:spacing w:before="40" w:after="40"/>
              <w:jc w:val="center"/>
              <w:rPr>
                <w:b/>
                <w:i/>
                <w:sz w:val="20"/>
                <w:szCs w:val="20"/>
                <w:lang w:val="es-SV"/>
              </w:rPr>
            </w:pPr>
            <w:r>
              <w:rPr>
                <w:b/>
                <w:i/>
                <w:sz w:val="20"/>
                <w:szCs w:val="20"/>
                <w:lang w:val="es-SV"/>
              </w:rPr>
              <w:t>%</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0 to 3</w:t>
            </w:r>
          </w:p>
        </w:tc>
        <w:tc>
          <w:tcPr>
            <w:tcW w:w="1237" w:type="dxa"/>
            <w:vAlign w:val="center"/>
          </w:tcPr>
          <w:p w:rsidR="00CD2A5A" w:rsidRDefault="00CD2A5A">
            <w:pPr>
              <w:spacing w:before="40" w:after="40"/>
              <w:ind w:right="170"/>
              <w:jc w:val="right"/>
              <w:rPr>
                <w:sz w:val="20"/>
                <w:szCs w:val="20"/>
                <w:lang w:val="es-SV"/>
              </w:rPr>
            </w:pPr>
            <w:r>
              <w:rPr>
                <w:sz w:val="20"/>
                <w:szCs w:val="20"/>
                <w:lang w:val="es-SV"/>
              </w:rPr>
              <w:t>830</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13.8%</w:t>
            </w:r>
          </w:p>
        </w:tc>
        <w:tc>
          <w:tcPr>
            <w:tcW w:w="1239" w:type="dxa"/>
            <w:vAlign w:val="center"/>
          </w:tcPr>
          <w:p w:rsidR="00CD2A5A" w:rsidRDefault="00CD2A5A">
            <w:pPr>
              <w:spacing w:before="40" w:after="40"/>
              <w:ind w:right="170"/>
              <w:jc w:val="right"/>
              <w:rPr>
                <w:sz w:val="20"/>
                <w:szCs w:val="20"/>
                <w:lang w:val="es-SV"/>
              </w:rPr>
            </w:pPr>
            <w:r>
              <w:rPr>
                <w:sz w:val="20"/>
                <w:szCs w:val="20"/>
                <w:lang w:val="es-SV"/>
              </w:rPr>
              <w:t>816</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12.2%</w:t>
            </w:r>
          </w:p>
        </w:tc>
        <w:tc>
          <w:tcPr>
            <w:tcW w:w="1238" w:type="dxa"/>
            <w:vAlign w:val="center"/>
          </w:tcPr>
          <w:p w:rsidR="00CD2A5A" w:rsidRDefault="00CD2A5A">
            <w:pPr>
              <w:spacing w:before="40" w:after="40"/>
              <w:ind w:right="170"/>
              <w:jc w:val="right"/>
              <w:rPr>
                <w:sz w:val="20"/>
                <w:szCs w:val="20"/>
                <w:lang w:val="es-SV"/>
              </w:rPr>
            </w:pPr>
            <w:r>
              <w:rPr>
                <w:sz w:val="20"/>
                <w:szCs w:val="20"/>
                <w:lang w:val="es-SV"/>
              </w:rPr>
              <w:t>975</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12%</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3 to 6</w:t>
            </w:r>
          </w:p>
        </w:tc>
        <w:tc>
          <w:tcPr>
            <w:tcW w:w="1237" w:type="dxa"/>
            <w:vAlign w:val="center"/>
          </w:tcPr>
          <w:p w:rsidR="00CD2A5A" w:rsidRDefault="00CD2A5A">
            <w:pPr>
              <w:spacing w:before="40" w:after="40"/>
              <w:ind w:right="170"/>
              <w:jc w:val="right"/>
              <w:rPr>
                <w:sz w:val="20"/>
                <w:szCs w:val="20"/>
                <w:lang w:val="es-SV"/>
              </w:rPr>
            </w:pPr>
            <w:r>
              <w:rPr>
                <w:sz w:val="20"/>
                <w:szCs w:val="20"/>
                <w:lang w:val="es-SV"/>
              </w:rPr>
              <w:t>790</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13.2%</w:t>
            </w:r>
          </w:p>
        </w:tc>
        <w:tc>
          <w:tcPr>
            <w:tcW w:w="1239" w:type="dxa"/>
            <w:vAlign w:val="center"/>
          </w:tcPr>
          <w:p w:rsidR="00CD2A5A" w:rsidRDefault="00CD2A5A">
            <w:pPr>
              <w:spacing w:before="40" w:after="40"/>
              <w:ind w:right="170"/>
              <w:jc w:val="right"/>
              <w:rPr>
                <w:sz w:val="20"/>
                <w:szCs w:val="20"/>
                <w:lang w:val="es-SV"/>
              </w:rPr>
            </w:pPr>
            <w:r>
              <w:rPr>
                <w:sz w:val="20"/>
                <w:szCs w:val="20"/>
                <w:lang w:val="es-SV"/>
              </w:rPr>
              <w:t>771</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11.5%</w:t>
            </w:r>
          </w:p>
        </w:tc>
        <w:tc>
          <w:tcPr>
            <w:tcW w:w="1238" w:type="dxa"/>
            <w:vAlign w:val="center"/>
          </w:tcPr>
          <w:p w:rsidR="00CD2A5A" w:rsidRDefault="00CD2A5A">
            <w:pPr>
              <w:spacing w:before="40" w:after="40"/>
              <w:ind w:right="170"/>
              <w:jc w:val="right"/>
              <w:rPr>
                <w:sz w:val="20"/>
                <w:szCs w:val="20"/>
                <w:lang w:val="es-SV"/>
              </w:rPr>
            </w:pPr>
            <w:r>
              <w:rPr>
                <w:sz w:val="20"/>
                <w:szCs w:val="20"/>
                <w:lang w:val="es-SV"/>
              </w:rPr>
              <w:t>850</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11%</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6 to 9</w:t>
            </w:r>
          </w:p>
        </w:tc>
        <w:tc>
          <w:tcPr>
            <w:tcW w:w="1237" w:type="dxa"/>
            <w:vAlign w:val="center"/>
          </w:tcPr>
          <w:p w:rsidR="00CD2A5A" w:rsidRDefault="00CD2A5A">
            <w:pPr>
              <w:spacing w:before="40" w:after="40"/>
              <w:ind w:right="170"/>
              <w:jc w:val="right"/>
              <w:rPr>
                <w:sz w:val="20"/>
                <w:szCs w:val="20"/>
                <w:lang w:val="es-SV"/>
              </w:rPr>
            </w:pPr>
            <w:r>
              <w:rPr>
                <w:sz w:val="20"/>
                <w:szCs w:val="20"/>
                <w:lang w:val="es-SV"/>
              </w:rPr>
              <w:t>789</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13.1%</w:t>
            </w:r>
          </w:p>
        </w:tc>
        <w:tc>
          <w:tcPr>
            <w:tcW w:w="1239" w:type="dxa"/>
            <w:vAlign w:val="center"/>
          </w:tcPr>
          <w:p w:rsidR="00CD2A5A" w:rsidRDefault="00CD2A5A">
            <w:pPr>
              <w:spacing w:before="40" w:after="40"/>
              <w:ind w:right="170"/>
              <w:jc w:val="right"/>
              <w:rPr>
                <w:sz w:val="20"/>
                <w:szCs w:val="20"/>
                <w:lang w:val="es-SV"/>
              </w:rPr>
            </w:pPr>
            <w:r>
              <w:rPr>
                <w:sz w:val="20"/>
                <w:szCs w:val="20"/>
                <w:lang w:val="es-SV"/>
              </w:rPr>
              <w:t>902</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13.4%</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1,086</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14%</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9 to 12</w:t>
            </w:r>
          </w:p>
        </w:tc>
        <w:tc>
          <w:tcPr>
            <w:tcW w:w="1237" w:type="dxa"/>
            <w:vAlign w:val="center"/>
          </w:tcPr>
          <w:p w:rsidR="00CD2A5A" w:rsidRDefault="00CD2A5A">
            <w:pPr>
              <w:spacing w:before="40" w:after="40"/>
              <w:ind w:right="170"/>
              <w:jc w:val="right"/>
              <w:rPr>
                <w:sz w:val="20"/>
                <w:szCs w:val="20"/>
                <w:lang w:val="es-SV"/>
              </w:rPr>
            </w:pPr>
            <w:r>
              <w:rPr>
                <w:sz w:val="20"/>
                <w:szCs w:val="20"/>
                <w:lang w:val="es-SV"/>
              </w:rPr>
              <w:t>959</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16.0%</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1,076</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16.0%</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1,250</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16%</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12 to 15</w:t>
            </w:r>
          </w:p>
        </w:tc>
        <w:tc>
          <w:tcPr>
            <w:tcW w:w="1237" w:type="dxa"/>
            <w:vAlign w:val="center"/>
          </w:tcPr>
          <w:p w:rsidR="00CD2A5A" w:rsidRDefault="00CD2A5A">
            <w:pPr>
              <w:spacing w:before="40" w:after="40"/>
              <w:ind w:right="170"/>
              <w:jc w:val="right"/>
              <w:rPr>
                <w:sz w:val="20"/>
                <w:szCs w:val="20"/>
                <w:lang w:val="es-SV"/>
              </w:rPr>
            </w:pPr>
            <w:r>
              <w:rPr>
                <w:sz w:val="20"/>
                <w:szCs w:val="20"/>
                <w:lang w:val="es-SV"/>
              </w:rPr>
              <w:t>1,273</w:t>
            </w:r>
          </w:p>
        </w:tc>
        <w:tc>
          <w:tcPr>
            <w:tcW w:w="1238" w:type="dxa"/>
            <w:vAlign w:val="center"/>
          </w:tcPr>
          <w:p w:rsidR="00CD2A5A" w:rsidRDefault="00CD2A5A">
            <w:pPr>
              <w:spacing w:before="40" w:after="40"/>
              <w:ind w:right="170"/>
              <w:jc w:val="right"/>
              <w:rPr>
                <w:sz w:val="20"/>
                <w:szCs w:val="20"/>
                <w:lang w:val="es-SV"/>
              </w:rPr>
            </w:pPr>
            <w:r>
              <w:rPr>
                <w:sz w:val="20"/>
                <w:szCs w:val="20"/>
                <w:lang w:val="es-SV"/>
              </w:rPr>
              <w:t>21.2%</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1,526</w:t>
            </w:r>
          </w:p>
        </w:tc>
        <w:tc>
          <w:tcPr>
            <w:tcW w:w="1238" w:type="dxa"/>
            <w:vAlign w:val="center"/>
          </w:tcPr>
          <w:p w:rsidR="00CD2A5A" w:rsidRDefault="00CD2A5A">
            <w:pPr>
              <w:spacing w:before="40" w:after="40"/>
              <w:ind w:right="170"/>
              <w:jc w:val="right"/>
              <w:rPr>
                <w:sz w:val="20"/>
                <w:szCs w:val="20"/>
                <w:lang w:val="es-SV"/>
              </w:rPr>
            </w:pPr>
            <w:r>
              <w:rPr>
                <w:sz w:val="20"/>
                <w:szCs w:val="20"/>
                <w:lang w:val="es-SV"/>
              </w:rPr>
              <w:t>22.7%</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1,699</w:t>
            </w:r>
          </w:p>
        </w:tc>
        <w:tc>
          <w:tcPr>
            <w:tcW w:w="1239" w:type="dxa"/>
            <w:vAlign w:val="center"/>
          </w:tcPr>
          <w:p w:rsidR="00CD2A5A" w:rsidRDefault="00CD2A5A">
            <w:pPr>
              <w:spacing w:before="40" w:after="40"/>
              <w:ind w:right="170"/>
              <w:jc w:val="right"/>
              <w:rPr>
                <w:sz w:val="20"/>
                <w:szCs w:val="20"/>
                <w:lang w:val="es-SV"/>
              </w:rPr>
            </w:pPr>
            <w:r>
              <w:rPr>
                <w:sz w:val="20"/>
                <w:szCs w:val="20"/>
                <w:lang w:val="es-SV"/>
              </w:rPr>
              <w:t>22%</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15 to 18</w:t>
            </w:r>
          </w:p>
        </w:tc>
        <w:tc>
          <w:tcPr>
            <w:tcW w:w="1237" w:type="dxa"/>
            <w:vAlign w:val="center"/>
          </w:tcPr>
          <w:p w:rsidR="00CD2A5A" w:rsidRDefault="00CD2A5A">
            <w:pPr>
              <w:spacing w:before="40" w:after="40"/>
              <w:ind w:right="170"/>
              <w:jc w:val="right"/>
              <w:rPr>
                <w:sz w:val="20"/>
                <w:szCs w:val="20"/>
                <w:lang w:val="es-SV"/>
              </w:rPr>
            </w:pPr>
            <w:r>
              <w:rPr>
                <w:sz w:val="20"/>
                <w:szCs w:val="20"/>
                <w:lang w:val="es-SV"/>
              </w:rPr>
              <w:t>1,188</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19.8%</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1,491</w:t>
            </w:r>
          </w:p>
        </w:tc>
        <w:tc>
          <w:tcPr>
            <w:tcW w:w="1238" w:type="dxa"/>
            <w:vAlign w:val="center"/>
          </w:tcPr>
          <w:p w:rsidR="00CD2A5A" w:rsidRDefault="00CD2A5A">
            <w:pPr>
              <w:spacing w:before="40" w:after="40"/>
              <w:ind w:right="170"/>
              <w:jc w:val="right"/>
              <w:rPr>
                <w:sz w:val="20"/>
                <w:szCs w:val="20"/>
                <w:lang w:val="es-SV"/>
              </w:rPr>
            </w:pPr>
            <w:r>
              <w:rPr>
                <w:sz w:val="20"/>
                <w:szCs w:val="20"/>
                <w:lang w:val="es-SV"/>
              </w:rPr>
              <w:t>22.2%</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1,829</w:t>
            </w:r>
          </w:p>
        </w:tc>
        <w:tc>
          <w:tcPr>
            <w:tcW w:w="1239" w:type="dxa"/>
            <w:vAlign w:val="center"/>
          </w:tcPr>
          <w:p w:rsidR="00CD2A5A" w:rsidRDefault="00CD2A5A">
            <w:pPr>
              <w:spacing w:before="40" w:after="40"/>
              <w:ind w:right="170"/>
              <w:jc w:val="right"/>
              <w:rPr>
                <w:sz w:val="20"/>
                <w:szCs w:val="20"/>
                <w:lang w:val="es-SV"/>
              </w:rPr>
            </w:pPr>
            <w:r>
              <w:rPr>
                <w:sz w:val="20"/>
                <w:szCs w:val="20"/>
                <w:lang w:val="es-SV"/>
              </w:rPr>
              <w:t>23%</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Age 18 and over</w:t>
            </w:r>
          </w:p>
        </w:tc>
        <w:tc>
          <w:tcPr>
            <w:tcW w:w="1237" w:type="dxa"/>
            <w:vAlign w:val="center"/>
          </w:tcPr>
          <w:p w:rsidR="00CD2A5A" w:rsidRDefault="00CD2A5A">
            <w:pPr>
              <w:spacing w:before="40" w:after="40"/>
              <w:ind w:right="170"/>
              <w:jc w:val="right"/>
              <w:rPr>
                <w:sz w:val="20"/>
                <w:szCs w:val="20"/>
                <w:lang w:val="es-SV"/>
              </w:rPr>
            </w:pPr>
            <w:r>
              <w:rPr>
                <w:sz w:val="20"/>
                <w:szCs w:val="20"/>
                <w:lang w:val="es-SV"/>
              </w:rPr>
              <w:t>175</w:t>
            </w:r>
          </w:p>
        </w:tc>
        <w:tc>
          <w:tcPr>
            <w:tcW w:w="1238" w:type="dxa"/>
            <w:vAlign w:val="center"/>
          </w:tcPr>
          <w:p w:rsidR="00CD2A5A" w:rsidRDefault="00CD2A5A">
            <w:pPr>
              <w:spacing w:before="40" w:after="40"/>
              <w:ind w:right="170"/>
              <w:jc w:val="right"/>
              <w:rPr>
                <w:sz w:val="20"/>
                <w:szCs w:val="20"/>
                <w:lang w:val="es-SV"/>
              </w:rPr>
            </w:pPr>
            <w:r>
              <w:rPr>
                <w:sz w:val="20"/>
                <w:szCs w:val="20"/>
                <w:lang w:val="es-SV"/>
              </w:rPr>
              <w:t>2.9%</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132</w:t>
            </w:r>
          </w:p>
        </w:tc>
        <w:tc>
          <w:tcPr>
            <w:tcW w:w="1238" w:type="dxa"/>
            <w:vAlign w:val="center"/>
          </w:tcPr>
          <w:p w:rsidR="00CD2A5A" w:rsidRDefault="00CD2A5A">
            <w:pPr>
              <w:spacing w:before="40" w:after="40"/>
              <w:ind w:right="170"/>
              <w:jc w:val="right"/>
              <w:rPr>
                <w:sz w:val="20"/>
                <w:szCs w:val="20"/>
                <w:lang w:val="es-SV"/>
              </w:rPr>
            </w:pPr>
            <w:r>
              <w:rPr>
                <w:sz w:val="20"/>
                <w:szCs w:val="20"/>
                <w:lang w:val="es-SV"/>
              </w:rPr>
              <w:t>2.0%</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137</w:t>
            </w:r>
          </w:p>
        </w:tc>
        <w:tc>
          <w:tcPr>
            <w:tcW w:w="1239" w:type="dxa"/>
            <w:vAlign w:val="center"/>
          </w:tcPr>
          <w:p w:rsidR="00CD2A5A" w:rsidRDefault="00CD2A5A">
            <w:pPr>
              <w:spacing w:before="40" w:after="40"/>
              <w:ind w:right="170"/>
              <w:jc w:val="right"/>
              <w:rPr>
                <w:sz w:val="20"/>
                <w:szCs w:val="20"/>
                <w:lang w:val="es-SV"/>
              </w:rPr>
            </w:pPr>
            <w:r>
              <w:rPr>
                <w:sz w:val="20"/>
                <w:szCs w:val="20"/>
                <w:lang w:val="es-SV"/>
              </w:rPr>
              <w:t>2%</w:t>
            </w:r>
          </w:p>
        </w:tc>
      </w:tr>
      <w:tr w:rsidR="00CD2A5A">
        <w:trPr>
          <w:trHeight w:val="227"/>
          <w:jc w:val="center"/>
        </w:trPr>
        <w:tc>
          <w:tcPr>
            <w:tcW w:w="1983" w:type="dxa"/>
            <w:vAlign w:val="center"/>
          </w:tcPr>
          <w:p w:rsidR="00CD2A5A" w:rsidRDefault="00CD2A5A">
            <w:pPr>
              <w:spacing w:before="40" w:after="40"/>
              <w:rPr>
                <w:sz w:val="20"/>
                <w:szCs w:val="20"/>
                <w:lang w:val="es-SV"/>
              </w:rPr>
            </w:pPr>
            <w:r>
              <w:rPr>
                <w:sz w:val="20"/>
                <w:szCs w:val="20"/>
                <w:lang w:val="en-GB"/>
              </w:rPr>
              <w:t>Total</w:t>
            </w:r>
          </w:p>
        </w:tc>
        <w:tc>
          <w:tcPr>
            <w:tcW w:w="1237" w:type="dxa"/>
            <w:vAlign w:val="center"/>
          </w:tcPr>
          <w:p w:rsidR="00CD2A5A" w:rsidRDefault="00CD2A5A">
            <w:pPr>
              <w:spacing w:before="40" w:after="40"/>
              <w:ind w:right="170"/>
              <w:jc w:val="right"/>
              <w:rPr>
                <w:sz w:val="20"/>
                <w:szCs w:val="20"/>
                <w:lang w:val="es-SV"/>
              </w:rPr>
            </w:pPr>
            <w:r>
              <w:rPr>
                <w:sz w:val="20"/>
                <w:szCs w:val="20"/>
                <w:lang w:val="es-SV"/>
              </w:rPr>
              <w:t>6,004</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100%</w:t>
            </w:r>
          </w:p>
        </w:tc>
        <w:tc>
          <w:tcPr>
            <w:tcW w:w="1239" w:type="dxa"/>
            <w:vAlign w:val="center"/>
          </w:tcPr>
          <w:p w:rsidR="00CD2A5A" w:rsidRDefault="00CD2A5A">
            <w:pPr>
              <w:spacing w:before="40" w:after="40"/>
              <w:ind w:right="170"/>
              <w:jc w:val="right"/>
              <w:rPr>
                <w:sz w:val="20"/>
                <w:szCs w:val="20"/>
                <w:lang w:val="es-SV"/>
              </w:rPr>
            </w:pPr>
            <w:r>
              <w:rPr>
                <w:sz w:val="20"/>
                <w:szCs w:val="20"/>
                <w:lang w:val="es-SV"/>
              </w:rPr>
              <w:t>6,714</w:t>
            </w:r>
          </w:p>
        </w:tc>
        <w:tc>
          <w:tcPr>
            <w:tcW w:w="1238" w:type="dxa"/>
            <w:vAlign w:val="center"/>
          </w:tcPr>
          <w:p w:rsidR="00CD2A5A" w:rsidRDefault="00CD2A5A">
            <w:pPr>
              <w:spacing w:before="40" w:after="40"/>
              <w:ind w:right="170"/>
              <w:jc w:val="right"/>
              <w:rPr>
                <w:sz w:val="20"/>
                <w:szCs w:val="20"/>
                <w:lang w:val="es-SV"/>
              </w:rPr>
            </w:pPr>
            <w:r>
              <w:rPr>
                <w:sz w:val="20"/>
                <w:szCs w:val="20"/>
                <w:lang w:val="es-SV"/>
              </w:rPr>
              <w:t>100%</w:t>
            </w:r>
          </w:p>
        </w:tc>
        <w:tc>
          <w:tcPr>
            <w:tcW w:w="1238" w:type="dxa"/>
            <w:vAlign w:val="center"/>
          </w:tcPr>
          <w:p w:rsidR="00CD2A5A" w:rsidRDefault="00CD2A5A">
            <w:pPr>
              <w:spacing w:before="40" w:after="40"/>
              <w:ind w:right="170"/>
              <w:jc w:val="right"/>
              <w:rPr>
                <w:sz w:val="20"/>
                <w:szCs w:val="20"/>
                <w:lang w:val="es-SV"/>
              </w:rPr>
            </w:pPr>
            <w:r>
              <w:rPr>
                <w:sz w:val="20"/>
                <w:szCs w:val="20"/>
                <w:lang w:val="es-SV"/>
              </w:rPr>
              <w:t>7,826</w:t>
            </w:r>
          </w:p>
        </w:tc>
        <w:tc>
          <w:tcPr>
            <w:tcW w:w="1239" w:type="dxa"/>
            <w:vAlign w:val="center"/>
          </w:tcPr>
          <w:p w:rsidR="00CD2A5A" w:rsidRDefault="00CD2A5A">
            <w:pPr>
              <w:spacing w:before="40" w:after="40"/>
              <w:ind w:right="170"/>
              <w:jc w:val="right"/>
              <w:rPr>
                <w:sz w:val="20"/>
                <w:szCs w:val="20"/>
                <w:lang w:val="es-SV"/>
              </w:rPr>
            </w:pPr>
            <w:r>
              <w:rPr>
                <w:sz w:val="20"/>
                <w:szCs w:val="20"/>
                <w:lang w:val="es-SV"/>
              </w:rPr>
              <w:t>100%</w:t>
            </w:r>
          </w:p>
        </w:tc>
      </w:tr>
    </w:tbl>
    <w:p w:rsidR="00CD2A5A" w:rsidRDefault="00CD2A5A">
      <w:pPr>
        <w:pStyle w:val="Source"/>
        <w:rPr>
          <w:lang w:val="en-US"/>
        </w:rPr>
      </w:pPr>
      <w:r>
        <w:rPr>
          <w:i/>
        </w:rPr>
        <w:t>Source</w:t>
      </w:r>
      <w:r>
        <w:t>:</w:t>
      </w:r>
      <w:r>
        <w:rPr>
          <w:lang w:val="en-US"/>
        </w:rPr>
        <w:t xml:space="preserve"> </w:t>
      </w:r>
      <w:r>
        <w:t>ISNA’s Child Information System.</w:t>
      </w:r>
    </w:p>
    <w:p w:rsidR="00CD2A5A" w:rsidRDefault="00CD2A5A">
      <w:pPr>
        <w:numPr>
          <w:ilvl w:val="0"/>
          <w:numId w:val="3"/>
        </w:numPr>
        <w:tabs>
          <w:tab w:val="clear" w:pos="720"/>
        </w:tabs>
        <w:spacing w:after="240"/>
        <w:ind w:left="0" w:firstLine="0"/>
        <w:rPr>
          <w:lang w:val="en-US"/>
        </w:rPr>
      </w:pPr>
      <w:r>
        <w:rPr>
          <w:lang w:val="en-GB"/>
        </w:rPr>
        <w:t>In 2004 the Salvadoran Government set up the Youth Secretariat as an institution reporting to the President of the Republic’s Office, specializing in promoting programmes for the rights of adolescents in the field of participation, education, the right to healthy relaxation, prevention of violence, and rehabilitation.</w:t>
      </w:r>
      <w:r>
        <w:rPr>
          <w:lang w:val="en-US"/>
        </w:rPr>
        <w:t xml:space="preserve"> </w:t>
      </w:r>
    </w:p>
    <w:p w:rsidR="00CD2A5A" w:rsidRDefault="00CD2A5A">
      <w:pPr>
        <w:keepNext/>
        <w:numPr>
          <w:ilvl w:val="0"/>
          <w:numId w:val="3"/>
        </w:numPr>
        <w:tabs>
          <w:tab w:val="clear" w:pos="720"/>
        </w:tabs>
        <w:spacing w:after="240"/>
        <w:ind w:left="0" w:firstLine="0"/>
        <w:rPr>
          <w:lang w:val="en-US"/>
        </w:rPr>
      </w:pPr>
      <w:r>
        <w:rPr>
          <w:lang w:val="en-GB"/>
        </w:rPr>
        <w:t>The programmes implemented by this agency include:</w:t>
      </w:r>
    </w:p>
    <w:p w:rsidR="00CD2A5A" w:rsidRDefault="00CD2A5A">
      <w:pPr>
        <w:keepNext/>
        <w:numPr>
          <w:ilvl w:val="1"/>
          <w:numId w:val="3"/>
        </w:numPr>
        <w:tabs>
          <w:tab w:val="clear" w:pos="1200"/>
        </w:tabs>
        <w:spacing w:after="240"/>
        <w:ind w:left="0" w:firstLine="0"/>
        <w:rPr>
          <w:lang w:val="en-US"/>
        </w:rPr>
      </w:pPr>
      <w:r>
        <w:rPr>
          <w:lang w:val="en-GB"/>
        </w:rPr>
        <w:t>Izalco Farm School:</w:t>
      </w:r>
      <w:r>
        <w:rPr>
          <w:lang w:val="en-US"/>
        </w:rPr>
        <w:t xml:space="preserve"> </w:t>
      </w:r>
      <w:r>
        <w:rPr>
          <w:lang w:val="en-GB"/>
        </w:rPr>
        <w:t>This is a voluntary rehabilitation hostel caring for ex-gang-member single mothers and their minor and adolescent children; it has been in operation since March 2005;</w:t>
      </w:r>
    </w:p>
    <w:p w:rsidR="00CD2A5A" w:rsidRDefault="00CD2A5A">
      <w:pPr>
        <w:numPr>
          <w:ilvl w:val="1"/>
          <w:numId w:val="3"/>
        </w:numPr>
        <w:tabs>
          <w:tab w:val="clear" w:pos="1200"/>
        </w:tabs>
        <w:spacing w:after="240"/>
        <w:ind w:left="0" w:firstLine="567"/>
        <w:rPr>
          <w:lang w:val="en-US"/>
        </w:rPr>
      </w:pPr>
      <w:r>
        <w:rPr>
          <w:lang w:val="en-GB"/>
        </w:rPr>
        <w:t>Juvenile rescue centres:</w:t>
      </w:r>
      <w:r>
        <w:rPr>
          <w:lang w:val="en-US"/>
        </w:rPr>
        <w:t xml:space="preserve"> </w:t>
      </w:r>
      <w:r>
        <w:rPr>
          <w:lang w:val="en-GB"/>
        </w:rPr>
        <w:t>This is a rehabilitation centre caring for more than 80 former gang members;</w:t>
      </w:r>
    </w:p>
    <w:p w:rsidR="00CD2A5A" w:rsidRDefault="00CD2A5A">
      <w:pPr>
        <w:numPr>
          <w:ilvl w:val="1"/>
          <w:numId w:val="3"/>
        </w:numPr>
        <w:tabs>
          <w:tab w:val="clear" w:pos="1200"/>
        </w:tabs>
        <w:spacing w:after="240"/>
        <w:ind w:left="0" w:firstLine="567"/>
        <w:rPr>
          <w:lang w:val="en-US"/>
        </w:rPr>
      </w:pPr>
      <w:r>
        <w:rPr>
          <w:i/>
          <w:lang w:val="en-GB"/>
        </w:rPr>
        <w:t>Buscando un Camino</w:t>
      </w:r>
      <w:r>
        <w:rPr>
          <w:lang w:val="en-GB"/>
        </w:rPr>
        <w:t xml:space="preserve"> (Seeking a Path):</w:t>
      </w:r>
      <w:r>
        <w:rPr>
          <w:lang w:val="en-US"/>
        </w:rPr>
        <w:t xml:space="preserve"> </w:t>
      </w:r>
      <w:r>
        <w:rPr>
          <w:lang w:val="en-GB"/>
        </w:rPr>
        <w:t>This programme is being run in conjunction with the private organization Fundación Salvador del Mundo (FUSALMO), which cares for 20 young glue-sniffers in the Centenary Park of the city of San Salvador.</w:t>
      </w:r>
      <w:r>
        <w:rPr>
          <w:lang w:val="en-US"/>
        </w:rPr>
        <w:t xml:space="preserve"> </w:t>
      </w:r>
      <w:r>
        <w:rPr>
          <w:lang w:val="en-GB"/>
        </w:rPr>
        <w:t>The beneficiaries are offered psychological rehabilitation, school coaching, games and practice in giving up their habits;</w:t>
      </w:r>
    </w:p>
    <w:p w:rsidR="00CD2A5A" w:rsidRDefault="00CD2A5A">
      <w:pPr>
        <w:numPr>
          <w:ilvl w:val="1"/>
          <w:numId w:val="3"/>
        </w:numPr>
        <w:tabs>
          <w:tab w:val="clear" w:pos="1200"/>
        </w:tabs>
        <w:spacing w:after="240"/>
        <w:ind w:left="0" w:firstLine="567"/>
        <w:rPr>
          <w:lang w:val="en-US"/>
        </w:rPr>
      </w:pPr>
      <w:r>
        <w:rPr>
          <w:i/>
          <w:lang w:val="en-GB"/>
        </w:rPr>
        <w:t xml:space="preserve">Recorrido Participativo </w:t>
      </w:r>
      <w:r>
        <w:rPr>
          <w:lang w:val="en-GB"/>
        </w:rPr>
        <w:t>(Participation Course):</w:t>
      </w:r>
      <w:r>
        <w:rPr>
          <w:lang w:val="en-US"/>
        </w:rPr>
        <w:t xml:space="preserve"> </w:t>
      </w:r>
      <w:r>
        <w:rPr>
          <w:lang w:val="en-GB"/>
        </w:rPr>
        <w:t>This is a preventive health programme for young people using information materials for stimulating group discussion.</w:t>
      </w:r>
      <w:r>
        <w:rPr>
          <w:lang w:val="en-US"/>
        </w:rPr>
        <w:t xml:space="preserve"> </w:t>
      </w:r>
      <w:r>
        <w:rPr>
          <w:lang w:val="en-GB"/>
        </w:rPr>
        <w:t>It is being carried out in support of the National AIDS Commission and is allocated $4,176 a year;</w:t>
      </w:r>
    </w:p>
    <w:p w:rsidR="00CD2A5A" w:rsidRDefault="00CD2A5A">
      <w:pPr>
        <w:numPr>
          <w:ilvl w:val="1"/>
          <w:numId w:val="3"/>
        </w:numPr>
        <w:tabs>
          <w:tab w:val="clear" w:pos="1200"/>
        </w:tabs>
        <w:spacing w:after="240"/>
        <w:ind w:left="0" w:firstLine="567"/>
        <w:rPr>
          <w:lang w:val="es-SV"/>
        </w:rPr>
      </w:pPr>
      <w:r>
        <w:rPr>
          <w:i/>
          <w:lang w:val="en-GB"/>
        </w:rPr>
        <w:t xml:space="preserve">Cine Foro </w:t>
      </w:r>
      <w:r>
        <w:rPr>
          <w:lang w:val="en-GB"/>
        </w:rPr>
        <w:t>(Cinema Forum):</w:t>
      </w:r>
      <w:r>
        <w:rPr>
          <w:lang w:val="en-US"/>
        </w:rPr>
        <w:t xml:space="preserve"> </w:t>
      </w:r>
      <w:r>
        <w:rPr>
          <w:lang w:val="en-GB"/>
        </w:rPr>
        <w:t>These are training activities that stimulate discussion and learning on themes affecting health development of young people.</w:t>
      </w:r>
      <w:r>
        <w:rPr>
          <w:lang w:val="en-US"/>
        </w:rPr>
        <w:t xml:space="preserve"> </w:t>
      </w:r>
      <w:r>
        <w:rPr>
          <w:lang w:val="en-GB"/>
        </w:rPr>
        <w:t>It has a budget of $4,000 a year;</w:t>
      </w:r>
    </w:p>
    <w:p w:rsidR="00CD2A5A" w:rsidRDefault="00CD2A5A">
      <w:pPr>
        <w:numPr>
          <w:ilvl w:val="1"/>
          <w:numId w:val="3"/>
        </w:numPr>
        <w:tabs>
          <w:tab w:val="clear" w:pos="1200"/>
        </w:tabs>
        <w:spacing w:after="240"/>
        <w:ind w:left="0" w:firstLine="567"/>
        <w:rPr>
          <w:rFonts w:eastAsia="Batang"/>
          <w:lang w:val="es-SV"/>
        </w:rPr>
      </w:pPr>
      <w:r>
        <w:rPr>
          <w:lang w:val="en-GB"/>
        </w:rPr>
        <w:t>Health Vacations:</w:t>
      </w:r>
      <w:r>
        <w:rPr>
          <w:lang w:val="en-US"/>
        </w:rPr>
        <w:t xml:space="preserve"> </w:t>
      </w:r>
      <w:r>
        <w:rPr>
          <w:lang w:val="en-GB"/>
        </w:rPr>
        <w:t>These are itinerant  public activities offering the opportunity of acquiring or improving knowledge of health, and access to health services.</w:t>
      </w:r>
      <w:r>
        <w:rPr>
          <w:lang w:val="en-US"/>
        </w:rPr>
        <w:t xml:space="preserve"> </w:t>
      </w:r>
      <w:r>
        <w:rPr>
          <w:lang w:val="en-GB"/>
        </w:rPr>
        <w:t>This programme has a budget of $5,000 a year;</w:t>
      </w:r>
    </w:p>
    <w:p w:rsidR="00CD2A5A" w:rsidRDefault="00CD2A5A">
      <w:pPr>
        <w:numPr>
          <w:ilvl w:val="1"/>
          <w:numId w:val="3"/>
        </w:numPr>
        <w:tabs>
          <w:tab w:val="clear" w:pos="1200"/>
        </w:tabs>
        <w:spacing w:after="240"/>
        <w:ind w:left="0" w:firstLine="567"/>
        <w:rPr>
          <w:rFonts w:eastAsia="Batang"/>
          <w:lang w:val="es-SV"/>
        </w:rPr>
      </w:pPr>
      <w:r>
        <w:rPr>
          <w:lang w:val="en-GB"/>
        </w:rPr>
        <w:t>Parents’ School:</w:t>
      </w:r>
      <w:r>
        <w:rPr>
          <w:lang w:val="en-US"/>
        </w:rPr>
        <w:t xml:space="preserve"> </w:t>
      </w:r>
      <w:r>
        <w:rPr>
          <w:lang w:val="en-GB"/>
        </w:rPr>
        <w:t>These are television programmes produced by Canal 99 of the Francisco Gavidia Private University and the Youth Secretariat.</w:t>
      </w:r>
      <w:r>
        <w:rPr>
          <w:lang w:val="en-US"/>
        </w:rPr>
        <w:t xml:space="preserve">  </w:t>
      </w:r>
      <w:r>
        <w:rPr>
          <w:lang w:val="en-GB"/>
        </w:rPr>
        <w:t>This activity aims to guide and educate parents and family members to help them mould adolescents’ behaviour by setting a good example.</w:t>
      </w:r>
      <w:r>
        <w:rPr>
          <w:rFonts w:eastAsia="Batang"/>
          <w:lang w:val="en-US"/>
        </w:rPr>
        <w:t xml:space="preserve"> </w:t>
      </w:r>
      <w:r>
        <w:rPr>
          <w:rFonts w:eastAsia="Batang"/>
          <w:lang w:val="en-GB"/>
        </w:rPr>
        <w:t>This activity has an annual budget of $4,200;</w:t>
      </w:r>
      <w:r>
        <w:rPr>
          <w:lang w:val="es-SV"/>
        </w:rPr>
        <w:t xml:space="preserve"> </w:t>
      </w:r>
    </w:p>
    <w:p w:rsidR="00CD2A5A" w:rsidRDefault="00CD2A5A">
      <w:pPr>
        <w:numPr>
          <w:ilvl w:val="1"/>
          <w:numId w:val="3"/>
        </w:numPr>
        <w:tabs>
          <w:tab w:val="clear" w:pos="1200"/>
        </w:tabs>
        <w:spacing w:after="240"/>
        <w:ind w:left="0" w:firstLine="567"/>
        <w:rPr>
          <w:lang w:val="en-US"/>
        </w:rPr>
      </w:pPr>
      <w:r>
        <w:rPr>
          <w:rFonts w:eastAsia="Batang"/>
          <w:lang w:val="en-GB"/>
        </w:rPr>
        <w:t>It set up the “Youth Observatory”.</w:t>
      </w:r>
      <w:r>
        <w:rPr>
          <w:lang w:val="en-US"/>
        </w:rPr>
        <w:t xml:space="preserve"> </w:t>
      </w:r>
      <w:r>
        <w:rPr>
          <w:lang w:val="en-GB"/>
        </w:rPr>
        <w:t>The 2005-2015 National Plan covers the installation of a monitoring system that supervises and guarantees the operational implementation of the proposed public policies.</w:t>
      </w:r>
      <w:r>
        <w:rPr>
          <w:lang w:val="en-US"/>
        </w:rPr>
        <w:t xml:space="preserve"> </w:t>
      </w:r>
      <w:r>
        <w:rPr>
          <w:lang w:val="en-GB"/>
        </w:rPr>
        <w:t>The monitoring system is taking shape with the launch of the Youth Observatory that has quantitative and qualitative measuring tools, such as:</w:t>
      </w:r>
      <w:r>
        <w:rPr>
          <w:lang w:val="en-US"/>
        </w:rPr>
        <w:t xml:space="preserve"> </w:t>
      </w:r>
      <w:r>
        <w:rPr>
          <w:lang w:val="en-GB"/>
        </w:rPr>
        <w:t>the national youth survey; the youth development index; the human development report focusing on young people; and the network of experts and researchers.</w:t>
      </w:r>
      <w:r>
        <w:rPr>
          <w:lang w:val="en-US"/>
        </w:rPr>
        <w:t xml:space="preserve"> </w:t>
      </w:r>
      <w:r>
        <w:rPr>
          <w:lang w:val="en-GB"/>
        </w:rPr>
        <w:t>It should be emphasized that the combination of the National Youth Plan, the Inter-institutional System for Youth and the Youth Observatory provide the country with mechanisms for promoting full development of young people and monitoring and assessing the results.</w:t>
      </w:r>
    </w:p>
    <w:p w:rsidR="00CD2A5A" w:rsidRDefault="00CD2A5A" w:rsidP="006228EF">
      <w:pPr>
        <w:pStyle w:val="A0"/>
        <w:rPr>
          <w:lang w:val="en-US"/>
        </w:rPr>
      </w:pPr>
      <w:r>
        <w:t xml:space="preserve">H.  Role of the independent national human rights institutions </w:t>
      </w:r>
      <w:r>
        <w:br/>
        <w:t>with competence for child rights</w:t>
      </w:r>
    </w:p>
    <w:p w:rsidR="00CD2A5A" w:rsidRDefault="00CD2A5A">
      <w:pPr>
        <w:pStyle w:val="Header"/>
        <w:numPr>
          <w:ilvl w:val="0"/>
          <w:numId w:val="3"/>
        </w:numPr>
        <w:tabs>
          <w:tab w:val="clear" w:pos="720"/>
          <w:tab w:val="clear" w:pos="4252"/>
        </w:tabs>
        <w:spacing w:after="240"/>
        <w:ind w:left="0" w:firstLine="0"/>
        <w:rPr>
          <w:lang w:val="en-US"/>
        </w:rPr>
      </w:pPr>
      <w:r>
        <w:rPr>
          <w:lang w:val="en-GB"/>
        </w:rPr>
        <w:t>Over the reporting period there were no changes to the powers of the Office for the Defence of Human Rights regarding the promotion and protection of child rights that were reported in the second periodic report.</w:t>
      </w:r>
      <w:r>
        <w:rPr>
          <w:rStyle w:val="FootnoteReference"/>
          <w:lang w:val="en-GB"/>
        </w:rPr>
        <w:footnoteReference w:id="6"/>
      </w:r>
      <w:r>
        <w:rPr>
          <w:lang w:val="en-US"/>
        </w:rPr>
        <w:t xml:space="preserve"> </w:t>
      </w:r>
    </w:p>
    <w:p w:rsidR="00CD2A5A" w:rsidRDefault="00CD2A5A" w:rsidP="006228EF">
      <w:pPr>
        <w:pStyle w:val="A0"/>
      </w:pPr>
      <w:bookmarkStart w:id="3" w:name="_Toc174156694"/>
      <w:r>
        <w:t xml:space="preserve">I.  </w:t>
      </w:r>
      <w:bookmarkEnd w:id="3"/>
      <w:r>
        <w:t>Publicizing the Convention</w:t>
      </w:r>
    </w:p>
    <w:p w:rsidR="00CD2A5A" w:rsidRDefault="00CD2A5A">
      <w:pPr>
        <w:numPr>
          <w:ilvl w:val="0"/>
          <w:numId w:val="3"/>
        </w:numPr>
        <w:tabs>
          <w:tab w:val="clear" w:pos="720"/>
        </w:tabs>
        <w:spacing w:after="240"/>
        <w:ind w:left="0" w:firstLine="0"/>
        <w:rPr>
          <w:lang w:val="en-US"/>
        </w:rPr>
      </w:pPr>
      <w:r>
        <w:rPr>
          <w:lang w:val="en-GB"/>
        </w:rPr>
        <w:t>El Salvador has carried out many measures to publicize the content of the Convention on the Rights of the Child, as described throughout this report, and the principal measures adopted to implement the Convention, also described herein.</w:t>
      </w:r>
      <w:r>
        <w:rPr>
          <w:lang w:val="en-US"/>
        </w:rPr>
        <w:t xml:space="preserve"> </w:t>
      </w:r>
      <w:r>
        <w:rPr>
          <w:lang w:val="en-GB"/>
        </w:rPr>
        <w:t>For example, in 2006 ISNA carried out 110 social mobilization measures with a rights approach and promoting fundamental rights of children nationwide, in coordination with strategic partners, by means of activities such as fairs, festivals and fora.</w:t>
      </w:r>
      <w:r>
        <w:rPr>
          <w:lang w:val="en-US"/>
        </w:rPr>
        <w:t xml:space="preserve"> </w:t>
      </w:r>
      <w:r>
        <w:rPr>
          <w:lang w:val="en-GB"/>
        </w:rPr>
        <w:t>These activities covered 21,000 children and adolescents in 2005, and 29,841 in 2006.</w:t>
      </w:r>
      <w:r>
        <w:rPr>
          <w:lang w:val="en-US"/>
        </w:rPr>
        <w:t xml:space="preserve"> </w:t>
      </w:r>
      <w:r>
        <w:rPr>
          <w:lang w:val="en-GB"/>
        </w:rPr>
        <w:t>The activities were carried out by ISNA’s Department for the Promotion of the National Policy for the full Development of Children and Adolescents.</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ISNA has promoted activities directly involving children and adolescents in activities to promote their rights.</w:t>
      </w:r>
      <w:r>
        <w:rPr>
          <w:lang w:val="en-US"/>
        </w:rPr>
        <w:t xml:space="preserve"> </w:t>
      </w:r>
      <w:r>
        <w:rPr>
          <w:lang w:val="en-GB"/>
        </w:rPr>
        <w:t>It succeeded in increasing direct participation of beneficiaries from 23,000 in 2005 to 36,169 in 2006.</w:t>
      </w:r>
    </w:p>
    <w:p w:rsidR="00CD2A5A" w:rsidRDefault="00CD2A5A">
      <w:pPr>
        <w:numPr>
          <w:ilvl w:val="0"/>
          <w:numId w:val="3"/>
        </w:numPr>
        <w:tabs>
          <w:tab w:val="clear" w:pos="720"/>
        </w:tabs>
        <w:spacing w:after="240"/>
        <w:ind w:left="0" w:firstLine="0"/>
        <w:rPr>
          <w:bCs/>
          <w:lang w:val="en-US"/>
        </w:rPr>
      </w:pPr>
      <w:r>
        <w:rPr>
          <w:lang w:val="en-GB"/>
        </w:rPr>
        <w:t>ISNA’s Annual Operational Plan includes dissemination activities in the form of training lectures and workshops at ISNA centres and shelter homes, and to ONGs.</w:t>
      </w:r>
      <w:r>
        <w:rPr>
          <w:lang w:val="en-US"/>
        </w:rPr>
        <w:t xml:space="preserve"> </w:t>
      </w:r>
      <w:r>
        <w:rPr>
          <w:lang w:val="en-GB"/>
        </w:rPr>
        <w:t>Over the period 2004 to 2006 topics included nutritional assessment, diet and nutrition, and the preparation and handling of foods.</w:t>
      </w:r>
      <w:r>
        <w:rPr>
          <w:lang w:val="en-US"/>
        </w:rPr>
        <w:t xml:space="preserve"> </w:t>
      </w:r>
      <w:r>
        <w:rPr>
          <w:lang w:val="en-GB"/>
        </w:rPr>
        <w:t>Work with NGOs covered the topics of inter-institutional cooperation for a community strategy, preparation of cases, full development of children, promotion of child rights, law and the family, alternative discipline, legal tools for protection centres, child development using participative methods, therapy for sexual abuse, and a rights approach to the care of institutionalized children and adolescents.</w:t>
      </w:r>
      <w:r>
        <w:rPr>
          <w:lang w:val="en-US"/>
        </w:rPr>
        <w:t xml:space="preserve"> </w:t>
      </w:r>
      <w:bookmarkStart w:id="4" w:name="_Toc174156695"/>
      <w:r>
        <w:rPr>
          <w:lang w:val="en-GB"/>
        </w:rPr>
        <w:t>More than 30 NGOs working for child rights took part in these activities.</w:t>
      </w:r>
    </w:p>
    <w:bookmarkEnd w:id="4"/>
    <w:p w:rsidR="00CD2A5A" w:rsidRDefault="00CD2A5A">
      <w:pPr>
        <w:numPr>
          <w:ilvl w:val="0"/>
          <w:numId w:val="3"/>
        </w:numPr>
        <w:tabs>
          <w:tab w:val="clear" w:pos="720"/>
        </w:tabs>
        <w:spacing w:after="240"/>
        <w:ind w:left="0" w:firstLine="0"/>
        <w:rPr>
          <w:lang w:val="en-US"/>
        </w:rPr>
      </w:pPr>
      <w:r>
        <w:rPr>
          <w:lang w:val="en-GB"/>
        </w:rPr>
        <w:t>The above-mentioned activities enabled programmes to be conducted on awareness and training in human rights and child rights, in coordination and in cooperation with various NGOs, but it has not yet proved possible to expand the dissemination activities descried in the previous country report in this area.</w:t>
      </w:r>
    </w:p>
    <w:p w:rsidR="00CD2A5A" w:rsidRDefault="00CD2A5A">
      <w:pPr>
        <w:pStyle w:val="I"/>
      </w:pPr>
      <w:bookmarkStart w:id="5" w:name="_Toc174156699"/>
      <w:r>
        <w:t xml:space="preserve">III.  </w:t>
      </w:r>
      <w:bookmarkEnd w:id="5"/>
      <w:r>
        <w:t>General principles</w:t>
      </w:r>
    </w:p>
    <w:p w:rsidR="00CD2A5A" w:rsidRDefault="00CD2A5A">
      <w:pPr>
        <w:pStyle w:val="BodyText2"/>
        <w:numPr>
          <w:ilvl w:val="0"/>
          <w:numId w:val="3"/>
        </w:numPr>
        <w:tabs>
          <w:tab w:val="clear" w:pos="720"/>
        </w:tabs>
        <w:spacing w:after="240"/>
        <w:ind w:left="0" w:firstLine="0"/>
        <w:jc w:val="left"/>
        <w:rPr>
          <w:lang w:val="en-US"/>
        </w:rPr>
      </w:pPr>
      <w:r>
        <w:rPr>
          <w:lang w:val="en-GB"/>
        </w:rPr>
        <w:t>The concept and scope of the principle of the child’s best interests have not been changed in Salvadoran law, enshrined in the Family Code (Article 350), which means that it retains the same guarantee structure, along with the principle of equality and non-discrimination, recognized and enacted in the Constitution and the country’s secondary legislation, as notified to the Committee in previous periodic reports.</w:t>
      </w:r>
      <w:r>
        <w:rPr>
          <w:lang w:val="en-US"/>
        </w:rPr>
        <w:t xml:space="preserve"> </w:t>
      </w:r>
    </w:p>
    <w:p w:rsidR="00CD2A5A" w:rsidRPr="008A5877" w:rsidRDefault="00CD2A5A">
      <w:pPr>
        <w:pStyle w:val="I"/>
        <w:rPr>
          <w:lang w:val="en-US"/>
        </w:rPr>
      </w:pPr>
      <w:r w:rsidRPr="008A5877">
        <w:rPr>
          <w:lang w:val="en-US"/>
        </w:rPr>
        <w:t>IV.  Civil rights and participation rights</w:t>
      </w:r>
    </w:p>
    <w:p w:rsidR="00CD2A5A" w:rsidRDefault="00CD2A5A" w:rsidP="006228EF">
      <w:pPr>
        <w:pStyle w:val="A0"/>
        <w:rPr>
          <w:lang w:val="en-US"/>
        </w:rPr>
      </w:pPr>
      <w:r>
        <w:t>A.  Freedom of expression; freedom of assembly and association</w:t>
      </w:r>
    </w:p>
    <w:p w:rsidR="00CD2A5A" w:rsidRDefault="00CD2A5A">
      <w:pPr>
        <w:numPr>
          <w:ilvl w:val="0"/>
          <w:numId w:val="3"/>
        </w:numPr>
        <w:tabs>
          <w:tab w:val="clear" w:pos="720"/>
        </w:tabs>
        <w:spacing w:after="240"/>
        <w:ind w:left="0" w:firstLine="0"/>
        <w:rPr>
          <w:bCs/>
          <w:spacing w:val="-2"/>
          <w:lang w:val="en-US"/>
        </w:rPr>
      </w:pPr>
      <w:r>
        <w:rPr>
          <w:bCs/>
          <w:spacing w:val="-2"/>
          <w:lang w:val="en-GB"/>
        </w:rPr>
        <w:t>ISNA has promoted the training of children and adolescents and their participation in public activities designed to publicize and defend child rights and fundamental freedoms.</w:t>
      </w:r>
      <w:r>
        <w:rPr>
          <w:bCs/>
          <w:spacing w:val="-2"/>
          <w:lang w:val="en-US"/>
        </w:rPr>
        <w:t xml:space="preserve"> </w:t>
      </w:r>
      <w:r>
        <w:rPr>
          <w:bCs/>
          <w:spacing w:val="-2"/>
          <w:lang w:val="en-GB"/>
        </w:rPr>
        <w:t>Some 1,012 young people have been trained as volunteer promotion agents, and children and adolescents have been involved in joint projects carried out with NGOs, such as the Movimiento de Jóvenes Encuentristas de Ilobasco (170 young people); Visión Mundial (5,644 young people); INTERVIDA (600 young people); Plan Internacional El Salvador (6,000 young people); Polígono Industrial Don Bosco (83 young people); Fe y Alegría (150 young people); Círculo Solidario (300 young people); Ayuda en Acción (200 young people); and Sistema de Asesoría y Capacitación para el Desarrollo Local (SACDEL) (300 young people).</w:t>
      </w:r>
      <w:r>
        <w:rPr>
          <w:bCs/>
          <w:spacing w:val="-2"/>
          <w:lang w:val="en-US"/>
        </w:rPr>
        <w:t xml:space="preserve"> </w:t>
      </w:r>
      <w:r>
        <w:rPr>
          <w:bCs/>
          <w:spacing w:val="-2"/>
          <w:lang w:val="en-GB"/>
        </w:rPr>
        <w:t>In this way, 13,871 children and adolescents were involved in ISNA and NGO participative programmes over the period.</w:t>
      </w:r>
    </w:p>
    <w:p w:rsidR="00CD2A5A" w:rsidRDefault="00CD2A5A">
      <w:pPr>
        <w:pStyle w:val="Header"/>
        <w:keepNext/>
        <w:numPr>
          <w:ilvl w:val="0"/>
          <w:numId w:val="3"/>
        </w:numPr>
        <w:tabs>
          <w:tab w:val="clear" w:pos="720"/>
          <w:tab w:val="clear" w:pos="4252"/>
        </w:tabs>
        <w:spacing w:after="240"/>
        <w:ind w:left="0" w:firstLine="0"/>
        <w:rPr>
          <w:lang w:val="en-US"/>
        </w:rPr>
      </w:pPr>
      <w:r>
        <w:rPr>
          <w:bCs/>
          <w:lang w:val="en-GB"/>
        </w:rPr>
        <w:t>In line with Principle 10 of the PNDINA, on the participation of children and adolescents in their own development, ISNA and several NGOs have fostered the setting-up of a number of bodies and have promoted some participative programmes, including the following:</w:t>
      </w:r>
    </w:p>
    <w:p w:rsidR="00CD2A5A" w:rsidRDefault="00CD2A5A" w:rsidP="00CD2A5A">
      <w:pPr>
        <w:pStyle w:val="Figure"/>
        <w:rPr>
          <w:lang w:val="es-SV"/>
        </w:rPr>
      </w:pPr>
      <w:r>
        <w:t>Figure 11</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6214"/>
      </w:tblGrid>
      <w:tr w:rsidR="00CD2A5A">
        <w:trPr>
          <w:jc w:val="center"/>
        </w:trPr>
        <w:tc>
          <w:tcPr>
            <w:tcW w:w="1699" w:type="pct"/>
            <w:vAlign w:val="center"/>
          </w:tcPr>
          <w:p w:rsidR="00CD2A5A" w:rsidRDefault="00CD2A5A">
            <w:pPr>
              <w:pStyle w:val="Header"/>
              <w:tabs>
                <w:tab w:val="clear" w:pos="4252"/>
              </w:tabs>
              <w:spacing w:before="40" w:after="40"/>
              <w:jc w:val="center"/>
              <w:rPr>
                <w:b/>
                <w:i/>
                <w:sz w:val="20"/>
                <w:szCs w:val="20"/>
                <w:lang w:val="es-SV"/>
              </w:rPr>
            </w:pPr>
            <w:r>
              <w:rPr>
                <w:b/>
                <w:i/>
                <w:sz w:val="20"/>
                <w:szCs w:val="20"/>
                <w:lang w:val="en-GB"/>
              </w:rPr>
              <w:t>Name of association</w:t>
            </w:r>
          </w:p>
        </w:tc>
        <w:tc>
          <w:tcPr>
            <w:tcW w:w="3301" w:type="pct"/>
            <w:vAlign w:val="center"/>
          </w:tcPr>
          <w:p w:rsidR="00CD2A5A" w:rsidRDefault="00CD2A5A">
            <w:pPr>
              <w:pStyle w:val="Header"/>
              <w:tabs>
                <w:tab w:val="clear" w:pos="4252"/>
              </w:tabs>
              <w:spacing w:before="40" w:after="40"/>
              <w:jc w:val="center"/>
              <w:rPr>
                <w:b/>
                <w:i/>
                <w:sz w:val="20"/>
                <w:szCs w:val="20"/>
                <w:lang w:val="es-SV"/>
              </w:rPr>
            </w:pPr>
            <w:r>
              <w:rPr>
                <w:b/>
                <w:i/>
                <w:sz w:val="20"/>
                <w:szCs w:val="20"/>
                <w:lang w:val="en-GB"/>
              </w:rPr>
              <w:t>Function</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n-GB"/>
              </w:rPr>
              <w:t>Jóvenes Encuentristas Ilobasco</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Reduction of violence through recreation and integration into the labour market</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n-GB"/>
              </w:rPr>
              <w:t>Visión Mundial</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Promotion of rights and human development (prevention)</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n-GB"/>
              </w:rPr>
              <w:t>Casa Encuentro Juvenil, INTERVIDA</w:t>
            </w:r>
          </w:p>
        </w:tc>
        <w:tc>
          <w:tcPr>
            <w:tcW w:w="3301" w:type="pct"/>
          </w:tcPr>
          <w:p w:rsidR="00CD2A5A" w:rsidRDefault="00CD2A5A">
            <w:pPr>
              <w:pStyle w:val="Header"/>
              <w:keepNext/>
              <w:tabs>
                <w:tab w:val="clear" w:pos="4252"/>
              </w:tabs>
              <w:spacing w:before="40" w:after="40"/>
              <w:rPr>
                <w:sz w:val="20"/>
                <w:szCs w:val="20"/>
                <w:lang w:val="en-US"/>
              </w:rPr>
            </w:pPr>
            <w:r>
              <w:rPr>
                <w:sz w:val="20"/>
                <w:szCs w:val="20"/>
                <w:lang w:val="en-GB"/>
              </w:rPr>
              <w:t>Use of leisure time:</w:t>
            </w:r>
            <w:r>
              <w:rPr>
                <w:sz w:val="20"/>
                <w:szCs w:val="20"/>
                <w:lang w:val="en-US"/>
              </w:rPr>
              <w:t xml:space="preserve"> </w:t>
            </w:r>
            <w:r>
              <w:rPr>
                <w:sz w:val="20"/>
                <w:szCs w:val="20"/>
                <w:lang w:val="en-GB"/>
              </w:rPr>
              <w:t>recreation, libraries, art and culture, sport, ecology, sexual and reproductive health, life skills, cinema and leadership.</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n-GB"/>
              </w:rPr>
              <w:t>Plan El Salvador</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Participation in defence of child rights at community level</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n-GB"/>
              </w:rPr>
              <w:t>Polígono Industrial Don Bosco</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Re-establishment of the rights of young people in conflict with criminal law</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s-ES_tradnl"/>
              </w:rPr>
              <w:t>Centro de educación para todos, Fe y Alegría</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Social and educational prevention with a rights approach</w:t>
            </w:r>
          </w:p>
        </w:tc>
      </w:tr>
      <w:tr w:rsidR="00CD2A5A">
        <w:trPr>
          <w:jc w:val="center"/>
        </w:trPr>
        <w:tc>
          <w:tcPr>
            <w:tcW w:w="1699" w:type="pct"/>
          </w:tcPr>
          <w:p w:rsidR="00CD2A5A" w:rsidRDefault="00CD2A5A">
            <w:pPr>
              <w:pStyle w:val="Header"/>
              <w:tabs>
                <w:tab w:val="clear" w:pos="4252"/>
              </w:tabs>
              <w:spacing w:before="40" w:after="40"/>
              <w:rPr>
                <w:sz w:val="20"/>
                <w:szCs w:val="20"/>
                <w:lang w:val="en-US"/>
              </w:rPr>
            </w:pPr>
            <w:r>
              <w:rPr>
                <w:sz w:val="20"/>
                <w:szCs w:val="20"/>
                <w:lang w:val="en-GB"/>
              </w:rPr>
              <w:t>Vicaría Divino Salvador training and coaching centre, Archbishopric of San Salvador</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Training of social role models for children and adolescents in a situation of social risk.</w:t>
            </w:r>
          </w:p>
        </w:tc>
      </w:tr>
      <w:tr w:rsidR="00CD2A5A">
        <w:trPr>
          <w:jc w:val="center"/>
        </w:trPr>
        <w:tc>
          <w:tcPr>
            <w:tcW w:w="1699" w:type="pct"/>
          </w:tcPr>
          <w:p w:rsidR="00CD2A5A" w:rsidRDefault="00CD2A5A">
            <w:pPr>
              <w:pStyle w:val="Header"/>
              <w:tabs>
                <w:tab w:val="clear" w:pos="4252"/>
              </w:tabs>
              <w:spacing w:before="40" w:after="40"/>
              <w:rPr>
                <w:sz w:val="20"/>
                <w:szCs w:val="20"/>
                <w:lang w:val="es-SV"/>
              </w:rPr>
            </w:pPr>
            <w:r>
              <w:rPr>
                <w:sz w:val="20"/>
                <w:szCs w:val="20"/>
                <w:lang w:val="en-GB"/>
              </w:rPr>
              <w:t xml:space="preserve">ISNA </w:t>
            </w:r>
            <w:r>
              <w:rPr>
                <w:bCs/>
                <w:sz w:val="20"/>
                <w:szCs w:val="20"/>
                <w:lang w:val="en-GB"/>
              </w:rPr>
              <w:t>volunteer promotion agents</w:t>
            </w:r>
          </w:p>
        </w:tc>
        <w:tc>
          <w:tcPr>
            <w:tcW w:w="3301" w:type="pct"/>
          </w:tcPr>
          <w:p w:rsidR="00CD2A5A" w:rsidRDefault="00CD2A5A">
            <w:pPr>
              <w:pStyle w:val="Header"/>
              <w:tabs>
                <w:tab w:val="clear" w:pos="4252"/>
              </w:tabs>
              <w:spacing w:before="40" w:after="40"/>
              <w:rPr>
                <w:sz w:val="20"/>
                <w:szCs w:val="20"/>
                <w:lang w:val="en-US"/>
              </w:rPr>
            </w:pPr>
            <w:r>
              <w:rPr>
                <w:sz w:val="20"/>
                <w:szCs w:val="20"/>
                <w:lang w:val="en-GB"/>
              </w:rPr>
              <w:t>Prevention and reduction of violence towards children and adolescents through the promotion of rights and good parenting practice in families</w:t>
            </w:r>
          </w:p>
        </w:tc>
      </w:tr>
    </w:tbl>
    <w:p w:rsidR="00CD2A5A" w:rsidRDefault="00CD2A5A" w:rsidP="004E3307">
      <w:pPr>
        <w:pStyle w:val="Header"/>
        <w:numPr>
          <w:ilvl w:val="0"/>
          <w:numId w:val="3"/>
        </w:numPr>
        <w:tabs>
          <w:tab w:val="clear" w:pos="720"/>
          <w:tab w:val="clear" w:pos="4252"/>
        </w:tabs>
        <w:spacing w:before="240" w:after="240"/>
        <w:ind w:left="0" w:firstLine="0"/>
        <w:rPr>
          <w:rFonts w:eastAsia="Batang"/>
          <w:lang w:val="en-US"/>
        </w:rPr>
      </w:pPr>
      <w:r>
        <w:rPr>
          <w:lang w:val="en-GB"/>
        </w:rPr>
        <w:t>The aims of the National Youth Secretariat include fostering the involvement of young people in public affairs as a strategy for making citizens aware of their rights and obligations. It has set up eight full development centres nationwide with the aim of providing young people with opportunities for vocational training, remedial courses, access to information, culture, sport, leadership, citizens’ participation, preventive health and volunteer work.</w:t>
      </w:r>
    </w:p>
    <w:p w:rsidR="00CD2A5A" w:rsidRDefault="00CD2A5A">
      <w:pPr>
        <w:pStyle w:val="Header"/>
        <w:numPr>
          <w:ilvl w:val="0"/>
          <w:numId w:val="3"/>
        </w:numPr>
        <w:tabs>
          <w:tab w:val="clear" w:pos="720"/>
          <w:tab w:val="clear" w:pos="4252"/>
        </w:tabs>
        <w:spacing w:after="240"/>
        <w:ind w:left="0" w:firstLine="0"/>
        <w:rPr>
          <w:rFonts w:eastAsia="Batang"/>
          <w:lang w:val="en-US"/>
        </w:rPr>
      </w:pPr>
      <w:r>
        <w:rPr>
          <w:rFonts w:eastAsia="Batang"/>
          <w:lang w:val="en-GB"/>
        </w:rPr>
        <w:t>The Youth Secretariat is also implementing the Youth in the Park project, so as to expand the range of options for healthy relaxation and reactivation of areas for recreation and youth cultural expression under the patronage of the municipal governments.</w:t>
      </w:r>
      <w:r>
        <w:rPr>
          <w:rFonts w:eastAsia="Batang"/>
          <w:lang w:val="en-US"/>
        </w:rPr>
        <w:t xml:space="preserve"> </w:t>
      </w:r>
      <w:r>
        <w:rPr>
          <w:rFonts w:eastAsia="Batang"/>
          <w:lang w:val="en-GB"/>
        </w:rPr>
        <w:t>It also aims to encourage young people to develop their skills in the various branches of art and sport, motivating them to express them in public.</w:t>
      </w:r>
      <w:r>
        <w:rPr>
          <w:rFonts w:eastAsia="Batang"/>
          <w:lang w:val="en-US"/>
        </w:rPr>
        <w:t xml:space="preserve"> </w:t>
      </w:r>
    </w:p>
    <w:p w:rsidR="00CD2A5A" w:rsidRDefault="00CD2A5A">
      <w:pPr>
        <w:pStyle w:val="Header"/>
        <w:keepNext/>
        <w:numPr>
          <w:ilvl w:val="0"/>
          <w:numId w:val="3"/>
        </w:numPr>
        <w:tabs>
          <w:tab w:val="clear" w:pos="720"/>
          <w:tab w:val="clear" w:pos="4252"/>
        </w:tabs>
        <w:spacing w:after="240"/>
        <w:ind w:left="0" w:firstLine="0"/>
        <w:rPr>
          <w:rFonts w:eastAsia="Batang"/>
          <w:lang w:val="en-US"/>
        </w:rPr>
      </w:pPr>
      <w:r>
        <w:rPr>
          <w:rFonts w:eastAsia="Batang"/>
          <w:lang w:val="en-GB"/>
        </w:rPr>
        <w:t>The Secretariat runs the following other programmes:</w:t>
      </w:r>
    </w:p>
    <w:p w:rsidR="00CD2A5A" w:rsidRDefault="00CD2A5A">
      <w:pPr>
        <w:pStyle w:val="Header"/>
        <w:numPr>
          <w:ilvl w:val="1"/>
          <w:numId w:val="3"/>
        </w:numPr>
        <w:tabs>
          <w:tab w:val="clear" w:pos="1200"/>
          <w:tab w:val="clear" w:pos="4252"/>
        </w:tabs>
        <w:spacing w:after="240"/>
        <w:ind w:left="0" w:firstLine="567"/>
        <w:rPr>
          <w:rFonts w:eastAsia="Batang"/>
          <w:lang w:val="en-US"/>
        </w:rPr>
      </w:pPr>
      <w:r>
        <w:rPr>
          <w:rFonts w:eastAsia="Batang"/>
          <w:lang w:val="en-GB"/>
        </w:rPr>
        <w:t>Vacation opportunities.</w:t>
      </w:r>
      <w:r>
        <w:rPr>
          <w:rFonts w:eastAsia="Batang"/>
          <w:lang w:val="en-US"/>
        </w:rPr>
        <w:t xml:space="preserve"> </w:t>
      </w:r>
      <w:r>
        <w:rPr>
          <w:rFonts w:eastAsia="Batang"/>
          <w:lang w:val="en-GB"/>
        </w:rPr>
        <w:t>This programme is carried out with the FUSALMO private organization, the Ministry of Education, the National Civil Police and the art gallery, with the aim of giving young people opportunities to get involved, during their vacations, in educational, sporting, cultural, work and training activities;</w:t>
      </w:r>
    </w:p>
    <w:p w:rsidR="00CD2A5A" w:rsidRDefault="00CD2A5A">
      <w:pPr>
        <w:pStyle w:val="Header"/>
        <w:numPr>
          <w:ilvl w:val="1"/>
          <w:numId w:val="3"/>
        </w:numPr>
        <w:tabs>
          <w:tab w:val="clear" w:pos="1200"/>
          <w:tab w:val="clear" w:pos="4252"/>
        </w:tabs>
        <w:spacing w:after="240"/>
        <w:ind w:left="0" w:firstLine="567"/>
        <w:rPr>
          <w:rFonts w:eastAsia="Batang"/>
          <w:lang w:val="en-US"/>
        </w:rPr>
      </w:pPr>
      <w:r>
        <w:rPr>
          <w:rFonts w:eastAsia="Batang"/>
          <w:i/>
          <w:lang w:val="en-GB"/>
        </w:rPr>
        <w:t>Deportevías</w:t>
      </w:r>
      <w:r>
        <w:rPr>
          <w:rFonts w:eastAsia="Batang"/>
          <w:lang w:val="en-GB"/>
        </w:rPr>
        <w:t>.</w:t>
      </w:r>
      <w:r>
        <w:rPr>
          <w:rFonts w:eastAsia="Batang"/>
          <w:lang w:val="en-US"/>
        </w:rPr>
        <w:t xml:space="preserve"> </w:t>
      </w:r>
      <w:r>
        <w:rPr>
          <w:rFonts w:eastAsia="Batang"/>
          <w:lang w:val="en-GB"/>
        </w:rPr>
        <w:t>These are street sports programmes to repurpose public spaces for developing sports activities.</w:t>
      </w:r>
      <w:r>
        <w:rPr>
          <w:rFonts w:eastAsia="Batang"/>
          <w:lang w:val="en-US"/>
        </w:rPr>
        <w:t xml:space="preserve"> </w:t>
      </w:r>
      <w:r>
        <w:rPr>
          <w:rFonts w:eastAsia="Batang"/>
          <w:lang w:val="en-GB"/>
        </w:rPr>
        <w:t>They are carried out in conjunction with the National Sports Institute (INDES), the National Council of Public Security and the municipalities;</w:t>
      </w:r>
    </w:p>
    <w:p w:rsidR="00CD2A5A" w:rsidRDefault="00CD2A5A">
      <w:pPr>
        <w:pStyle w:val="Header"/>
        <w:numPr>
          <w:ilvl w:val="1"/>
          <w:numId w:val="3"/>
        </w:numPr>
        <w:tabs>
          <w:tab w:val="clear" w:pos="1200"/>
          <w:tab w:val="clear" w:pos="4252"/>
        </w:tabs>
        <w:spacing w:after="240"/>
        <w:ind w:left="0" w:firstLine="567"/>
        <w:rPr>
          <w:bCs/>
          <w:lang w:val="en-US"/>
        </w:rPr>
      </w:pPr>
      <w:r>
        <w:rPr>
          <w:rFonts w:eastAsia="Batang"/>
          <w:lang w:val="en-GB"/>
        </w:rPr>
        <w:t>Comprehensive Presidential Football Programme.</w:t>
      </w:r>
      <w:r>
        <w:rPr>
          <w:rFonts w:eastAsia="Batang"/>
          <w:lang w:val="en-US"/>
        </w:rPr>
        <w:t xml:space="preserve"> </w:t>
      </w:r>
      <w:r>
        <w:rPr>
          <w:rFonts w:eastAsia="Batang"/>
          <w:lang w:val="en-GB"/>
        </w:rPr>
        <w:t xml:space="preserve">This programme is being carried in coordination with the private foundation </w:t>
      </w:r>
      <w:r>
        <w:rPr>
          <w:rFonts w:eastAsia="Batang"/>
          <w:i/>
          <w:lang w:val="en-GB"/>
        </w:rPr>
        <w:t xml:space="preserve">Educando a un Salvadoreño </w:t>
      </w:r>
      <w:r>
        <w:rPr>
          <w:rFonts w:eastAsia="Batang"/>
          <w:lang w:val="en-GB"/>
        </w:rPr>
        <w:t>(Educating a Salvadoran – FESA).</w:t>
      </w:r>
      <w:r>
        <w:rPr>
          <w:rFonts w:eastAsia="Batang"/>
          <w:lang w:val="en-US"/>
        </w:rPr>
        <w:t xml:space="preserve"> </w:t>
      </w:r>
      <w:r>
        <w:rPr>
          <w:rFonts w:eastAsia="Batang"/>
          <w:lang w:val="en-GB"/>
        </w:rPr>
        <w:t>The objective is to raise the quality of Salvadoran football by training young talents in the sport, offering them education in athletics without neglecting aspects such as academic studies, health, diet and training in values.</w:t>
      </w:r>
    </w:p>
    <w:p w:rsidR="00CD2A5A" w:rsidRDefault="00CD2A5A">
      <w:pPr>
        <w:pStyle w:val="Header"/>
        <w:numPr>
          <w:ilvl w:val="1"/>
          <w:numId w:val="3"/>
        </w:numPr>
        <w:tabs>
          <w:tab w:val="clear" w:pos="1200"/>
          <w:tab w:val="clear" w:pos="4252"/>
        </w:tabs>
        <w:spacing w:after="240"/>
        <w:ind w:left="0" w:firstLine="567"/>
        <w:rPr>
          <w:bCs/>
          <w:lang w:val="en-US"/>
        </w:rPr>
      </w:pPr>
      <w:r>
        <w:rPr>
          <w:rFonts w:eastAsia="Batang"/>
          <w:lang w:val="en-GB"/>
        </w:rPr>
        <w:t>Youth camps.</w:t>
      </w:r>
      <w:r>
        <w:rPr>
          <w:rFonts w:eastAsia="Batang"/>
          <w:lang w:val="en-US"/>
        </w:rPr>
        <w:t xml:space="preserve"> </w:t>
      </w:r>
      <w:r>
        <w:rPr>
          <w:rFonts w:eastAsia="Batang"/>
          <w:lang w:val="en-GB"/>
        </w:rPr>
        <w:t>These take place with the support of the National Academy of Public Security and the Ministry of National Defence, for training leaders in fields such as motivation, group management and stress management;</w:t>
      </w:r>
    </w:p>
    <w:p w:rsidR="00CD2A5A" w:rsidRDefault="00CD2A5A">
      <w:pPr>
        <w:pStyle w:val="Header"/>
        <w:numPr>
          <w:ilvl w:val="1"/>
          <w:numId w:val="3"/>
        </w:numPr>
        <w:tabs>
          <w:tab w:val="clear" w:pos="1200"/>
          <w:tab w:val="clear" w:pos="4252"/>
        </w:tabs>
        <w:spacing w:after="240"/>
        <w:ind w:left="0" w:firstLine="567"/>
        <w:rPr>
          <w:bCs/>
          <w:lang w:val="en-US"/>
        </w:rPr>
      </w:pPr>
      <w:r>
        <w:rPr>
          <w:rFonts w:eastAsia="Batang"/>
          <w:i/>
          <w:lang w:val="en-GB"/>
        </w:rPr>
        <w:t>Jóvenes Solidarios</w:t>
      </w:r>
      <w:r>
        <w:rPr>
          <w:rFonts w:eastAsia="Batang"/>
          <w:lang w:val="en-GB"/>
        </w:rPr>
        <w:t>:</w:t>
      </w:r>
      <w:r>
        <w:rPr>
          <w:rFonts w:eastAsia="Batang"/>
          <w:lang w:val="en-US"/>
        </w:rPr>
        <w:t xml:space="preserve"> </w:t>
      </w:r>
      <w:r>
        <w:rPr>
          <w:rFonts w:eastAsia="Batang"/>
          <w:lang w:val="en-GB"/>
        </w:rPr>
        <w:t>This is a union of youth organizations and volunteers interested in supporting major common concerns.</w:t>
      </w:r>
    </w:p>
    <w:p w:rsidR="00CD2A5A" w:rsidRPr="008A5877" w:rsidRDefault="00CD2A5A">
      <w:pPr>
        <w:pStyle w:val="I"/>
        <w:rPr>
          <w:lang w:val="en-US"/>
        </w:rPr>
      </w:pPr>
      <w:r w:rsidRPr="008A5877">
        <w:rPr>
          <w:lang w:val="en-US"/>
        </w:rPr>
        <w:t>V.  Family and other types of protection</w:t>
      </w:r>
    </w:p>
    <w:p w:rsidR="00CD2A5A" w:rsidRDefault="00CD2A5A" w:rsidP="006228EF">
      <w:pPr>
        <w:pStyle w:val="A0"/>
        <w:rPr>
          <w:lang w:val="en-US"/>
        </w:rPr>
      </w:pPr>
      <w:r>
        <w:t>A.  Parental counselling and guidance and parental responsibilities</w:t>
      </w:r>
    </w:p>
    <w:p w:rsidR="00CD2A5A" w:rsidRDefault="00CD2A5A">
      <w:pPr>
        <w:numPr>
          <w:ilvl w:val="0"/>
          <w:numId w:val="3"/>
        </w:numPr>
        <w:tabs>
          <w:tab w:val="clear" w:pos="720"/>
        </w:tabs>
        <w:spacing w:after="240"/>
        <w:ind w:left="0" w:firstLine="0"/>
        <w:rPr>
          <w:lang w:val="en-US"/>
        </w:rPr>
      </w:pPr>
      <w:r>
        <w:rPr>
          <w:lang w:val="en-GB"/>
        </w:rPr>
        <w:t>ISNA has 203 Child Welfare Centres (CBI) and 15 Full Development Centres (CDI) in 117 of the country’s municipalities, plus 11 shelters and three re-education centres for offenders.</w:t>
      </w:r>
      <w:r>
        <w:rPr>
          <w:lang w:val="en-US"/>
        </w:rPr>
        <w:t xml:space="preserve"> </w:t>
      </w:r>
      <w:r>
        <w:rPr>
          <w:lang w:val="en-GB"/>
        </w:rPr>
        <w:t>ISNA has implemented a permanent Parents’ School programme in the child welfare centres and full development centres.</w:t>
      </w:r>
      <w:r>
        <w:rPr>
          <w:lang w:val="en-US"/>
        </w:rPr>
        <w:t xml:space="preserve"> </w:t>
      </w:r>
      <w:r>
        <w:rPr>
          <w:lang w:val="en-GB"/>
        </w:rPr>
        <w:t>This programme has covered 4,698 families and 8,354 children.</w:t>
      </w:r>
      <w:r>
        <w:rPr>
          <w:lang w:val="en-US"/>
        </w:rPr>
        <w:t xml:space="preserve"> </w:t>
      </w:r>
      <w:r>
        <w:rPr>
          <w:lang w:val="en-GB"/>
        </w:rPr>
        <w:t>In the re-education centres for offenders, up to 50% of families – an average of 244 – of 487 inmates attend these schools.</w:t>
      </w:r>
    </w:p>
    <w:p w:rsidR="00CD2A5A" w:rsidRDefault="00CD2A5A">
      <w:pPr>
        <w:numPr>
          <w:ilvl w:val="0"/>
          <w:numId w:val="3"/>
        </w:numPr>
        <w:tabs>
          <w:tab w:val="clear" w:pos="720"/>
        </w:tabs>
        <w:spacing w:after="240"/>
        <w:ind w:left="0" w:firstLine="0"/>
        <w:rPr>
          <w:lang w:val="es-SV"/>
        </w:rPr>
      </w:pPr>
      <w:r>
        <w:rPr>
          <w:lang w:val="en-GB"/>
        </w:rPr>
        <w:t>The multidisciplinary teams of the Family Tribunals have an education unit and run guidance days on child rights and parental responsibilities.</w:t>
      </w:r>
      <w:r>
        <w:rPr>
          <w:lang w:val="en-US"/>
        </w:rPr>
        <w:t xml:space="preserve"> </w:t>
      </w:r>
      <w:r>
        <w:rPr>
          <w:lang w:val="en-GB"/>
        </w:rPr>
        <w:t>The work carried out is listed below.</w:t>
      </w:r>
    </w:p>
    <w:p w:rsidR="00CD2A5A" w:rsidRDefault="00CD2A5A" w:rsidP="00CD2A5A">
      <w:pPr>
        <w:pStyle w:val="Figure"/>
        <w:rPr>
          <w:lang w:val="es-SV"/>
        </w:rPr>
      </w:pPr>
      <w:r>
        <w:br w:type="page"/>
        <w:t>Figure 12</w:t>
      </w:r>
    </w:p>
    <w:p w:rsidR="00CD2A5A" w:rsidRDefault="00CD2A5A" w:rsidP="00CD2A5A">
      <w:pPr>
        <w:pStyle w:val="Figure"/>
        <w:rPr>
          <w:lang w:val="es-SV"/>
        </w:rPr>
      </w:pPr>
      <w:r>
        <w:t>Group guidance days.</w:t>
      </w:r>
      <w:r>
        <w:rPr>
          <w:lang w:val="es-SV"/>
        </w:rPr>
        <w:t xml:space="preserve"> </w:t>
      </w:r>
      <w:r>
        <w:t>(2004-2006)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96"/>
        <w:gridCol w:w="1122"/>
        <w:gridCol w:w="1216"/>
        <w:gridCol w:w="1124"/>
        <w:gridCol w:w="1216"/>
        <w:gridCol w:w="1124"/>
        <w:gridCol w:w="1214"/>
      </w:tblGrid>
      <w:tr w:rsidR="00CD2A5A" w:rsidRPr="006228EF" w:rsidTr="006228EF">
        <w:tblPrEx>
          <w:tblCellMar>
            <w:top w:w="0" w:type="dxa"/>
            <w:bottom w:w="0" w:type="dxa"/>
          </w:tblCellMar>
        </w:tblPrEx>
        <w:trPr>
          <w:trHeight w:val="358"/>
          <w:jc w:val="center"/>
        </w:trPr>
        <w:tc>
          <w:tcPr>
            <w:tcW w:w="1273" w:type="pct"/>
            <w:vAlign w:val="center"/>
          </w:tcPr>
          <w:p w:rsidR="00CD2A5A" w:rsidRPr="006228EF" w:rsidRDefault="00CD2A5A" w:rsidP="006228EF">
            <w:pPr>
              <w:spacing w:before="40" w:after="20"/>
              <w:jc w:val="center"/>
              <w:rPr>
                <w:b/>
                <w:i/>
                <w:sz w:val="20"/>
                <w:szCs w:val="20"/>
                <w:lang w:val="es-SV"/>
              </w:rPr>
            </w:pPr>
            <w:r w:rsidRPr="006228EF">
              <w:rPr>
                <w:b/>
                <w:i/>
                <w:sz w:val="20"/>
                <w:szCs w:val="20"/>
                <w:lang w:val="en-GB"/>
              </w:rPr>
              <w:t>Activity/year</w:t>
            </w:r>
          </w:p>
        </w:tc>
        <w:tc>
          <w:tcPr>
            <w:tcW w:w="1242" w:type="pct"/>
            <w:gridSpan w:val="2"/>
            <w:vAlign w:val="center"/>
          </w:tcPr>
          <w:p w:rsidR="00CD2A5A" w:rsidRPr="006228EF" w:rsidRDefault="00CD2A5A" w:rsidP="006228EF">
            <w:pPr>
              <w:spacing w:before="40" w:after="20"/>
              <w:jc w:val="center"/>
              <w:rPr>
                <w:b/>
                <w:bCs/>
                <w:i/>
                <w:sz w:val="20"/>
                <w:szCs w:val="20"/>
                <w:lang w:val="es-SV"/>
              </w:rPr>
            </w:pPr>
            <w:r w:rsidRPr="006228EF">
              <w:rPr>
                <w:b/>
                <w:bCs/>
                <w:i/>
                <w:sz w:val="20"/>
                <w:szCs w:val="20"/>
                <w:lang w:val="es-SV"/>
              </w:rPr>
              <w:t>2004</w:t>
            </w:r>
          </w:p>
        </w:tc>
        <w:tc>
          <w:tcPr>
            <w:tcW w:w="1243" w:type="pct"/>
            <w:gridSpan w:val="2"/>
            <w:vAlign w:val="center"/>
          </w:tcPr>
          <w:p w:rsidR="00CD2A5A" w:rsidRPr="006228EF" w:rsidRDefault="00CD2A5A" w:rsidP="006228EF">
            <w:pPr>
              <w:spacing w:before="40" w:after="20"/>
              <w:jc w:val="center"/>
              <w:rPr>
                <w:b/>
                <w:bCs/>
                <w:i/>
                <w:sz w:val="20"/>
                <w:szCs w:val="20"/>
                <w:lang w:val="es-SV"/>
              </w:rPr>
            </w:pPr>
            <w:r w:rsidRPr="006228EF">
              <w:rPr>
                <w:b/>
                <w:bCs/>
                <w:i/>
                <w:sz w:val="20"/>
                <w:szCs w:val="20"/>
                <w:lang w:val="es-SV"/>
              </w:rPr>
              <w:t>2005</w:t>
            </w:r>
          </w:p>
        </w:tc>
        <w:tc>
          <w:tcPr>
            <w:tcW w:w="1243" w:type="pct"/>
            <w:gridSpan w:val="2"/>
            <w:vAlign w:val="center"/>
          </w:tcPr>
          <w:p w:rsidR="00CD2A5A" w:rsidRPr="006228EF" w:rsidRDefault="00CD2A5A" w:rsidP="006228EF">
            <w:pPr>
              <w:spacing w:before="40" w:after="20"/>
              <w:jc w:val="center"/>
              <w:rPr>
                <w:b/>
                <w:bCs/>
                <w:i/>
                <w:sz w:val="20"/>
                <w:szCs w:val="20"/>
                <w:lang w:val="es-SV"/>
              </w:rPr>
            </w:pPr>
            <w:r w:rsidRPr="006228EF">
              <w:rPr>
                <w:b/>
                <w:bCs/>
                <w:i/>
                <w:sz w:val="20"/>
                <w:szCs w:val="20"/>
                <w:lang w:val="es-SV"/>
              </w:rPr>
              <w:t>2006</w:t>
            </w:r>
          </w:p>
        </w:tc>
      </w:tr>
      <w:tr w:rsidR="00CD2A5A">
        <w:tblPrEx>
          <w:tblCellMar>
            <w:top w:w="0" w:type="dxa"/>
            <w:bottom w:w="0" w:type="dxa"/>
          </w:tblCellMar>
        </w:tblPrEx>
        <w:trPr>
          <w:trHeight w:val="747"/>
          <w:jc w:val="center"/>
        </w:trPr>
        <w:tc>
          <w:tcPr>
            <w:tcW w:w="1273" w:type="pct"/>
            <w:vAlign w:val="center"/>
          </w:tcPr>
          <w:p w:rsidR="00CD2A5A" w:rsidRDefault="00CD2A5A">
            <w:pPr>
              <w:spacing w:before="40" w:after="20"/>
              <w:rPr>
                <w:sz w:val="20"/>
                <w:szCs w:val="20"/>
                <w:lang w:val="en-US"/>
              </w:rPr>
            </w:pPr>
            <w:r>
              <w:rPr>
                <w:sz w:val="20"/>
                <w:szCs w:val="20"/>
                <w:lang w:val="en-GB"/>
              </w:rPr>
              <w:t>Educational days for awareness of and guidance on rights and duties of family members and users of Family Tribunals.</w:t>
            </w:r>
          </w:p>
        </w:tc>
        <w:tc>
          <w:tcPr>
            <w:tcW w:w="596" w:type="pct"/>
            <w:vAlign w:val="center"/>
          </w:tcPr>
          <w:p w:rsidR="00CD2A5A" w:rsidRDefault="00CD2A5A">
            <w:pPr>
              <w:spacing w:before="40" w:after="20"/>
              <w:rPr>
                <w:sz w:val="20"/>
                <w:szCs w:val="20"/>
              </w:rPr>
            </w:pPr>
            <w:r>
              <w:rPr>
                <w:sz w:val="20"/>
                <w:szCs w:val="20"/>
                <w:lang w:val="en-GB"/>
              </w:rPr>
              <w:t>Working days</w:t>
            </w:r>
          </w:p>
        </w:tc>
        <w:tc>
          <w:tcPr>
            <w:tcW w:w="645" w:type="pct"/>
            <w:vAlign w:val="center"/>
          </w:tcPr>
          <w:p w:rsidR="00CD2A5A" w:rsidRDefault="00CD2A5A">
            <w:pPr>
              <w:spacing w:before="40" w:after="20"/>
              <w:rPr>
                <w:sz w:val="20"/>
                <w:szCs w:val="20"/>
                <w:lang w:val="es-SV"/>
              </w:rPr>
            </w:pPr>
            <w:r>
              <w:rPr>
                <w:sz w:val="20"/>
                <w:szCs w:val="20"/>
                <w:lang w:val="en-GB"/>
              </w:rPr>
              <w:t>Attendance</w:t>
            </w:r>
          </w:p>
        </w:tc>
        <w:tc>
          <w:tcPr>
            <w:tcW w:w="597" w:type="pct"/>
            <w:vAlign w:val="center"/>
          </w:tcPr>
          <w:p w:rsidR="00CD2A5A" w:rsidRDefault="00CD2A5A">
            <w:pPr>
              <w:spacing w:before="40" w:after="20"/>
              <w:rPr>
                <w:sz w:val="20"/>
                <w:szCs w:val="20"/>
                <w:lang w:val="es-SV"/>
              </w:rPr>
            </w:pPr>
            <w:r>
              <w:rPr>
                <w:sz w:val="20"/>
                <w:szCs w:val="20"/>
                <w:lang w:val="en-GB"/>
              </w:rPr>
              <w:t>Working days</w:t>
            </w:r>
          </w:p>
        </w:tc>
        <w:tc>
          <w:tcPr>
            <w:tcW w:w="645" w:type="pct"/>
            <w:vAlign w:val="center"/>
          </w:tcPr>
          <w:p w:rsidR="00CD2A5A" w:rsidRDefault="00CD2A5A">
            <w:pPr>
              <w:spacing w:before="40" w:after="20"/>
              <w:rPr>
                <w:sz w:val="20"/>
                <w:szCs w:val="20"/>
                <w:lang w:val="es-SV"/>
              </w:rPr>
            </w:pPr>
            <w:r>
              <w:rPr>
                <w:sz w:val="20"/>
                <w:szCs w:val="20"/>
                <w:lang w:val="en-GB"/>
              </w:rPr>
              <w:t>Attendance</w:t>
            </w:r>
          </w:p>
        </w:tc>
        <w:tc>
          <w:tcPr>
            <w:tcW w:w="597" w:type="pct"/>
            <w:vAlign w:val="center"/>
          </w:tcPr>
          <w:p w:rsidR="00CD2A5A" w:rsidRDefault="00CD2A5A">
            <w:pPr>
              <w:spacing w:before="40" w:after="20"/>
              <w:rPr>
                <w:sz w:val="20"/>
                <w:szCs w:val="20"/>
                <w:lang w:val="es-SV"/>
              </w:rPr>
            </w:pPr>
            <w:r>
              <w:rPr>
                <w:sz w:val="20"/>
                <w:szCs w:val="20"/>
                <w:lang w:val="en-GB"/>
              </w:rPr>
              <w:t>Working days</w:t>
            </w:r>
          </w:p>
        </w:tc>
        <w:tc>
          <w:tcPr>
            <w:tcW w:w="645" w:type="pct"/>
            <w:vAlign w:val="center"/>
          </w:tcPr>
          <w:p w:rsidR="00CD2A5A" w:rsidRDefault="00CD2A5A">
            <w:pPr>
              <w:spacing w:before="40" w:after="20"/>
              <w:rPr>
                <w:sz w:val="20"/>
                <w:szCs w:val="20"/>
                <w:lang w:val="es-SV"/>
              </w:rPr>
            </w:pPr>
            <w:r>
              <w:rPr>
                <w:sz w:val="20"/>
                <w:szCs w:val="20"/>
                <w:lang w:val="en-GB"/>
              </w:rPr>
              <w:t>Attendance</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Parents’ school</w:t>
            </w:r>
          </w:p>
        </w:tc>
        <w:tc>
          <w:tcPr>
            <w:tcW w:w="596" w:type="pct"/>
            <w:vAlign w:val="center"/>
          </w:tcPr>
          <w:p w:rsidR="00CD2A5A" w:rsidRDefault="00CD2A5A">
            <w:pPr>
              <w:spacing w:before="40" w:after="20"/>
              <w:ind w:right="162"/>
              <w:jc w:val="right"/>
              <w:rPr>
                <w:sz w:val="20"/>
                <w:szCs w:val="20"/>
                <w:lang w:val="es-SV"/>
              </w:rPr>
            </w:pPr>
            <w:r>
              <w:rPr>
                <w:sz w:val="20"/>
                <w:szCs w:val="20"/>
                <w:lang w:val="es-SV"/>
              </w:rPr>
              <w:t>627</w:t>
            </w:r>
          </w:p>
        </w:tc>
        <w:tc>
          <w:tcPr>
            <w:tcW w:w="645" w:type="pct"/>
            <w:vAlign w:val="center"/>
          </w:tcPr>
          <w:p w:rsidR="00CD2A5A" w:rsidRDefault="00CD2A5A">
            <w:pPr>
              <w:spacing w:before="40" w:after="20"/>
              <w:ind w:right="162"/>
              <w:jc w:val="right"/>
              <w:rPr>
                <w:sz w:val="20"/>
                <w:szCs w:val="20"/>
                <w:lang w:val="es-SV"/>
              </w:rPr>
            </w:pPr>
            <w:r>
              <w:rPr>
                <w:sz w:val="20"/>
                <w:szCs w:val="20"/>
                <w:lang w:val="es-SV"/>
              </w:rPr>
              <w:t>6,373</w:t>
            </w:r>
          </w:p>
        </w:tc>
        <w:tc>
          <w:tcPr>
            <w:tcW w:w="597" w:type="pct"/>
            <w:vAlign w:val="center"/>
          </w:tcPr>
          <w:p w:rsidR="00CD2A5A" w:rsidRDefault="00CD2A5A">
            <w:pPr>
              <w:spacing w:before="40" w:after="20"/>
              <w:ind w:right="162"/>
              <w:jc w:val="right"/>
              <w:rPr>
                <w:sz w:val="20"/>
                <w:szCs w:val="20"/>
                <w:lang w:val="es-SV"/>
              </w:rPr>
            </w:pPr>
            <w:r>
              <w:rPr>
                <w:sz w:val="20"/>
                <w:szCs w:val="20"/>
                <w:lang w:val="es-SV"/>
              </w:rPr>
              <w:t>591</w:t>
            </w:r>
          </w:p>
        </w:tc>
        <w:tc>
          <w:tcPr>
            <w:tcW w:w="645" w:type="pct"/>
            <w:vAlign w:val="center"/>
          </w:tcPr>
          <w:p w:rsidR="00CD2A5A" w:rsidRDefault="00CD2A5A">
            <w:pPr>
              <w:spacing w:before="40" w:after="20"/>
              <w:ind w:right="162"/>
              <w:jc w:val="right"/>
              <w:rPr>
                <w:sz w:val="20"/>
                <w:szCs w:val="20"/>
                <w:lang w:val="es-SV"/>
              </w:rPr>
            </w:pPr>
            <w:r>
              <w:rPr>
                <w:sz w:val="20"/>
                <w:szCs w:val="20"/>
                <w:lang w:val="es-SV"/>
              </w:rPr>
              <w:t>5,402</w:t>
            </w:r>
          </w:p>
        </w:tc>
        <w:tc>
          <w:tcPr>
            <w:tcW w:w="597" w:type="pct"/>
            <w:vAlign w:val="center"/>
          </w:tcPr>
          <w:p w:rsidR="00CD2A5A" w:rsidRDefault="00CD2A5A">
            <w:pPr>
              <w:spacing w:before="40" w:after="20"/>
              <w:ind w:right="162"/>
              <w:jc w:val="right"/>
              <w:rPr>
                <w:sz w:val="20"/>
                <w:szCs w:val="20"/>
                <w:lang w:val="es-SV"/>
              </w:rPr>
            </w:pPr>
            <w:r>
              <w:rPr>
                <w:sz w:val="20"/>
                <w:szCs w:val="20"/>
                <w:lang w:val="es-SV"/>
              </w:rPr>
              <w:t>462</w:t>
            </w:r>
          </w:p>
        </w:tc>
        <w:tc>
          <w:tcPr>
            <w:tcW w:w="645" w:type="pct"/>
            <w:vAlign w:val="center"/>
          </w:tcPr>
          <w:p w:rsidR="00CD2A5A" w:rsidRDefault="00CD2A5A">
            <w:pPr>
              <w:spacing w:before="40" w:after="20"/>
              <w:ind w:right="162"/>
              <w:jc w:val="right"/>
              <w:rPr>
                <w:sz w:val="20"/>
                <w:szCs w:val="20"/>
                <w:lang w:val="es-SV"/>
              </w:rPr>
            </w:pPr>
            <w:r>
              <w:rPr>
                <w:sz w:val="20"/>
                <w:szCs w:val="20"/>
                <w:lang w:val="es-SV"/>
              </w:rPr>
              <w:t>5845</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Children</w:t>
            </w:r>
          </w:p>
        </w:tc>
        <w:tc>
          <w:tcPr>
            <w:tcW w:w="596" w:type="pct"/>
            <w:vAlign w:val="center"/>
          </w:tcPr>
          <w:p w:rsidR="00CD2A5A" w:rsidRDefault="00CD2A5A">
            <w:pPr>
              <w:spacing w:before="40" w:after="20"/>
              <w:ind w:right="162"/>
              <w:jc w:val="right"/>
              <w:rPr>
                <w:sz w:val="20"/>
                <w:szCs w:val="20"/>
                <w:lang w:val="es-SV"/>
              </w:rPr>
            </w:pPr>
            <w:r>
              <w:rPr>
                <w:sz w:val="20"/>
                <w:szCs w:val="20"/>
                <w:lang w:val="es-SV"/>
              </w:rPr>
              <w:t>210</w:t>
            </w:r>
          </w:p>
        </w:tc>
        <w:tc>
          <w:tcPr>
            <w:tcW w:w="645" w:type="pct"/>
            <w:vAlign w:val="center"/>
          </w:tcPr>
          <w:p w:rsidR="00CD2A5A" w:rsidRDefault="00CD2A5A">
            <w:pPr>
              <w:spacing w:before="40" w:after="20"/>
              <w:ind w:right="162"/>
              <w:jc w:val="right"/>
              <w:rPr>
                <w:sz w:val="20"/>
                <w:szCs w:val="20"/>
                <w:lang w:val="es-SV"/>
              </w:rPr>
            </w:pPr>
            <w:r>
              <w:rPr>
                <w:sz w:val="20"/>
                <w:szCs w:val="20"/>
                <w:lang w:val="es-SV"/>
              </w:rPr>
              <w:t>1,347</w:t>
            </w:r>
          </w:p>
        </w:tc>
        <w:tc>
          <w:tcPr>
            <w:tcW w:w="597" w:type="pct"/>
            <w:vAlign w:val="center"/>
          </w:tcPr>
          <w:p w:rsidR="00CD2A5A" w:rsidRDefault="00CD2A5A">
            <w:pPr>
              <w:spacing w:before="40" w:after="20"/>
              <w:ind w:right="162"/>
              <w:jc w:val="right"/>
              <w:rPr>
                <w:sz w:val="20"/>
                <w:szCs w:val="20"/>
                <w:lang w:val="es-SV"/>
              </w:rPr>
            </w:pPr>
            <w:r>
              <w:rPr>
                <w:sz w:val="20"/>
                <w:szCs w:val="20"/>
                <w:lang w:val="es-SV"/>
              </w:rPr>
              <w:t>119</w:t>
            </w:r>
          </w:p>
        </w:tc>
        <w:tc>
          <w:tcPr>
            <w:tcW w:w="645" w:type="pct"/>
            <w:vAlign w:val="center"/>
          </w:tcPr>
          <w:p w:rsidR="00CD2A5A" w:rsidRDefault="00CD2A5A">
            <w:pPr>
              <w:spacing w:before="40" w:after="20"/>
              <w:ind w:right="162"/>
              <w:jc w:val="right"/>
              <w:rPr>
                <w:sz w:val="20"/>
                <w:szCs w:val="20"/>
                <w:lang w:val="es-SV"/>
              </w:rPr>
            </w:pPr>
            <w:r>
              <w:rPr>
                <w:sz w:val="20"/>
                <w:szCs w:val="20"/>
                <w:lang w:val="es-SV"/>
              </w:rPr>
              <w:t>604</w:t>
            </w:r>
          </w:p>
        </w:tc>
        <w:tc>
          <w:tcPr>
            <w:tcW w:w="597" w:type="pct"/>
            <w:vAlign w:val="center"/>
          </w:tcPr>
          <w:p w:rsidR="00CD2A5A" w:rsidRDefault="00CD2A5A">
            <w:pPr>
              <w:spacing w:before="40" w:after="20"/>
              <w:ind w:right="162"/>
              <w:jc w:val="right"/>
              <w:rPr>
                <w:sz w:val="20"/>
                <w:szCs w:val="20"/>
                <w:lang w:val="es-SV"/>
              </w:rPr>
            </w:pPr>
            <w:r>
              <w:rPr>
                <w:sz w:val="20"/>
                <w:szCs w:val="20"/>
                <w:lang w:val="es-SV"/>
              </w:rPr>
              <w:t>233</w:t>
            </w:r>
          </w:p>
        </w:tc>
        <w:tc>
          <w:tcPr>
            <w:tcW w:w="645" w:type="pct"/>
            <w:vAlign w:val="center"/>
          </w:tcPr>
          <w:p w:rsidR="00CD2A5A" w:rsidRDefault="00CD2A5A">
            <w:pPr>
              <w:spacing w:before="40" w:after="20"/>
              <w:ind w:right="162"/>
              <w:jc w:val="right"/>
              <w:rPr>
                <w:sz w:val="20"/>
                <w:szCs w:val="20"/>
                <w:lang w:val="es-SV"/>
              </w:rPr>
            </w:pPr>
            <w:r>
              <w:rPr>
                <w:sz w:val="20"/>
                <w:szCs w:val="20"/>
                <w:lang w:val="es-SV"/>
              </w:rPr>
              <w:t>3,104</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Adolescents</w:t>
            </w:r>
          </w:p>
        </w:tc>
        <w:tc>
          <w:tcPr>
            <w:tcW w:w="596" w:type="pct"/>
            <w:vAlign w:val="center"/>
          </w:tcPr>
          <w:p w:rsidR="00CD2A5A" w:rsidRDefault="00CD2A5A">
            <w:pPr>
              <w:spacing w:before="40" w:after="20"/>
              <w:ind w:right="162"/>
              <w:jc w:val="right"/>
              <w:rPr>
                <w:sz w:val="20"/>
                <w:szCs w:val="20"/>
                <w:lang w:val="es-SV"/>
              </w:rPr>
            </w:pPr>
            <w:r>
              <w:rPr>
                <w:sz w:val="20"/>
                <w:szCs w:val="20"/>
                <w:lang w:val="es-SV"/>
              </w:rPr>
              <w:t>246</w:t>
            </w:r>
          </w:p>
        </w:tc>
        <w:tc>
          <w:tcPr>
            <w:tcW w:w="645" w:type="pct"/>
            <w:vAlign w:val="center"/>
          </w:tcPr>
          <w:p w:rsidR="00CD2A5A" w:rsidRDefault="00CD2A5A">
            <w:pPr>
              <w:spacing w:before="40" w:after="20"/>
              <w:ind w:right="162"/>
              <w:jc w:val="right"/>
              <w:rPr>
                <w:sz w:val="20"/>
                <w:szCs w:val="20"/>
                <w:lang w:val="es-SV"/>
              </w:rPr>
            </w:pPr>
            <w:r>
              <w:rPr>
                <w:sz w:val="20"/>
                <w:szCs w:val="20"/>
                <w:lang w:val="es-SV"/>
              </w:rPr>
              <w:t>1,500</w:t>
            </w:r>
          </w:p>
        </w:tc>
        <w:tc>
          <w:tcPr>
            <w:tcW w:w="597" w:type="pct"/>
            <w:vAlign w:val="center"/>
          </w:tcPr>
          <w:p w:rsidR="00CD2A5A" w:rsidRDefault="00CD2A5A">
            <w:pPr>
              <w:spacing w:before="40" w:after="20"/>
              <w:ind w:right="162"/>
              <w:jc w:val="right"/>
              <w:rPr>
                <w:sz w:val="20"/>
                <w:szCs w:val="20"/>
                <w:lang w:val="es-SV"/>
              </w:rPr>
            </w:pPr>
            <w:r>
              <w:rPr>
                <w:sz w:val="20"/>
                <w:szCs w:val="20"/>
                <w:lang w:val="es-SV"/>
              </w:rPr>
              <w:t>254</w:t>
            </w:r>
          </w:p>
        </w:tc>
        <w:tc>
          <w:tcPr>
            <w:tcW w:w="645" w:type="pct"/>
            <w:vAlign w:val="center"/>
          </w:tcPr>
          <w:p w:rsidR="00CD2A5A" w:rsidRDefault="00CD2A5A">
            <w:pPr>
              <w:spacing w:before="40" w:after="20"/>
              <w:ind w:right="162"/>
              <w:jc w:val="right"/>
              <w:rPr>
                <w:sz w:val="20"/>
                <w:szCs w:val="20"/>
                <w:lang w:val="es-SV"/>
              </w:rPr>
            </w:pPr>
            <w:r>
              <w:rPr>
                <w:sz w:val="20"/>
                <w:szCs w:val="20"/>
                <w:lang w:val="es-SV"/>
              </w:rPr>
              <w:t>1,264</w:t>
            </w:r>
          </w:p>
        </w:tc>
        <w:tc>
          <w:tcPr>
            <w:tcW w:w="597" w:type="pct"/>
            <w:vAlign w:val="center"/>
          </w:tcPr>
          <w:p w:rsidR="00CD2A5A" w:rsidRDefault="00CD2A5A">
            <w:pPr>
              <w:spacing w:before="40" w:after="20"/>
              <w:ind w:right="162"/>
              <w:jc w:val="right"/>
              <w:rPr>
                <w:sz w:val="20"/>
                <w:szCs w:val="20"/>
                <w:lang w:val="es-SV"/>
              </w:rPr>
            </w:pPr>
            <w:r>
              <w:rPr>
                <w:sz w:val="20"/>
                <w:szCs w:val="20"/>
                <w:lang w:val="es-SV"/>
              </w:rPr>
              <w:t>75</w:t>
            </w:r>
          </w:p>
        </w:tc>
        <w:tc>
          <w:tcPr>
            <w:tcW w:w="645" w:type="pct"/>
            <w:vAlign w:val="center"/>
          </w:tcPr>
          <w:p w:rsidR="00CD2A5A" w:rsidRDefault="00CD2A5A">
            <w:pPr>
              <w:spacing w:before="40" w:after="20"/>
              <w:ind w:right="162"/>
              <w:jc w:val="right"/>
              <w:rPr>
                <w:sz w:val="20"/>
                <w:szCs w:val="20"/>
                <w:lang w:val="es-SV"/>
              </w:rPr>
            </w:pPr>
            <w:r>
              <w:rPr>
                <w:sz w:val="20"/>
                <w:szCs w:val="20"/>
                <w:lang w:val="es-SV"/>
              </w:rPr>
              <w:t>600</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Families</w:t>
            </w:r>
          </w:p>
        </w:tc>
        <w:tc>
          <w:tcPr>
            <w:tcW w:w="596" w:type="pct"/>
            <w:vAlign w:val="center"/>
          </w:tcPr>
          <w:p w:rsidR="00CD2A5A" w:rsidRDefault="00CD2A5A">
            <w:pPr>
              <w:spacing w:before="40" w:after="20"/>
              <w:ind w:right="162"/>
              <w:jc w:val="right"/>
              <w:rPr>
                <w:sz w:val="20"/>
                <w:szCs w:val="20"/>
                <w:lang w:val="es-SV"/>
              </w:rPr>
            </w:pPr>
          </w:p>
        </w:tc>
        <w:tc>
          <w:tcPr>
            <w:tcW w:w="645" w:type="pct"/>
            <w:vAlign w:val="center"/>
          </w:tcPr>
          <w:p w:rsidR="00CD2A5A" w:rsidRDefault="00CD2A5A">
            <w:pPr>
              <w:spacing w:before="40" w:after="20"/>
              <w:ind w:right="162"/>
              <w:jc w:val="right"/>
              <w:rPr>
                <w:sz w:val="20"/>
                <w:szCs w:val="20"/>
                <w:lang w:val="es-SV"/>
              </w:rPr>
            </w:pPr>
          </w:p>
        </w:tc>
        <w:tc>
          <w:tcPr>
            <w:tcW w:w="597" w:type="pct"/>
            <w:vAlign w:val="center"/>
          </w:tcPr>
          <w:p w:rsidR="00CD2A5A" w:rsidRDefault="00CD2A5A">
            <w:pPr>
              <w:spacing w:before="40" w:after="20"/>
              <w:ind w:right="162"/>
              <w:jc w:val="right"/>
              <w:rPr>
                <w:sz w:val="20"/>
                <w:szCs w:val="20"/>
                <w:lang w:val="es-SV"/>
              </w:rPr>
            </w:pPr>
            <w:r>
              <w:rPr>
                <w:sz w:val="20"/>
                <w:szCs w:val="20"/>
                <w:lang w:val="es-SV"/>
              </w:rPr>
              <w:t>24</w:t>
            </w:r>
          </w:p>
        </w:tc>
        <w:tc>
          <w:tcPr>
            <w:tcW w:w="645" w:type="pct"/>
            <w:vAlign w:val="center"/>
          </w:tcPr>
          <w:p w:rsidR="00CD2A5A" w:rsidRDefault="00CD2A5A">
            <w:pPr>
              <w:spacing w:before="40" w:after="20"/>
              <w:ind w:right="162"/>
              <w:jc w:val="right"/>
              <w:rPr>
                <w:sz w:val="20"/>
                <w:szCs w:val="20"/>
                <w:lang w:val="es-SV"/>
              </w:rPr>
            </w:pPr>
            <w:r>
              <w:rPr>
                <w:sz w:val="20"/>
                <w:szCs w:val="20"/>
                <w:lang w:val="es-SV"/>
              </w:rPr>
              <w:t>53</w:t>
            </w:r>
          </w:p>
        </w:tc>
        <w:tc>
          <w:tcPr>
            <w:tcW w:w="597" w:type="pct"/>
            <w:vAlign w:val="center"/>
          </w:tcPr>
          <w:p w:rsidR="00CD2A5A" w:rsidRDefault="00CD2A5A">
            <w:pPr>
              <w:spacing w:before="40" w:after="20"/>
              <w:ind w:right="162"/>
              <w:jc w:val="right"/>
              <w:rPr>
                <w:sz w:val="20"/>
                <w:szCs w:val="20"/>
                <w:lang w:val="es-SV"/>
              </w:rPr>
            </w:pPr>
            <w:r>
              <w:rPr>
                <w:sz w:val="20"/>
                <w:szCs w:val="20"/>
                <w:lang w:val="es-SV"/>
              </w:rPr>
              <w:t>223</w:t>
            </w:r>
          </w:p>
        </w:tc>
        <w:tc>
          <w:tcPr>
            <w:tcW w:w="645" w:type="pct"/>
            <w:vAlign w:val="center"/>
          </w:tcPr>
          <w:p w:rsidR="00CD2A5A" w:rsidRDefault="00CD2A5A">
            <w:pPr>
              <w:spacing w:before="40" w:after="20"/>
              <w:ind w:right="162"/>
              <w:jc w:val="right"/>
              <w:rPr>
                <w:sz w:val="20"/>
                <w:szCs w:val="20"/>
                <w:lang w:val="es-SV"/>
              </w:rPr>
            </w:pPr>
            <w:r>
              <w:rPr>
                <w:sz w:val="20"/>
                <w:szCs w:val="20"/>
                <w:lang w:val="es-SV"/>
              </w:rPr>
              <w:t>645</w:t>
            </w:r>
          </w:p>
        </w:tc>
      </w:tr>
      <w:tr w:rsidR="00CD2A5A">
        <w:tblPrEx>
          <w:tblCellMar>
            <w:top w:w="0" w:type="dxa"/>
            <w:bottom w:w="0" w:type="dxa"/>
          </w:tblCellMar>
        </w:tblPrEx>
        <w:trPr>
          <w:jc w:val="center"/>
        </w:trPr>
        <w:tc>
          <w:tcPr>
            <w:tcW w:w="1273" w:type="pct"/>
            <w:vAlign w:val="center"/>
          </w:tcPr>
          <w:p w:rsidR="00CD2A5A" w:rsidRDefault="00CD2A5A">
            <w:pPr>
              <w:spacing w:before="40" w:after="20"/>
              <w:rPr>
                <w:bCs/>
                <w:sz w:val="20"/>
                <w:szCs w:val="20"/>
                <w:lang w:val="es-SV"/>
              </w:rPr>
            </w:pPr>
            <w:r>
              <w:rPr>
                <w:bCs/>
                <w:sz w:val="20"/>
                <w:szCs w:val="20"/>
                <w:lang w:val="en-GB"/>
              </w:rPr>
              <w:t>Total</w:t>
            </w:r>
          </w:p>
        </w:tc>
        <w:tc>
          <w:tcPr>
            <w:tcW w:w="596" w:type="pct"/>
            <w:vAlign w:val="center"/>
          </w:tcPr>
          <w:p w:rsidR="00CD2A5A" w:rsidRDefault="00CD2A5A">
            <w:pPr>
              <w:spacing w:before="40" w:after="20"/>
              <w:ind w:right="162"/>
              <w:jc w:val="right"/>
              <w:rPr>
                <w:sz w:val="20"/>
                <w:szCs w:val="20"/>
                <w:lang w:val="es-SV"/>
              </w:rPr>
            </w:pPr>
            <w:r>
              <w:rPr>
                <w:sz w:val="20"/>
                <w:szCs w:val="20"/>
                <w:lang w:val="es-SV"/>
              </w:rPr>
              <w:t>1,083</w:t>
            </w:r>
          </w:p>
        </w:tc>
        <w:tc>
          <w:tcPr>
            <w:tcW w:w="645" w:type="pct"/>
            <w:vAlign w:val="center"/>
          </w:tcPr>
          <w:p w:rsidR="00CD2A5A" w:rsidRDefault="00CD2A5A">
            <w:pPr>
              <w:spacing w:before="40" w:after="20"/>
              <w:ind w:right="162"/>
              <w:jc w:val="right"/>
              <w:rPr>
                <w:sz w:val="20"/>
                <w:szCs w:val="20"/>
                <w:lang w:val="es-SV"/>
              </w:rPr>
            </w:pPr>
            <w:r>
              <w:rPr>
                <w:sz w:val="20"/>
                <w:szCs w:val="20"/>
                <w:lang w:val="es-SV"/>
              </w:rPr>
              <w:t>9,220</w:t>
            </w:r>
          </w:p>
        </w:tc>
        <w:tc>
          <w:tcPr>
            <w:tcW w:w="597" w:type="pct"/>
            <w:vAlign w:val="center"/>
          </w:tcPr>
          <w:p w:rsidR="00CD2A5A" w:rsidRDefault="00CD2A5A">
            <w:pPr>
              <w:spacing w:before="40" w:after="20"/>
              <w:ind w:right="162"/>
              <w:jc w:val="right"/>
              <w:rPr>
                <w:sz w:val="20"/>
                <w:szCs w:val="20"/>
                <w:lang w:val="es-SV"/>
              </w:rPr>
            </w:pPr>
            <w:r>
              <w:rPr>
                <w:sz w:val="20"/>
                <w:szCs w:val="20"/>
                <w:lang w:val="es-SV"/>
              </w:rPr>
              <w:t>988</w:t>
            </w:r>
          </w:p>
        </w:tc>
        <w:tc>
          <w:tcPr>
            <w:tcW w:w="645" w:type="pct"/>
            <w:vAlign w:val="center"/>
          </w:tcPr>
          <w:p w:rsidR="00CD2A5A" w:rsidRDefault="00CD2A5A">
            <w:pPr>
              <w:spacing w:before="40" w:after="20"/>
              <w:ind w:right="162"/>
              <w:jc w:val="right"/>
              <w:rPr>
                <w:sz w:val="20"/>
                <w:szCs w:val="20"/>
                <w:lang w:val="es-SV"/>
              </w:rPr>
            </w:pPr>
            <w:r>
              <w:rPr>
                <w:sz w:val="20"/>
                <w:szCs w:val="20"/>
                <w:lang w:val="es-SV"/>
              </w:rPr>
              <w:t>7,323</w:t>
            </w:r>
          </w:p>
        </w:tc>
        <w:tc>
          <w:tcPr>
            <w:tcW w:w="597" w:type="pct"/>
            <w:vAlign w:val="center"/>
          </w:tcPr>
          <w:p w:rsidR="00CD2A5A" w:rsidRDefault="00CD2A5A">
            <w:pPr>
              <w:spacing w:before="40" w:after="20"/>
              <w:ind w:right="162"/>
              <w:jc w:val="right"/>
              <w:rPr>
                <w:sz w:val="20"/>
                <w:szCs w:val="20"/>
                <w:lang w:val="es-SV"/>
              </w:rPr>
            </w:pPr>
            <w:r>
              <w:rPr>
                <w:sz w:val="20"/>
                <w:szCs w:val="20"/>
                <w:lang w:val="es-SV"/>
              </w:rPr>
              <w:t>993</w:t>
            </w:r>
          </w:p>
        </w:tc>
        <w:tc>
          <w:tcPr>
            <w:tcW w:w="645" w:type="pct"/>
            <w:vAlign w:val="center"/>
          </w:tcPr>
          <w:p w:rsidR="00CD2A5A" w:rsidRDefault="00CD2A5A">
            <w:pPr>
              <w:spacing w:before="40" w:after="20"/>
              <w:ind w:right="162"/>
              <w:jc w:val="right"/>
              <w:rPr>
                <w:sz w:val="20"/>
                <w:szCs w:val="20"/>
                <w:lang w:val="es-SV"/>
              </w:rPr>
            </w:pPr>
            <w:r>
              <w:rPr>
                <w:sz w:val="20"/>
                <w:szCs w:val="20"/>
                <w:lang w:val="es-SV"/>
              </w:rPr>
              <w:t>10,194</w:t>
            </w:r>
          </w:p>
        </w:tc>
      </w:tr>
      <w:tr w:rsidR="00CD2A5A">
        <w:tblPrEx>
          <w:tblCellMar>
            <w:top w:w="0" w:type="dxa"/>
            <w:bottom w:w="0" w:type="dxa"/>
          </w:tblCellMar>
        </w:tblPrEx>
        <w:trPr>
          <w:trHeight w:val="1295"/>
          <w:jc w:val="center"/>
        </w:trPr>
        <w:tc>
          <w:tcPr>
            <w:tcW w:w="1273" w:type="pct"/>
            <w:vAlign w:val="center"/>
          </w:tcPr>
          <w:p w:rsidR="00CD2A5A" w:rsidRDefault="00CD2A5A">
            <w:pPr>
              <w:spacing w:before="40" w:after="20"/>
              <w:rPr>
                <w:sz w:val="20"/>
                <w:szCs w:val="20"/>
                <w:lang w:val="en-US"/>
              </w:rPr>
            </w:pPr>
            <w:r>
              <w:rPr>
                <w:sz w:val="20"/>
                <w:szCs w:val="20"/>
                <w:lang w:val="en-GB"/>
              </w:rPr>
              <w:t>Publicizing rights and duties, regulated by the Family Code and the Domestic Violence Act in institutions outside the tribunal.</w:t>
            </w:r>
          </w:p>
        </w:tc>
        <w:tc>
          <w:tcPr>
            <w:tcW w:w="596" w:type="pct"/>
            <w:vAlign w:val="center"/>
          </w:tcPr>
          <w:p w:rsidR="00CD2A5A" w:rsidRDefault="00CD2A5A">
            <w:pPr>
              <w:spacing w:before="40" w:after="20"/>
              <w:rPr>
                <w:sz w:val="20"/>
                <w:szCs w:val="20"/>
              </w:rPr>
            </w:pPr>
            <w:r>
              <w:rPr>
                <w:sz w:val="20"/>
                <w:szCs w:val="20"/>
                <w:lang w:val="en-GB"/>
              </w:rPr>
              <w:t>Working days</w:t>
            </w:r>
          </w:p>
        </w:tc>
        <w:tc>
          <w:tcPr>
            <w:tcW w:w="645" w:type="pct"/>
            <w:vAlign w:val="center"/>
          </w:tcPr>
          <w:p w:rsidR="00CD2A5A" w:rsidRDefault="00CD2A5A">
            <w:pPr>
              <w:spacing w:before="40" w:after="20"/>
              <w:rPr>
                <w:sz w:val="20"/>
                <w:szCs w:val="20"/>
              </w:rPr>
            </w:pPr>
            <w:r>
              <w:rPr>
                <w:sz w:val="20"/>
                <w:szCs w:val="20"/>
                <w:lang w:val="en-GB"/>
              </w:rPr>
              <w:t>Attendance</w:t>
            </w:r>
          </w:p>
        </w:tc>
        <w:tc>
          <w:tcPr>
            <w:tcW w:w="597" w:type="pct"/>
            <w:vAlign w:val="center"/>
          </w:tcPr>
          <w:p w:rsidR="00CD2A5A" w:rsidRDefault="00CD2A5A">
            <w:pPr>
              <w:spacing w:before="40" w:after="20"/>
              <w:rPr>
                <w:sz w:val="20"/>
                <w:szCs w:val="20"/>
                <w:lang w:val="es-SV"/>
              </w:rPr>
            </w:pPr>
            <w:r>
              <w:rPr>
                <w:sz w:val="20"/>
                <w:szCs w:val="20"/>
                <w:lang w:val="en-GB"/>
              </w:rPr>
              <w:t>Working days</w:t>
            </w:r>
          </w:p>
        </w:tc>
        <w:tc>
          <w:tcPr>
            <w:tcW w:w="645" w:type="pct"/>
            <w:vAlign w:val="center"/>
          </w:tcPr>
          <w:p w:rsidR="00CD2A5A" w:rsidRDefault="00CD2A5A">
            <w:pPr>
              <w:spacing w:before="40" w:after="20"/>
              <w:rPr>
                <w:sz w:val="20"/>
                <w:szCs w:val="20"/>
                <w:lang w:val="es-SV"/>
              </w:rPr>
            </w:pPr>
            <w:r>
              <w:rPr>
                <w:sz w:val="20"/>
                <w:szCs w:val="20"/>
                <w:lang w:val="en-GB"/>
              </w:rPr>
              <w:t>Attendance</w:t>
            </w:r>
          </w:p>
        </w:tc>
        <w:tc>
          <w:tcPr>
            <w:tcW w:w="597" w:type="pct"/>
            <w:vAlign w:val="center"/>
          </w:tcPr>
          <w:p w:rsidR="00CD2A5A" w:rsidRDefault="00CD2A5A">
            <w:pPr>
              <w:spacing w:before="40" w:after="20"/>
              <w:rPr>
                <w:sz w:val="20"/>
                <w:szCs w:val="20"/>
                <w:lang w:val="es-SV"/>
              </w:rPr>
            </w:pPr>
            <w:r>
              <w:rPr>
                <w:sz w:val="20"/>
                <w:szCs w:val="20"/>
                <w:lang w:val="en-GB"/>
              </w:rPr>
              <w:t>Working days</w:t>
            </w:r>
          </w:p>
        </w:tc>
        <w:tc>
          <w:tcPr>
            <w:tcW w:w="645" w:type="pct"/>
            <w:vAlign w:val="center"/>
          </w:tcPr>
          <w:p w:rsidR="00CD2A5A" w:rsidRDefault="00CD2A5A">
            <w:pPr>
              <w:spacing w:before="40" w:after="20"/>
              <w:rPr>
                <w:sz w:val="20"/>
                <w:szCs w:val="20"/>
                <w:lang w:val="es-SV"/>
              </w:rPr>
            </w:pPr>
            <w:r>
              <w:rPr>
                <w:sz w:val="20"/>
                <w:szCs w:val="20"/>
                <w:lang w:val="en-GB"/>
              </w:rPr>
              <w:t>Attendance</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Elementary schools</w:t>
            </w:r>
          </w:p>
        </w:tc>
        <w:tc>
          <w:tcPr>
            <w:tcW w:w="596" w:type="pct"/>
            <w:vAlign w:val="center"/>
          </w:tcPr>
          <w:p w:rsidR="00CD2A5A" w:rsidRDefault="00CD2A5A">
            <w:pPr>
              <w:spacing w:before="40" w:after="20"/>
              <w:ind w:right="162"/>
              <w:jc w:val="right"/>
              <w:rPr>
                <w:sz w:val="20"/>
                <w:szCs w:val="20"/>
                <w:lang w:val="es-SV"/>
              </w:rPr>
            </w:pPr>
            <w:r>
              <w:rPr>
                <w:sz w:val="20"/>
                <w:szCs w:val="20"/>
                <w:lang w:val="es-SV"/>
              </w:rPr>
              <w:t>374</w:t>
            </w:r>
          </w:p>
        </w:tc>
        <w:tc>
          <w:tcPr>
            <w:tcW w:w="645" w:type="pct"/>
            <w:vAlign w:val="center"/>
          </w:tcPr>
          <w:p w:rsidR="00CD2A5A" w:rsidRDefault="00CD2A5A">
            <w:pPr>
              <w:spacing w:before="40" w:after="20"/>
              <w:ind w:right="162"/>
              <w:jc w:val="right"/>
              <w:rPr>
                <w:sz w:val="20"/>
                <w:szCs w:val="20"/>
                <w:lang w:val="es-SV"/>
              </w:rPr>
            </w:pPr>
            <w:r>
              <w:rPr>
                <w:sz w:val="20"/>
                <w:szCs w:val="20"/>
                <w:lang w:val="es-SV"/>
              </w:rPr>
              <w:t>23,282</w:t>
            </w:r>
          </w:p>
        </w:tc>
        <w:tc>
          <w:tcPr>
            <w:tcW w:w="597" w:type="pct"/>
            <w:vAlign w:val="center"/>
          </w:tcPr>
          <w:p w:rsidR="00CD2A5A" w:rsidRDefault="00CD2A5A">
            <w:pPr>
              <w:spacing w:before="40" w:after="20"/>
              <w:ind w:right="162"/>
              <w:jc w:val="right"/>
              <w:rPr>
                <w:sz w:val="20"/>
                <w:szCs w:val="20"/>
                <w:lang w:val="es-SV"/>
              </w:rPr>
            </w:pPr>
            <w:r>
              <w:rPr>
                <w:sz w:val="20"/>
                <w:szCs w:val="20"/>
                <w:lang w:val="es-SV"/>
              </w:rPr>
              <w:t>219</w:t>
            </w:r>
          </w:p>
        </w:tc>
        <w:tc>
          <w:tcPr>
            <w:tcW w:w="645" w:type="pct"/>
            <w:vAlign w:val="center"/>
          </w:tcPr>
          <w:p w:rsidR="00CD2A5A" w:rsidRDefault="00CD2A5A">
            <w:pPr>
              <w:spacing w:before="40" w:after="20"/>
              <w:ind w:right="162"/>
              <w:jc w:val="right"/>
              <w:rPr>
                <w:sz w:val="20"/>
                <w:szCs w:val="20"/>
                <w:lang w:val="es-SV"/>
              </w:rPr>
            </w:pPr>
            <w:r>
              <w:rPr>
                <w:sz w:val="20"/>
                <w:szCs w:val="20"/>
                <w:lang w:val="es-SV"/>
              </w:rPr>
              <w:t>13,781</w:t>
            </w:r>
          </w:p>
        </w:tc>
        <w:tc>
          <w:tcPr>
            <w:tcW w:w="597" w:type="pct"/>
            <w:vAlign w:val="center"/>
          </w:tcPr>
          <w:p w:rsidR="00CD2A5A" w:rsidRDefault="00CD2A5A">
            <w:pPr>
              <w:spacing w:before="40" w:after="20"/>
              <w:ind w:right="162"/>
              <w:jc w:val="right"/>
              <w:rPr>
                <w:sz w:val="20"/>
                <w:szCs w:val="20"/>
                <w:lang w:val="es-SV"/>
              </w:rPr>
            </w:pPr>
            <w:r>
              <w:rPr>
                <w:sz w:val="20"/>
                <w:szCs w:val="20"/>
                <w:lang w:val="es-SV"/>
              </w:rPr>
              <w:t>290</w:t>
            </w:r>
          </w:p>
        </w:tc>
        <w:tc>
          <w:tcPr>
            <w:tcW w:w="645" w:type="pct"/>
            <w:vAlign w:val="center"/>
          </w:tcPr>
          <w:p w:rsidR="00CD2A5A" w:rsidRDefault="00CD2A5A">
            <w:pPr>
              <w:spacing w:before="40" w:after="20"/>
              <w:ind w:right="162"/>
              <w:jc w:val="right"/>
              <w:rPr>
                <w:sz w:val="20"/>
                <w:szCs w:val="20"/>
                <w:lang w:val="es-SV"/>
              </w:rPr>
            </w:pPr>
            <w:r>
              <w:rPr>
                <w:sz w:val="20"/>
                <w:szCs w:val="20"/>
                <w:lang w:val="es-SV"/>
              </w:rPr>
              <w:t>15,540</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High schools</w:t>
            </w:r>
          </w:p>
        </w:tc>
        <w:tc>
          <w:tcPr>
            <w:tcW w:w="596" w:type="pct"/>
            <w:vAlign w:val="center"/>
          </w:tcPr>
          <w:p w:rsidR="00CD2A5A" w:rsidRDefault="00CD2A5A">
            <w:pPr>
              <w:spacing w:before="40" w:after="20"/>
              <w:ind w:right="162"/>
              <w:jc w:val="right"/>
              <w:rPr>
                <w:sz w:val="20"/>
                <w:szCs w:val="20"/>
                <w:lang w:val="es-SV"/>
              </w:rPr>
            </w:pPr>
            <w:r>
              <w:rPr>
                <w:sz w:val="20"/>
                <w:szCs w:val="20"/>
                <w:lang w:val="es-SV"/>
              </w:rPr>
              <w:t>29</w:t>
            </w:r>
          </w:p>
        </w:tc>
        <w:tc>
          <w:tcPr>
            <w:tcW w:w="645" w:type="pct"/>
            <w:vAlign w:val="center"/>
          </w:tcPr>
          <w:p w:rsidR="00CD2A5A" w:rsidRDefault="00CD2A5A">
            <w:pPr>
              <w:spacing w:before="40" w:after="20"/>
              <w:ind w:right="162"/>
              <w:jc w:val="right"/>
              <w:rPr>
                <w:sz w:val="20"/>
                <w:szCs w:val="20"/>
                <w:lang w:val="es-SV"/>
              </w:rPr>
            </w:pPr>
            <w:r>
              <w:rPr>
                <w:sz w:val="20"/>
                <w:szCs w:val="20"/>
                <w:lang w:val="es-SV"/>
              </w:rPr>
              <w:t>1,961</w:t>
            </w:r>
          </w:p>
        </w:tc>
        <w:tc>
          <w:tcPr>
            <w:tcW w:w="597" w:type="pct"/>
            <w:vAlign w:val="center"/>
          </w:tcPr>
          <w:p w:rsidR="00CD2A5A" w:rsidRDefault="00CD2A5A">
            <w:pPr>
              <w:spacing w:before="40" w:after="20"/>
              <w:ind w:right="162"/>
              <w:jc w:val="right"/>
              <w:rPr>
                <w:sz w:val="20"/>
                <w:szCs w:val="20"/>
                <w:lang w:val="es-SV"/>
              </w:rPr>
            </w:pPr>
            <w:r>
              <w:rPr>
                <w:sz w:val="20"/>
                <w:szCs w:val="20"/>
                <w:lang w:val="es-SV"/>
              </w:rPr>
              <w:t>34</w:t>
            </w:r>
          </w:p>
        </w:tc>
        <w:tc>
          <w:tcPr>
            <w:tcW w:w="645" w:type="pct"/>
            <w:vAlign w:val="center"/>
          </w:tcPr>
          <w:p w:rsidR="00CD2A5A" w:rsidRDefault="00CD2A5A">
            <w:pPr>
              <w:spacing w:before="40" w:after="20"/>
              <w:ind w:right="162"/>
              <w:jc w:val="right"/>
              <w:rPr>
                <w:sz w:val="20"/>
                <w:szCs w:val="20"/>
                <w:lang w:val="es-SV"/>
              </w:rPr>
            </w:pPr>
            <w:r>
              <w:rPr>
                <w:sz w:val="20"/>
                <w:szCs w:val="20"/>
                <w:lang w:val="es-SV"/>
              </w:rPr>
              <w:t>2377</w:t>
            </w:r>
          </w:p>
        </w:tc>
        <w:tc>
          <w:tcPr>
            <w:tcW w:w="597" w:type="pct"/>
            <w:vAlign w:val="center"/>
          </w:tcPr>
          <w:p w:rsidR="00CD2A5A" w:rsidRDefault="00CD2A5A">
            <w:pPr>
              <w:spacing w:before="40" w:after="20"/>
              <w:ind w:right="162"/>
              <w:jc w:val="right"/>
              <w:rPr>
                <w:sz w:val="20"/>
                <w:szCs w:val="20"/>
                <w:lang w:val="es-SV"/>
              </w:rPr>
            </w:pPr>
            <w:r>
              <w:rPr>
                <w:sz w:val="20"/>
                <w:szCs w:val="20"/>
                <w:lang w:val="es-SV"/>
              </w:rPr>
              <w:t>23</w:t>
            </w:r>
          </w:p>
        </w:tc>
        <w:tc>
          <w:tcPr>
            <w:tcW w:w="645" w:type="pct"/>
            <w:vAlign w:val="center"/>
          </w:tcPr>
          <w:p w:rsidR="00CD2A5A" w:rsidRDefault="00CD2A5A">
            <w:pPr>
              <w:spacing w:before="40" w:after="20"/>
              <w:ind w:right="162"/>
              <w:jc w:val="right"/>
              <w:rPr>
                <w:sz w:val="20"/>
                <w:szCs w:val="20"/>
                <w:lang w:val="es-SV"/>
              </w:rPr>
            </w:pPr>
            <w:r>
              <w:rPr>
                <w:sz w:val="20"/>
                <w:szCs w:val="20"/>
                <w:lang w:val="es-SV"/>
              </w:rPr>
              <w:t>1638</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Institutes</w:t>
            </w:r>
          </w:p>
        </w:tc>
        <w:tc>
          <w:tcPr>
            <w:tcW w:w="596" w:type="pct"/>
            <w:vAlign w:val="center"/>
          </w:tcPr>
          <w:p w:rsidR="00CD2A5A" w:rsidRDefault="00CD2A5A">
            <w:pPr>
              <w:spacing w:before="40" w:after="20"/>
              <w:ind w:right="162"/>
              <w:jc w:val="right"/>
              <w:rPr>
                <w:sz w:val="20"/>
                <w:szCs w:val="20"/>
                <w:lang w:val="es-SV"/>
              </w:rPr>
            </w:pPr>
            <w:r>
              <w:rPr>
                <w:sz w:val="20"/>
                <w:szCs w:val="20"/>
                <w:lang w:val="es-SV"/>
              </w:rPr>
              <w:t>148</w:t>
            </w:r>
          </w:p>
        </w:tc>
        <w:tc>
          <w:tcPr>
            <w:tcW w:w="645" w:type="pct"/>
            <w:vAlign w:val="center"/>
          </w:tcPr>
          <w:p w:rsidR="00CD2A5A" w:rsidRDefault="00CD2A5A">
            <w:pPr>
              <w:spacing w:before="40" w:after="20"/>
              <w:ind w:right="162"/>
              <w:jc w:val="right"/>
              <w:rPr>
                <w:sz w:val="20"/>
                <w:szCs w:val="20"/>
                <w:lang w:val="es-SV"/>
              </w:rPr>
            </w:pPr>
            <w:r>
              <w:rPr>
                <w:sz w:val="20"/>
                <w:szCs w:val="20"/>
                <w:lang w:val="es-SV"/>
              </w:rPr>
              <w:t>5,197</w:t>
            </w:r>
          </w:p>
        </w:tc>
        <w:tc>
          <w:tcPr>
            <w:tcW w:w="597" w:type="pct"/>
            <w:vAlign w:val="center"/>
          </w:tcPr>
          <w:p w:rsidR="00CD2A5A" w:rsidRDefault="00CD2A5A">
            <w:pPr>
              <w:spacing w:before="40" w:after="20"/>
              <w:ind w:right="162"/>
              <w:jc w:val="right"/>
              <w:rPr>
                <w:sz w:val="20"/>
                <w:szCs w:val="20"/>
                <w:lang w:val="es-SV"/>
              </w:rPr>
            </w:pPr>
            <w:r>
              <w:rPr>
                <w:sz w:val="20"/>
                <w:szCs w:val="20"/>
                <w:lang w:val="es-SV"/>
              </w:rPr>
              <w:t>94</w:t>
            </w:r>
          </w:p>
        </w:tc>
        <w:tc>
          <w:tcPr>
            <w:tcW w:w="645" w:type="pct"/>
            <w:vAlign w:val="center"/>
          </w:tcPr>
          <w:p w:rsidR="00CD2A5A" w:rsidRDefault="00CD2A5A">
            <w:pPr>
              <w:spacing w:before="40" w:after="20"/>
              <w:ind w:right="162"/>
              <w:jc w:val="right"/>
              <w:rPr>
                <w:sz w:val="20"/>
                <w:szCs w:val="20"/>
                <w:lang w:val="es-SV"/>
              </w:rPr>
            </w:pPr>
            <w:r>
              <w:rPr>
                <w:sz w:val="20"/>
                <w:szCs w:val="20"/>
                <w:lang w:val="es-SV"/>
              </w:rPr>
              <w:t>4,963</w:t>
            </w:r>
          </w:p>
        </w:tc>
        <w:tc>
          <w:tcPr>
            <w:tcW w:w="597" w:type="pct"/>
            <w:vAlign w:val="center"/>
          </w:tcPr>
          <w:p w:rsidR="00CD2A5A" w:rsidRDefault="00CD2A5A">
            <w:pPr>
              <w:spacing w:before="40" w:after="20"/>
              <w:ind w:right="162"/>
              <w:jc w:val="right"/>
              <w:rPr>
                <w:sz w:val="20"/>
                <w:szCs w:val="20"/>
                <w:lang w:val="es-SV"/>
              </w:rPr>
            </w:pPr>
            <w:r>
              <w:rPr>
                <w:sz w:val="20"/>
                <w:szCs w:val="20"/>
                <w:lang w:val="es-SV"/>
              </w:rPr>
              <w:t>203</w:t>
            </w:r>
          </w:p>
        </w:tc>
        <w:tc>
          <w:tcPr>
            <w:tcW w:w="645" w:type="pct"/>
            <w:vAlign w:val="center"/>
          </w:tcPr>
          <w:p w:rsidR="00CD2A5A" w:rsidRDefault="00CD2A5A">
            <w:pPr>
              <w:spacing w:before="40" w:after="20"/>
              <w:ind w:right="162"/>
              <w:jc w:val="right"/>
              <w:rPr>
                <w:sz w:val="20"/>
                <w:szCs w:val="20"/>
                <w:lang w:val="es-SV"/>
              </w:rPr>
            </w:pPr>
            <w:r>
              <w:rPr>
                <w:sz w:val="20"/>
                <w:szCs w:val="20"/>
                <w:lang w:val="es-SV"/>
              </w:rPr>
              <w:t>7194</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University</w:t>
            </w:r>
          </w:p>
        </w:tc>
        <w:tc>
          <w:tcPr>
            <w:tcW w:w="596" w:type="pct"/>
            <w:vAlign w:val="center"/>
          </w:tcPr>
          <w:p w:rsidR="00CD2A5A" w:rsidRDefault="00CD2A5A">
            <w:pPr>
              <w:spacing w:before="40" w:after="20"/>
              <w:ind w:right="162"/>
              <w:jc w:val="right"/>
              <w:rPr>
                <w:sz w:val="20"/>
                <w:szCs w:val="20"/>
                <w:lang w:val="es-SV"/>
              </w:rPr>
            </w:pPr>
            <w:r>
              <w:rPr>
                <w:sz w:val="20"/>
                <w:szCs w:val="20"/>
                <w:lang w:val="es-SV"/>
              </w:rPr>
              <w:t>15</w:t>
            </w:r>
          </w:p>
        </w:tc>
        <w:tc>
          <w:tcPr>
            <w:tcW w:w="645" w:type="pct"/>
            <w:vAlign w:val="center"/>
          </w:tcPr>
          <w:p w:rsidR="00CD2A5A" w:rsidRDefault="00CD2A5A">
            <w:pPr>
              <w:spacing w:before="40" w:after="20"/>
              <w:ind w:right="162"/>
              <w:jc w:val="right"/>
              <w:rPr>
                <w:sz w:val="20"/>
                <w:szCs w:val="20"/>
                <w:lang w:val="es-SV"/>
              </w:rPr>
            </w:pPr>
            <w:r>
              <w:rPr>
                <w:sz w:val="20"/>
                <w:szCs w:val="20"/>
                <w:lang w:val="es-SV"/>
              </w:rPr>
              <w:t>665</w:t>
            </w:r>
          </w:p>
        </w:tc>
        <w:tc>
          <w:tcPr>
            <w:tcW w:w="597" w:type="pct"/>
            <w:vAlign w:val="center"/>
          </w:tcPr>
          <w:p w:rsidR="00CD2A5A" w:rsidRDefault="00CD2A5A">
            <w:pPr>
              <w:spacing w:before="40" w:after="20"/>
              <w:ind w:right="162"/>
              <w:jc w:val="right"/>
              <w:rPr>
                <w:sz w:val="20"/>
                <w:szCs w:val="20"/>
                <w:lang w:val="es-SV"/>
              </w:rPr>
            </w:pPr>
            <w:r>
              <w:rPr>
                <w:sz w:val="20"/>
                <w:szCs w:val="20"/>
                <w:lang w:val="es-SV"/>
              </w:rPr>
              <w:t>5</w:t>
            </w:r>
          </w:p>
        </w:tc>
        <w:tc>
          <w:tcPr>
            <w:tcW w:w="645" w:type="pct"/>
            <w:vAlign w:val="center"/>
          </w:tcPr>
          <w:p w:rsidR="00CD2A5A" w:rsidRDefault="00CD2A5A">
            <w:pPr>
              <w:spacing w:before="40" w:after="20"/>
              <w:ind w:right="162"/>
              <w:jc w:val="right"/>
              <w:rPr>
                <w:sz w:val="20"/>
                <w:szCs w:val="20"/>
                <w:lang w:val="es-SV"/>
              </w:rPr>
            </w:pPr>
            <w:r>
              <w:rPr>
                <w:sz w:val="20"/>
                <w:szCs w:val="20"/>
                <w:lang w:val="es-SV"/>
              </w:rPr>
              <w:t>168</w:t>
            </w:r>
          </w:p>
        </w:tc>
        <w:tc>
          <w:tcPr>
            <w:tcW w:w="597" w:type="pct"/>
            <w:vAlign w:val="center"/>
          </w:tcPr>
          <w:p w:rsidR="00CD2A5A" w:rsidRDefault="00CD2A5A">
            <w:pPr>
              <w:spacing w:before="40" w:after="20"/>
              <w:ind w:right="162"/>
              <w:jc w:val="right"/>
              <w:rPr>
                <w:sz w:val="20"/>
                <w:szCs w:val="20"/>
                <w:lang w:val="es-SV"/>
              </w:rPr>
            </w:pPr>
            <w:r>
              <w:rPr>
                <w:sz w:val="20"/>
                <w:szCs w:val="20"/>
                <w:lang w:val="es-SV"/>
              </w:rPr>
              <w:t>7</w:t>
            </w:r>
          </w:p>
        </w:tc>
        <w:tc>
          <w:tcPr>
            <w:tcW w:w="645" w:type="pct"/>
            <w:vAlign w:val="center"/>
          </w:tcPr>
          <w:p w:rsidR="00CD2A5A" w:rsidRDefault="00CD2A5A">
            <w:pPr>
              <w:spacing w:before="40" w:after="20"/>
              <w:ind w:right="162"/>
              <w:jc w:val="right"/>
              <w:rPr>
                <w:sz w:val="20"/>
                <w:szCs w:val="20"/>
                <w:lang w:val="es-SV"/>
              </w:rPr>
            </w:pPr>
            <w:r>
              <w:rPr>
                <w:sz w:val="20"/>
                <w:szCs w:val="20"/>
                <w:lang w:val="es-SV"/>
              </w:rPr>
              <w:t>169</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Military barracks</w:t>
            </w:r>
          </w:p>
        </w:tc>
        <w:tc>
          <w:tcPr>
            <w:tcW w:w="596" w:type="pct"/>
            <w:vAlign w:val="center"/>
          </w:tcPr>
          <w:p w:rsidR="00CD2A5A" w:rsidRDefault="00CD2A5A">
            <w:pPr>
              <w:spacing w:before="40" w:after="20"/>
              <w:ind w:right="162"/>
              <w:jc w:val="right"/>
              <w:rPr>
                <w:sz w:val="20"/>
                <w:szCs w:val="20"/>
                <w:lang w:val="es-SV"/>
              </w:rPr>
            </w:pPr>
            <w:r>
              <w:rPr>
                <w:sz w:val="20"/>
                <w:szCs w:val="20"/>
                <w:lang w:val="es-SV"/>
              </w:rPr>
              <w:t>22</w:t>
            </w:r>
          </w:p>
        </w:tc>
        <w:tc>
          <w:tcPr>
            <w:tcW w:w="645" w:type="pct"/>
            <w:vAlign w:val="center"/>
          </w:tcPr>
          <w:p w:rsidR="00CD2A5A" w:rsidRDefault="00CD2A5A">
            <w:pPr>
              <w:spacing w:before="40" w:after="20"/>
              <w:ind w:right="162"/>
              <w:jc w:val="right"/>
              <w:rPr>
                <w:sz w:val="20"/>
                <w:szCs w:val="20"/>
                <w:lang w:val="es-SV"/>
              </w:rPr>
            </w:pPr>
            <w:r>
              <w:rPr>
                <w:sz w:val="20"/>
                <w:szCs w:val="20"/>
                <w:lang w:val="es-SV"/>
              </w:rPr>
              <w:t>1,170</w:t>
            </w:r>
          </w:p>
        </w:tc>
        <w:tc>
          <w:tcPr>
            <w:tcW w:w="597" w:type="pct"/>
            <w:vAlign w:val="center"/>
          </w:tcPr>
          <w:p w:rsidR="00CD2A5A" w:rsidRDefault="00CD2A5A">
            <w:pPr>
              <w:spacing w:before="40" w:after="20"/>
              <w:ind w:right="162"/>
              <w:jc w:val="right"/>
              <w:rPr>
                <w:sz w:val="20"/>
                <w:szCs w:val="20"/>
                <w:lang w:val="es-SV"/>
              </w:rPr>
            </w:pPr>
            <w:r>
              <w:rPr>
                <w:sz w:val="20"/>
                <w:szCs w:val="20"/>
                <w:lang w:val="es-SV"/>
              </w:rPr>
              <w:t>10</w:t>
            </w:r>
          </w:p>
        </w:tc>
        <w:tc>
          <w:tcPr>
            <w:tcW w:w="645" w:type="pct"/>
            <w:vAlign w:val="center"/>
          </w:tcPr>
          <w:p w:rsidR="00CD2A5A" w:rsidRDefault="00CD2A5A">
            <w:pPr>
              <w:spacing w:before="40" w:after="20"/>
              <w:ind w:right="162"/>
              <w:jc w:val="right"/>
              <w:rPr>
                <w:sz w:val="20"/>
                <w:szCs w:val="20"/>
                <w:lang w:val="es-SV"/>
              </w:rPr>
            </w:pPr>
            <w:r>
              <w:rPr>
                <w:sz w:val="20"/>
                <w:szCs w:val="20"/>
                <w:lang w:val="es-SV"/>
              </w:rPr>
              <w:t>597</w:t>
            </w:r>
          </w:p>
        </w:tc>
        <w:tc>
          <w:tcPr>
            <w:tcW w:w="597" w:type="pct"/>
            <w:vAlign w:val="center"/>
          </w:tcPr>
          <w:p w:rsidR="00CD2A5A" w:rsidRDefault="00CD2A5A">
            <w:pPr>
              <w:spacing w:before="40" w:after="20"/>
              <w:ind w:right="162"/>
              <w:jc w:val="right"/>
              <w:rPr>
                <w:sz w:val="20"/>
                <w:szCs w:val="20"/>
                <w:lang w:val="es-SV"/>
              </w:rPr>
            </w:pPr>
            <w:r>
              <w:rPr>
                <w:sz w:val="20"/>
                <w:szCs w:val="20"/>
                <w:lang w:val="es-SV"/>
              </w:rPr>
              <w:t>22</w:t>
            </w:r>
          </w:p>
        </w:tc>
        <w:tc>
          <w:tcPr>
            <w:tcW w:w="645" w:type="pct"/>
            <w:vAlign w:val="center"/>
          </w:tcPr>
          <w:p w:rsidR="00CD2A5A" w:rsidRDefault="00CD2A5A">
            <w:pPr>
              <w:spacing w:before="40" w:after="20"/>
              <w:ind w:right="162"/>
              <w:jc w:val="right"/>
              <w:rPr>
                <w:sz w:val="20"/>
                <w:szCs w:val="20"/>
                <w:lang w:val="es-SV"/>
              </w:rPr>
            </w:pPr>
            <w:r>
              <w:rPr>
                <w:sz w:val="20"/>
                <w:szCs w:val="20"/>
                <w:lang w:val="es-SV"/>
              </w:rPr>
              <w:t>653</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Nurseries</w:t>
            </w:r>
          </w:p>
        </w:tc>
        <w:tc>
          <w:tcPr>
            <w:tcW w:w="596" w:type="pct"/>
            <w:vAlign w:val="center"/>
          </w:tcPr>
          <w:p w:rsidR="00CD2A5A" w:rsidRDefault="00CD2A5A">
            <w:pPr>
              <w:spacing w:before="40" w:after="20"/>
              <w:ind w:right="162"/>
              <w:jc w:val="right"/>
              <w:rPr>
                <w:sz w:val="20"/>
                <w:szCs w:val="20"/>
                <w:lang w:val="es-SV"/>
              </w:rPr>
            </w:pPr>
            <w:r>
              <w:rPr>
                <w:sz w:val="20"/>
                <w:szCs w:val="20"/>
                <w:lang w:val="es-SV"/>
              </w:rPr>
              <w:t>16</w:t>
            </w:r>
          </w:p>
        </w:tc>
        <w:tc>
          <w:tcPr>
            <w:tcW w:w="645" w:type="pct"/>
            <w:vAlign w:val="center"/>
          </w:tcPr>
          <w:p w:rsidR="00CD2A5A" w:rsidRDefault="00CD2A5A">
            <w:pPr>
              <w:spacing w:before="40" w:after="20"/>
              <w:ind w:right="162"/>
              <w:jc w:val="right"/>
              <w:rPr>
                <w:sz w:val="20"/>
                <w:szCs w:val="20"/>
                <w:lang w:val="es-SV"/>
              </w:rPr>
            </w:pPr>
            <w:r>
              <w:rPr>
                <w:sz w:val="20"/>
                <w:szCs w:val="20"/>
                <w:lang w:val="es-SV"/>
              </w:rPr>
              <w:t>839</w:t>
            </w:r>
          </w:p>
        </w:tc>
        <w:tc>
          <w:tcPr>
            <w:tcW w:w="597" w:type="pct"/>
            <w:vAlign w:val="center"/>
          </w:tcPr>
          <w:p w:rsidR="00CD2A5A" w:rsidRDefault="00CD2A5A">
            <w:pPr>
              <w:spacing w:before="40" w:after="20"/>
              <w:ind w:right="162"/>
              <w:jc w:val="right"/>
              <w:rPr>
                <w:sz w:val="20"/>
                <w:szCs w:val="20"/>
                <w:lang w:val="es-SV"/>
              </w:rPr>
            </w:pPr>
            <w:r>
              <w:rPr>
                <w:sz w:val="20"/>
                <w:szCs w:val="20"/>
                <w:lang w:val="es-SV"/>
              </w:rPr>
              <w:t>12</w:t>
            </w:r>
          </w:p>
        </w:tc>
        <w:tc>
          <w:tcPr>
            <w:tcW w:w="645" w:type="pct"/>
            <w:vAlign w:val="center"/>
          </w:tcPr>
          <w:p w:rsidR="00CD2A5A" w:rsidRDefault="00CD2A5A">
            <w:pPr>
              <w:spacing w:before="40" w:after="20"/>
              <w:ind w:right="162"/>
              <w:jc w:val="right"/>
              <w:rPr>
                <w:sz w:val="20"/>
                <w:szCs w:val="20"/>
                <w:lang w:val="es-SV"/>
              </w:rPr>
            </w:pPr>
            <w:r>
              <w:rPr>
                <w:sz w:val="20"/>
                <w:szCs w:val="20"/>
                <w:lang w:val="es-SV"/>
              </w:rPr>
              <w:t>484</w:t>
            </w:r>
          </w:p>
        </w:tc>
        <w:tc>
          <w:tcPr>
            <w:tcW w:w="597" w:type="pct"/>
            <w:vAlign w:val="center"/>
          </w:tcPr>
          <w:p w:rsidR="00CD2A5A" w:rsidRDefault="00CD2A5A">
            <w:pPr>
              <w:spacing w:before="40" w:after="20"/>
              <w:ind w:right="162"/>
              <w:jc w:val="right"/>
              <w:rPr>
                <w:sz w:val="20"/>
                <w:szCs w:val="20"/>
                <w:lang w:val="es-SV"/>
              </w:rPr>
            </w:pPr>
            <w:r>
              <w:rPr>
                <w:sz w:val="20"/>
                <w:szCs w:val="20"/>
                <w:lang w:val="es-SV"/>
              </w:rPr>
              <w:t>7</w:t>
            </w:r>
          </w:p>
        </w:tc>
        <w:tc>
          <w:tcPr>
            <w:tcW w:w="645" w:type="pct"/>
            <w:vAlign w:val="center"/>
          </w:tcPr>
          <w:p w:rsidR="00CD2A5A" w:rsidRDefault="00CD2A5A">
            <w:pPr>
              <w:spacing w:before="40" w:after="20"/>
              <w:ind w:right="162"/>
              <w:jc w:val="right"/>
              <w:rPr>
                <w:sz w:val="20"/>
                <w:szCs w:val="20"/>
                <w:lang w:val="es-SV"/>
              </w:rPr>
            </w:pPr>
            <w:r>
              <w:rPr>
                <w:sz w:val="20"/>
                <w:szCs w:val="20"/>
                <w:lang w:val="es-SV"/>
              </w:rPr>
              <w:t>299</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Markets</w:t>
            </w:r>
          </w:p>
        </w:tc>
        <w:tc>
          <w:tcPr>
            <w:tcW w:w="596" w:type="pct"/>
            <w:vAlign w:val="center"/>
          </w:tcPr>
          <w:p w:rsidR="00CD2A5A" w:rsidRDefault="00CD2A5A">
            <w:pPr>
              <w:spacing w:before="40" w:after="20"/>
              <w:ind w:right="162"/>
              <w:jc w:val="right"/>
              <w:rPr>
                <w:sz w:val="20"/>
                <w:szCs w:val="20"/>
                <w:lang w:val="es-SV"/>
              </w:rPr>
            </w:pPr>
            <w:r>
              <w:rPr>
                <w:sz w:val="20"/>
                <w:szCs w:val="20"/>
                <w:lang w:val="es-SV"/>
              </w:rPr>
              <w:t>2</w:t>
            </w:r>
          </w:p>
        </w:tc>
        <w:tc>
          <w:tcPr>
            <w:tcW w:w="645" w:type="pct"/>
            <w:vAlign w:val="center"/>
          </w:tcPr>
          <w:p w:rsidR="00CD2A5A" w:rsidRDefault="00CD2A5A">
            <w:pPr>
              <w:spacing w:before="40" w:after="20"/>
              <w:ind w:right="162"/>
              <w:jc w:val="right"/>
              <w:rPr>
                <w:sz w:val="20"/>
                <w:szCs w:val="20"/>
                <w:lang w:val="es-SV"/>
              </w:rPr>
            </w:pPr>
            <w:r>
              <w:rPr>
                <w:sz w:val="20"/>
                <w:szCs w:val="20"/>
                <w:lang w:val="es-SV"/>
              </w:rPr>
              <w:t>91</w:t>
            </w:r>
          </w:p>
        </w:tc>
        <w:tc>
          <w:tcPr>
            <w:tcW w:w="597" w:type="pct"/>
            <w:vAlign w:val="center"/>
          </w:tcPr>
          <w:p w:rsidR="00CD2A5A" w:rsidRDefault="00CD2A5A">
            <w:pPr>
              <w:spacing w:before="40" w:after="20"/>
              <w:ind w:right="162"/>
              <w:jc w:val="right"/>
              <w:rPr>
                <w:sz w:val="20"/>
                <w:szCs w:val="20"/>
                <w:lang w:val="es-SV"/>
              </w:rPr>
            </w:pPr>
            <w:r>
              <w:rPr>
                <w:sz w:val="20"/>
                <w:szCs w:val="20"/>
                <w:lang w:val="es-SV"/>
              </w:rPr>
              <w:t>2</w:t>
            </w:r>
          </w:p>
        </w:tc>
        <w:tc>
          <w:tcPr>
            <w:tcW w:w="645" w:type="pct"/>
            <w:vAlign w:val="center"/>
          </w:tcPr>
          <w:p w:rsidR="00CD2A5A" w:rsidRDefault="00CD2A5A">
            <w:pPr>
              <w:spacing w:before="40" w:after="20"/>
              <w:ind w:right="162"/>
              <w:jc w:val="right"/>
              <w:rPr>
                <w:sz w:val="20"/>
                <w:szCs w:val="20"/>
                <w:lang w:val="es-SV"/>
              </w:rPr>
            </w:pPr>
            <w:r>
              <w:rPr>
                <w:sz w:val="20"/>
                <w:szCs w:val="20"/>
                <w:lang w:val="es-SV"/>
              </w:rPr>
              <w:t>170</w:t>
            </w:r>
          </w:p>
        </w:tc>
        <w:tc>
          <w:tcPr>
            <w:tcW w:w="597" w:type="pct"/>
            <w:vAlign w:val="center"/>
          </w:tcPr>
          <w:p w:rsidR="00CD2A5A" w:rsidRDefault="00CD2A5A">
            <w:pPr>
              <w:spacing w:before="40" w:after="20"/>
              <w:ind w:right="162"/>
              <w:jc w:val="right"/>
              <w:rPr>
                <w:sz w:val="20"/>
                <w:szCs w:val="20"/>
                <w:lang w:val="es-SV"/>
              </w:rPr>
            </w:pPr>
            <w:r>
              <w:rPr>
                <w:sz w:val="20"/>
                <w:szCs w:val="20"/>
                <w:lang w:val="es-SV"/>
              </w:rPr>
              <w:t>2</w:t>
            </w:r>
          </w:p>
        </w:tc>
        <w:tc>
          <w:tcPr>
            <w:tcW w:w="645" w:type="pct"/>
            <w:vAlign w:val="center"/>
          </w:tcPr>
          <w:p w:rsidR="00CD2A5A" w:rsidRDefault="00CD2A5A">
            <w:pPr>
              <w:spacing w:before="40" w:after="20"/>
              <w:ind w:right="162"/>
              <w:jc w:val="right"/>
              <w:rPr>
                <w:sz w:val="20"/>
                <w:szCs w:val="20"/>
                <w:lang w:val="es-SV"/>
              </w:rPr>
            </w:pPr>
            <w:r>
              <w:rPr>
                <w:sz w:val="20"/>
                <w:szCs w:val="20"/>
                <w:lang w:val="es-SV"/>
              </w:rPr>
              <w:t>265</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Religious groups</w:t>
            </w:r>
          </w:p>
        </w:tc>
        <w:tc>
          <w:tcPr>
            <w:tcW w:w="596" w:type="pct"/>
            <w:vAlign w:val="center"/>
          </w:tcPr>
          <w:p w:rsidR="00CD2A5A" w:rsidRDefault="00CD2A5A">
            <w:pPr>
              <w:spacing w:before="40" w:after="20"/>
              <w:ind w:right="162"/>
              <w:jc w:val="right"/>
              <w:rPr>
                <w:sz w:val="20"/>
                <w:szCs w:val="20"/>
                <w:lang w:val="es-SV"/>
              </w:rPr>
            </w:pPr>
            <w:r>
              <w:rPr>
                <w:sz w:val="20"/>
                <w:szCs w:val="20"/>
                <w:lang w:val="es-SV"/>
              </w:rPr>
              <w:t>5</w:t>
            </w:r>
          </w:p>
        </w:tc>
        <w:tc>
          <w:tcPr>
            <w:tcW w:w="645" w:type="pct"/>
            <w:vAlign w:val="center"/>
          </w:tcPr>
          <w:p w:rsidR="00CD2A5A" w:rsidRDefault="00CD2A5A">
            <w:pPr>
              <w:spacing w:before="40" w:after="20"/>
              <w:ind w:right="162"/>
              <w:jc w:val="right"/>
              <w:rPr>
                <w:sz w:val="20"/>
                <w:szCs w:val="20"/>
                <w:lang w:val="es-SV"/>
              </w:rPr>
            </w:pPr>
            <w:r>
              <w:rPr>
                <w:sz w:val="20"/>
                <w:szCs w:val="20"/>
                <w:lang w:val="es-SV"/>
              </w:rPr>
              <w:t>432</w:t>
            </w:r>
          </w:p>
        </w:tc>
        <w:tc>
          <w:tcPr>
            <w:tcW w:w="597" w:type="pct"/>
            <w:vAlign w:val="center"/>
          </w:tcPr>
          <w:p w:rsidR="00CD2A5A" w:rsidRDefault="00CD2A5A">
            <w:pPr>
              <w:spacing w:before="40" w:after="20"/>
              <w:ind w:right="162"/>
              <w:jc w:val="right"/>
              <w:rPr>
                <w:sz w:val="20"/>
                <w:szCs w:val="20"/>
                <w:lang w:val="es-SV"/>
              </w:rPr>
            </w:pPr>
            <w:r>
              <w:rPr>
                <w:sz w:val="20"/>
                <w:szCs w:val="20"/>
                <w:lang w:val="es-SV"/>
              </w:rPr>
              <w:t>2</w:t>
            </w:r>
          </w:p>
        </w:tc>
        <w:tc>
          <w:tcPr>
            <w:tcW w:w="645" w:type="pct"/>
            <w:vAlign w:val="center"/>
          </w:tcPr>
          <w:p w:rsidR="00CD2A5A" w:rsidRDefault="00CD2A5A">
            <w:pPr>
              <w:spacing w:before="40" w:after="20"/>
              <w:ind w:right="162"/>
              <w:jc w:val="right"/>
              <w:rPr>
                <w:sz w:val="20"/>
                <w:szCs w:val="20"/>
                <w:lang w:val="es-SV"/>
              </w:rPr>
            </w:pPr>
            <w:r>
              <w:rPr>
                <w:sz w:val="20"/>
                <w:szCs w:val="20"/>
                <w:lang w:val="es-SV"/>
              </w:rPr>
              <w:t>39</w:t>
            </w:r>
          </w:p>
        </w:tc>
        <w:tc>
          <w:tcPr>
            <w:tcW w:w="597" w:type="pct"/>
            <w:vAlign w:val="center"/>
          </w:tcPr>
          <w:p w:rsidR="00CD2A5A" w:rsidRDefault="00CD2A5A">
            <w:pPr>
              <w:spacing w:before="40" w:after="20"/>
              <w:ind w:right="162"/>
              <w:jc w:val="right"/>
              <w:rPr>
                <w:sz w:val="20"/>
                <w:szCs w:val="20"/>
                <w:lang w:val="es-SV"/>
              </w:rPr>
            </w:pPr>
            <w:r>
              <w:rPr>
                <w:sz w:val="20"/>
                <w:szCs w:val="20"/>
                <w:lang w:val="es-SV"/>
              </w:rPr>
              <w:t>26</w:t>
            </w:r>
          </w:p>
        </w:tc>
        <w:tc>
          <w:tcPr>
            <w:tcW w:w="645" w:type="pct"/>
            <w:vAlign w:val="center"/>
          </w:tcPr>
          <w:p w:rsidR="00CD2A5A" w:rsidRDefault="00CD2A5A">
            <w:pPr>
              <w:spacing w:before="40" w:after="20"/>
              <w:ind w:right="162"/>
              <w:jc w:val="right"/>
              <w:rPr>
                <w:sz w:val="20"/>
                <w:szCs w:val="20"/>
                <w:lang w:val="es-SV"/>
              </w:rPr>
            </w:pPr>
            <w:r>
              <w:rPr>
                <w:sz w:val="20"/>
                <w:szCs w:val="20"/>
                <w:lang w:val="es-SV"/>
              </w:rPr>
              <w:t>814</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Community groups</w:t>
            </w:r>
          </w:p>
        </w:tc>
        <w:tc>
          <w:tcPr>
            <w:tcW w:w="596" w:type="pct"/>
            <w:vAlign w:val="center"/>
          </w:tcPr>
          <w:p w:rsidR="00CD2A5A" w:rsidRDefault="00CD2A5A">
            <w:pPr>
              <w:spacing w:before="40" w:after="20"/>
              <w:ind w:right="162"/>
              <w:jc w:val="right"/>
              <w:rPr>
                <w:sz w:val="20"/>
                <w:szCs w:val="20"/>
                <w:lang w:val="es-SV"/>
              </w:rPr>
            </w:pPr>
            <w:r>
              <w:rPr>
                <w:sz w:val="20"/>
                <w:szCs w:val="20"/>
                <w:lang w:val="es-SV"/>
              </w:rPr>
              <w:t>80</w:t>
            </w:r>
          </w:p>
        </w:tc>
        <w:tc>
          <w:tcPr>
            <w:tcW w:w="645" w:type="pct"/>
            <w:vAlign w:val="center"/>
          </w:tcPr>
          <w:p w:rsidR="00CD2A5A" w:rsidRDefault="00CD2A5A">
            <w:pPr>
              <w:spacing w:before="40" w:after="20"/>
              <w:ind w:right="162"/>
              <w:jc w:val="right"/>
              <w:rPr>
                <w:sz w:val="20"/>
                <w:szCs w:val="20"/>
                <w:lang w:val="es-SV"/>
              </w:rPr>
            </w:pPr>
            <w:r>
              <w:rPr>
                <w:sz w:val="20"/>
                <w:szCs w:val="20"/>
                <w:lang w:val="es-SV"/>
              </w:rPr>
              <w:t>2,627</w:t>
            </w:r>
          </w:p>
        </w:tc>
        <w:tc>
          <w:tcPr>
            <w:tcW w:w="597" w:type="pct"/>
            <w:vAlign w:val="center"/>
          </w:tcPr>
          <w:p w:rsidR="00CD2A5A" w:rsidRDefault="00CD2A5A">
            <w:pPr>
              <w:spacing w:before="40" w:after="20"/>
              <w:ind w:right="162"/>
              <w:jc w:val="right"/>
              <w:rPr>
                <w:sz w:val="20"/>
                <w:szCs w:val="20"/>
                <w:lang w:val="es-SV"/>
              </w:rPr>
            </w:pPr>
            <w:r>
              <w:rPr>
                <w:sz w:val="20"/>
                <w:szCs w:val="20"/>
                <w:lang w:val="es-SV"/>
              </w:rPr>
              <w:t>56</w:t>
            </w:r>
          </w:p>
        </w:tc>
        <w:tc>
          <w:tcPr>
            <w:tcW w:w="645" w:type="pct"/>
            <w:vAlign w:val="center"/>
          </w:tcPr>
          <w:p w:rsidR="00CD2A5A" w:rsidRDefault="00CD2A5A">
            <w:pPr>
              <w:spacing w:before="40" w:after="20"/>
              <w:ind w:right="162"/>
              <w:jc w:val="right"/>
              <w:rPr>
                <w:sz w:val="20"/>
                <w:szCs w:val="20"/>
                <w:lang w:val="es-SV"/>
              </w:rPr>
            </w:pPr>
            <w:r>
              <w:rPr>
                <w:sz w:val="20"/>
                <w:szCs w:val="20"/>
                <w:lang w:val="es-SV"/>
              </w:rPr>
              <w:t>1,308</w:t>
            </w:r>
          </w:p>
        </w:tc>
        <w:tc>
          <w:tcPr>
            <w:tcW w:w="597" w:type="pct"/>
            <w:vAlign w:val="center"/>
          </w:tcPr>
          <w:p w:rsidR="00CD2A5A" w:rsidRDefault="00CD2A5A">
            <w:pPr>
              <w:spacing w:before="40" w:after="20"/>
              <w:ind w:right="162"/>
              <w:jc w:val="right"/>
              <w:rPr>
                <w:sz w:val="20"/>
                <w:szCs w:val="20"/>
                <w:lang w:val="es-SV"/>
              </w:rPr>
            </w:pPr>
            <w:r>
              <w:rPr>
                <w:sz w:val="20"/>
                <w:szCs w:val="20"/>
                <w:lang w:val="es-SV"/>
              </w:rPr>
              <w:t>19</w:t>
            </w:r>
          </w:p>
        </w:tc>
        <w:tc>
          <w:tcPr>
            <w:tcW w:w="645" w:type="pct"/>
            <w:vAlign w:val="center"/>
          </w:tcPr>
          <w:p w:rsidR="00CD2A5A" w:rsidRDefault="00CD2A5A">
            <w:pPr>
              <w:spacing w:before="40" w:after="20"/>
              <w:ind w:right="162"/>
              <w:jc w:val="right"/>
              <w:rPr>
                <w:sz w:val="20"/>
                <w:szCs w:val="20"/>
                <w:lang w:val="es-SV"/>
              </w:rPr>
            </w:pPr>
            <w:r>
              <w:rPr>
                <w:sz w:val="20"/>
                <w:szCs w:val="20"/>
                <w:lang w:val="es-SV"/>
              </w:rPr>
              <w:t>717</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Health centres</w:t>
            </w:r>
          </w:p>
        </w:tc>
        <w:tc>
          <w:tcPr>
            <w:tcW w:w="596" w:type="pct"/>
            <w:vAlign w:val="center"/>
          </w:tcPr>
          <w:p w:rsidR="00CD2A5A" w:rsidRDefault="00CD2A5A">
            <w:pPr>
              <w:spacing w:before="40" w:after="20"/>
              <w:ind w:right="162"/>
              <w:jc w:val="right"/>
              <w:rPr>
                <w:sz w:val="20"/>
                <w:szCs w:val="20"/>
                <w:lang w:val="es-SV"/>
              </w:rPr>
            </w:pPr>
            <w:r>
              <w:rPr>
                <w:sz w:val="20"/>
                <w:szCs w:val="20"/>
                <w:lang w:val="es-SV"/>
              </w:rPr>
              <w:t>17</w:t>
            </w:r>
          </w:p>
        </w:tc>
        <w:tc>
          <w:tcPr>
            <w:tcW w:w="645" w:type="pct"/>
            <w:vAlign w:val="center"/>
          </w:tcPr>
          <w:p w:rsidR="00CD2A5A" w:rsidRDefault="00CD2A5A">
            <w:pPr>
              <w:spacing w:before="40" w:after="20"/>
              <w:ind w:right="162"/>
              <w:jc w:val="right"/>
              <w:rPr>
                <w:sz w:val="20"/>
                <w:szCs w:val="20"/>
                <w:lang w:val="es-SV"/>
              </w:rPr>
            </w:pPr>
            <w:r>
              <w:rPr>
                <w:sz w:val="20"/>
                <w:szCs w:val="20"/>
                <w:lang w:val="es-SV"/>
              </w:rPr>
              <w:t>586</w:t>
            </w:r>
          </w:p>
        </w:tc>
        <w:tc>
          <w:tcPr>
            <w:tcW w:w="597" w:type="pct"/>
            <w:vAlign w:val="center"/>
          </w:tcPr>
          <w:p w:rsidR="00CD2A5A" w:rsidRDefault="00CD2A5A">
            <w:pPr>
              <w:spacing w:before="40" w:after="20"/>
              <w:ind w:right="162"/>
              <w:jc w:val="right"/>
              <w:rPr>
                <w:sz w:val="20"/>
                <w:szCs w:val="20"/>
                <w:lang w:val="es-SV"/>
              </w:rPr>
            </w:pPr>
            <w:r>
              <w:rPr>
                <w:sz w:val="20"/>
                <w:szCs w:val="20"/>
                <w:lang w:val="es-SV"/>
              </w:rPr>
              <w:t>25</w:t>
            </w:r>
          </w:p>
        </w:tc>
        <w:tc>
          <w:tcPr>
            <w:tcW w:w="645" w:type="pct"/>
            <w:vAlign w:val="center"/>
          </w:tcPr>
          <w:p w:rsidR="00CD2A5A" w:rsidRDefault="00CD2A5A">
            <w:pPr>
              <w:spacing w:before="40" w:after="20"/>
              <w:ind w:right="162"/>
              <w:jc w:val="right"/>
              <w:rPr>
                <w:sz w:val="20"/>
                <w:szCs w:val="20"/>
                <w:lang w:val="es-SV"/>
              </w:rPr>
            </w:pPr>
            <w:r>
              <w:rPr>
                <w:sz w:val="20"/>
                <w:szCs w:val="20"/>
                <w:lang w:val="es-SV"/>
              </w:rPr>
              <w:t>997</w:t>
            </w:r>
          </w:p>
        </w:tc>
        <w:tc>
          <w:tcPr>
            <w:tcW w:w="597" w:type="pct"/>
            <w:vAlign w:val="center"/>
          </w:tcPr>
          <w:p w:rsidR="00CD2A5A" w:rsidRDefault="00CD2A5A">
            <w:pPr>
              <w:spacing w:before="40" w:after="20"/>
              <w:ind w:right="162"/>
              <w:jc w:val="right"/>
              <w:rPr>
                <w:sz w:val="20"/>
                <w:szCs w:val="20"/>
                <w:lang w:val="es-SV"/>
              </w:rPr>
            </w:pPr>
            <w:r>
              <w:rPr>
                <w:sz w:val="20"/>
                <w:szCs w:val="20"/>
                <w:lang w:val="es-SV"/>
              </w:rPr>
              <w:t>14</w:t>
            </w:r>
          </w:p>
        </w:tc>
        <w:tc>
          <w:tcPr>
            <w:tcW w:w="645" w:type="pct"/>
            <w:vAlign w:val="center"/>
          </w:tcPr>
          <w:p w:rsidR="00CD2A5A" w:rsidRDefault="00CD2A5A">
            <w:pPr>
              <w:spacing w:before="40" w:after="20"/>
              <w:ind w:right="162"/>
              <w:jc w:val="right"/>
              <w:rPr>
                <w:sz w:val="20"/>
                <w:szCs w:val="20"/>
                <w:lang w:val="es-SV"/>
              </w:rPr>
            </w:pPr>
            <w:r>
              <w:rPr>
                <w:sz w:val="20"/>
                <w:szCs w:val="20"/>
                <w:lang w:val="es-SV"/>
              </w:rPr>
              <w:t>518</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Municipalities</w:t>
            </w:r>
          </w:p>
        </w:tc>
        <w:tc>
          <w:tcPr>
            <w:tcW w:w="596" w:type="pct"/>
            <w:vAlign w:val="center"/>
          </w:tcPr>
          <w:p w:rsidR="00CD2A5A" w:rsidRDefault="00CD2A5A">
            <w:pPr>
              <w:spacing w:before="40" w:after="20"/>
              <w:ind w:right="162"/>
              <w:jc w:val="right"/>
              <w:rPr>
                <w:sz w:val="20"/>
                <w:szCs w:val="20"/>
                <w:lang w:val="es-SV"/>
              </w:rPr>
            </w:pPr>
            <w:r>
              <w:rPr>
                <w:sz w:val="20"/>
                <w:szCs w:val="20"/>
                <w:lang w:val="es-SV"/>
              </w:rPr>
              <w:t>17</w:t>
            </w:r>
          </w:p>
        </w:tc>
        <w:tc>
          <w:tcPr>
            <w:tcW w:w="645" w:type="pct"/>
            <w:vAlign w:val="center"/>
          </w:tcPr>
          <w:p w:rsidR="00CD2A5A" w:rsidRDefault="00CD2A5A">
            <w:pPr>
              <w:spacing w:before="40" w:after="20"/>
              <w:ind w:right="162"/>
              <w:jc w:val="right"/>
              <w:rPr>
                <w:sz w:val="20"/>
                <w:szCs w:val="20"/>
                <w:lang w:val="es-SV"/>
              </w:rPr>
            </w:pPr>
            <w:r>
              <w:rPr>
                <w:sz w:val="20"/>
                <w:szCs w:val="20"/>
                <w:lang w:val="es-SV"/>
              </w:rPr>
              <w:t>455</w:t>
            </w:r>
          </w:p>
        </w:tc>
        <w:tc>
          <w:tcPr>
            <w:tcW w:w="597" w:type="pct"/>
            <w:vAlign w:val="center"/>
          </w:tcPr>
          <w:p w:rsidR="00CD2A5A" w:rsidRDefault="00CD2A5A">
            <w:pPr>
              <w:spacing w:before="40" w:after="20"/>
              <w:ind w:right="162"/>
              <w:jc w:val="right"/>
              <w:rPr>
                <w:sz w:val="20"/>
                <w:szCs w:val="20"/>
                <w:lang w:val="es-SV"/>
              </w:rPr>
            </w:pPr>
            <w:r>
              <w:rPr>
                <w:sz w:val="20"/>
                <w:szCs w:val="20"/>
                <w:lang w:val="es-SV"/>
              </w:rPr>
              <w:t>8</w:t>
            </w:r>
          </w:p>
        </w:tc>
        <w:tc>
          <w:tcPr>
            <w:tcW w:w="645" w:type="pct"/>
            <w:vAlign w:val="center"/>
          </w:tcPr>
          <w:p w:rsidR="00CD2A5A" w:rsidRDefault="00CD2A5A">
            <w:pPr>
              <w:spacing w:before="40" w:after="20"/>
              <w:ind w:right="162"/>
              <w:jc w:val="right"/>
              <w:rPr>
                <w:sz w:val="20"/>
                <w:szCs w:val="20"/>
                <w:lang w:val="es-SV"/>
              </w:rPr>
            </w:pPr>
            <w:r>
              <w:rPr>
                <w:sz w:val="20"/>
                <w:szCs w:val="20"/>
                <w:lang w:val="es-SV"/>
              </w:rPr>
              <w:t>302</w:t>
            </w:r>
          </w:p>
        </w:tc>
        <w:tc>
          <w:tcPr>
            <w:tcW w:w="597" w:type="pct"/>
            <w:vAlign w:val="center"/>
          </w:tcPr>
          <w:p w:rsidR="00CD2A5A" w:rsidRDefault="00CD2A5A">
            <w:pPr>
              <w:spacing w:before="40" w:after="20"/>
              <w:ind w:right="162"/>
              <w:jc w:val="right"/>
              <w:rPr>
                <w:sz w:val="20"/>
                <w:szCs w:val="20"/>
                <w:lang w:val="es-SV"/>
              </w:rPr>
            </w:pPr>
            <w:r>
              <w:rPr>
                <w:sz w:val="20"/>
                <w:szCs w:val="20"/>
                <w:lang w:val="es-SV"/>
              </w:rPr>
              <w:t>8</w:t>
            </w:r>
          </w:p>
        </w:tc>
        <w:tc>
          <w:tcPr>
            <w:tcW w:w="645" w:type="pct"/>
            <w:vAlign w:val="center"/>
          </w:tcPr>
          <w:p w:rsidR="00CD2A5A" w:rsidRDefault="00CD2A5A">
            <w:pPr>
              <w:spacing w:before="40" w:after="20"/>
              <w:ind w:right="162"/>
              <w:jc w:val="right"/>
              <w:rPr>
                <w:sz w:val="20"/>
                <w:szCs w:val="20"/>
                <w:lang w:val="es-SV"/>
              </w:rPr>
            </w:pPr>
            <w:r>
              <w:rPr>
                <w:sz w:val="20"/>
                <w:szCs w:val="20"/>
                <w:lang w:val="es-SV"/>
              </w:rPr>
              <w:t>176</w:t>
            </w:r>
          </w:p>
        </w:tc>
      </w:tr>
      <w:tr w:rsidR="00CD2A5A">
        <w:tblPrEx>
          <w:tblCellMar>
            <w:top w:w="0" w:type="dxa"/>
            <w:bottom w:w="0" w:type="dxa"/>
          </w:tblCellMar>
        </w:tblPrEx>
        <w:trPr>
          <w:jc w:val="center"/>
        </w:trPr>
        <w:tc>
          <w:tcPr>
            <w:tcW w:w="1273" w:type="pct"/>
            <w:vAlign w:val="center"/>
          </w:tcPr>
          <w:p w:rsidR="00CD2A5A" w:rsidRDefault="00CD2A5A">
            <w:pPr>
              <w:spacing w:before="40" w:after="20"/>
              <w:rPr>
                <w:sz w:val="20"/>
                <w:szCs w:val="20"/>
                <w:lang w:val="es-SV"/>
              </w:rPr>
            </w:pPr>
            <w:r>
              <w:rPr>
                <w:sz w:val="20"/>
                <w:szCs w:val="20"/>
                <w:lang w:val="en-GB"/>
              </w:rPr>
              <w:t>NGOs</w:t>
            </w:r>
          </w:p>
        </w:tc>
        <w:tc>
          <w:tcPr>
            <w:tcW w:w="596" w:type="pct"/>
            <w:vAlign w:val="center"/>
          </w:tcPr>
          <w:p w:rsidR="00CD2A5A" w:rsidRDefault="00CD2A5A">
            <w:pPr>
              <w:spacing w:before="40" w:after="20"/>
              <w:ind w:right="162"/>
              <w:jc w:val="right"/>
              <w:rPr>
                <w:sz w:val="20"/>
                <w:szCs w:val="20"/>
                <w:lang w:val="es-SV"/>
              </w:rPr>
            </w:pPr>
            <w:r>
              <w:rPr>
                <w:sz w:val="20"/>
                <w:szCs w:val="20"/>
                <w:lang w:val="es-SV"/>
              </w:rPr>
              <w:t>28</w:t>
            </w:r>
          </w:p>
        </w:tc>
        <w:tc>
          <w:tcPr>
            <w:tcW w:w="645" w:type="pct"/>
            <w:vAlign w:val="center"/>
          </w:tcPr>
          <w:p w:rsidR="00CD2A5A" w:rsidRDefault="00CD2A5A">
            <w:pPr>
              <w:spacing w:before="40" w:after="20"/>
              <w:ind w:right="162"/>
              <w:jc w:val="right"/>
              <w:rPr>
                <w:sz w:val="20"/>
                <w:szCs w:val="20"/>
                <w:lang w:val="es-SV"/>
              </w:rPr>
            </w:pPr>
            <w:r>
              <w:rPr>
                <w:sz w:val="20"/>
                <w:szCs w:val="20"/>
                <w:lang w:val="es-SV"/>
              </w:rPr>
              <w:t>954</w:t>
            </w:r>
          </w:p>
        </w:tc>
        <w:tc>
          <w:tcPr>
            <w:tcW w:w="597" w:type="pct"/>
            <w:vAlign w:val="center"/>
          </w:tcPr>
          <w:p w:rsidR="00CD2A5A" w:rsidRDefault="00CD2A5A">
            <w:pPr>
              <w:spacing w:before="40" w:after="20"/>
              <w:ind w:right="162"/>
              <w:jc w:val="right"/>
              <w:rPr>
                <w:sz w:val="20"/>
                <w:szCs w:val="20"/>
                <w:lang w:val="es-SV"/>
              </w:rPr>
            </w:pPr>
            <w:r>
              <w:rPr>
                <w:sz w:val="20"/>
                <w:szCs w:val="20"/>
                <w:lang w:val="es-SV"/>
              </w:rPr>
              <w:t>26</w:t>
            </w:r>
          </w:p>
        </w:tc>
        <w:tc>
          <w:tcPr>
            <w:tcW w:w="645" w:type="pct"/>
            <w:vAlign w:val="center"/>
          </w:tcPr>
          <w:p w:rsidR="00CD2A5A" w:rsidRDefault="00CD2A5A">
            <w:pPr>
              <w:spacing w:before="40" w:after="20"/>
              <w:ind w:right="162"/>
              <w:jc w:val="right"/>
              <w:rPr>
                <w:sz w:val="20"/>
                <w:szCs w:val="20"/>
                <w:lang w:val="es-SV"/>
              </w:rPr>
            </w:pPr>
            <w:r>
              <w:rPr>
                <w:sz w:val="20"/>
                <w:szCs w:val="20"/>
                <w:lang w:val="es-SV"/>
              </w:rPr>
              <w:t>624</w:t>
            </w:r>
          </w:p>
        </w:tc>
        <w:tc>
          <w:tcPr>
            <w:tcW w:w="597" w:type="pct"/>
            <w:vAlign w:val="center"/>
          </w:tcPr>
          <w:p w:rsidR="00CD2A5A" w:rsidRDefault="00CD2A5A">
            <w:pPr>
              <w:spacing w:before="40" w:after="20"/>
              <w:ind w:right="162"/>
              <w:jc w:val="right"/>
              <w:rPr>
                <w:sz w:val="20"/>
                <w:szCs w:val="20"/>
                <w:lang w:val="es-SV"/>
              </w:rPr>
            </w:pPr>
            <w:r>
              <w:rPr>
                <w:sz w:val="20"/>
                <w:szCs w:val="20"/>
                <w:lang w:val="es-SV"/>
              </w:rPr>
              <w:t>13</w:t>
            </w:r>
          </w:p>
        </w:tc>
        <w:tc>
          <w:tcPr>
            <w:tcW w:w="645" w:type="pct"/>
            <w:vAlign w:val="center"/>
          </w:tcPr>
          <w:p w:rsidR="00CD2A5A" w:rsidRDefault="00CD2A5A">
            <w:pPr>
              <w:spacing w:before="40" w:after="20"/>
              <w:ind w:right="162"/>
              <w:jc w:val="right"/>
              <w:rPr>
                <w:sz w:val="20"/>
                <w:szCs w:val="20"/>
                <w:lang w:val="es-SV"/>
              </w:rPr>
            </w:pPr>
            <w:r>
              <w:rPr>
                <w:sz w:val="20"/>
                <w:szCs w:val="20"/>
                <w:lang w:val="es-SV"/>
              </w:rPr>
              <w:t>265</w:t>
            </w:r>
          </w:p>
        </w:tc>
      </w:tr>
      <w:tr w:rsidR="00CD2A5A">
        <w:tblPrEx>
          <w:tblCellMar>
            <w:top w:w="0" w:type="dxa"/>
            <w:bottom w:w="0" w:type="dxa"/>
          </w:tblCellMar>
        </w:tblPrEx>
        <w:trPr>
          <w:trHeight w:val="128"/>
          <w:jc w:val="center"/>
        </w:trPr>
        <w:tc>
          <w:tcPr>
            <w:tcW w:w="1273" w:type="pct"/>
            <w:vAlign w:val="center"/>
          </w:tcPr>
          <w:p w:rsidR="00CD2A5A" w:rsidRDefault="00CD2A5A">
            <w:pPr>
              <w:spacing w:before="40" w:after="20"/>
              <w:rPr>
                <w:sz w:val="20"/>
                <w:szCs w:val="20"/>
                <w:lang w:val="es-SV"/>
              </w:rPr>
            </w:pPr>
            <w:r>
              <w:rPr>
                <w:sz w:val="20"/>
                <w:szCs w:val="20"/>
                <w:lang w:val="en-GB"/>
              </w:rPr>
              <w:t>Other</w:t>
            </w:r>
          </w:p>
        </w:tc>
        <w:tc>
          <w:tcPr>
            <w:tcW w:w="596" w:type="pct"/>
            <w:vAlign w:val="center"/>
          </w:tcPr>
          <w:p w:rsidR="00CD2A5A" w:rsidRDefault="00CD2A5A">
            <w:pPr>
              <w:spacing w:before="40" w:after="20"/>
              <w:ind w:right="162"/>
              <w:jc w:val="right"/>
              <w:rPr>
                <w:sz w:val="20"/>
                <w:szCs w:val="20"/>
                <w:lang w:val="es-SV"/>
              </w:rPr>
            </w:pPr>
            <w:r>
              <w:rPr>
                <w:sz w:val="20"/>
                <w:szCs w:val="20"/>
                <w:lang w:val="es-SV"/>
              </w:rPr>
              <w:t>73</w:t>
            </w:r>
          </w:p>
        </w:tc>
        <w:tc>
          <w:tcPr>
            <w:tcW w:w="645" w:type="pct"/>
            <w:vAlign w:val="center"/>
          </w:tcPr>
          <w:p w:rsidR="00CD2A5A" w:rsidRDefault="00CD2A5A">
            <w:pPr>
              <w:spacing w:before="40" w:after="20"/>
              <w:ind w:right="162"/>
              <w:jc w:val="right"/>
              <w:rPr>
                <w:sz w:val="20"/>
                <w:szCs w:val="20"/>
                <w:lang w:val="es-SV"/>
              </w:rPr>
            </w:pPr>
            <w:r>
              <w:rPr>
                <w:sz w:val="20"/>
                <w:szCs w:val="20"/>
                <w:lang w:val="es-SV"/>
              </w:rPr>
              <w:t>4037</w:t>
            </w:r>
          </w:p>
        </w:tc>
        <w:tc>
          <w:tcPr>
            <w:tcW w:w="597" w:type="pct"/>
            <w:vAlign w:val="center"/>
          </w:tcPr>
          <w:p w:rsidR="00CD2A5A" w:rsidRDefault="00CD2A5A">
            <w:pPr>
              <w:spacing w:before="40" w:after="20"/>
              <w:ind w:right="162"/>
              <w:jc w:val="right"/>
              <w:rPr>
                <w:sz w:val="20"/>
                <w:szCs w:val="20"/>
                <w:lang w:val="es-SV"/>
              </w:rPr>
            </w:pPr>
            <w:r>
              <w:rPr>
                <w:sz w:val="20"/>
                <w:szCs w:val="20"/>
                <w:lang w:val="es-SV"/>
              </w:rPr>
              <w:t>48</w:t>
            </w:r>
          </w:p>
        </w:tc>
        <w:tc>
          <w:tcPr>
            <w:tcW w:w="645" w:type="pct"/>
            <w:vAlign w:val="center"/>
          </w:tcPr>
          <w:p w:rsidR="00CD2A5A" w:rsidRDefault="00CD2A5A">
            <w:pPr>
              <w:spacing w:before="40" w:after="20"/>
              <w:ind w:right="162"/>
              <w:jc w:val="right"/>
              <w:rPr>
                <w:sz w:val="20"/>
                <w:szCs w:val="20"/>
                <w:lang w:val="es-SV"/>
              </w:rPr>
            </w:pPr>
            <w:r>
              <w:rPr>
                <w:sz w:val="20"/>
                <w:szCs w:val="20"/>
                <w:lang w:val="es-SV"/>
              </w:rPr>
              <w:t>1892</w:t>
            </w:r>
          </w:p>
        </w:tc>
        <w:tc>
          <w:tcPr>
            <w:tcW w:w="597" w:type="pct"/>
            <w:vAlign w:val="center"/>
          </w:tcPr>
          <w:p w:rsidR="00CD2A5A" w:rsidRDefault="00CD2A5A">
            <w:pPr>
              <w:spacing w:before="40" w:after="20"/>
              <w:ind w:right="162"/>
              <w:jc w:val="right"/>
              <w:rPr>
                <w:sz w:val="20"/>
                <w:szCs w:val="20"/>
                <w:lang w:val="es-SV"/>
              </w:rPr>
            </w:pPr>
            <w:r>
              <w:rPr>
                <w:sz w:val="20"/>
                <w:szCs w:val="20"/>
                <w:lang w:val="es-SV"/>
              </w:rPr>
              <w:t>29</w:t>
            </w:r>
          </w:p>
        </w:tc>
        <w:tc>
          <w:tcPr>
            <w:tcW w:w="645" w:type="pct"/>
            <w:vAlign w:val="center"/>
          </w:tcPr>
          <w:p w:rsidR="00CD2A5A" w:rsidRDefault="00CD2A5A">
            <w:pPr>
              <w:spacing w:before="40" w:after="20"/>
              <w:ind w:right="162"/>
              <w:jc w:val="right"/>
              <w:rPr>
                <w:sz w:val="20"/>
                <w:szCs w:val="20"/>
                <w:lang w:val="es-SV"/>
              </w:rPr>
            </w:pPr>
            <w:r>
              <w:rPr>
                <w:sz w:val="20"/>
                <w:szCs w:val="20"/>
                <w:lang w:val="es-SV"/>
              </w:rPr>
              <w:t>898</w:t>
            </w:r>
          </w:p>
        </w:tc>
      </w:tr>
      <w:tr w:rsidR="00CD2A5A">
        <w:tblPrEx>
          <w:tblCellMar>
            <w:top w:w="0" w:type="dxa"/>
            <w:bottom w:w="0" w:type="dxa"/>
          </w:tblCellMar>
        </w:tblPrEx>
        <w:trPr>
          <w:jc w:val="center"/>
        </w:trPr>
        <w:tc>
          <w:tcPr>
            <w:tcW w:w="1273" w:type="pct"/>
            <w:vAlign w:val="center"/>
          </w:tcPr>
          <w:p w:rsidR="00CD2A5A" w:rsidRDefault="00CD2A5A">
            <w:pPr>
              <w:spacing w:before="40" w:after="20"/>
              <w:rPr>
                <w:bCs/>
                <w:sz w:val="20"/>
                <w:szCs w:val="20"/>
                <w:lang w:val="es-SV"/>
              </w:rPr>
            </w:pPr>
            <w:r>
              <w:rPr>
                <w:bCs/>
                <w:sz w:val="20"/>
                <w:szCs w:val="20"/>
                <w:lang w:val="en-GB"/>
              </w:rPr>
              <w:t>Total</w:t>
            </w:r>
          </w:p>
        </w:tc>
        <w:tc>
          <w:tcPr>
            <w:tcW w:w="596" w:type="pct"/>
            <w:vAlign w:val="center"/>
          </w:tcPr>
          <w:p w:rsidR="00CD2A5A" w:rsidRDefault="00CD2A5A">
            <w:pPr>
              <w:spacing w:before="40" w:after="20"/>
              <w:ind w:right="162"/>
              <w:jc w:val="right"/>
              <w:rPr>
                <w:sz w:val="20"/>
                <w:szCs w:val="20"/>
                <w:lang w:val="es-SV"/>
              </w:rPr>
            </w:pPr>
            <w:r>
              <w:rPr>
                <w:sz w:val="20"/>
                <w:szCs w:val="20"/>
                <w:lang w:val="es-SV"/>
              </w:rPr>
              <w:t>826</w:t>
            </w:r>
          </w:p>
        </w:tc>
        <w:tc>
          <w:tcPr>
            <w:tcW w:w="645" w:type="pct"/>
            <w:vAlign w:val="center"/>
          </w:tcPr>
          <w:p w:rsidR="00CD2A5A" w:rsidRDefault="00CD2A5A">
            <w:pPr>
              <w:spacing w:before="40" w:after="20"/>
              <w:ind w:right="162"/>
              <w:jc w:val="right"/>
              <w:rPr>
                <w:sz w:val="20"/>
                <w:szCs w:val="20"/>
                <w:lang w:val="es-SV"/>
              </w:rPr>
            </w:pPr>
            <w:r>
              <w:rPr>
                <w:sz w:val="20"/>
                <w:szCs w:val="20"/>
                <w:lang w:val="es-SV"/>
              </w:rPr>
              <w:t>42,296</w:t>
            </w:r>
          </w:p>
        </w:tc>
        <w:tc>
          <w:tcPr>
            <w:tcW w:w="597" w:type="pct"/>
            <w:vAlign w:val="center"/>
          </w:tcPr>
          <w:p w:rsidR="00CD2A5A" w:rsidRDefault="00CD2A5A">
            <w:pPr>
              <w:spacing w:before="40" w:after="20"/>
              <w:ind w:right="162"/>
              <w:jc w:val="right"/>
              <w:rPr>
                <w:sz w:val="20"/>
                <w:szCs w:val="20"/>
                <w:lang w:val="es-SV"/>
              </w:rPr>
            </w:pPr>
            <w:r>
              <w:rPr>
                <w:sz w:val="20"/>
                <w:szCs w:val="20"/>
                <w:lang w:val="es-SV"/>
              </w:rPr>
              <w:t>541</w:t>
            </w:r>
          </w:p>
        </w:tc>
        <w:tc>
          <w:tcPr>
            <w:tcW w:w="645" w:type="pct"/>
            <w:vAlign w:val="center"/>
          </w:tcPr>
          <w:p w:rsidR="00CD2A5A" w:rsidRDefault="00CD2A5A">
            <w:pPr>
              <w:spacing w:before="40" w:after="20"/>
              <w:ind w:right="162"/>
              <w:jc w:val="right"/>
              <w:rPr>
                <w:sz w:val="20"/>
                <w:szCs w:val="20"/>
                <w:lang w:val="es-SV"/>
              </w:rPr>
            </w:pPr>
            <w:r>
              <w:rPr>
                <w:sz w:val="20"/>
                <w:szCs w:val="20"/>
                <w:lang w:val="es-SV"/>
              </w:rPr>
              <w:t>27,702</w:t>
            </w:r>
          </w:p>
        </w:tc>
        <w:tc>
          <w:tcPr>
            <w:tcW w:w="597" w:type="pct"/>
            <w:vAlign w:val="center"/>
          </w:tcPr>
          <w:p w:rsidR="00CD2A5A" w:rsidRDefault="00CD2A5A">
            <w:pPr>
              <w:spacing w:before="40" w:after="20"/>
              <w:ind w:right="162"/>
              <w:jc w:val="right"/>
              <w:rPr>
                <w:sz w:val="20"/>
                <w:szCs w:val="20"/>
                <w:lang w:val="es-SV"/>
              </w:rPr>
            </w:pPr>
            <w:r>
              <w:rPr>
                <w:sz w:val="20"/>
                <w:szCs w:val="20"/>
                <w:lang w:val="es-SV"/>
              </w:rPr>
              <w:t>663</w:t>
            </w:r>
          </w:p>
        </w:tc>
        <w:tc>
          <w:tcPr>
            <w:tcW w:w="645" w:type="pct"/>
            <w:vAlign w:val="center"/>
          </w:tcPr>
          <w:p w:rsidR="00CD2A5A" w:rsidRDefault="00CD2A5A">
            <w:pPr>
              <w:spacing w:before="40" w:after="20"/>
              <w:ind w:right="162"/>
              <w:jc w:val="right"/>
              <w:rPr>
                <w:sz w:val="20"/>
                <w:szCs w:val="20"/>
                <w:lang w:val="es-SV"/>
              </w:rPr>
            </w:pPr>
            <w:r>
              <w:rPr>
                <w:sz w:val="20"/>
                <w:szCs w:val="20"/>
                <w:lang w:val="es-SV"/>
              </w:rPr>
              <w:t>29,146</w:t>
            </w:r>
          </w:p>
        </w:tc>
      </w:tr>
    </w:tbl>
    <w:p w:rsidR="00CD2A5A" w:rsidRDefault="00CD2A5A">
      <w:pPr>
        <w:pStyle w:val="Source"/>
        <w:rPr>
          <w:bCs/>
          <w:lang w:val="en-US"/>
        </w:rPr>
      </w:pPr>
      <w:r>
        <w:rPr>
          <w:rStyle w:val="SourceCar"/>
          <w:i/>
        </w:rPr>
        <w:t>Source</w:t>
      </w:r>
      <w:r>
        <w:rPr>
          <w:rStyle w:val="SourceCar"/>
        </w:rPr>
        <w:t>: Education Section, Department of Coordination of Multidisciplinary Teams of the</w:t>
      </w:r>
      <w:r>
        <w:rPr>
          <w:bCs/>
        </w:rPr>
        <w:t xml:space="preserve"> Family Tribunals.</w:t>
      </w:r>
    </w:p>
    <w:p w:rsidR="00CD2A5A" w:rsidRDefault="00CD2A5A">
      <w:pPr>
        <w:keepNext/>
        <w:numPr>
          <w:ilvl w:val="0"/>
          <w:numId w:val="3"/>
        </w:numPr>
        <w:tabs>
          <w:tab w:val="clear" w:pos="720"/>
        </w:tabs>
        <w:spacing w:after="240"/>
        <w:ind w:left="0" w:firstLine="0"/>
        <w:rPr>
          <w:lang w:val="en-US"/>
        </w:rPr>
      </w:pPr>
      <w:r>
        <w:rPr>
          <w:lang w:val="en-GB"/>
        </w:rPr>
        <w:t>ISNA has 11 centres or shelters caring for children separated from their family environment for various reasons, such as:</w:t>
      </w:r>
      <w:r>
        <w:rPr>
          <w:lang w:val="en-US"/>
        </w:rPr>
        <w:t xml:space="preserve"> </w:t>
      </w:r>
      <w:r>
        <w:rPr>
          <w:lang w:val="en-GB"/>
        </w:rPr>
        <w:t>illegal exit from or entry into the country, ill-treatment, abuse, negligence, living on the street, abandonment, sexual abuse, commercial sexual exploitation, and trafficking in persons.</w:t>
      </w:r>
      <w:r>
        <w:rPr>
          <w:lang w:val="en-US"/>
        </w:rPr>
        <w:t xml:space="preserve"> </w:t>
      </w:r>
      <w:r>
        <w:rPr>
          <w:lang w:val="en-GB"/>
        </w:rPr>
        <w:t>When ISAN takes in a child or adolescent, the following actions are carried out:</w:t>
      </w:r>
      <w:r>
        <w:rPr>
          <w:lang w:val="en-US"/>
        </w:rPr>
        <w:t xml:space="preserve">  </w:t>
      </w:r>
    </w:p>
    <w:p w:rsidR="00CD2A5A" w:rsidRDefault="00CD2A5A">
      <w:pPr>
        <w:pStyle w:val="Header"/>
        <w:numPr>
          <w:ilvl w:val="1"/>
          <w:numId w:val="3"/>
        </w:numPr>
        <w:tabs>
          <w:tab w:val="clear" w:pos="1200"/>
          <w:tab w:val="clear" w:pos="4252"/>
        </w:tabs>
        <w:spacing w:after="240"/>
        <w:ind w:left="0" w:firstLine="567"/>
        <w:rPr>
          <w:bCs/>
          <w:lang w:val="en-US"/>
        </w:rPr>
      </w:pPr>
      <w:r>
        <w:rPr>
          <w:bCs/>
          <w:lang w:val="en-GB"/>
        </w:rPr>
        <w:t>Welcome or reception of children by order of a government authority;</w:t>
      </w:r>
      <w:r>
        <w:rPr>
          <w:bCs/>
          <w:lang w:val="en-US"/>
        </w:rPr>
        <w:t xml:space="preserve"> </w:t>
      </w:r>
    </w:p>
    <w:p w:rsidR="00CD2A5A" w:rsidRDefault="00CD2A5A">
      <w:pPr>
        <w:pStyle w:val="Header"/>
        <w:numPr>
          <w:ilvl w:val="1"/>
          <w:numId w:val="3"/>
        </w:numPr>
        <w:tabs>
          <w:tab w:val="clear" w:pos="1200"/>
          <w:tab w:val="clear" w:pos="4252"/>
        </w:tabs>
        <w:spacing w:after="240"/>
        <w:ind w:left="0" w:firstLine="567"/>
        <w:rPr>
          <w:bCs/>
          <w:lang w:val="es-SV"/>
        </w:rPr>
      </w:pPr>
      <w:r>
        <w:rPr>
          <w:bCs/>
          <w:lang w:val="en-GB"/>
        </w:rPr>
        <w:t>Opening of a dossier;</w:t>
      </w:r>
      <w:r>
        <w:rPr>
          <w:bCs/>
          <w:lang w:val="es-SV"/>
        </w:rPr>
        <w:t xml:space="preserve"> </w:t>
      </w:r>
    </w:p>
    <w:p w:rsidR="00CD2A5A" w:rsidRDefault="00CD2A5A">
      <w:pPr>
        <w:pStyle w:val="Header"/>
        <w:numPr>
          <w:ilvl w:val="1"/>
          <w:numId w:val="3"/>
        </w:numPr>
        <w:tabs>
          <w:tab w:val="clear" w:pos="1200"/>
          <w:tab w:val="clear" w:pos="4252"/>
        </w:tabs>
        <w:spacing w:after="240"/>
        <w:ind w:left="0" w:firstLine="567"/>
        <w:rPr>
          <w:bCs/>
          <w:lang w:val="es-SV"/>
        </w:rPr>
      </w:pPr>
      <w:r>
        <w:rPr>
          <w:bCs/>
          <w:lang w:val="en-GB"/>
        </w:rPr>
        <w:t>Assessment of physical condition;</w:t>
      </w:r>
      <w:r>
        <w:rPr>
          <w:bCs/>
          <w:lang w:val="es-SV"/>
        </w:rPr>
        <w:t xml:space="preserve"> </w:t>
      </w:r>
    </w:p>
    <w:p w:rsidR="00CD2A5A" w:rsidRDefault="00CD2A5A">
      <w:pPr>
        <w:pStyle w:val="Header"/>
        <w:numPr>
          <w:ilvl w:val="1"/>
          <w:numId w:val="3"/>
        </w:numPr>
        <w:tabs>
          <w:tab w:val="clear" w:pos="1200"/>
          <w:tab w:val="clear" w:pos="4252"/>
        </w:tabs>
        <w:spacing w:after="240"/>
        <w:ind w:left="0" w:firstLine="567"/>
        <w:rPr>
          <w:bCs/>
          <w:lang w:val="es-SV"/>
        </w:rPr>
      </w:pPr>
      <w:r>
        <w:rPr>
          <w:bCs/>
          <w:lang w:val="en-GB"/>
        </w:rPr>
        <w:t>Psychosocial approach and guidance;</w:t>
      </w:r>
      <w:r>
        <w:rPr>
          <w:bCs/>
          <w:lang w:val="es-SV"/>
        </w:rPr>
        <w:t xml:space="preserve"> </w:t>
      </w:r>
    </w:p>
    <w:p w:rsidR="00CD2A5A" w:rsidRDefault="00CD2A5A">
      <w:pPr>
        <w:pStyle w:val="Header"/>
        <w:numPr>
          <w:ilvl w:val="1"/>
          <w:numId w:val="3"/>
        </w:numPr>
        <w:tabs>
          <w:tab w:val="clear" w:pos="1200"/>
          <w:tab w:val="clear" w:pos="4252"/>
        </w:tabs>
        <w:spacing w:after="240"/>
        <w:ind w:left="0" w:firstLine="567"/>
        <w:rPr>
          <w:bCs/>
          <w:lang w:val="en-US"/>
        </w:rPr>
      </w:pPr>
      <w:r>
        <w:rPr>
          <w:bCs/>
          <w:lang w:val="en-GB"/>
        </w:rPr>
        <w:t>Temporary hosting in the centre or shelter, depending on age and gender;</w:t>
      </w:r>
      <w:r>
        <w:rPr>
          <w:bCs/>
          <w:lang w:val="en-US"/>
        </w:rPr>
        <w:t xml:space="preserve"> </w:t>
      </w:r>
    </w:p>
    <w:p w:rsidR="00CD2A5A" w:rsidRDefault="00CD2A5A">
      <w:pPr>
        <w:pStyle w:val="Header"/>
        <w:numPr>
          <w:ilvl w:val="1"/>
          <w:numId w:val="3"/>
        </w:numPr>
        <w:tabs>
          <w:tab w:val="clear" w:pos="1200"/>
          <w:tab w:val="clear" w:pos="4252"/>
        </w:tabs>
        <w:spacing w:after="240"/>
        <w:ind w:left="0" w:firstLine="567"/>
        <w:rPr>
          <w:bCs/>
          <w:lang w:val="en-US"/>
        </w:rPr>
      </w:pPr>
      <w:r>
        <w:rPr>
          <w:bCs/>
          <w:lang w:val="en-GB"/>
        </w:rPr>
        <w:t>Provision of clothing, personal grooming accessories and feeding;</w:t>
      </w:r>
      <w:r>
        <w:rPr>
          <w:bCs/>
          <w:lang w:val="en-US"/>
        </w:rPr>
        <w:t xml:space="preserve"> </w:t>
      </w:r>
    </w:p>
    <w:p w:rsidR="00CD2A5A" w:rsidRDefault="00CD2A5A">
      <w:pPr>
        <w:pStyle w:val="Header"/>
        <w:numPr>
          <w:ilvl w:val="1"/>
          <w:numId w:val="3"/>
        </w:numPr>
        <w:tabs>
          <w:tab w:val="clear" w:pos="1200"/>
          <w:tab w:val="clear" w:pos="4252"/>
        </w:tabs>
        <w:spacing w:after="240"/>
        <w:ind w:left="0" w:firstLine="567"/>
        <w:rPr>
          <w:bCs/>
          <w:lang w:val="en-US"/>
        </w:rPr>
      </w:pPr>
      <w:r>
        <w:rPr>
          <w:bCs/>
          <w:lang w:val="en-GB"/>
        </w:rPr>
        <w:t>Interview to identify</w:t>
      </w:r>
      <w:r>
        <w:rPr>
          <w:bCs/>
          <w:lang w:val="en-US"/>
        </w:rPr>
        <w:t xml:space="preserve"> </w:t>
      </w:r>
      <w:r>
        <w:rPr>
          <w:bCs/>
          <w:lang w:val="en-GB"/>
        </w:rPr>
        <w:t>family background, nationality and circumstances;</w:t>
      </w:r>
    </w:p>
    <w:p w:rsidR="00CD2A5A" w:rsidRDefault="00CD2A5A">
      <w:pPr>
        <w:pStyle w:val="Header"/>
        <w:numPr>
          <w:ilvl w:val="1"/>
          <w:numId w:val="3"/>
        </w:numPr>
        <w:tabs>
          <w:tab w:val="clear" w:pos="1200"/>
          <w:tab w:val="clear" w:pos="4252"/>
        </w:tabs>
        <w:spacing w:after="240"/>
        <w:ind w:left="0" w:firstLine="567"/>
        <w:rPr>
          <w:bCs/>
          <w:lang w:val="en-US"/>
        </w:rPr>
      </w:pPr>
      <w:r>
        <w:rPr>
          <w:bCs/>
          <w:lang w:val="en-GB"/>
        </w:rPr>
        <w:t>Arrangements to involve the child in the activities of the centre or shelter.</w:t>
      </w:r>
    </w:p>
    <w:p w:rsidR="00CD2A5A" w:rsidRDefault="00CD2A5A">
      <w:pPr>
        <w:pStyle w:val="Header"/>
        <w:numPr>
          <w:ilvl w:val="0"/>
          <w:numId w:val="3"/>
        </w:numPr>
        <w:tabs>
          <w:tab w:val="clear" w:pos="720"/>
          <w:tab w:val="clear" w:pos="4252"/>
        </w:tabs>
        <w:spacing w:after="240"/>
        <w:ind w:left="0" w:firstLine="0"/>
        <w:rPr>
          <w:lang w:val="en-US"/>
        </w:rPr>
      </w:pPr>
      <w:r>
        <w:rPr>
          <w:lang w:val="en-GB"/>
        </w:rPr>
        <w:t>From the legal standpoint, children are informed of their circumstances, that they are under protection and not deprived of their liberty or in detention, on international arrangements for their repatriation (if they are foreigners), and the average length of stay in the establishment.</w:t>
      </w:r>
      <w:r>
        <w:rPr>
          <w:lang w:val="en-US"/>
        </w:rPr>
        <w:t xml:space="preserve"> </w:t>
      </w:r>
      <w:r>
        <w:rPr>
          <w:lang w:val="en-GB"/>
        </w:rPr>
        <w:t>The Public Prosecutor of the Republic and the National Civil Police are notified in cases of violation of rights with criminal consequences.</w:t>
      </w:r>
      <w:r>
        <w:rPr>
          <w:lang w:val="en-US"/>
        </w:rPr>
        <w:t xml:space="preserve"> </w:t>
      </w:r>
      <w:r>
        <w:rPr>
          <w:lang w:val="en-GB"/>
        </w:rPr>
        <w:t>Children are interviewed, requesting the presence of a representative of the Attorney-General of the Republic.</w:t>
      </w:r>
      <w:r>
        <w:rPr>
          <w:lang w:val="en-US"/>
        </w:rPr>
        <w:t xml:space="preserve"> </w:t>
      </w:r>
      <w:r>
        <w:rPr>
          <w:lang w:val="en-GB"/>
        </w:rPr>
        <w:t>Where appropriate, they are handed over to their parents or guardians, after assessing and determining the proper legal measure in accordance with the ISNA Act, and they are discharged with or without follow-up.</w:t>
      </w:r>
      <w:r>
        <w:rPr>
          <w:lang w:val="en-US"/>
        </w:rPr>
        <w:t xml:space="preserve"> </w:t>
      </w:r>
      <w:r>
        <w:rPr>
          <w:lang w:val="en-GB"/>
        </w:rPr>
        <w:t>Where appropriate, formalities are carried out for repatriation to their country of origin.</w:t>
      </w:r>
    </w:p>
    <w:p w:rsidR="00CD2A5A" w:rsidRDefault="00CD2A5A">
      <w:pPr>
        <w:pStyle w:val="Header"/>
        <w:numPr>
          <w:ilvl w:val="0"/>
          <w:numId w:val="3"/>
        </w:numPr>
        <w:tabs>
          <w:tab w:val="clear" w:pos="720"/>
          <w:tab w:val="clear" w:pos="4252"/>
        </w:tabs>
        <w:spacing w:after="240"/>
        <w:ind w:left="0" w:firstLine="0"/>
        <w:rPr>
          <w:lang w:val="en-US"/>
        </w:rPr>
      </w:pPr>
      <w:r>
        <w:rPr>
          <w:lang w:val="en-GB"/>
        </w:rPr>
        <w:t>The children under ISNA’s responsibility are 51% boys and 49% girls.</w:t>
      </w:r>
      <w:r>
        <w:rPr>
          <w:lang w:val="en-US"/>
        </w:rPr>
        <w:t xml:space="preserve"> </w:t>
      </w:r>
      <w:r>
        <w:rPr>
          <w:lang w:val="en-GB"/>
        </w:rPr>
        <w:t>Eighty per cent are from urban areas and 20 per cent are from rural areas.</w:t>
      </w:r>
      <w:r>
        <w:rPr>
          <w:lang w:val="en-US"/>
        </w:rPr>
        <w:t xml:space="preserve"> </w:t>
      </w:r>
    </w:p>
    <w:p w:rsidR="00CD2A5A" w:rsidRDefault="00CD2A5A" w:rsidP="00CD2A5A">
      <w:pPr>
        <w:pStyle w:val="Figure"/>
        <w:rPr>
          <w:lang w:val="en-US"/>
        </w:rPr>
      </w:pPr>
      <w:r>
        <w:t>Figure 13</w:t>
      </w:r>
    </w:p>
    <w:p w:rsidR="00CD2A5A" w:rsidRDefault="00CD2A5A" w:rsidP="00CD2A5A">
      <w:pPr>
        <w:pStyle w:val="Figure"/>
        <w:rPr>
          <w:lang w:val="en-US"/>
        </w:rPr>
      </w:pPr>
      <w:r>
        <w:t>Age ranges of children in ISNA care</w:t>
      </w:r>
      <w:r>
        <w:rPr>
          <w:lang w:val="en-US"/>
        </w:rPr>
        <w:t xml:space="preserv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1176"/>
        <w:gridCol w:w="1177"/>
        <w:gridCol w:w="1177"/>
        <w:gridCol w:w="1176"/>
        <w:gridCol w:w="1177"/>
        <w:gridCol w:w="1306"/>
        <w:gridCol w:w="1048"/>
      </w:tblGrid>
      <w:tr w:rsidR="00CD2A5A">
        <w:trPr>
          <w:trHeight w:val="250"/>
          <w:jc w:val="center"/>
        </w:trPr>
        <w:tc>
          <w:tcPr>
            <w:tcW w:w="1175" w:type="dxa"/>
            <w:vAlign w:val="center"/>
          </w:tcPr>
          <w:p w:rsidR="00CD2A5A" w:rsidRDefault="00CD2A5A">
            <w:pPr>
              <w:spacing w:before="40" w:after="20"/>
              <w:rPr>
                <w:b/>
                <w:i/>
                <w:sz w:val="20"/>
                <w:szCs w:val="20"/>
                <w:lang w:val="es-SV"/>
              </w:rPr>
            </w:pPr>
            <w:r>
              <w:rPr>
                <w:b/>
                <w:i/>
                <w:sz w:val="20"/>
                <w:szCs w:val="20"/>
                <w:lang w:val="es-SV"/>
              </w:rPr>
              <w:t>0 &lt; 3</w:t>
            </w:r>
          </w:p>
        </w:tc>
        <w:tc>
          <w:tcPr>
            <w:tcW w:w="1176" w:type="dxa"/>
            <w:vAlign w:val="center"/>
          </w:tcPr>
          <w:p w:rsidR="00CD2A5A" w:rsidRDefault="00CD2A5A">
            <w:pPr>
              <w:spacing w:before="40" w:after="20"/>
              <w:rPr>
                <w:b/>
                <w:i/>
                <w:sz w:val="20"/>
                <w:szCs w:val="20"/>
                <w:lang w:val="es-SV"/>
              </w:rPr>
            </w:pPr>
            <w:r>
              <w:rPr>
                <w:b/>
                <w:i/>
                <w:sz w:val="20"/>
                <w:szCs w:val="20"/>
                <w:lang w:val="es-SV"/>
              </w:rPr>
              <w:t>3 &lt; 6</w:t>
            </w:r>
          </w:p>
        </w:tc>
        <w:tc>
          <w:tcPr>
            <w:tcW w:w="1177" w:type="dxa"/>
            <w:vAlign w:val="center"/>
          </w:tcPr>
          <w:p w:rsidR="00CD2A5A" w:rsidRDefault="00CD2A5A">
            <w:pPr>
              <w:spacing w:before="40" w:after="20"/>
              <w:rPr>
                <w:b/>
                <w:i/>
                <w:sz w:val="20"/>
                <w:szCs w:val="20"/>
                <w:lang w:val="es-SV"/>
              </w:rPr>
            </w:pPr>
            <w:r>
              <w:rPr>
                <w:b/>
                <w:i/>
                <w:sz w:val="20"/>
                <w:szCs w:val="20"/>
                <w:lang w:val="es-SV"/>
              </w:rPr>
              <w:t>6 &lt; 9</w:t>
            </w:r>
          </w:p>
        </w:tc>
        <w:tc>
          <w:tcPr>
            <w:tcW w:w="1177" w:type="dxa"/>
            <w:vAlign w:val="center"/>
          </w:tcPr>
          <w:p w:rsidR="00CD2A5A" w:rsidRDefault="00CD2A5A">
            <w:pPr>
              <w:spacing w:before="40" w:after="20"/>
              <w:rPr>
                <w:b/>
                <w:i/>
                <w:sz w:val="20"/>
                <w:szCs w:val="20"/>
                <w:lang w:val="es-SV"/>
              </w:rPr>
            </w:pPr>
            <w:r>
              <w:rPr>
                <w:b/>
                <w:i/>
                <w:sz w:val="20"/>
                <w:szCs w:val="20"/>
                <w:lang w:val="es-SV"/>
              </w:rPr>
              <w:t>9 &lt; 12</w:t>
            </w:r>
          </w:p>
        </w:tc>
        <w:tc>
          <w:tcPr>
            <w:tcW w:w="1176" w:type="dxa"/>
            <w:vAlign w:val="center"/>
          </w:tcPr>
          <w:p w:rsidR="00CD2A5A" w:rsidRDefault="00CD2A5A">
            <w:pPr>
              <w:spacing w:before="40" w:after="20"/>
              <w:rPr>
                <w:b/>
                <w:i/>
                <w:sz w:val="20"/>
                <w:szCs w:val="20"/>
                <w:lang w:val="es-SV"/>
              </w:rPr>
            </w:pPr>
            <w:r>
              <w:rPr>
                <w:b/>
                <w:i/>
                <w:sz w:val="20"/>
                <w:szCs w:val="20"/>
                <w:lang w:val="es-SV"/>
              </w:rPr>
              <w:t>12 &lt; 15</w:t>
            </w:r>
          </w:p>
        </w:tc>
        <w:tc>
          <w:tcPr>
            <w:tcW w:w="1177" w:type="dxa"/>
            <w:vAlign w:val="center"/>
          </w:tcPr>
          <w:p w:rsidR="00CD2A5A" w:rsidRDefault="00CD2A5A">
            <w:pPr>
              <w:spacing w:before="40" w:after="20"/>
              <w:rPr>
                <w:b/>
                <w:i/>
                <w:sz w:val="20"/>
                <w:szCs w:val="20"/>
                <w:lang w:val="es-SV"/>
              </w:rPr>
            </w:pPr>
            <w:r>
              <w:rPr>
                <w:b/>
                <w:i/>
                <w:sz w:val="20"/>
                <w:szCs w:val="20"/>
                <w:lang w:val="es-SV"/>
              </w:rPr>
              <w:t>15 &lt; 18</w:t>
            </w:r>
          </w:p>
        </w:tc>
        <w:tc>
          <w:tcPr>
            <w:tcW w:w="1306" w:type="dxa"/>
            <w:vAlign w:val="center"/>
          </w:tcPr>
          <w:p w:rsidR="00CD2A5A" w:rsidRDefault="00CD2A5A">
            <w:pPr>
              <w:spacing w:before="40" w:after="20"/>
              <w:rPr>
                <w:b/>
                <w:i/>
                <w:sz w:val="20"/>
                <w:szCs w:val="20"/>
                <w:lang w:val="es-SV"/>
              </w:rPr>
            </w:pPr>
            <w:r>
              <w:rPr>
                <w:b/>
                <w:i/>
                <w:sz w:val="20"/>
                <w:szCs w:val="20"/>
                <w:lang w:val="en-GB"/>
              </w:rPr>
              <w:t>18 and over</w:t>
            </w:r>
          </w:p>
        </w:tc>
        <w:tc>
          <w:tcPr>
            <w:tcW w:w="1048" w:type="dxa"/>
            <w:vAlign w:val="center"/>
          </w:tcPr>
          <w:p w:rsidR="00CD2A5A" w:rsidRDefault="00CD2A5A">
            <w:pPr>
              <w:spacing w:before="40" w:after="20"/>
              <w:rPr>
                <w:b/>
                <w:i/>
                <w:sz w:val="20"/>
                <w:szCs w:val="20"/>
                <w:lang w:val="es-SV"/>
              </w:rPr>
            </w:pPr>
            <w:r>
              <w:rPr>
                <w:b/>
                <w:i/>
                <w:sz w:val="20"/>
                <w:szCs w:val="20"/>
                <w:lang w:val="en-GB"/>
              </w:rPr>
              <w:t>Total</w:t>
            </w:r>
          </w:p>
        </w:tc>
      </w:tr>
      <w:tr w:rsidR="00CD2A5A">
        <w:trPr>
          <w:trHeight w:val="227"/>
          <w:jc w:val="center"/>
        </w:trPr>
        <w:tc>
          <w:tcPr>
            <w:tcW w:w="1175" w:type="dxa"/>
            <w:vAlign w:val="bottom"/>
          </w:tcPr>
          <w:p w:rsidR="00CD2A5A" w:rsidRDefault="00CD2A5A">
            <w:pPr>
              <w:spacing w:before="40" w:after="20"/>
              <w:rPr>
                <w:sz w:val="20"/>
                <w:szCs w:val="20"/>
                <w:lang w:val="es-SV"/>
              </w:rPr>
            </w:pPr>
            <w:r>
              <w:rPr>
                <w:sz w:val="20"/>
                <w:szCs w:val="20"/>
                <w:lang w:val="es-SV"/>
              </w:rPr>
              <w:t>11.3%</w:t>
            </w:r>
          </w:p>
        </w:tc>
        <w:tc>
          <w:tcPr>
            <w:tcW w:w="1176" w:type="dxa"/>
            <w:vAlign w:val="bottom"/>
          </w:tcPr>
          <w:p w:rsidR="00CD2A5A" w:rsidRDefault="00CD2A5A">
            <w:pPr>
              <w:spacing w:before="40" w:after="20"/>
              <w:rPr>
                <w:sz w:val="20"/>
                <w:szCs w:val="20"/>
                <w:lang w:val="es-SV"/>
              </w:rPr>
            </w:pPr>
            <w:r>
              <w:rPr>
                <w:sz w:val="20"/>
                <w:szCs w:val="20"/>
                <w:lang w:val="es-SV"/>
              </w:rPr>
              <w:t>8.9%</w:t>
            </w:r>
          </w:p>
        </w:tc>
        <w:tc>
          <w:tcPr>
            <w:tcW w:w="1177" w:type="dxa"/>
            <w:vAlign w:val="bottom"/>
          </w:tcPr>
          <w:p w:rsidR="00CD2A5A" w:rsidRDefault="00CD2A5A">
            <w:pPr>
              <w:spacing w:before="40" w:after="20"/>
              <w:rPr>
                <w:sz w:val="20"/>
                <w:szCs w:val="20"/>
                <w:lang w:val="es-SV"/>
              </w:rPr>
            </w:pPr>
            <w:r>
              <w:rPr>
                <w:sz w:val="20"/>
                <w:szCs w:val="20"/>
                <w:lang w:val="es-SV"/>
              </w:rPr>
              <w:t>12.1%</w:t>
            </w:r>
          </w:p>
        </w:tc>
        <w:tc>
          <w:tcPr>
            <w:tcW w:w="1177" w:type="dxa"/>
            <w:vAlign w:val="bottom"/>
          </w:tcPr>
          <w:p w:rsidR="00CD2A5A" w:rsidRDefault="00CD2A5A">
            <w:pPr>
              <w:spacing w:before="40" w:after="20"/>
              <w:rPr>
                <w:sz w:val="20"/>
                <w:szCs w:val="20"/>
                <w:lang w:val="es-SV"/>
              </w:rPr>
            </w:pPr>
            <w:r>
              <w:rPr>
                <w:sz w:val="20"/>
                <w:szCs w:val="20"/>
                <w:lang w:val="es-SV"/>
              </w:rPr>
              <w:t>16.1%</w:t>
            </w:r>
          </w:p>
        </w:tc>
        <w:tc>
          <w:tcPr>
            <w:tcW w:w="1176" w:type="dxa"/>
            <w:vAlign w:val="bottom"/>
          </w:tcPr>
          <w:p w:rsidR="00CD2A5A" w:rsidRDefault="00CD2A5A">
            <w:pPr>
              <w:spacing w:before="40" w:after="20"/>
              <w:rPr>
                <w:sz w:val="20"/>
                <w:szCs w:val="20"/>
                <w:lang w:val="es-SV"/>
              </w:rPr>
            </w:pPr>
            <w:r>
              <w:rPr>
                <w:sz w:val="20"/>
                <w:szCs w:val="20"/>
                <w:lang w:val="es-SV"/>
              </w:rPr>
              <w:t>25.2%</w:t>
            </w:r>
          </w:p>
        </w:tc>
        <w:tc>
          <w:tcPr>
            <w:tcW w:w="1177" w:type="dxa"/>
            <w:vAlign w:val="bottom"/>
          </w:tcPr>
          <w:p w:rsidR="00CD2A5A" w:rsidRDefault="00CD2A5A">
            <w:pPr>
              <w:spacing w:before="40" w:after="20"/>
              <w:rPr>
                <w:sz w:val="20"/>
                <w:szCs w:val="20"/>
                <w:lang w:val="es-SV"/>
              </w:rPr>
            </w:pPr>
            <w:r>
              <w:rPr>
                <w:sz w:val="20"/>
                <w:szCs w:val="20"/>
                <w:lang w:val="es-SV"/>
              </w:rPr>
              <w:t>25.7%</w:t>
            </w:r>
          </w:p>
        </w:tc>
        <w:tc>
          <w:tcPr>
            <w:tcW w:w="1306" w:type="dxa"/>
            <w:vAlign w:val="bottom"/>
          </w:tcPr>
          <w:p w:rsidR="00CD2A5A" w:rsidRDefault="00CD2A5A">
            <w:pPr>
              <w:spacing w:before="40" w:after="20"/>
              <w:rPr>
                <w:sz w:val="20"/>
                <w:szCs w:val="20"/>
                <w:lang w:val="es-SV"/>
              </w:rPr>
            </w:pPr>
            <w:r>
              <w:rPr>
                <w:sz w:val="20"/>
                <w:szCs w:val="20"/>
                <w:lang w:val="es-SV"/>
              </w:rPr>
              <w:t>0.6%</w:t>
            </w:r>
          </w:p>
        </w:tc>
        <w:tc>
          <w:tcPr>
            <w:tcW w:w="1048" w:type="dxa"/>
            <w:vAlign w:val="bottom"/>
          </w:tcPr>
          <w:p w:rsidR="00CD2A5A" w:rsidRDefault="00CD2A5A">
            <w:pPr>
              <w:spacing w:before="40" w:after="20"/>
              <w:rPr>
                <w:sz w:val="20"/>
                <w:szCs w:val="20"/>
                <w:lang w:val="es-SV"/>
              </w:rPr>
            </w:pPr>
            <w:r>
              <w:rPr>
                <w:sz w:val="20"/>
                <w:szCs w:val="20"/>
                <w:lang w:val="es-SV"/>
              </w:rPr>
              <w:t>100%</w:t>
            </w:r>
          </w:p>
        </w:tc>
      </w:tr>
    </w:tbl>
    <w:p w:rsidR="00CD2A5A" w:rsidRDefault="00CD2A5A">
      <w:pPr>
        <w:pStyle w:val="Source"/>
        <w:rPr>
          <w:lang w:val="es-SV"/>
        </w:rPr>
      </w:pPr>
      <w:r>
        <w:rPr>
          <w:i/>
        </w:rPr>
        <w:t>Source</w:t>
      </w:r>
      <w:r>
        <w:t>:</w:t>
      </w:r>
      <w:r>
        <w:rPr>
          <w:lang w:val="es-SV"/>
        </w:rPr>
        <w:t xml:space="preserve"> </w:t>
      </w:r>
      <w:r>
        <w:t>ISNA</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number of children temporarily separated from their parents and under ISNA’s institutional care is as follows:</w:t>
      </w:r>
    </w:p>
    <w:p w:rsidR="00CD2A5A" w:rsidRDefault="00CD2A5A" w:rsidP="00CD2A5A">
      <w:pPr>
        <w:pStyle w:val="Figure"/>
        <w:rPr>
          <w:lang w:val="es-SV"/>
        </w:rPr>
      </w:pPr>
      <w:r>
        <w:t>Figure 14</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134"/>
        <w:gridCol w:w="1163"/>
        <w:gridCol w:w="1105"/>
        <w:gridCol w:w="947"/>
        <w:gridCol w:w="1101"/>
        <w:gridCol w:w="843"/>
      </w:tblGrid>
      <w:tr w:rsidR="00CD2A5A">
        <w:trPr>
          <w:cantSplit/>
          <w:trHeight w:val="165"/>
          <w:jc w:val="center"/>
        </w:trPr>
        <w:tc>
          <w:tcPr>
            <w:tcW w:w="3119" w:type="dxa"/>
            <w:vMerge w:val="restart"/>
            <w:vAlign w:val="center"/>
          </w:tcPr>
          <w:p w:rsidR="00CD2A5A" w:rsidRDefault="00CD2A5A">
            <w:pPr>
              <w:spacing w:before="40" w:after="20"/>
              <w:jc w:val="center"/>
              <w:rPr>
                <w:b/>
                <w:i/>
                <w:sz w:val="20"/>
                <w:szCs w:val="20"/>
                <w:lang w:val="es-SV"/>
              </w:rPr>
            </w:pPr>
            <w:r>
              <w:rPr>
                <w:b/>
                <w:i/>
                <w:sz w:val="20"/>
                <w:szCs w:val="20"/>
                <w:lang w:val="en-GB"/>
              </w:rPr>
              <w:t>Measure applied</w:t>
            </w:r>
          </w:p>
        </w:tc>
        <w:tc>
          <w:tcPr>
            <w:tcW w:w="2297" w:type="dxa"/>
            <w:gridSpan w:val="2"/>
            <w:vAlign w:val="center"/>
          </w:tcPr>
          <w:p w:rsidR="00CD2A5A" w:rsidRDefault="00CD2A5A">
            <w:pPr>
              <w:spacing w:before="40" w:after="20"/>
              <w:jc w:val="center"/>
              <w:rPr>
                <w:b/>
                <w:i/>
                <w:sz w:val="20"/>
                <w:szCs w:val="20"/>
                <w:lang w:val="es-SV"/>
              </w:rPr>
            </w:pPr>
            <w:r>
              <w:rPr>
                <w:b/>
                <w:i/>
                <w:sz w:val="20"/>
                <w:szCs w:val="20"/>
                <w:lang w:val="en-GB"/>
              </w:rPr>
              <w:t>Admissions</w:t>
            </w:r>
          </w:p>
        </w:tc>
        <w:tc>
          <w:tcPr>
            <w:tcW w:w="2052" w:type="dxa"/>
            <w:gridSpan w:val="2"/>
            <w:vAlign w:val="center"/>
          </w:tcPr>
          <w:p w:rsidR="00CD2A5A" w:rsidRDefault="00CD2A5A">
            <w:pPr>
              <w:spacing w:before="40" w:after="20"/>
              <w:jc w:val="center"/>
              <w:rPr>
                <w:b/>
                <w:i/>
                <w:sz w:val="20"/>
                <w:szCs w:val="20"/>
                <w:lang w:val="es-SV"/>
              </w:rPr>
            </w:pPr>
            <w:r>
              <w:rPr>
                <w:b/>
                <w:i/>
                <w:sz w:val="20"/>
                <w:szCs w:val="20"/>
                <w:lang w:val="en-GB"/>
              </w:rPr>
              <w:t>Re-admissions</w:t>
            </w:r>
          </w:p>
        </w:tc>
        <w:tc>
          <w:tcPr>
            <w:tcW w:w="1944" w:type="dxa"/>
            <w:gridSpan w:val="2"/>
            <w:vAlign w:val="center"/>
          </w:tcPr>
          <w:p w:rsidR="00CD2A5A" w:rsidRDefault="00CD2A5A">
            <w:pPr>
              <w:spacing w:before="40" w:after="20"/>
              <w:jc w:val="center"/>
              <w:rPr>
                <w:b/>
                <w:i/>
                <w:sz w:val="20"/>
                <w:szCs w:val="20"/>
                <w:lang w:val="es-SV"/>
              </w:rPr>
            </w:pPr>
            <w:r>
              <w:rPr>
                <w:b/>
                <w:i/>
                <w:sz w:val="20"/>
                <w:szCs w:val="20"/>
                <w:lang w:val="en-GB"/>
              </w:rPr>
              <w:t>Total</w:t>
            </w:r>
          </w:p>
        </w:tc>
      </w:tr>
      <w:tr w:rsidR="00CD2A5A">
        <w:trPr>
          <w:cantSplit/>
          <w:trHeight w:val="78"/>
          <w:jc w:val="center"/>
        </w:trPr>
        <w:tc>
          <w:tcPr>
            <w:tcW w:w="3119" w:type="dxa"/>
            <w:vMerge/>
            <w:vAlign w:val="center"/>
          </w:tcPr>
          <w:p w:rsidR="00CD2A5A" w:rsidRDefault="00CD2A5A">
            <w:pPr>
              <w:spacing w:before="40" w:after="20"/>
              <w:jc w:val="center"/>
              <w:rPr>
                <w:b/>
                <w:i/>
                <w:sz w:val="20"/>
                <w:szCs w:val="20"/>
                <w:lang w:val="es-SV"/>
              </w:rPr>
            </w:pPr>
          </w:p>
        </w:tc>
        <w:tc>
          <w:tcPr>
            <w:tcW w:w="1134" w:type="dxa"/>
            <w:vAlign w:val="center"/>
          </w:tcPr>
          <w:p w:rsidR="00CD2A5A" w:rsidRDefault="00CD2A5A">
            <w:pPr>
              <w:spacing w:before="40" w:after="20"/>
              <w:jc w:val="center"/>
              <w:rPr>
                <w:b/>
                <w:i/>
                <w:sz w:val="20"/>
                <w:szCs w:val="20"/>
                <w:lang w:val="es-SV"/>
              </w:rPr>
            </w:pPr>
            <w:r>
              <w:rPr>
                <w:b/>
                <w:i/>
                <w:sz w:val="20"/>
                <w:szCs w:val="20"/>
                <w:lang w:val="en-GB"/>
              </w:rPr>
              <w:t>No. of cases</w:t>
            </w:r>
          </w:p>
        </w:tc>
        <w:tc>
          <w:tcPr>
            <w:tcW w:w="1163" w:type="dxa"/>
            <w:vAlign w:val="center"/>
          </w:tcPr>
          <w:p w:rsidR="00CD2A5A" w:rsidRDefault="00CD2A5A">
            <w:pPr>
              <w:spacing w:before="40" w:after="20"/>
              <w:jc w:val="center"/>
              <w:rPr>
                <w:b/>
                <w:i/>
                <w:sz w:val="20"/>
                <w:szCs w:val="20"/>
                <w:lang w:val="es-SV"/>
              </w:rPr>
            </w:pPr>
            <w:r>
              <w:rPr>
                <w:b/>
                <w:i/>
                <w:sz w:val="20"/>
                <w:szCs w:val="20"/>
                <w:lang w:val="es-SV"/>
              </w:rPr>
              <w:t>%</w:t>
            </w:r>
          </w:p>
        </w:tc>
        <w:tc>
          <w:tcPr>
            <w:tcW w:w="1105" w:type="dxa"/>
            <w:vAlign w:val="center"/>
          </w:tcPr>
          <w:p w:rsidR="00CD2A5A" w:rsidRDefault="00CD2A5A">
            <w:pPr>
              <w:spacing w:before="40" w:after="20"/>
              <w:jc w:val="center"/>
              <w:rPr>
                <w:b/>
                <w:i/>
                <w:sz w:val="20"/>
                <w:szCs w:val="20"/>
                <w:lang w:val="es-SV"/>
              </w:rPr>
            </w:pPr>
            <w:r>
              <w:rPr>
                <w:b/>
                <w:i/>
                <w:sz w:val="20"/>
                <w:szCs w:val="20"/>
                <w:lang w:val="en-GB"/>
              </w:rPr>
              <w:t>No. of cases</w:t>
            </w:r>
          </w:p>
        </w:tc>
        <w:tc>
          <w:tcPr>
            <w:tcW w:w="947" w:type="dxa"/>
            <w:vAlign w:val="center"/>
          </w:tcPr>
          <w:p w:rsidR="00CD2A5A" w:rsidRDefault="00CD2A5A">
            <w:pPr>
              <w:spacing w:before="40" w:after="20"/>
              <w:jc w:val="center"/>
              <w:rPr>
                <w:b/>
                <w:i/>
                <w:sz w:val="20"/>
                <w:szCs w:val="20"/>
                <w:lang w:val="es-SV"/>
              </w:rPr>
            </w:pPr>
            <w:r>
              <w:rPr>
                <w:b/>
                <w:i/>
                <w:sz w:val="20"/>
                <w:szCs w:val="20"/>
                <w:lang w:val="es-SV"/>
              </w:rPr>
              <w:t>%</w:t>
            </w:r>
          </w:p>
        </w:tc>
        <w:tc>
          <w:tcPr>
            <w:tcW w:w="1101" w:type="dxa"/>
            <w:vAlign w:val="center"/>
          </w:tcPr>
          <w:p w:rsidR="00CD2A5A" w:rsidRDefault="00CD2A5A">
            <w:pPr>
              <w:spacing w:before="40" w:after="20"/>
              <w:jc w:val="center"/>
              <w:rPr>
                <w:b/>
                <w:i/>
                <w:sz w:val="20"/>
                <w:szCs w:val="20"/>
                <w:lang w:val="es-SV"/>
              </w:rPr>
            </w:pPr>
            <w:r>
              <w:rPr>
                <w:b/>
                <w:i/>
                <w:sz w:val="20"/>
                <w:szCs w:val="20"/>
                <w:lang w:val="en-GB"/>
              </w:rPr>
              <w:t>No. of cases</w:t>
            </w:r>
          </w:p>
        </w:tc>
        <w:tc>
          <w:tcPr>
            <w:tcW w:w="843" w:type="dxa"/>
            <w:vAlign w:val="center"/>
          </w:tcPr>
          <w:p w:rsidR="00CD2A5A" w:rsidRDefault="00CD2A5A">
            <w:pPr>
              <w:spacing w:before="40" w:after="20"/>
              <w:jc w:val="center"/>
              <w:rPr>
                <w:b/>
                <w:i/>
                <w:sz w:val="20"/>
                <w:szCs w:val="20"/>
                <w:lang w:val="es-SV"/>
              </w:rPr>
            </w:pPr>
            <w:r>
              <w:rPr>
                <w:b/>
                <w:i/>
                <w:sz w:val="20"/>
                <w:szCs w:val="20"/>
                <w:lang w:val="es-SV"/>
              </w:rPr>
              <w:t>%</w:t>
            </w:r>
          </w:p>
        </w:tc>
      </w:tr>
      <w:tr w:rsidR="00CD2A5A">
        <w:trPr>
          <w:trHeight w:val="170"/>
          <w:jc w:val="center"/>
        </w:trPr>
        <w:tc>
          <w:tcPr>
            <w:tcW w:w="3119" w:type="dxa"/>
            <w:vAlign w:val="center"/>
          </w:tcPr>
          <w:p w:rsidR="00CD2A5A" w:rsidRDefault="00CD2A5A">
            <w:pPr>
              <w:spacing w:before="40" w:after="20"/>
              <w:rPr>
                <w:bCs/>
                <w:sz w:val="20"/>
                <w:szCs w:val="20"/>
                <w:lang w:val="es-SV"/>
              </w:rPr>
            </w:pPr>
            <w:r>
              <w:rPr>
                <w:bCs/>
                <w:sz w:val="20"/>
                <w:szCs w:val="20"/>
                <w:lang w:val="en-GB"/>
              </w:rPr>
              <w:t>Placed in institution</w:t>
            </w:r>
          </w:p>
        </w:tc>
        <w:tc>
          <w:tcPr>
            <w:tcW w:w="1134" w:type="dxa"/>
            <w:vAlign w:val="bottom"/>
          </w:tcPr>
          <w:p w:rsidR="00CD2A5A" w:rsidRDefault="00CD2A5A">
            <w:pPr>
              <w:spacing w:before="40" w:after="20"/>
              <w:ind w:right="98"/>
              <w:jc w:val="right"/>
              <w:rPr>
                <w:bCs/>
                <w:sz w:val="20"/>
                <w:szCs w:val="20"/>
                <w:lang w:val="es-SV"/>
              </w:rPr>
            </w:pPr>
            <w:r>
              <w:rPr>
                <w:bCs/>
                <w:sz w:val="20"/>
                <w:szCs w:val="20"/>
                <w:lang w:val="es-SV"/>
              </w:rPr>
              <w:t>1,591</w:t>
            </w:r>
          </w:p>
        </w:tc>
        <w:tc>
          <w:tcPr>
            <w:tcW w:w="1163" w:type="dxa"/>
            <w:vAlign w:val="bottom"/>
          </w:tcPr>
          <w:p w:rsidR="00CD2A5A" w:rsidRDefault="00CD2A5A">
            <w:pPr>
              <w:spacing w:before="40" w:after="20"/>
              <w:ind w:right="98"/>
              <w:jc w:val="right"/>
              <w:rPr>
                <w:bCs/>
                <w:sz w:val="20"/>
                <w:szCs w:val="20"/>
                <w:lang w:val="es-SV"/>
              </w:rPr>
            </w:pPr>
            <w:r>
              <w:rPr>
                <w:bCs/>
                <w:sz w:val="20"/>
                <w:szCs w:val="20"/>
                <w:lang w:val="es-SV"/>
              </w:rPr>
              <w:t>36.4%</w:t>
            </w:r>
          </w:p>
        </w:tc>
        <w:tc>
          <w:tcPr>
            <w:tcW w:w="1105" w:type="dxa"/>
            <w:vAlign w:val="bottom"/>
          </w:tcPr>
          <w:p w:rsidR="00CD2A5A" w:rsidRDefault="00CD2A5A">
            <w:pPr>
              <w:spacing w:before="40" w:after="20"/>
              <w:ind w:right="98"/>
              <w:jc w:val="right"/>
              <w:rPr>
                <w:bCs/>
                <w:sz w:val="20"/>
                <w:szCs w:val="20"/>
                <w:lang w:val="es-SV"/>
              </w:rPr>
            </w:pPr>
            <w:r>
              <w:rPr>
                <w:bCs/>
                <w:sz w:val="20"/>
                <w:szCs w:val="20"/>
                <w:lang w:val="es-SV"/>
              </w:rPr>
              <w:t>429</w:t>
            </w:r>
          </w:p>
        </w:tc>
        <w:tc>
          <w:tcPr>
            <w:tcW w:w="947" w:type="dxa"/>
            <w:vAlign w:val="center"/>
          </w:tcPr>
          <w:p w:rsidR="00CD2A5A" w:rsidRDefault="00CD2A5A">
            <w:pPr>
              <w:spacing w:before="40" w:after="20"/>
              <w:ind w:right="98"/>
              <w:jc w:val="right"/>
              <w:rPr>
                <w:bCs/>
                <w:sz w:val="20"/>
                <w:szCs w:val="20"/>
                <w:lang w:val="es-SV"/>
              </w:rPr>
            </w:pPr>
            <w:r>
              <w:rPr>
                <w:bCs/>
                <w:sz w:val="20"/>
                <w:szCs w:val="20"/>
                <w:lang w:val="es-SV"/>
              </w:rPr>
              <w:t>70%</w:t>
            </w:r>
          </w:p>
        </w:tc>
        <w:tc>
          <w:tcPr>
            <w:tcW w:w="1101" w:type="dxa"/>
            <w:vAlign w:val="bottom"/>
          </w:tcPr>
          <w:p w:rsidR="00CD2A5A" w:rsidRDefault="00CD2A5A">
            <w:pPr>
              <w:spacing w:before="40" w:after="20"/>
              <w:ind w:right="98"/>
              <w:jc w:val="right"/>
              <w:rPr>
                <w:bCs/>
                <w:sz w:val="20"/>
                <w:szCs w:val="20"/>
                <w:lang w:val="es-SV"/>
              </w:rPr>
            </w:pPr>
            <w:r>
              <w:rPr>
                <w:bCs/>
                <w:sz w:val="20"/>
                <w:szCs w:val="20"/>
                <w:lang w:val="es-SV"/>
              </w:rPr>
              <w:t>2,020</w:t>
            </w:r>
          </w:p>
        </w:tc>
        <w:tc>
          <w:tcPr>
            <w:tcW w:w="843" w:type="dxa"/>
            <w:vAlign w:val="bottom"/>
          </w:tcPr>
          <w:p w:rsidR="00CD2A5A" w:rsidRDefault="00CD2A5A">
            <w:pPr>
              <w:spacing w:before="40" w:after="20"/>
              <w:ind w:right="98"/>
              <w:jc w:val="right"/>
              <w:rPr>
                <w:bCs/>
                <w:sz w:val="20"/>
                <w:szCs w:val="20"/>
                <w:lang w:val="es-SV"/>
              </w:rPr>
            </w:pPr>
            <w:r>
              <w:rPr>
                <w:bCs/>
                <w:sz w:val="20"/>
                <w:szCs w:val="20"/>
                <w:lang w:val="es-SV"/>
              </w:rPr>
              <w:t>41%</w:t>
            </w:r>
          </w:p>
        </w:tc>
      </w:tr>
      <w:tr w:rsidR="00CD2A5A">
        <w:trPr>
          <w:trHeight w:val="170"/>
          <w:jc w:val="center"/>
        </w:trPr>
        <w:tc>
          <w:tcPr>
            <w:tcW w:w="3119" w:type="dxa"/>
            <w:vAlign w:val="center"/>
          </w:tcPr>
          <w:p w:rsidR="00CD2A5A" w:rsidRDefault="00CD2A5A">
            <w:pPr>
              <w:spacing w:before="40" w:after="20"/>
              <w:rPr>
                <w:bCs/>
                <w:sz w:val="20"/>
                <w:szCs w:val="20"/>
                <w:lang w:val="en-US"/>
              </w:rPr>
            </w:pPr>
            <w:r>
              <w:rPr>
                <w:bCs/>
                <w:sz w:val="20"/>
                <w:szCs w:val="20"/>
                <w:lang w:val="en-GB"/>
              </w:rPr>
              <w:t>Placed in institution for 30 days</w:t>
            </w:r>
          </w:p>
        </w:tc>
        <w:tc>
          <w:tcPr>
            <w:tcW w:w="1134" w:type="dxa"/>
            <w:vAlign w:val="bottom"/>
          </w:tcPr>
          <w:p w:rsidR="00CD2A5A" w:rsidRDefault="00CD2A5A">
            <w:pPr>
              <w:spacing w:before="40" w:after="20"/>
              <w:ind w:right="98"/>
              <w:jc w:val="right"/>
              <w:rPr>
                <w:bCs/>
                <w:sz w:val="20"/>
                <w:szCs w:val="20"/>
                <w:lang w:val="es-SV"/>
              </w:rPr>
            </w:pPr>
            <w:r>
              <w:rPr>
                <w:bCs/>
                <w:sz w:val="20"/>
                <w:szCs w:val="20"/>
                <w:lang w:val="es-SV"/>
              </w:rPr>
              <w:t>244</w:t>
            </w:r>
          </w:p>
        </w:tc>
        <w:tc>
          <w:tcPr>
            <w:tcW w:w="1163" w:type="dxa"/>
            <w:vAlign w:val="bottom"/>
          </w:tcPr>
          <w:p w:rsidR="00CD2A5A" w:rsidRDefault="00CD2A5A">
            <w:pPr>
              <w:spacing w:before="40" w:after="20"/>
              <w:ind w:right="98"/>
              <w:jc w:val="right"/>
              <w:rPr>
                <w:bCs/>
                <w:sz w:val="20"/>
                <w:szCs w:val="20"/>
                <w:lang w:val="es-SV"/>
              </w:rPr>
            </w:pPr>
            <w:r>
              <w:rPr>
                <w:bCs/>
                <w:sz w:val="20"/>
                <w:szCs w:val="20"/>
                <w:lang w:val="es-SV"/>
              </w:rPr>
              <w:t>5.6%</w:t>
            </w:r>
          </w:p>
        </w:tc>
        <w:tc>
          <w:tcPr>
            <w:tcW w:w="1105" w:type="dxa"/>
            <w:vAlign w:val="bottom"/>
          </w:tcPr>
          <w:p w:rsidR="00CD2A5A" w:rsidRDefault="00CD2A5A">
            <w:pPr>
              <w:spacing w:before="40" w:after="20"/>
              <w:ind w:right="98"/>
              <w:jc w:val="right"/>
              <w:rPr>
                <w:bCs/>
                <w:sz w:val="20"/>
                <w:szCs w:val="20"/>
                <w:lang w:val="es-SV"/>
              </w:rPr>
            </w:pPr>
            <w:r>
              <w:rPr>
                <w:bCs/>
                <w:sz w:val="20"/>
                <w:szCs w:val="20"/>
                <w:lang w:val="es-SV"/>
              </w:rPr>
              <w:t>59</w:t>
            </w:r>
          </w:p>
        </w:tc>
        <w:tc>
          <w:tcPr>
            <w:tcW w:w="947" w:type="dxa"/>
            <w:vAlign w:val="center"/>
          </w:tcPr>
          <w:p w:rsidR="00CD2A5A" w:rsidRDefault="00CD2A5A">
            <w:pPr>
              <w:spacing w:before="40" w:after="20"/>
              <w:ind w:right="98"/>
              <w:jc w:val="right"/>
              <w:rPr>
                <w:bCs/>
                <w:sz w:val="20"/>
                <w:szCs w:val="20"/>
                <w:lang w:val="es-SV"/>
              </w:rPr>
            </w:pPr>
            <w:r>
              <w:rPr>
                <w:bCs/>
                <w:sz w:val="20"/>
                <w:szCs w:val="20"/>
                <w:lang w:val="es-SV"/>
              </w:rPr>
              <w:t>10%</w:t>
            </w:r>
          </w:p>
        </w:tc>
        <w:tc>
          <w:tcPr>
            <w:tcW w:w="1101" w:type="dxa"/>
            <w:vAlign w:val="bottom"/>
          </w:tcPr>
          <w:p w:rsidR="00CD2A5A" w:rsidRDefault="00CD2A5A">
            <w:pPr>
              <w:spacing w:before="40" w:after="20"/>
              <w:ind w:right="98"/>
              <w:jc w:val="right"/>
              <w:rPr>
                <w:bCs/>
                <w:sz w:val="20"/>
                <w:szCs w:val="20"/>
                <w:lang w:val="es-SV"/>
              </w:rPr>
            </w:pPr>
            <w:r>
              <w:rPr>
                <w:bCs/>
                <w:sz w:val="20"/>
                <w:szCs w:val="20"/>
                <w:lang w:val="es-SV"/>
              </w:rPr>
              <w:t>303</w:t>
            </w:r>
          </w:p>
        </w:tc>
        <w:tc>
          <w:tcPr>
            <w:tcW w:w="843" w:type="dxa"/>
            <w:vAlign w:val="bottom"/>
          </w:tcPr>
          <w:p w:rsidR="00CD2A5A" w:rsidRDefault="00CD2A5A">
            <w:pPr>
              <w:spacing w:before="40" w:after="20"/>
              <w:ind w:right="98"/>
              <w:jc w:val="right"/>
              <w:rPr>
                <w:bCs/>
                <w:sz w:val="20"/>
                <w:szCs w:val="20"/>
                <w:lang w:val="es-SV"/>
              </w:rPr>
            </w:pPr>
            <w:r>
              <w:rPr>
                <w:bCs/>
                <w:sz w:val="20"/>
                <w:szCs w:val="20"/>
                <w:lang w:val="es-SV"/>
              </w:rPr>
              <w:t>6%</w:t>
            </w:r>
          </w:p>
        </w:tc>
      </w:tr>
      <w:tr w:rsidR="00CD2A5A">
        <w:trPr>
          <w:trHeight w:val="170"/>
          <w:jc w:val="center"/>
        </w:trPr>
        <w:tc>
          <w:tcPr>
            <w:tcW w:w="3119" w:type="dxa"/>
            <w:vAlign w:val="center"/>
          </w:tcPr>
          <w:p w:rsidR="00CD2A5A" w:rsidRDefault="00CD2A5A">
            <w:pPr>
              <w:spacing w:before="40" w:after="20"/>
              <w:rPr>
                <w:bCs/>
                <w:sz w:val="20"/>
                <w:szCs w:val="20"/>
                <w:lang w:val="es-SV"/>
              </w:rPr>
            </w:pPr>
            <w:r>
              <w:rPr>
                <w:bCs/>
                <w:sz w:val="20"/>
                <w:szCs w:val="20"/>
                <w:lang w:val="en-GB"/>
              </w:rPr>
              <w:t>Total</w:t>
            </w:r>
          </w:p>
        </w:tc>
        <w:tc>
          <w:tcPr>
            <w:tcW w:w="1134" w:type="dxa"/>
            <w:vAlign w:val="bottom"/>
          </w:tcPr>
          <w:p w:rsidR="00CD2A5A" w:rsidRDefault="00CD2A5A">
            <w:pPr>
              <w:spacing w:before="40" w:after="20"/>
              <w:ind w:right="98"/>
              <w:jc w:val="right"/>
              <w:rPr>
                <w:bCs/>
                <w:sz w:val="20"/>
                <w:szCs w:val="20"/>
                <w:lang w:val="es-SV"/>
              </w:rPr>
            </w:pPr>
            <w:r>
              <w:rPr>
                <w:bCs/>
                <w:sz w:val="20"/>
                <w:szCs w:val="20"/>
                <w:lang w:val="es-SV"/>
              </w:rPr>
              <w:t>4,369</w:t>
            </w:r>
          </w:p>
        </w:tc>
        <w:tc>
          <w:tcPr>
            <w:tcW w:w="1163" w:type="dxa"/>
            <w:vAlign w:val="bottom"/>
          </w:tcPr>
          <w:p w:rsidR="00CD2A5A" w:rsidRDefault="00CD2A5A">
            <w:pPr>
              <w:spacing w:before="40" w:after="20"/>
              <w:ind w:right="98"/>
              <w:jc w:val="right"/>
              <w:rPr>
                <w:bCs/>
                <w:sz w:val="20"/>
                <w:szCs w:val="20"/>
                <w:lang w:val="es-SV"/>
              </w:rPr>
            </w:pPr>
            <w:r>
              <w:rPr>
                <w:bCs/>
                <w:sz w:val="20"/>
                <w:szCs w:val="20"/>
                <w:lang w:val="es-SV"/>
              </w:rPr>
              <w:t>100%</w:t>
            </w:r>
          </w:p>
        </w:tc>
        <w:tc>
          <w:tcPr>
            <w:tcW w:w="1105" w:type="dxa"/>
            <w:vAlign w:val="bottom"/>
          </w:tcPr>
          <w:p w:rsidR="00CD2A5A" w:rsidRDefault="00CD2A5A">
            <w:pPr>
              <w:spacing w:before="40" w:after="20"/>
              <w:ind w:right="98"/>
              <w:jc w:val="right"/>
              <w:rPr>
                <w:bCs/>
                <w:sz w:val="20"/>
                <w:szCs w:val="20"/>
                <w:lang w:val="es-SV"/>
              </w:rPr>
            </w:pPr>
            <w:r>
              <w:rPr>
                <w:bCs/>
                <w:sz w:val="20"/>
                <w:szCs w:val="20"/>
                <w:lang w:val="es-SV"/>
              </w:rPr>
              <w:t>610</w:t>
            </w:r>
          </w:p>
        </w:tc>
        <w:tc>
          <w:tcPr>
            <w:tcW w:w="947" w:type="dxa"/>
            <w:vAlign w:val="center"/>
          </w:tcPr>
          <w:p w:rsidR="00CD2A5A" w:rsidRDefault="00CD2A5A">
            <w:pPr>
              <w:spacing w:before="40" w:after="20"/>
              <w:ind w:right="98"/>
              <w:jc w:val="right"/>
              <w:rPr>
                <w:bCs/>
                <w:sz w:val="20"/>
                <w:szCs w:val="20"/>
                <w:lang w:val="es-SV"/>
              </w:rPr>
            </w:pPr>
            <w:r>
              <w:rPr>
                <w:bCs/>
                <w:sz w:val="20"/>
                <w:szCs w:val="20"/>
                <w:lang w:val="es-SV"/>
              </w:rPr>
              <w:t>100%</w:t>
            </w:r>
          </w:p>
        </w:tc>
        <w:tc>
          <w:tcPr>
            <w:tcW w:w="1101" w:type="dxa"/>
            <w:vAlign w:val="bottom"/>
          </w:tcPr>
          <w:p w:rsidR="00CD2A5A" w:rsidRDefault="00CD2A5A">
            <w:pPr>
              <w:spacing w:before="40" w:after="20"/>
              <w:ind w:right="98"/>
              <w:jc w:val="right"/>
              <w:rPr>
                <w:bCs/>
                <w:sz w:val="20"/>
                <w:szCs w:val="20"/>
                <w:lang w:val="es-SV"/>
              </w:rPr>
            </w:pPr>
            <w:r>
              <w:rPr>
                <w:bCs/>
                <w:sz w:val="20"/>
                <w:szCs w:val="20"/>
                <w:lang w:val="es-SV"/>
              </w:rPr>
              <w:t>4,979</w:t>
            </w:r>
          </w:p>
        </w:tc>
        <w:tc>
          <w:tcPr>
            <w:tcW w:w="843" w:type="dxa"/>
            <w:vAlign w:val="bottom"/>
          </w:tcPr>
          <w:p w:rsidR="00CD2A5A" w:rsidRDefault="00CD2A5A">
            <w:pPr>
              <w:spacing w:before="40" w:after="20"/>
              <w:ind w:right="98"/>
              <w:jc w:val="right"/>
              <w:rPr>
                <w:bCs/>
                <w:sz w:val="20"/>
                <w:szCs w:val="20"/>
                <w:lang w:val="es-SV"/>
              </w:rPr>
            </w:pPr>
            <w:r>
              <w:rPr>
                <w:bCs/>
                <w:sz w:val="20"/>
                <w:szCs w:val="20"/>
                <w:lang w:val="es-SV"/>
              </w:rPr>
              <w:t>100%</w:t>
            </w:r>
          </w:p>
        </w:tc>
      </w:tr>
    </w:tbl>
    <w:p w:rsidR="00CD2A5A" w:rsidRDefault="00CD2A5A">
      <w:pPr>
        <w:pStyle w:val="Source"/>
        <w:spacing w:after="80"/>
        <w:rPr>
          <w:lang w:val="en-US"/>
        </w:rPr>
      </w:pPr>
      <w:r>
        <w:t>The remaining children making up 100 per cent were returned to their families or communities.</w:t>
      </w:r>
    </w:p>
    <w:p w:rsidR="00CD2A5A" w:rsidRDefault="00CD2A5A">
      <w:pPr>
        <w:pStyle w:val="Source"/>
        <w:rPr>
          <w:lang w:val="en-US"/>
        </w:rPr>
      </w:pPr>
      <w:r>
        <w:rPr>
          <w:i/>
        </w:rPr>
        <w:t>Source</w:t>
      </w:r>
      <w:r>
        <w:t>:</w:t>
      </w:r>
      <w:r>
        <w:rPr>
          <w:lang w:val="en-US"/>
        </w:rPr>
        <w:t xml:space="preserve"> </w:t>
      </w:r>
      <w:r>
        <w:t>ISNA</w:t>
      </w:r>
    </w:p>
    <w:p w:rsidR="00CD2A5A" w:rsidRDefault="00CD2A5A" w:rsidP="006228EF">
      <w:pPr>
        <w:pStyle w:val="A0"/>
        <w:rPr>
          <w:lang w:val="en-US"/>
        </w:rPr>
      </w:pPr>
      <w:r>
        <w:t>B.  Children temporarily separated from their parents by non-criminal court rulings</w:t>
      </w:r>
    </w:p>
    <w:p w:rsidR="00CD2A5A" w:rsidRDefault="00CD2A5A">
      <w:pPr>
        <w:keepNext/>
        <w:numPr>
          <w:ilvl w:val="0"/>
          <w:numId w:val="3"/>
        </w:numPr>
        <w:tabs>
          <w:tab w:val="clear" w:pos="720"/>
        </w:tabs>
        <w:spacing w:after="240"/>
        <w:ind w:left="0" w:firstLine="0"/>
        <w:rPr>
          <w:lang w:val="en-US"/>
        </w:rPr>
      </w:pPr>
      <w:r>
        <w:rPr>
          <w:lang w:val="en-GB"/>
        </w:rPr>
        <w:t>ISNA offers protection for children temporarily separated from their parents by non-criminal court rulings, and for breaches of criminal law, broken down as follows:</w:t>
      </w:r>
    </w:p>
    <w:p w:rsidR="00CD2A5A" w:rsidRDefault="00CD2A5A" w:rsidP="00CD2A5A">
      <w:pPr>
        <w:pStyle w:val="Figure"/>
        <w:rPr>
          <w:lang w:val="en-US"/>
        </w:rPr>
      </w:pPr>
      <w:r>
        <w:br w:type="page"/>
        <w:t>Figure 15</w:t>
      </w:r>
    </w:p>
    <w:p w:rsidR="00CD2A5A" w:rsidRDefault="00CD2A5A" w:rsidP="00CD2A5A">
      <w:pPr>
        <w:pStyle w:val="Figure"/>
        <w:rPr>
          <w:lang w:val="en-US"/>
        </w:rPr>
      </w:pPr>
      <w:r>
        <w:t>Children temporarily separated from their parents by non-criminal court rulings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1"/>
        <w:gridCol w:w="2920"/>
        <w:gridCol w:w="2921"/>
      </w:tblGrid>
      <w:tr w:rsidR="00CD2A5A">
        <w:trPr>
          <w:trHeight w:val="473"/>
          <w:jc w:val="center"/>
        </w:trPr>
        <w:tc>
          <w:tcPr>
            <w:tcW w:w="3571" w:type="dxa"/>
            <w:vAlign w:val="center"/>
          </w:tcPr>
          <w:p w:rsidR="00CD2A5A" w:rsidRDefault="00CD2A5A">
            <w:pPr>
              <w:spacing w:before="40" w:after="40"/>
              <w:jc w:val="center"/>
              <w:rPr>
                <w:b/>
                <w:i/>
                <w:sz w:val="20"/>
                <w:szCs w:val="20"/>
                <w:lang w:val="es-SV"/>
              </w:rPr>
            </w:pPr>
            <w:r>
              <w:rPr>
                <w:b/>
                <w:i/>
                <w:sz w:val="20"/>
                <w:szCs w:val="20"/>
                <w:lang w:val="en-GB"/>
              </w:rPr>
              <w:t>Ruling handed down by</w:t>
            </w:r>
          </w:p>
        </w:tc>
        <w:tc>
          <w:tcPr>
            <w:tcW w:w="2920" w:type="dxa"/>
            <w:vAlign w:val="center"/>
          </w:tcPr>
          <w:p w:rsidR="00CD2A5A" w:rsidRDefault="00CD2A5A">
            <w:pPr>
              <w:spacing w:before="40" w:after="40"/>
              <w:jc w:val="center"/>
              <w:rPr>
                <w:b/>
                <w:i/>
                <w:sz w:val="20"/>
                <w:szCs w:val="20"/>
                <w:lang w:val="es-SV"/>
              </w:rPr>
            </w:pPr>
            <w:r>
              <w:rPr>
                <w:b/>
                <w:i/>
                <w:sz w:val="20"/>
                <w:szCs w:val="20"/>
                <w:lang w:val="en-GB"/>
              </w:rPr>
              <w:t>Number of children</w:t>
            </w:r>
          </w:p>
        </w:tc>
        <w:tc>
          <w:tcPr>
            <w:tcW w:w="2921" w:type="dxa"/>
            <w:vAlign w:val="center"/>
          </w:tcPr>
          <w:p w:rsidR="00CD2A5A" w:rsidRDefault="00CD2A5A">
            <w:pPr>
              <w:spacing w:before="40" w:after="40"/>
              <w:jc w:val="center"/>
              <w:rPr>
                <w:b/>
                <w:i/>
                <w:sz w:val="20"/>
                <w:szCs w:val="20"/>
                <w:lang w:val="es-SV"/>
              </w:rPr>
            </w:pPr>
            <w:r>
              <w:rPr>
                <w:b/>
                <w:i/>
                <w:sz w:val="20"/>
                <w:szCs w:val="20"/>
                <w:lang w:val="es-SV"/>
              </w:rPr>
              <w:t>%</w:t>
            </w:r>
          </w:p>
        </w:tc>
      </w:tr>
      <w:tr w:rsidR="00CD2A5A">
        <w:trPr>
          <w:trHeight w:val="227"/>
          <w:jc w:val="center"/>
        </w:trPr>
        <w:tc>
          <w:tcPr>
            <w:tcW w:w="3571" w:type="dxa"/>
            <w:vAlign w:val="center"/>
          </w:tcPr>
          <w:p w:rsidR="00CD2A5A" w:rsidRDefault="00CD2A5A">
            <w:pPr>
              <w:spacing w:before="40" w:after="40"/>
              <w:rPr>
                <w:bCs/>
                <w:sz w:val="20"/>
                <w:szCs w:val="20"/>
                <w:lang w:val="es-SV"/>
              </w:rPr>
            </w:pPr>
            <w:r>
              <w:rPr>
                <w:bCs/>
                <w:sz w:val="20"/>
                <w:szCs w:val="20"/>
                <w:lang w:val="en-GB"/>
              </w:rPr>
              <w:t>Family courts</w:t>
            </w:r>
          </w:p>
        </w:tc>
        <w:tc>
          <w:tcPr>
            <w:tcW w:w="2920" w:type="dxa"/>
            <w:vAlign w:val="bottom"/>
          </w:tcPr>
          <w:p w:rsidR="00CD2A5A" w:rsidRDefault="00CD2A5A">
            <w:pPr>
              <w:spacing w:before="40" w:after="40"/>
              <w:ind w:right="1138"/>
              <w:jc w:val="right"/>
              <w:rPr>
                <w:sz w:val="20"/>
                <w:szCs w:val="20"/>
                <w:lang w:val="es-SV"/>
              </w:rPr>
            </w:pPr>
            <w:r>
              <w:rPr>
                <w:sz w:val="20"/>
                <w:szCs w:val="20"/>
                <w:lang w:val="es-SV"/>
              </w:rPr>
              <w:t>282</w:t>
            </w:r>
          </w:p>
        </w:tc>
        <w:tc>
          <w:tcPr>
            <w:tcW w:w="2921" w:type="dxa"/>
            <w:vAlign w:val="bottom"/>
          </w:tcPr>
          <w:p w:rsidR="00CD2A5A" w:rsidRDefault="00CD2A5A">
            <w:pPr>
              <w:spacing w:before="40" w:after="40"/>
              <w:ind w:right="1138"/>
              <w:jc w:val="center"/>
              <w:rPr>
                <w:sz w:val="20"/>
                <w:szCs w:val="20"/>
                <w:lang w:val="es-SV"/>
              </w:rPr>
            </w:pPr>
            <w:r>
              <w:rPr>
                <w:sz w:val="20"/>
                <w:szCs w:val="20"/>
                <w:lang w:val="es-SV"/>
              </w:rPr>
              <w:t>6%</w:t>
            </w:r>
          </w:p>
        </w:tc>
      </w:tr>
      <w:tr w:rsidR="00CD2A5A">
        <w:trPr>
          <w:trHeight w:val="227"/>
          <w:jc w:val="center"/>
        </w:trPr>
        <w:tc>
          <w:tcPr>
            <w:tcW w:w="3571" w:type="dxa"/>
            <w:vAlign w:val="center"/>
          </w:tcPr>
          <w:p w:rsidR="00CD2A5A" w:rsidRDefault="00CD2A5A">
            <w:pPr>
              <w:spacing w:before="40" w:after="40"/>
              <w:rPr>
                <w:bCs/>
                <w:sz w:val="20"/>
                <w:szCs w:val="20"/>
                <w:lang w:val="es-SV"/>
              </w:rPr>
            </w:pPr>
            <w:r>
              <w:rPr>
                <w:bCs/>
                <w:sz w:val="20"/>
                <w:szCs w:val="20"/>
                <w:lang w:val="en-GB"/>
              </w:rPr>
              <w:t>Other courts</w:t>
            </w:r>
          </w:p>
        </w:tc>
        <w:tc>
          <w:tcPr>
            <w:tcW w:w="2920" w:type="dxa"/>
            <w:vAlign w:val="bottom"/>
          </w:tcPr>
          <w:p w:rsidR="00CD2A5A" w:rsidRDefault="00CD2A5A">
            <w:pPr>
              <w:spacing w:before="40" w:after="40"/>
              <w:ind w:right="1138"/>
              <w:jc w:val="right"/>
              <w:rPr>
                <w:sz w:val="20"/>
                <w:szCs w:val="20"/>
                <w:lang w:val="es-SV"/>
              </w:rPr>
            </w:pPr>
            <w:r>
              <w:rPr>
                <w:sz w:val="20"/>
                <w:szCs w:val="20"/>
                <w:lang w:val="es-SV"/>
              </w:rPr>
              <w:t>36</w:t>
            </w:r>
          </w:p>
        </w:tc>
        <w:tc>
          <w:tcPr>
            <w:tcW w:w="2921" w:type="dxa"/>
            <w:vAlign w:val="bottom"/>
          </w:tcPr>
          <w:p w:rsidR="00CD2A5A" w:rsidRDefault="00CD2A5A">
            <w:pPr>
              <w:spacing w:before="40" w:after="40"/>
              <w:ind w:right="1138"/>
              <w:jc w:val="center"/>
              <w:rPr>
                <w:sz w:val="20"/>
                <w:szCs w:val="20"/>
                <w:lang w:val="es-SV"/>
              </w:rPr>
            </w:pPr>
            <w:r>
              <w:rPr>
                <w:sz w:val="20"/>
                <w:szCs w:val="20"/>
                <w:lang w:val="es-SV"/>
              </w:rPr>
              <w:t>1%</w:t>
            </w:r>
          </w:p>
        </w:tc>
      </w:tr>
      <w:tr w:rsidR="00CD2A5A">
        <w:trPr>
          <w:trHeight w:val="227"/>
          <w:jc w:val="center"/>
        </w:trPr>
        <w:tc>
          <w:tcPr>
            <w:tcW w:w="3571" w:type="dxa"/>
            <w:vAlign w:val="center"/>
          </w:tcPr>
          <w:p w:rsidR="00CD2A5A" w:rsidRDefault="00CD2A5A">
            <w:pPr>
              <w:spacing w:before="40" w:after="40"/>
              <w:rPr>
                <w:bCs/>
                <w:sz w:val="20"/>
                <w:szCs w:val="20"/>
                <w:lang w:val="es-SV"/>
              </w:rPr>
            </w:pPr>
            <w:r>
              <w:rPr>
                <w:bCs/>
                <w:sz w:val="20"/>
                <w:szCs w:val="20"/>
                <w:lang w:val="en-GB"/>
              </w:rPr>
              <w:t>Total</w:t>
            </w:r>
          </w:p>
        </w:tc>
        <w:tc>
          <w:tcPr>
            <w:tcW w:w="2920" w:type="dxa"/>
            <w:vAlign w:val="bottom"/>
          </w:tcPr>
          <w:p w:rsidR="00CD2A5A" w:rsidRDefault="00CD2A5A">
            <w:pPr>
              <w:spacing w:before="40" w:after="40"/>
              <w:ind w:right="1138"/>
              <w:jc w:val="right"/>
              <w:rPr>
                <w:bCs/>
                <w:sz w:val="20"/>
                <w:szCs w:val="20"/>
                <w:lang w:val="es-SV"/>
              </w:rPr>
            </w:pPr>
            <w:r>
              <w:rPr>
                <w:bCs/>
                <w:sz w:val="20"/>
                <w:szCs w:val="20"/>
                <w:lang w:val="es-SV"/>
              </w:rPr>
              <w:t>4.979</w:t>
            </w:r>
          </w:p>
        </w:tc>
        <w:tc>
          <w:tcPr>
            <w:tcW w:w="2921" w:type="dxa"/>
            <w:vAlign w:val="bottom"/>
          </w:tcPr>
          <w:p w:rsidR="00CD2A5A" w:rsidRDefault="00CD2A5A">
            <w:pPr>
              <w:spacing w:before="40" w:after="40"/>
              <w:ind w:right="1138"/>
              <w:jc w:val="center"/>
              <w:rPr>
                <w:bCs/>
                <w:sz w:val="20"/>
                <w:szCs w:val="20"/>
                <w:lang w:val="es-SV"/>
              </w:rPr>
            </w:pPr>
            <w:r>
              <w:rPr>
                <w:bCs/>
                <w:sz w:val="20"/>
                <w:szCs w:val="20"/>
                <w:lang w:val="es-SV"/>
              </w:rPr>
              <w:t>100%</w:t>
            </w:r>
          </w:p>
        </w:tc>
      </w:tr>
    </w:tbl>
    <w:p w:rsidR="00CD2A5A" w:rsidRDefault="00CD2A5A">
      <w:pPr>
        <w:spacing w:after="240"/>
        <w:rPr>
          <w:lang w:val="es-SV"/>
        </w:rPr>
      </w:pPr>
    </w:p>
    <w:p w:rsidR="00CD2A5A" w:rsidRDefault="00CD2A5A" w:rsidP="00CD2A5A">
      <w:pPr>
        <w:pStyle w:val="Figure"/>
        <w:rPr>
          <w:lang w:val="es-SV"/>
        </w:rPr>
      </w:pPr>
      <w:r>
        <w:t>Figure 16</w:t>
      </w:r>
      <w:r>
        <w:rPr>
          <w:lang w:val="es-SV"/>
        </w:rPr>
        <w:t xml:space="preserve"> </w:t>
      </w:r>
    </w:p>
    <w:p w:rsidR="00CD2A5A" w:rsidRDefault="00CD2A5A" w:rsidP="00CD2A5A">
      <w:pPr>
        <w:pStyle w:val="Figure"/>
        <w:rPr>
          <w:lang w:val="en-US"/>
        </w:rPr>
      </w:pPr>
      <w:r>
        <w:t>Children separated from their parents by juvenile criminal court rulings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2978"/>
        <w:gridCol w:w="1756"/>
      </w:tblGrid>
      <w:tr w:rsidR="00CD2A5A">
        <w:trPr>
          <w:cantSplit/>
          <w:trHeight w:val="255"/>
          <w:jc w:val="center"/>
        </w:trPr>
        <w:tc>
          <w:tcPr>
            <w:tcW w:w="4678" w:type="dxa"/>
            <w:vMerge w:val="restart"/>
            <w:noWrap/>
            <w:vAlign w:val="center"/>
          </w:tcPr>
          <w:p w:rsidR="00CD2A5A" w:rsidRDefault="00CD2A5A">
            <w:pPr>
              <w:pStyle w:val="Heading5"/>
              <w:spacing w:before="40" w:after="20"/>
              <w:jc w:val="center"/>
              <w:rPr>
                <w:i/>
                <w:color w:val="auto"/>
                <w:sz w:val="20"/>
                <w:szCs w:val="20"/>
                <w:lang w:val="es-SV"/>
              </w:rPr>
            </w:pPr>
            <w:r>
              <w:rPr>
                <w:i/>
                <w:color w:val="auto"/>
                <w:sz w:val="20"/>
                <w:szCs w:val="20"/>
                <w:lang w:val="en-GB"/>
              </w:rPr>
              <w:t>Population/age</w:t>
            </w:r>
          </w:p>
        </w:tc>
        <w:tc>
          <w:tcPr>
            <w:tcW w:w="4734" w:type="dxa"/>
            <w:gridSpan w:val="2"/>
            <w:noWrap/>
            <w:vAlign w:val="center"/>
          </w:tcPr>
          <w:p w:rsidR="00CD2A5A" w:rsidRDefault="00CD2A5A">
            <w:pPr>
              <w:spacing w:before="40" w:after="20"/>
              <w:jc w:val="center"/>
              <w:rPr>
                <w:b/>
                <w:bCs/>
                <w:i/>
                <w:sz w:val="20"/>
                <w:szCs w:val="20"/>
                <w:lang w:val="es-SV"/>
              </w:rPr>
            </w:pPr>
            <w:r>
              <w:rPr>
                <w:b/>
                <w:bCs/>
                <w:i/>
                <w:sz w:val="20"/>
                <w:szCs w:val="20"/>
                <w:lang w:val="en-GB"/>
              </w:rPr>
              <w:t>Total inmates</w:t>
            </w:r>
          </w:p>
        </w:tc>
      </w:tr>
      <w:tr w:rsidR="00CD2A5A">
        <w:trPr>
          <w:cantSplit/>
          <w:trHeight w:val="255"/>
          <w:jc w:val="center"/>
        </w:trPr>
        <w:tc>
          <w:tcPr>
            <w:tcW w:w="4678" w:type="dxa"/>
            <w:vMerge/>
            <w:noWrap/>
            <w:vAlign w:val="center"/>
          </w:tcPr>
          <w:p w:rsidR="00CD2A5A" w:rsidRDefault="00CD2A5A">
            <w:pPr>
              <w:spacing w:before="40" w:after="20"/>
              <w:jc w:val="center"/>
              <w:rPr>
                <w:b/>
                <w:bCs/>
                <w:i/>
                <w:sz w:val="20"/>
                <w:szCs w:val="20"/>
                <w:lang w:val="es-SV"/>
              </w:rPr>
            </w:pPr>
          </w:p>
        </w:tc>
        <w:tc>
          <w:tcPr>
            <w:tcW w:w="2978" w:type="dxa"/>
            <w:noWrap/>
            <w:vAlign w:val="center"/>
          </w:tcPr>
          <w:p w:rsidR="00CD2A5A" w:rsidRDefault="00CD2A5A">
            <w:pPr>
              <w:spacing w:before="40" w:after="20"/>
              <w:jc w:val="center"/>
              <w:rPr>
                <w:b/>
                <w:bCs/>
                <w:i/>
                <w:sz w:val="20"/>
                <w:szCs w:val="20"/>
                <w:lang w:val="es-SV"/>
              </w:rPr>
            </w:pPr>
            <w:r>
              <w:rPr>
                <w:b/>
                <w:bCs/>
                <w:i/>
                <w:sz w:val="20"/>
                <w:szCs w:val="20"/>
                <w:lang w:val="en-GB"/>
              </w:rPr>
              <w:t>Aged 18 and over</w:t>
            </w:r>
          </w:p>
        </w:tc>
        <w:tc>
          <w:tcPr>
            <w:tcW w:w="1756" w:type="dxa"/>
            <w:noWrap/>
            <w:vAlign w:val="center"/>
          </w:tcPr>
          <w:p w:rsidR="00CD2A5A" w:rsidRDefault="00CD2A5A">
            <w:pPr>
              <w:spacing w:before="40" w:after="20"/>
              <w:jc w:val="center"/>
              <w:rPr>
                <w:b/>
                <w:bCs/>
                <w:i/>
                <w:sz w:val="20"/>
                <w:szCs w:val="20"/>
                <w:lang w:val="es-SV"/>
              </w:rPr>
            </w:pPr>
            <w:r>
              <w:rPr>
                <w:b/>
                <w:bCs/>
                <w:i/>
                <w:sz w:val="20"/>
                <w:szCs w:val="20"/>
                <w:lang w:val="en-GB"/>
              </w:rPr>
              <w:t>Aged under 18</w:t>
            </w:r>
          </w:p>
        </w:tc>
      </w:tr>
      <w:tr w:rsidR="00CD2A5A">
        <w:trPr>
          <w:trHeight w:val="300"/>
          <w:jc w:val="center"/>
        </w:trPr>
        <w:tc>
          <w:tcPr>
            <w:tcW w:w="4678" w:type="dxa"/>
            <w:noWrap/>
            <w:vAlign w:val="bottom"/>
          </w:tcPr>
          <w:p w:rsidR="00CD2A5A" w:rsidRDefault="00CD2A5A">
            <w:pPr>
              <w:spacing w:before="40" w:after="20"/>
              <w:rPr>
                <w:sz w:val="20"/>
                <w:szCs w:val="20"/>
                <w:lang w:val="es-SV"/>
              </w:rPr>
            </w:pPr>
            <w:r>
              <w:rPr>
                <w:sz w:val="20"/>
                <w:szCs w:val="20"/>
                <w:lang w:val="en-GB"/>
              </w:rPr>
              <w:t>Definitive male inmates</w:t>
            </w:r>
          </w:p>
        </w:tc>
        <w:tc>
          <w:tcPr>
            <w:tcW w:w="2978" w:type="dxa"/>
            <w:noWrap/>
            <w:vAlign w:val="bottom"/>
          </w:tcPr>
          <w:p w:rsidR="00CD2A5A" w:rsidRDefault="00CD2A5A">
            <w:pPr>
              <w:spacing w:before="40" w:after="20"/>
              <w:ind w:right="1065"/>
              <w:jc w:val="right"/>
              <w:rPr>
                <w:sz w:val="20"/>
                <w:szCs w:val="20"/>
                <w:lang w:val="es-SV"/>
              </w:rPr>
            </w:pPr>
            <w:r>
              <w:rPr>
                <w:sz w:val="20"/>
                <w:szCs w:val="20"/>
                <w:lang w:val="es-SV"/>
              </w:rPr>
              <w:t>153</w:t>
            </w:r>
          </w:p>
        </w:tc>
        <w:tc>
          <w:tcPr>
            <w:tcW w:w="1756" w:type="dxa"/>
            <w:noWrap/>
            <w:vAlign w:val="bottom"/>
          </w:tcPr>
          <w:p w:rsidR="00CD2A5A" w:rsidRDefault="00CD2A5A">
            <w:pPr>
              <w:spacing w:before="40" w:after="20"/>
              <w:ind w:right="1065"/>
              <w:jc w:val="right"/>
              <w:rPr>
                <w:sz w:val="20"/>
                <w:szCs w:val="20"/>
                <w:lang w:val="es-SV"/>
              </w:rPr>
            </w:pPr>
            <w:r>
              <w:rPr>
                <w:sz w:val="20"/>
                <w:szCs w:val="20"/>
                <w:lang w:val="es-SV"/>
              </w:rPr>
              <w:t>129</w:t>
            </w:r>
          </w:p>
        </w:tc>
      </w:tr>
      <w:tr w:rsidR="00CD2A5A">
        <w:trPr>
          <w:trHeight w:val="300"/>
          <w:jc w:val="center"/>
        </w:trPr>
        <w:tc>
          <w:tcPr>
            <w:tcW w:w="4678" w:type="dxa"/>
            <w:noWrap/>
            <w:vAlign w:val="bottom"/>
          </w:tcPr>
          <w:p w:rsidR="00CD2A5A" w:rsidRDefault="00CD2A5A">
            <w:pPr>
              <w:spacing w:before="40" w:after="20"/>
              <w:rPr>
                <w:sz w:val="20"/>
                <w:szCs w:val="20"/>
                <w:lang w:val="es-SV"/>
              </w:rPr>
            </w:pPr>
            <w:r>
              <w:rPr>
                <w:sz w:val="20"/>
                <w:szCs w:val="20"/>
                <w:lang w:val="en-GB"/>
              </w:rPr>
              <w:t>Definitive female inmates</w:t>
            </w:r>
          </w:p>
        </w:tc>
        <w:tc>
          <w:tcPr>
            <w:tcW w:w="2978" w:type="dxa"/>
            <w:noWrap/>
            <w:vAlign w:val="bottom"/>
          </w:tcPr>
          <w:p w:rsidR="00CD2A5A" w:rsidRDefault="00CD2A5A">
            <w:pPr>
              <w:spacing w:before="40" w:after="20"/>
              <w:ind w:right="1065"/>
              <w:jc w:val="right"/>
              <w:rPr>
                <w:sz w:val="20"/>
                <w:szCs w:val="20"/>
                <w:lang w:val="es-SV"/>
              </w:rPr>
            </w:pPr>
            <w:r>
              <w:rPr>
                <w:sz w:val="20"/>
                <w:szCs w:val="20"/>
                <w:lang w:val="es-SV"/>
              </w:rPr>
              <w:t>8</w:t>
            </w:r>
          </w:p>
        </w:tc>
        <w:tc>
          <w:tcPr>
            <w:tcW w:w="1756" w:type="dxa"/>
            <w:noWrap/>
            <w:vAlign w:val="bottom"/>
          </w:tcPr>
          <w:p w:rsidR="00CD2A5A" w:rsidRDefault="00CD2A5A">
            <w:pPr>
              <w:spacing w:before="40" w:after="20"/>
              <w:ind w:right="1065"/>
              <w:jc w:val="right"/>
              <w:rPr>
                <w:sz w:val="20"/>
                <w:szCs w:val="20"/>
                <w:lang w:val="es-SV"/>
              </w:rPr>
            </w:pPr>
            <w:r>
              <w:rPr>
                <w:sz w:val="20"/>
                <w:szCs w:val="20"/>
                <w:lang w:val="es-SV"/>
              </w:rPr>
              <w:t>5</w:t>
            </w:r>
          </w:p>
        </w:tc>
      </w:tr>
      <w:tr w:rsidR="00CD2A5A">
        <w:trPr>
          <w:trHeight w:val="300"/>
          <w:jc w:val="center"/>
        </w:trPr>
        <w:tc>
          <w:tcPr>
            <w:tcW w:w="4678" w:type="dxa"/>
            <w:noWrap/>
            <w:vAlign w:val="bottom"/>
          </w:tcPr>
          <w:p w:rsidR="00CD2A5A" w:rsidRDefault="00CD2A5A">
            <w:pPr>
              <w:spacing w:before="40" w:after="20"/>
              <w:rPr>
                <w:sz w:val="20"/>
                <w:szCs w:val="20"/>
                <w:lang w:val="es-SV"/>
              </w:rPr>
            </w:pPr>
            <w:r>
              <w:rPr>
                <w:sz w:val="20"/>
                <w:szCs w:val="20"/>
                <w:lang w:val="en-GB"/>
              </w:rPr>
              <w:t>Interim male inmates</w:t>
            </w:r>
          </w:p>
        </w:tc>
        <w:tc>
          <w:tcPr>
            <w:tcW w:w="2978" w:type="dxa"/>
            <w:noWrap/>
            <w:vAlign w:val="bottom"/>
          </w:tcPr>
          <w:p w:rsidR="00CD2A5A" w:rsidRDefault="00CD2A5A">
            <w:pPr>
              <w:spacing w:before="40" w:after="20"/>
              <w:ind w:right="1065"/>
              <w:jc w:val="right"/>
              <w:rPr>
                <w:sz w:val="20"/>
                <w:szCs w:val="20"/>
                <w:lang w:val="es-SV"/>
              </w:rPr>
            </w:pPr>
            <w:r>
              <w:rPr>
                <w:sz w:val="20"/>
                <w:szCs w:val="20"/>
                <w:lang w:val="es-SV"/>
              </w:rPr>
              <w:t>19</w:t>
            </w:r>
          </w:p>
        </w:tc>
        <w:tc>
          <w:tcPr>
            <w:tcW w:w="1756" w:type="dxa"/>
            <w:noWrap/>
            <w:vAlign w:val="bottom"/>
          </w:tcPr>
          <w:p w:rsidR="00CD2A5A" w:rsidRDefault="00CD2A5A">
            <w:pPr>
              <w:spacing w:before="40" w:after="20"/>
              <w:ind w:right="1065"/>
              <w:jc w:val="right"/>
              <w:rPr>
                <w:sz w:val="20"/>
                <w:szCs w:val="20"/>
                <w:lang w:val="es-SV"/>
              </w:rPr>
            </w:pPr>
            <w:r>
              <w:rPr>
                <w:sz w:val="20"/>
                <w:szCs w:val="20"/>
                <w:lang w:val="es-SV"/>
              </w:rPr>
              <w:t>154</w:t>
            </w:r>
          </w:p>
        </w:tc>
      </w:tr>
      <w:tr w:rsidR="00CD2A5A">
        <w:trPr>
          <w:trHeight w:val="300"/>
          <w:jc w:val="center"/>
        </w:trPr>
        <w:tc>
          <w:tcPr>
            <w:tcW w:w="4678" w:type="dxa"/>
            <w:noWrap/>
            <w:vAlign w:val="bottom"/>
          </w:tcPr>
          <w:p w:rsidR="00CD2A5A" w:rsidRDefault="00CD2A5A">
            <w:pPr>
              <w:spacing w:before="40" w:after="20"/>
              <w:rPr>
                <w:sz w:val="20"/>
                <w:szCs w:val="20"/>
                <w:lang w:val="es-SV"/>
              </w:rPr>
            </w:pPr>
            <w:r>
              <w:rPr>
                <w:sz w:val="20"/>
                <w:szCs w:val="20"/>
                <w:lang w:val="en-GB"/>
              </w:rPr>
              <w:t>Interim female inmates</w:t>
            </w:r>
          </w:p>
        </w:tc>
        <w:tc>
          <w:tcPr>
            <w:tcW w:w="2978" w:type="dxa"/>
            <w:noWrap/>
            <w:vAlign w:val="bottom"/>
          </w:tcPr>
          <w:p w:rsidR="00CD2A5A" w:rsidRDefault="00CD2A5A">
            <w:pPr>
              <w:spacing w:before="40" w:after="20"/>
              <w:ind w:right="1065"/>
              <w:jc w:val="right"/>
              <w:rPr>
                <w:sz w:val="20"/>
                <w:szCs w:val="20"/>
                <w:lang w:val="es-SV"/>
              </w:rPr>
            </w:pPr>
            <w:r>
              <w:rPr>
                <w:sz w:val="20"/>
                <w:szCs w:val="20"/>
                <w:lang w:val="es-SV"/>
              </w:rPr>
              <w:t>2</w:t>
            </w:r>
          </w:p>
        </w:tc>
        <w:tc>
          <w:tcPr>
            <w:tcW w:w="1756" w:type="dxa"/>
            <w:noWrap/>
            <w:vAlign w:val="bottom"/>
          </w:tcPr>
          <w:p w:rsidR="00CD2A5A" w:rsidRDefault="00CD2A5A">
            <w:pPr>
              <w:spacing w:before="40" w:after="20"/>
              <w:ind w:right="1065"/>
              <w:jc w:val="right"/>
              <w:rPr>
                <w:sz w:val="20"/>
                <w:szCs w:val="20"/>
                <w:lang w:val="es-SV"/>
              </w:rPr>
            </w:pPr>
            <w:r>
              <w:rPr>
                <w:sz w:val="20"/>
                <w:szCs w:val="20"/>
                <w:lang w:val="es-SV"/>
              </w:rPr>
              <w:t>17</w:t>
            </w:r>
          </w:p>
        </w:tc>
      </w:tr>
      <w:tr w:rsidR="00CD2A5A">
        <w:trPr>
          <w:trHeight w:val="70"/>
          <w:jc w:val="center"/>
        </w:trPr>
        <w:tc>
          <w:tcPr>
            <w:tcW w:w="4678" w:type="dxa"/>
            <w:noWrap/>
            <w:vAlign w:val="bottom"/>
          </w:tcPr>
          <w:p w:rsidR="00CD2A5A" w:rsidRDefault="00CD2A5A">
            <w:pPr>
              <w:spacing w:before="40" w:after="20"/>
              <w:rPr>
                <w:bCs/>
                <w:sz w:val="20"/>
                <w:szCs w:val="20"/>
                <w:lang w:val="es-SV"/>
              </w:rPr>
            </w:pPr>
            <w:r>
              <w:rPr>
                <w:bCs/>
                <w:sz w:val="20"/>
                <w:szCs w:val="20"/>
                <w:lang w:val="en-GB"/>
              </w:rPr>
              <w:t>Subtotal</w:t>
            </w:r>
          </w:p>
        </w:tc>
        <w:tc>
          <w:tcPr>
            <w:tcW w:w="2978" w:type="dxa"/>
            <w:noWrap/>
            <w:vAlign w:val="bottom"/>
          </w:tcPr>
          <w:p w:rsidR="00CD2A5A" w:rsidRDefault="00CD2A5A">
            <w:pPr>
              <w:spacing w:before="40" w:after="20"/>
              <w:ind w:right="1065"/>
              <w:jc w:val="right"/>
              <w:rPr>
                <w:sz w:val="20"/>
                <w:szCs w:val="20"/>
                <w:lang w:val="es-SV"/>
              </w:rPr>
            </w:pPr>
            <w:r>
              <w:rPr>
                <w:sz w:val="20"/>
                <w:szCs w:val="20"/>
                <w:lang w:val="es-SV"/>
              </w:rPr>
              <w:t>182</w:t>
            </w:r>
          </w:p>
        </w:tc>
        <w:tc>
          <w:tcPr>
            <w:tcW w:w="1756" w:type="dxa"/>
            <w:vAlign w:val="bottom"/>
          </w:tcPr>
          <w:p w:rsidR="00CD2A5A" w:rsidRDefault="00CD2A5A">
            <w:pPr>
              <w:spacing w:before="40" w:after="20"/>
              <w:ind w:right="1065"/>
              <w:jc w:val="right"/>
              <w:rPr>
                <w:sz w:val="20"/>
                <w:szCs w:val="20"/>
                <w:lang w:val="es-SV"/>
              </w:rPr>
            </w:pPr>
            <w:r>
              <w:rPr>
                <w:sz w:val="20"/>
                <w:szCs w:val="20"/>
                <w:lang w:val="es-SV"/>
              </w:rPr>
              <w:t>305</w:t>
            </w:r>
          </w:p>
        </w:tc>
      </w:tr>
      <w:tr w:rsidR="00CD2A5A">
        <w:trPr>
          <w:trHeight w:val="255"/>
          <w:jc w:val="center"/>
        </w:trPr>
        <w:tc>
          <w:tcPr>
            <w:tcW w:w="4678" w:type="dxa"/>
            <w:noWrap/>
            <w:vAlign w:val="bottom"/>
          </w:tcPr>
          <w:p w:rsidR="00CD2A5A" w:rsidRDefault="00CD2A5A">
            <w:pPr>
              <w:spacing w:before="40" w:after="20"/>
              <w:rPr>
                <w:sz w:val="20"/>
                <w:szCs w:val="20"/>
                <w:lang w:val="es-SV"/>
              </w:rPr>
            </w:pPr>
            <w:r>
              <w:rPr>
                <w:sz w:val="20"/>
                <w:szCs w:val="20"/>
                <w:lang w:val="es-SV"/>
              </w:rPr>
              <w:t> </w:t>
            </w:r>
            <w:r>
              <w:rPr>
                <w:bCs/>
                <w:sz w:val="20"/>
                <w:szCs w:val="20"/>
                <w:lang w:val="en-GB"/>
              </w:rPr>
              <w:t>Total, all centres</w:t>
            </w:r>
          </w:p>
        </w:tc>
        <w:tc>
          <w:tcPr>
            <w:tcW w:w="4734" w:type="dxa"/>
            <w:gridSpan w:val="2"/>
            <w:noWrap/>
            <w:vAlign w:val="bottom"/>
          </w:tcPr>
          <w:p w:rsidR="00CD2A5A" w:rsidRDefault="00CD2A5A">
            <w:pPr>
              <w:spacing w:before="40" w:after="20"/>
              <w:jc w:val="right"/>
              <w:rPr>
                <w:sz w:val="20"/>
                <w:szCs w:val="20"/>
                <w:lang w:val="es-SV"/>
              </w:rPr>
            </w:pPr>
            <w:r>
              <w:rPr>
                <w:sz w:val="20"/>
                <w:szCs w:val="20"/>
                <w:lang w:val="es-SV"/>
              </w:rPr>
              <w:t>487</w:t>
            </w:r>
          </w:p>
        </w:tc>
      </w:tr>
    </w:tbl>
    <w:p w:rsidR="00CD2A5A" w:rsidRDefault="00CD2A5A">
      <w:pPr>
        <w:rPr>
          <w:lang w:val="es-SV"/>
        </w:rPr>
      </w:pPr>
    </w:p>
    <w:p w:rsidR="00CD2A5A" w:rsidRDefault="00CD2A5A">
      <w:pPr>
        <w:numPr>
          <w:ilvl w:val="0"/>
          <w:numId w:val="3"/>
        </w:numPr>
        <w:tabs>
          <w:tab w:val="clear" w:pos="720"/>
        </w:tabs>
        <w:spacing w:after="240"/>
        <w:ind w:left="0" w:firstLine="0"/>
        <w:rPr>
          <w:lang w:val="en-US"/>
        </w:rPr>
      </w:pPr>
      <w:r>
        <w:rPr>
          <w:lang w:val="en-GB"/>
        </w:rPr>
        <w:t>Children temporarily separated from their parents are housed in ISNA shelters and private institutions authorized by ISNA, with the following breakdown.</w:t>
      </w:r>
    </w:p>
    <w:p w:rsidR="00CD2A5A" w:rsidRDefault="00CD2A5A" w:rsidP="00CD2A5A">
      <w:pPr>
        <w:pStyle w:val="Figure"/>
        <w:rPr>
          <w:lang w:val="en-US"/>
        </w:rPr>
      </w:pPr>
      <w:r>
        <w:t>Figure 17</w:t>
      </w:r>
    </w:p>
    <w:p w:rsidR="00CD2A5A" w:rsidRDefault="00CD2A5A" w:rsidP="00CD2A5A">
      <w:pPr>
        <w:pStyle w:val="Figure"/>
        <w:rPr>
          <w:lang w:val="en-US"/>
        </w:rPr>
      </w:pPr>
      <w:r>
        <w:t>Number of centres and shelters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4"/>
        <w:gridCol w:w="3209"/>
        <w:gridCol w:w="2749"/>
      </w:tblGrid>
      <w:tr w:rsidR="00CD2A5A">
        <w:trPr>
          <w:trHeight w:val="381"/>
          <w:jc w:val="center"/>
        </w:trPr>
        <w:tc>
          <w:tcPr>
            <w:tcW w:w="3454" w:type="dxa"/>
            <w:noWrap/>
            <w:vAlign w:val="center"/>
          </w:tcPr>
          <w:p w:rsidR="00CD2A5A" w:rsidRDefault="00CD2A5A">
            <w:pPr>
              <w:spacing w:before="40" w:after="40"/>
              <w:jc w:val="center"/>
              <w:rPr>
                <w:b/>
                <w:i/>
                <w:sz w:val="20"/>
                <w:szCs w:val="20"/>
                <w:lang w:val="es-SV"/>
              </w:rPr>
            </w:pPr>
            <w:r>
              <w:rPr>
                <w:b/>
                <w:i/>
                <w:sz w:val="20"/>
                <w:szCs w:val="20"/>
                <w:lang w:val="en-GB"/>
              </w:rPr>
              <w:t>Geographical area</w:t>
            </w:r>
          </w:p>
        </w:tc>
        <w:tc>
          <w:tcPr>
            <w:tcW w:w="3209" w:type="dxa"/>
            <w:noWrap/>
            <w:vAlign w:val="center"/>
          </w:tcPr>
          <w:p w:rsidR="00CD2A5A" w:rsidRDefault="00CD2A5A">
            <w:pPr>
              <w:spacing w:before="40" w:after="40"/>
              <w:jc w:val="center"/>
              <w:rPr>
                <w:b/>
                <w:i/>
                <w:sz w:val="20"/>
                <w:szCs w:val="20"/>
                <w:lang w:val="es-SV"/>
              </w:rPr>
            </w:pPr>
            <w:r>
              <w:rPr>
                <w:b/>
                <w:i/>
                <w:sz w:val="20"/>
                <w:szCs w:val="20"/>
                <w:lang w:val="en-GB"/>
              </w:rPr>
              <w:t>Number of shelters</w:t>
            </w:r>
          </w:p>
        </w:tc>
        <w:tc>
          <w:tcPr>
            <w:tcW w:w="2749" w:type="dxa"/>
            <w:vAlign w:val="center"/>
          </w:tcPr>
          <w:p w:rsidR="00CD2A5A" w:rsidRDefault="00CD2A5A">
            <w:pPr>
              <w:spacing w:before="40" w:after="40"/>
              <w:jc w:val="center"/>
              <w:rPr>
                <w:b/>
                <w:i/>
                <w:sz w:val="20"/>
                <w:szCs w:val="20"/>
                <w:lang w:val="es-SV"/>
              </w:rPr>
            </w:pPr>
            <w:r>
              <w:rPr>
                <w:b/>
                <w:i/>
                <w:sz w:val="20"/>
                <w:szCs w:val="20"/>
                <w:lang w:val="en-GB"/>
              </w:rPr>
              <w:t>Approximate capacity</w:t>
            </w:r>
          </w:p>
        </w:tc>
      </w:tr>
      <w:tr w:rsidR="00CD2A5A">
        <w:trPr>
          <w:trHeight w:val="60"/>
          <w:jc w:val="center"/>
        </w:trPr>
        <w:tc>
          <w:tcPr>
            <w:tcW w:w="3454" w:type="dxa"/>
            <w:noWrap/>
            <w:vAlign w:val="bottom"/>
          </w:tcPr>
          <w:p w:rsidR="00CD2A5A" w:rsidRDefault="00CD2A5A">
            <w:pPr>
              <w:spacing w:before="40" w:after="40"/>
              <w:rPr>
                <w:sz w:val="20"/>
                <w:szCs w:val="20"/>
                <w:lang w:val="es-SV"/>
              </w:rPr>
            </w:pPr>
            <w:r>
              <w:rPr>
                <w:sz w:val="20"/>
                <w:szCs w:val="20"/>
                <w:lang w:val="en-GB"/>
              </w:rPr>
              <w:t>West</w:t>
            </w:r>
          </w:p>
        </w:tc>
        <w:tc>
          <w:tcPr>
            <w:tcW w:w="3209" w:type="dxa"/>
            <w:noWrap/>
            <w:vAlign w:val="bottom"/>
          </w:tcPr>
          <w:p w:rsidR="00CD2A5A" w:rsidRDefault="00CD2A5A">
            <w:pPr>
              <w:spacing w:before="40" w:after="40"/>
              <w:ind w:right="1348"/>
              <w:jc w:val="right"/>
              <w:rPr>
                <w:sz w:val="20"/>
                <w:szCs w:val="20"/>
                <w:lang w:val="es-SV"/>
              </w:rPr>
            </w:pPr>
            <w:r>
              <w:rPr>
                <w:sz w:val="20"/>
                <w:szCs w:val="20"/>
                <w:lang w:val="es-SV"/>
              </w:rPr>
              <w:t>11</w:t>
            </w:r>
          </w:p>
        </w:tc>
        <w:tc>
          <w:tcPr>
            <w:tcW w:w="2749" w:type="dxa"/>
          </w:tcPr>
          <w:p w:rsidR="00CD2A5A" w:rsidRDefault="00CD2A5A">
            <w:pPr>
              <w:spacing w:before="40" w:after="40"/>
              <w:ind w:right="1348"/>
              <w:jc w:val="right"/>
              <w:rPr>
                <w:sz w:val="20"/>
                <w:szCs w:val="20"/>
                <w:lang w:val="es-SV"/>
              </w:rPr>
            </w:pPr>
            <w:r>
              <w:rPr>
                <w:sz w:val="20"/>
                <w:szCs w:val="20"/>
                <w:lang w:val="es-SV"/>
              </w:rPr>
              <w:t>1,000</w:t>
            </w:r>
          </w:p>
        </w:tc>
      </w:tr>
      <w:tr w:rsidR="00CD2A5A">
        <w:trPr>
          <w:trHeight w:val="70"/>
          <w:jc w:val="center"/>
        </w:trPr>
        <w:tc>
          <w:tcPr>
            <w:tcW w:w="3454" w:type="dxa"/>
            <w:noWrap/>
            <w:vAlign w:val="bottom"/>
          </w:tcPr>
          <w:p w:rsidR="00CD2A5A" w:rsidRDefault="00CD2A5A">
            <w:pPr>
              <w:spacing w:before="40" w:after="40"/>
              <w:rPr>
                <w:sz w:val="20"/>
                <w:szCs w:val="20"/>
                <w:lang w:val="es-SV"/>
              </w:rPr>
            </w:pPr>
            <w:r>
              <w:rPr>
                <w:sz w:val="20"/>
                <w:szCs w:val="20"/>
                <w:lang w:val="en-GB"/>
              </w:rPr>
              <w:t>Centre and Paracentral</w:t>
            </w:r>
          </w:p>
        </w:tc>
        <w:tc>
          <w:tcPr>
            <w:tcW w:w="3209" w:type="dxa"/>
            <w:noWrap/>
            <w:vAlign w:val="bottom"/>
          </w:tcPr>
          <w:p w:rsidR="00CD2A5A" w:rsidRDefault="00CD2A5A">
            <w:pPr>
              <w:spacing w:before="40" w:after="40"/>
              <w:ind w:right="1348"/>
              <w:jc w:val="right"/>
              <w:rPr>
                <w:sz w:val="20"/>
                <w:szCs w:val="20"/>
                <w:lang w:val="es-SV"/>
              </w:rPr>
            </w:pPr>
            <w:r>
              <w:rPr>
                <w:sz w:val="20"/>
                <w:szCs w:val="20"/>
                <w:lang w:val="es-SV"/>
              </w:rPr>
              <w:t>34</w:t>
            </w:r>
          </w:p>
        </w:tc>
        <w:tc>
          <w:tcPr>
            <w:tcW w:w="2749" w:type="dxa"/>
          </w:tcPr>
          <w:p w:rsidR="00CD2A5A" w:rsidRDefault="00CD2A5A">
            <w:pPr>
              <w:spacing w:before="40" w:after="40"/>
              <w:ind w:right="1348"/>
              <w:jc w:val="right"/>
              <w:rPr>
                <w:sz w:val="20"/>
                <w:szCs w:val="20"/>
                <w:lang w:val="es-SV"/>
              </w:rPr>
            </w:pPr>
            <w:r>
              <w:rPr>
                <w:sz w:val="20"/>
                <w:szCs w:val="20"/>
                <w:lang w:val="es-SV"/>
              </w:rPr>
              <w:t>1,400</w:t>
            </w:r>
          </w:p>
        </w:tc>
      </w:tr>
      <w:tr w:rsidR="00CD2A5A">
        <w:trPr>
          <w:trHeight w:val="285"/>
          <w:jc w:val="center"/>
        </w:trPr>
        <w:tc>
          <w:tcPr>
            <w:tcW w:w="3454" w:type="dxa"/>
            <w:noWrap/>
            <w:vAlign w:val="bottom"/>
          </w:tcPr>
          <w:p w:rsidR="00CD2A5A" w:rsidRDefault="00CD2A5A">
            <w:pPr>
              <w:spacing w:before="40" w:after="40"/>
              <w:rPr>
                <w:sz w:val="20"/>
                <w:szCs w:val="20"/>
                <w:lang w:val="es-SV"/>
              </w:rPr>
            </w:pPr>
            <w:r>
              <w:rPr>
                <w:sz w:val="20"/>
                <w:szCs w:val="20"/>
                <w:lang w:val="en-GB"/>
              </w:rPr>
              <w:t>East</w:t>
            </w:r>
          </w:p>
        </w:tc>
        <w:tc>
          <w:tcPr>
            <w:tcW w:w="3209" w:type="dxa"/>
            <w:noWrap/>
            <w:vAlign w:val="bottom"/>
          </w:tcPr>
          <w:p w:rsidR="00CD2A5A" w:rsidRDefault="00CD2A5A">
            <w:pPr>
              <w:spacing w:before="40" w:after="40"/>
              <w:ind w:right="1348"/>
              <w:jc w:val="right"/>
              <w:rPr>
                <w:sz w:val="20"/>
                <w:szCs w:val="20"/>
                <w:lang w:val="es-SV"/>
              </w:rPr>
            </w:pPr>
            <w:r>
              <w:rPr>
                <w:sz w:val="20"/>
                <w:szCs w:val="20"/>
                <w:lang w:val="es-SV"/>
              </w:rPr>
              <w:t>6</w:t>
            </w:r>
          </w:p>
        </w:tc>
        <w:tc>
          <w:tcPr>
            <w:tcW w:w="2749" w:type="dxa"/>
          </w:tcPr>
          <w:p w:rsidR="00CD2A5A" w:rsidRDefault="00CD2A5A">
            <w:pPr>
              <w:spacing w:before="40" w:after="40"/>
              <w:ind w:right="1348"/>
              <w:jc w:val="right"/>
              <w:rPr>
                <w:sz w:val="20"/>
                <w:szCs w:val="20"/>
                <w:lang w:val="es-SV"/>
              </w:rPr>
            </w:pPr>
            <w:r>
              <w:rPr>
                <w:sz w:val="20"/>
                <w:szCs w:val="20"/>
                <w:lang w:val="es-SV"/>
              </w:rPr>
              <w:t>300</w:t>
            </w:r>
          </w:p>
        </w:tc>
      </w:tr>
      <w:tr w:rsidR="00CD2A5A">
        <w:trPr>
          <w:trHeight w:val="285"/>
          <w:jc w:val="center"/>
        </w:trPr>
        <w:tc>
          <w:tcPr>
            <w:tcW w:w="3454" w:type="dxa"/>
            <w:noWrap/>
            <w:vAlign w:val="bottom"/>
          </w:tcPr>
          <w:p w:rsidR="00CD2A5A" w:rsidRDefault="00CD2A5A">
            <w:pPr>
              <w:spacing w:before="40" w:after="40"/>
              <w:rPr>
                <w:sz w:val="20"/>
                <w:szCs w:val="20"/>
                <w:lang w:val="es-SV"/>
              </w:rPr>
            </w:pPr>
            <w:r>
              <w:rPr>
                <w:sz w:val="20"/>
                <w:szCs w:val="20"/>
                <w:lang w:val="en-GB"/>
              </w:rPr>
              <w:t>ISNA (nationwide)</w:t>
            </w:r>
          </w:p>
        </w:tc>
        <w:tc>
          <w:tcPr>
            <w:tcW w:w="3209" w:type="dxa"/>
            <w:noWrap/>
            <w:vAlign w:val="bottom"/>
          </w:tcPr>
          <w:p w:rsidR="00CD2A5A" w:rsidRDefault="00CD2A5A">
            <w:pPr>
              <w:spacing w:before="40" w:after="40"/>
              <w:ind w:right="1348"/>
              <w:jc w:val="right"/>
              <w:rPr>
                <w:sz w:val="20"/>
                <w:szCs w:val="20"/>
                <w:lang w:val="es-SV"/>
              </w:rPr>
            </w:pPr>
            <w:r>
              <w:rPr>
                <w:sz w:val="20"/>
                <w:szCs w:val="20"/>
                <w:lang w:val="es-SV"/>
              </w:rPr>
              <w:t>11</w:t>
            </w:r>
          </w:p>
        </w:tc>
        <w:tc>
          <w:tcPr>
            <w:tcW w:w="2749" w:type="dxa"/>
          </w:tcPr>
          <w:p w:rsidR="00CD2A5A" w:rsidRDefault="00CD2A5A">
            <w:pPr>
              <w:spacing w:before="40" w:after="40"/>
              <w:ind w:right="1348"/>
              <w:jc w:val="right"/>
              <w:rPr>
                <w:sz w:val="20"/>
                <w:szCs w:val="20"/>
                <w:lang w:val="es-SV"/>
              </w:rPr>
            </w:pPr>
            <w:r>
              <w:rPr>
                <w:sz w:val="20"/>
                <w:szCs w:val="20"/>
                <w:lang w:val="es-SV"/>
              </w:rPr>
              <w:t>1,200</w:t>
            </w:r>
          </w:p>
        </w:tc>
      </w:tr>
      <w:tr w:rsidR="00CD2A5A">
        <w:trPr>
          <w:trHeight w:val="285"/>
          <w:jc w:val="center"/>
        </w:trPr>
        <w:tc>
          <w:tcPr>
            <w:tcW w:w="3454" w:type="dxa"/>
            <w:noWrap/>
            <w:vAlign w:val="bottom"/>
          </w:tcPr>
          <w:p w:rsidR="00CD2A5A" w:rsidRDefault="00CD2A5A">
            <w:pPr>
              <w:spacing w:before="40" w:after="40"/>
              <w:rPr>
                <w:sz w:val="20"/>
                <w:szCs w:val="20"/>
                <w:lang w:val="es-SV"/>
              </w:rPr>
            </w:pPr>
            <w:r>
              <w:rPr>
                <w:sz w:val="20"/>
                <w:szCs w:val="20"/>
                <w:lang w:val="en-GB"/>
              </w:rPr>
              <w:t>Total</w:t>
            </w:r>
          </w:p>
        </w:tc>
        <w:tc>
          <w:tcPr>
            <w:tcW w:w="3209" w:type="dxa"/>
            <w:noWrap/>
            <w:vAlign w:val="bottom"/>
          </w:tcPr>
          <w:p w:rsidR="00CD2A5A" w:rsidRDefault="00CD2A5A">
            <w:pPr>
              <w:spacing w:before="40" w:after="40"/>
              <w:ind w:right="1348"/>
              <w:jc w:val="right"/>
              <w:rPr>
                <w:sz w:val="20"/>
                <w:szCs w:val="20"/>
                <w:lang w:val="es-SV"/>
              </w:rPr>
            </w:pPr>
            <w:r>
              <w:rPr>
                <w:sz w:val="20"/>
                <w:szCs w:val="20"/>
                <w:lang w:val="es-SV"/>
              </w:rPr>
              <w:t>62</w:t>
            </w:r>
          </w:p>
        </w:tc>
        <w:tc>
          <w:tcPr>
            <w:tcW w:w="2749" w:type="dxa"/>
          </w:tcPr>
          <w:p w:rsidR="00CD2A5A" w:rsidRDefault="00CD2A5A">
            <w:pPr>
              <w:spacing w:before="40" w:after="40"/>
              <w:ind w:right="1348"/>
              <w:jc w:val="right"/>
              <w:rPr>
                <w:sz w:val="20"/>
                <w:szCs w:val="20"/>
                <w:lang w:val="es-SV"/>
              </w:rPr>
            </w:pPr>
            <w:r>
              <w:rPr>
                <w:sz w:val="20"/>
                <w:szCs w:val="20"/>
                <w:lang w:val="es-SV"/>
              </w:rPr>
              <w:t>3,900</w:t>
            </w:r>
          </w:p>
        </w:tc>
      </w:tr>
    </w:tbl>
    <w:p w:rsidR="00CD2A5A" w:rsidRDefault="00CD2A5A">
      <w:pPr>
        <w:pStyle w:val="Source"/>
        <w:rPr>
          <w:lang w:val="es-SV"/>
        </w:rPr>
      </w:pPr>
      <w:r>
        <w:rPr>
          <w:i/>
        </w:rPr>
        <w:t>Source</w:t>
      </w:r>
      <w:r>
        <w:t>:</w:t>
      </w:r>
      <w:r>
        <w:rPr>
          <w:lang w:val="es-SV"/>
        </w:rPr>
        <w:t xml:space="preserve"> </w:t>
      </w:r>
      <w:r>
        <w:t>ISNA</w:t>
      </w:r>
    </w:p>
    <w:p w:rsidR="00CD2A5A" w:rsidRDefault="00CD2A5A">
      <w:pPr>
        <w:numPr>
          <w:ilvl w:val="0"/>
          <w:numId w:val="3"/>
        </w:numPr>
        <w:tabs>
          <w:tab w:val="clear" w:pos="720"/>
        </w:tabs>
        <w:spacing w:after="240"/>
        <w:ind w:left="0" w:firstLine="0"/>
        <w:rPr>
          <w:lang w:val="en-US"/>
        </w:rPr>
      </w:pPr>
      <w:r>
        <w:rPr>
          <w:lang w:val="en-GB"/>
        </w:rPr>
        <w:t>In 2004-2006, public and private centres catered for more than 10,000 children, as shown in the following table.</w:t>
      </w:r>
    </w:p>
    <w:p w:rsidR="00CD2A5A" w:rsidRDefault="00CD2A5A" w:rsidP="004E3307">
      <w:pPr>
        <w:pStyle w:val="Figure"/>
        <w:rPr>
          <w:lang w:val="en-US"/>
        </w:rPr>
      </w:pPr>
      <w:r>
        <w:t>Figure 18</w:t>
      </w:r>
      <w:r>
        <w:rPr>
          <w:lang w:val="en-US"/>
        </w:rPr>
        <w:t xml:space="preserve"> </w:t>
      </w:r>
    </w:p>
    <w:p w:rsidR="00CD2A5A" w:rsidRDefault="00CD2A5A" w:rsidP="004E3307">
      <w:pPr>
        <w:pStyle w:val="Figure"/>
        <w:rPr>
          <w:lang w:val="en-US"/>
        </w:rPr>
      </w:pPr>
      <w:r>
        <w:t>Population catered for in centres and shelters of ISNA and NGOs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8"/>
        <w:gridCol w:w="2242"/>
        <w:gridCol w:w="2242"/>
        <w:gridCol w:w="2240"/>
      </w:tblGrid>
      <w:tr w:rsidR="00CD2A5A">
        <w:trPr>
          <w:cantSplit/>
          <w:trHeight w:val="285"/>
          <w:jc w:val="center"/>
        </w:trPr>
        <w:tc>
          <w:tcPr>
            <w:tcW w:w="1428" w:type="pct"/>
            <w:vMerge w:val="restart"/>
            <w:noWrap/>
            <w:vAlign w:val="center"/>
          </w:tcPr>
          <w:p w:rsidR="00CD2A5A" w:rsidRDefault="00CD2A5A">
            <w:pPr>
              <w:pStyle w:val="Heading5"/>
              <w:spacing w:before="40" w:after="20"/>
              <w:jc w:val="center"/>
              <w:rPr>
                <w:i/>
                <w:color w:val="auto"/>
                <w:sz w:val="20"/>
                <w:szCs w:val="20"/>
                <w:lang w:val="es-SV"/>
              </w:rPr>
            </w:pPr>
            <w:r>
              <w:rPr>
                <w:i/>
                <w:color w:val="auto"/>
                <w:sz w:val="20"/>
                <w:szCs w:val="20"/>
                <w:lang w:val="en-GB"/>
              </w:rPr>
              <w:t>Institutions</w:t>
            </w:r>
          </w:p>
        </w:tc>
        <w:tc>
          <w:tcPr>
            <w:tcW w:w="3572" w:type="pct"/>
            <w:gridSpan w:val="3"/>
            <w:noWrap/>
            <w:vAlign w:val="center"/>
          </w:tcPr>
          <w:p w:rsidR="00CD2A5A" w:rsidRDefault="00CD2A5A">
            <w:pPr>
              <w:pStyle w:val="Heading5"/>
              <w:spacing w:before="40" w:after="20"/>
              <w:jc w:val="center"/>
              <w:rPr>
                <w:i/>
                <w:color w:val="auto"/>
                <w:sz w:val="20"/>
                <w:szCs w:val="20"/>
                <w:lang w:val="es-SV"/>
              </w:rPr>
            </w:pPr>
            <w:r>
              <w:rPr>
                <w:i/>
                <w:color w:val="auto"/>
                <w:sz w:val="20"/>
                <w:szCs w:val="20"/>
                <w:lang w:val="en-GB"/>
              </w:rPr>
              <w:t>Year</w:t>
            </w:r>
          </w:p>
        </w:tc>
      </w:tr>
      <w:tr w:rsidR="00CD2A5A">
        <w:trPr>
          <w:cantSplit/>
          <w:trHeight w:val="285"/>
          <w:jc w:val="center"/>
        </w:trPr>
        <w:tc>
          <w:tcPr>
            <w:tcW w:w="1428" w:type="pct"/>
            <w:vMerge/>
            <w:noWrap/>
            <w:vAlign w:val="center"/>
          </w:tcPr>
          <w:p w:rsidR="00CD2A5A" w:rsidRDefault="00CD2A5A">
            <w:pPr>
              <w:keepNext/>
              <w:spacing w:before="40" w:after="20"/>
              <w:jc w:val="center"/>
              <w:rPr>
                <w:b/>
                <w:i/>
                <w:sz w:val="20"/>
                <w:szCs w:val="20"/>
                <w:lang w:val="es-SV"/>
              </w:rPr>
            </w:pPr>
          </w:p>
        </w:tc>
        <w:tc>
          <w:tcPr>
            <w:tcW w:w="1191" w:type="pct"/>
            <w:noWrap/>
            <w:vAlign w:val="center"/>
          </w:tcPr>
          <w:p w:rsidR="00CD2A5A" w:rsidRDefault="00CD2A5A">
            <w:pPr>
              <w:keepNext/>
              <w:spacing w:before="40" w:after="20"/>
              <w:jc w:val="center"/>
              <w:rPr>
                <w:b/>
                <w:i/>
                <w:sz w:val="20"/>
                <w:szCs w:val="20"/>
                <w:lang w:val="es-SV"/>
              </w:rPr>
            </w:pPr>
            <w:r>
              <w:rPr>
                <w:b/>
                <w:i/>
                <w:sz w:val="20"/>
                <w:szCs w:val="20"/>
                <w:lang w:val="es-SV"/>
              </w:rPr>
              <w:t>2004</w:t>
            </w:r>
          </w:p>
        </w:tc>
        <w:tc>
          <w:tcPr>
            <w:tcW w:w="1191" w:type="pct"/>
            <w:noWrap/>
            <w:vAlign w:val="center"/>
          </w:tcPr>
          <w:p w:rsidR="00CD2A5A" w:rsidRDefault="00CD2A5A">
            <w:pPr>
              <w:keepNext/>
              <w:spacing w:before="40" w:after="20"/>
              <w:jc w:val="center"/>
              <w:rPr>
                <w:b/>
                <w:i/>
                <w:sz w:val="20"/>
                <w:szCs w:val="20"/>
                <w:lang w:val="es-SV"/>
              </w:rPr>
            </w:pPr>
            <w:r>
              <w:rPr>
                <w:b/>
                <w:i/>
                <w:sz w:val="20"/>
                <w:szCs w:val="20"/>
                <w:lang w:val="es-SV"/>
              </w:rPr>
              <w:t>2005</w:t>
            </w:r>
          </w:p>
        </w:tc>
        <w:tc>
          <w:tcPr>
            <w:tcW w:w="1190" w:type="pct"/>
            <w:noWrap/>
            <w:vAlign w:val="center"/>
          </w:tcPr>
          <w:p w:rsidR="00CD2A5A" w:rsidRDefault="00CD2A5A">
            <w:pPr>
              <w:keepNext/>
              <w:spacing w:before="40" w:after="20"/>
              <w:jc w:val="center"/>
              <w:rPr>
                <w:b/>
                <w:i/>
                <w:sz w:val="20"/>
                <w:szCs w:val="20"/>
                <w:lang w:val="es-SV"/>
              </w:rPr>
            </w:pPr>
            <w:r>
              <w:rPr>
                <w:b/>
                <w:i/>
                <w:sz w:val="20"/>
                <w:szCs w:val="20"/>
                <w:lang w:val="es-SV"/>
              </w:rPr>
              <w:t>2006</w:t>
            </w:r>
          </w:p>
        </w:tc>
      </w:tr>
      <w:tr w:rsidR="00CD2A5A">
        <w:trPr>
          <w:trHeight w:val="285"/>
          <w:jc w:val="center"/>
        </w:trPr>
        <w:tc>
          <w:tcPr>
            <w:tcW w:w="1428" w:type="pct"/>
            <w:noWrap/>
            <w:vAlign w:val="bottom"/>
          </w:tcPr>
          <w:p w:rsidR="00CD2A5A" w:rsidRDefault="00CD2A5A">
            <w:pPr>
              <w:keepNext/>
              <w:spacing w:before="40" w:after="20"/>
              <w:rPr>
                <w:sz w:val="20"/>
                <w:szCs w:val="20"/>
                <w:lang w:val="es-SV"/>
              </w:rPr>
            </w:pPr>
            <w:r>
              <w:rPr>
                <w:sz w:val="20"/>
                <w:szCs w:val="20"/>
                <w:lang w:val="en-GB"/>
              </w:rPr>
              <w:t>NGOs</w:t>
            </w:r>
            <w:r>
              <w:rPr>
                <w:sz w:val="20"/>
                <w:szCs w:val="20"/>
                <w:lang w:val="es-SV"/>
              </w:rPr>
              <w:t xml:space="preserve">  </w:t>
            </w:r>
          </w:p>
        </w:tc>
        <w:tc>
          <w:tcPr>
            <w:tcW w:w="1191" w:type="pct"/>
            <w:noWrap/>
            <w:vAlign w:val="bottom"/>
          </w:tcPr>
          <w:p w:rsidR="00CD2A5A" w:rsidRDefault="00CD2A5A">
            <w:pPr>
              <w:keepNext/>
              <w:spacing w:before="40" w:after="20"/>
              <w:ind w:right="749"/>
              <w:jc w:val="right"/>
              <w:rPr>
                <w:sz w:val="20"/>
                <w:szCs w:val="20"/>
                <w:lang w:val="es-SV"/>
              </w:rPr>
            </w:pPr>
            <w:r>
              <w:rPr>
                <w:sz w:val="20"/>
                <w:szCs w:val="20"/>
                <w:lang w:val="es-SV"/>
              </w:rPr>
              <w:t>2,520</w:t>
            </w:r>
          </w:p>
        </w:tc>
        <w:tc>
          <w:tcPr>
            <w:tcW w:w="1191" w:type="pct"/>
            <w:noWrap/>
            <w:vAlign w:val="bottom"/>
          </w:tcPr>
          <w:p w:rsidR="00CD2A5A" w:rsidRDefault="00CD2A5A">
            <w:pPr>
              <w:keepNext/>
              <w:spacing w:before="40" w:after="20"/>
              <w:ind w:right="749"/>
              <w:jc w:val="right"/>
              <w:rPr>
                <w:sz w:val="20"/>
                <w:szCs w:val="20"/>
                <w:lang w:val="es-SV"/>
              </w:rPr>
            </w:pPr>
            <w:r>
              <w:rPr>
                <w:sz w:val="20"/>
                <w:szCs w:val="20"/>
                <w:lang w:val="es-SV"/>
              </w:rPr>
              <w:t>2,464</w:t>
            </w:r>
          </w:p>
        </w:tc>
        <w:tc>
          <w:tcPr>
            <w:tcW w:w="1190" w:type="pct"/>
            <w:noWrap/>
            <w:vAlign w:val="center"/>
          </w:tcPr>
          <w:p w:rsidR="00CD2A5A" w:rsidRDefault="00CD2A5A">
            <w:pPr>
              <w:keepNext/>
              <w:spacing w:before="40" w:after="20"/>
              <w:ind w:right="749"/>
              <w:jc w:val="right"/>
              <w:rPr>
                <w:sz w:val="20"/>
                <w:szCs w:val="20"/>
                <w:lang w:val="es-SV"/>
              </w:rPr>
            </w:pPr>
            <w:r>
              <w:rPr>
                <w:sz w:val="20"/>
                <w:szCs w:val="20"/>
                <w:lang w:val="es-SV"/>
              </w:rPr>
              <w:t>2,765</w:t>
            </w:r>
          </w:p>
        </w:tc>
      </w:tr>
      <w:tr w:rsidR="00CD2A5A">
        <w:trPr>
          <w:trHeight w:val="285"/>
          <w:jc w:val="center"/>
        </w:trPr>
        <w:tc>
          <w:tcPr>
            <w:tcW w:w="1428" w:type="pct"/>
            <w:noWrap/>
            <w:vAlign w:val="bottom"/>
          </w:tcPr>
          <w:p w:rsidR="00CD2A5A" w:rsidRDefault="00CD2A5A">
            <w:pPr>
              <w:keepNext/>
              <w:spacing w:before="40" w:after="20"/>
              <w:rPr>
                <w:sz w:val="20"/>
                <w:szCs w:val="20"/>
                <w:lang w:val="es-SV"/>
              </w:rPr>
            </w:pPr>
            <w:r>
              <w:rPr>
                <w:sz w:val="20"/>
                <w:szCs w:val="20"/>
                <w:lang w:val="en-GB"/>
              </w:rPr>
              <w:t>ISNA</w:t>
            </w:r>
          </w:p>
        </w:tc>
        <w:tc>
          <w:tcPr>
            <w:tcW w:w="1191" w:type="pct"/>
            <w:noWrap/>
            <w:vAlign w:val="bottom"/>
          </w:tcPr>
          <w:p w:rsidR="00CD2A5A" w:rsidRDefault="00CD2A5A">
            <w:pPr>
              <w:keepNext/>
              <w:spacing w:before="40" w:after="20"/>
              <w:ind w:right="749"/>
              <w:jc w:val="right"/>
              <w:rPr>
                <w:sz w:val="20"/>
                <w:szCs w:val="20"/>
                <w:lang w:val="es-SV"/>
              </w:rPr>
            </w:pPr>
            <w:r>
              <w:rPr>
                <w:sz w:val="20"/>
                <w:szCs w:val="20"/>
                <w:lang w:val="es-SV"/>
              </w:rPr>
              <w:t>939</w:t>
            </w:r>
          </w:p>
        </w:tc>
        <w:tc>
          <w:tcPr>
            <w:tcW w:w="1191" w:type="pct"/>
            <w:noWrap/>
            <w:vAlign w:val="bottom"/>
          </w:tcPr>
          <w:p w:rsidR="00CD2A5A" w:rsidRDefault="00CD2A5A">
            <w:pPr>
              <w:keepNext/>
              <w:spacing w:before="40" w:after="20"/>
              <w:ind w:right="749"/>
              <w:jc w:val="right"/>
              <w:rPr>
                <w:sz w:val="20"/>
                <w:szCs w:val="20"/>
                <w:lang w:val="es-SV"/>
              </w:rPr>
            </w:pPr>
            <w:r>
              <w:rPr>
                <w:sz w:val="20"/>
                <w:szCs w:val="20"/>
                <w:lang w:val="es-SV"/>
              </w:rPr>
              <w:t>955</w:t>
            </w:r>
          </w:p>
        </w:tc>
        <w:tc>
          <w:tcPr>
            <w:tcW w:w="1190" w:type="pct"/>
            <w:noWrap/>
            <w:vAlign w:val="center"/>
          </w:tcPr>
          <w:p w:rsidR="00CD2A5A" w:rsidRDefault="00CD2A5A">
            <w:pPr>
              <w:keepNext/>
              <w:spacing w:before="40" w:after="20"/>
              <w:ind w:right="749"/>
              <w:jc w:val="right"/>
              <w:rPr>
                <w:sz w:val="20"/>
                <w:szCs w:val="20"/>
                <w:lang w:val="es-SV"/>
              </w:rPr>
            </w:pPr>
            <w:r>
              <w:rPr>
                <w:sz w:val="20"/>
                <w:szCs w:val="20"/>
                <w:lang w:val="es-SV"/>
              </w:rPr>
              <w:t>930</w:t>
            </w:r>
          </w:p>
        </w:tc>
      </w:tr>
      <w:tr w:rsidR="00CD2A5A">
        <w:trPr>
          <w:trHeight w:val="285"/>
          <w:jc w:val="center"/>
        </w:trPr>
        <w:tc>
          <w:tcPr>
            <w:tcW w:w="1428" w:type="pct"/>
            <w:noWrap/>
            <w:vAlign w:val="bottom"/>
          </w:tcPr>
          <w:p w:rsidR="00CD2A5A" w:rsidRDefault="00CD2A5A">
            <w:pPr>
              <w:keepNext/>
              <w:spacing w:before="40" w:after="20"/>
              <w:rPr>
                <w:sz w:val="20"/>
                <w:szCs w:val="20"/>
                <w:lang w:val="es-SV"/>
              </w:rPr>
            </w:pPr>
            <w:r>
              <w:rPr>
                <w:sz w:val="20"/>
                <w:szCs w:val="20"/>
                <w:lang w:val="en-GB"/>
              </w:rPr>
              <w:t>Total</w:t>
            </w:r>
          </w:p>
        </w:tc>
        <w:tc>
          <w:tcPr>
            <w:tcW w:w="1191" w:type="pct"/>
            <w:noWrap/>
            <w:vAlign w:val="bottom"/>
          </w:tcPr>
          <w:p w:rsidR="00CD2A5A" w:rsidRDefault="00CD2A5A">
            <w:pPr>
              <w:keepNext/>
              <w:spacing w:before="40" w:after="20"/>
              <w:ind w:right="749"/>
              <w:jc w:val="right"/>
              <w:rPr>
                <w:sz w:val="20"/>
                <w:szCs w:val="20"/>
                <w:lang w:val="es-SV"/>
              </w:rPr>
            </w:pPr>
            <w:r>
              <w:rPr>
                <w:sz w:val="20"/>
                <w:szCs w:val="20"/>
                <w:lang w:val="es-SV"/>
              </w:rPr>
              <w:t>3,459</w:t>
            </w:r>
          </w:p>
        </w:tc>
        <w:tc>
          <w:tcPr>
            <w:tcW w:w="1191" w:type="pct"/>
            <w:noWrap/>
            <w:vAlign w:val="bottom"/>
          </w:tcPr>
          <w:p w:rsidR="00CD2A5A" w:rsidRDefault="00CD2A5A">
            <w:pPr>
              <w:keepNext/>
              <w:spacing w:before="40" w:after="20"/>
              <w:ind w:right="749"/>
              <w:jc w:val="right"/>
              <w:rPr>
                <w:sz w:val="20"/>
                <w:szCs w:val="20"/>
                <w:lang w:val="es-SV"/>
              </w:rPr>
            </w:pPr>
            <w:r>
              <w:rPr>
                <w:sz w:val="20"/>
                <w:szCs w:val="20"/>
                <w:lang w:val="es-SV"/>
              </w:rPr>
              <w:t>3,419</w:t>
            </w:r>
          </w:p>
        </w:tc>
        <w:tc>
          <w:tcPr>
            <w:tcW w:w="1190" w:type="pct"/>
            <w:noWrap/>
            <w:vAlign w:val="center"/>
          </w:tcPr>
          <w:p w:rsidR="00CD2A5A" w:rsidRDefault="00CD2A5A">
            <w:pPr>
              <w:keepNext/>
              <w:spacing w:before="40" w:after="20"/>
              <w:ind w:right="749"/>
              <w:jc w:val="right"/>
              <w:rPr>
                <w:sz w:val="20"/>
                <w:szCs w:val="20"/>
                <w:lang w:val="es-SV"/>
              </w:rPr>
            </w:pPr>
            <w:r>
              <w:rPr>
                <w:sz w:val="20"/>
                <w:szCs w:val="20"/>
                <w:lang w:val="es-SV"/>
              </w:rPr>
              <w:t>3,695</w:t>
            </w:r>
          </w:p>
        </w:tc>
      </w:tr>
    </w:tbl>
    <w:p w:rsidR="00CD2A5A" w:rsidRDefault="00CD2A5A">
      <w:pPr>
        <w:pStyle w:val="Source"/>
      </w:pPr>
      <w:r>
        <w:rPr>
          <w:i/>
        </w:rPr>
        <w:t>Source</w:t>
      </w:r>
      <w:r>
        <w:t>: Child information system (SIPI) and reports of ISNA regional branches.</w:t>
      </w:r>
    </w:p>
    <w:p w:rsidR="00CD2A5A" w:rsidRDefault="00CD2A5A">
      <w:pPr>
        <w:numPr>
          <w:ilvl w:val="0"/>
          <w:numId w:val="3"/>
        </w:numPr>
        <w:tabs>
          <w:tab w:val="clear" w:pos="720"/>
        </w:tabs>
        <w:spacing w:after="240"/>
        <w:ind w:left="0" w:firstLine="0"/>
        <w:rPr>
          <w:lang w:val="en-US"/>
        </w:rPr>
      </w:pPr>
      <w:r>
        <w:rPr>
          <w:lang w:val="en-GB"/>
        </w:rPr>
        <w:t>Children not living with their families benefit from various programmes and services.</w:t>
      </w:r>
      <w:r>
        <w:rPr>
          <w:lang w:val="en-US"/>
        </w:rPr>
        <w:t xml:space="preserve"> </w:t>
      </w:r>
      <w:r>
        <w:rPr>
          <w:lang w:val="en-GB"/>
        </w:rPr>
        <w:t>ISNA’s goal in this context is to ensure that any child or adolescent whose rights have been violated is offered immediate and full protection as required, and involved in a process of restitution of rights, giving priority to the family alternative.</w:t>
      </w:r>
      <w:r>
        <w:rPr>
          <w:lang w:val="en-US"/>
        </w:rPr>
        <w:t xml:space="preserve"> </w:t>
      </w:r>
      <w:r>
        <w:rPr>
          <w:lang w:val="en-GB"/>
        </w:rPr>
        <w:t>They are offered all services, notably education, health, board and lodging.</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Measures adopted to mitigate the loss of the children’s family environment include the use of foster homes, where an average of 66 children are placed each year; these are subject to periodic monitoring by ISNA.</w:t>
      </w:r>
      <w:r>
        <w:rPr>
          <w:lang w:val="en-US"/>
        </w:rPr>
        <w:t xml:space="preserve"> </w:t>
      </w:r>
      <w:r>
        <w:rPr>
          <w:lang w:val="en-GB"/>
        </w:rPr>
        <w:t>An average of 20 per cent of children leave the ISNA shelters, an average of 739 a year out of 3,695 institutionalized children.</w:t>
      </w:r>
    </w:p>
    <w:p w:rsidR="00CD2A5A" w:rsidRDefault="00CD2A5A">
      <w:pPr>
        <w:numPr>
          <w:ilvl w:val="0"/>
          <w:numId w:val="3"/>
        </w:numPr>
        <w:tabs>
          <w:tab w:val="clear" w:pos="720"/>
        </w:tabs>
        <w:spacing w:after="240"/>
        <w:ind w:left="0" w:firstLine="0"/>
        <w:rPr>
          <w:lang w:val="en-US"/>
        </w:rPr>
      </w:pPr>
      <w:r>
        <w:rPr>
          <w:lang w:val="en-GB"/>
        </w:rPr>
        <w:t>Regarding the policy of reducing the number of children in public and private institutions, and reducing the length of their stay, ISNA has established a measure to handle them in no more than 30 days.</w:t>
      </w:r>
      <w:r>
        <w:rPr>
          <w:lang w:val="en-US"/>
        </w:rPr>
        <w:t xml:space="preserve"> </w:t>
      </w:r>
      <w:r>
        <w:rPr>
          <w:lang w:val="en-GB"/>
        </w:rPr>
        <w:t>In terms of policy, the decentralization of ISNA services lays more emphasis on the community, where community networks mobilize resources through the three regional branches and 10 local offices.</w:t>
      </w:r>
      <w:r>
        <w:rPr>
          <w:lang w:val="en-US"/>
        </w:rPr>
        <w:t xml:space="preserve"> </w:t>
      </w:r>
    </w:p>
    <w:p w:rsidR="00CD2A5A" w:rsidRDefault="00CD2A5A" w:rsidP="006228EF">
      <w:pPr>
        <w:pStyle w:val="A0"/>
        <w:rPr>
          <w:lang w:val="es-SV"/>
        </w:rPr>
      </w:pPr>
      <w:r>
        <w:t>C.  Alimony payments</w:t>
      </w:r>
    </w:p>
    <w:p w:rsidR="00CD2A5A" w:rsidRDefault="00CD2A5A">
      <w:pPr>
        <w:pStyle w:val="Header"/>
        <w:numPr>
          <w:ilvl w:val="0"/>
          <w:numId w:val="3"/>
        </w:numPr>
        <w:tabs>
          <w:tab w:val="clear" w:pos="720"/>
          <w:tab w:val="clear" w:pos="4252"/>
        </w:tabs>
        <w:spacing w:after="240"/>
        <w:ind w:left="0" w:firstLine="0"/>
        <w:rPr>
          <w:lang w:val="en-US"/>
        </w:rPr>
      </w:pPr>
      <w:r>
        <w:rPr>
          <w:lang w:val="en-GB"/>
        </w:rPr>
        <w:t>Under the Family Code, family courts have ordered alimony payments in more than 3,000 cases over the past three years.</w:t>
      </w:r>
    </w:p>
    <w:p w:rsidR="00CD2A5A" w:rsidRDefault="00CD2A5A" w:rsidP="00CD2A5A">
      <w:pPr>
        <w:pStyle w:val="Figure"/>
        <w:rPr>
          <w:lang w:val="en-US"/>
        </w:rPr>
      </w:pPr>
      <w:r>
        <w:t>Figure 19</w:t>
      </w:r>
    </w:p>
    <w:p w:rsidR="00CD2A5A" w:rsidRDefault="00CD2A5A" w:rsidP="00CD2A5A">
      <w:pPr>
        <w:pStyle w:val="Figure"/>
        <w:rPr>
          <w:lang w:val="en-US"/>
        </w:rPr>
      </w:pPr>
      <w:r>
        <w:t>Alimony granted for minors (2004-2006), broken down by gender.</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73"/>
        <w:gridCol w:w="1117"/>
        <w:gridCol w:w="686"/>
        <w:gridCol w:w="686"/>
        <w:gridCol w:w="525"/>
        <w:gridCol w:w="525"/>
        <w:gridCol w:w="525"/>
        <w:gridCol w:w="525"/>
        <w:gridCol w:w="525"/>
        <w:gridCol w:w="525"/>
      </w:tblGrid>
      <w:tr w:rsidR="00CD2A5A">
        <w:trPr>
          <w:cantSplit/>
          <w:trHeight w:val="375"/>
          <w:jc w:val="center"/>
        </w:trPr>
        <w:tc>
          <w:tcPr>
            <w:tcW w:w="2005" w:type="pct"/>
            <w:vMerge w:val="restart"/>
            <w:vAlign w:val="center"/>
          </w:tcPr>
          <w:p w:rsidR="00CD2A5A" w:rsidRDefault="00CD2A5A">
            <w:pPr>
              <w:spacing w:before="40" w:after="20"/>
              <w:jc w:val="center"/>
              <w:rPr>
                <w:b/>
                <w:i/>
                <w:sz w:val="20"/>
                <w:szCs w:val="20"/>
                <w:lang w:val="es-SV"/>
              </w:rPr>
            </w:pPr>
            <w:r>
              <w:rPr>
                <w:b/>
                <w:i/>
                <w:sz w:val="20"/>
                <w:szCs w:val="20"/>
                <w:lang w:val="en-GB"/>
              </w:rPr>
              <w:t>Family courts</w:t>
            </w:r>
          </w:p>
        </w:tc>
        <w:tc>
          <w:tcPr>
            <w:tcW w:w="1324" w:type="pct"/>
            <w:gridSpan w:val="3"/>
            <w:vAlign w:val="center"/>
          </w:tcPr>
          <w:p w:rsidR="00CD2A5A" w:rsidRDefault="00CD2A5A">
            <w:pPr>
              <w:spacing w:before="40" w:after="20"/>
              <w:jc w:val="center"/>
              <w:rPr>
                <w:b/>
                <w:i/>
                <w:sz w:val="20"/>
                <w:szCs w:val="20"/>
                <w:lang w:val="es-SV"/>
              </w:rPr>
            </w:pPr>
            <w:r>
              <w:rPr>
                <w:b/>
                <w:i/>
                <w:sz w:val="20"/>
                <w:szCs w:val="20"/>
                <w:lang w:val="en-GB"/>
              </w:rPr>
              <w:t>Total</w:t>
            </w:r>
          </w:p>
        </w:tc>
        <w:tc>
          <w:tcPr>
            <w:tcW w:w="558" w:type="pct"/>
            <w:gridSpan w:val="2"/>
            <w:vAlign w:val="center"/>
          </w:tcPr>
          <w:p w:rsidR="00CD2A5A" w:rsidRDefault="00CD2A5A">
            <w:pPr>
              <w:spacing w:before="40" w:after="20"/>
              <w:jc w:val="center"/>
              <w:rPr>
                <w:b/>
                <w:i/>
                <w:sz w:val="20"/>
                <w:szCs w:val="20"/>
                <w:lang w:val="es-SV"/>
              </w:rPr>
            </w:pPr>
            <w:r>
              <w:rPr>
                <w:b/>
                <w:i/>
                <w:sz w:val="20"/>
                <w:szCs w:val="20"/>
                <w:lang w:val="en-GB"/>
              </w:rPr>
              <w:t>2004</w:t>
            </w:r>
          </w:p>
        </w:tc>
        <w:tc>
          <w:tcPr>
            <w:tcW w:w="558" w:type="pct"/>
            <w:gridSpan w:val="2"/>
            <w:vAlign w:val="center"/>
          </w:tcPr>
          <w:p w:rsidR="00CD2A5A" w:rsidRDefault="00CD2A5A">
            <w:pPr>
              <w:spacing w:before="40" w:after="20"/>
              <w:jc w:val="center"/>
              <w:rPr>
                <w:b/>
                <w:i/>
                <w:sz w:val="20"/>
                <w:szCs w:val="20"/>
                <w:lang w:val="es-SV"/>
              </w:rPr>
            </w:pPr>
            <w:r>
              <w:rPr>
                <w:b/>
                <w:i/>
                <w:sz w:val="20"/>
                <w:szCs w:val="20"/>
                <w:lang w:val="en-GB"/>
              </w:rPr>
              <w:t>2005</w:t>
            </w:r>
          </w:p>
        </w:tc>
        <w:tc>
          <w:tcPr>
            <w:tcW w:w="555" w:type="pct"/>
            <w:gridSpan w:val="2"/>
            <w:vAlign w:val="center"/>
          </w:tcPr>
          <w:p w:rsidR="00CD2A5A" w:rsidRDefault="00CD2A5A">
            <w:pPr>
              <w:spacing w:before="40" w:after="20"/>
              <w:jc w:val="center"/>
              <w:rPr>
                <w:b/>
                <w:i/>
                <w:sz w:val="20"/>
                <w:szCs w:val="20"/>
                <w:lang w:val="es-SV"/>
              </w:rPr>
            </w:pPr>
            <w:r>
              <w:rPr>
                <w:b/>
                <w:i/>
                <w:sz w:val="20"/>
                <w:szCs w:val="20"/>
                <w:lang w:val="en-GB"/>
              </w:rPr>
              <w:t>2006</w:t>
            </w:r>
          </w:p>
        </w:tc>
      </w:tr>
      <w:tr w:rsidR="00CD2A5A">
        <w:trPr>
          <w:cantSplit/>
          <w:trHeight w:val="360"/>
          <w:jc w:val="center"/>
        </w:trPr>
        <w:tc>
          <w:tcPr>
            <w:tcW w:w="2005" w:type="pct"/>
            <w:vMerge/>
            <w:vAlign w:val="center"/>
          </w:tcPr>
          <w:p w:rsidR="00CD2A5A" w:rsidRDefault="00CD2A5A">
            <w:pPr>
              <w:spacing w:before="40" w:after="20"/>
              <w:jc w:val="center"/>
              <w:rPr>
                <w:b/>
                <w:i/>
                <w:sz w:val="20"/>
                <w:szCs w:val="20"/>
                <w:lang w:val="es-SV"/>
              </w:rPr>
            </w:pPr>
          </w:p>
        </w:tc>
        <w:tc>
          <w:tcPr>
            <w:tcW w:w="594" w:type="pct"/>
            <w:vAlign w:val="center"/>
          </w:tcPr>
          <w:p w:rsidR="00CD2A5A" w:rsidRDefault="00CD2A5A">
            <w:pPr>
              <w:spacing w:before="40" w:after="20"/>
              <w:jc w:val="center"/>
              <w:rPr>
                <w:b/>
                <w:i/>
                <w:sz w:val="20"/>
                <w:szCs w:val="20"/>
                <w:lang w:val="es-SV"/>
              </w:rPr>
            </w:pPr>
            <w:r>
              <w:rPr>
                <w:b/>
                <w:i/>
                <w:sz w:val="20"/>
                <w:szCs w:val="20"/>
                <w:lang w:val="en-GB"/>
              </w:rPr>
              <w:t>Total</w:t>
            </w:r>
          </w:p>
        </w:tc>
        <w:tc>
          <w:tcPr>
            <w:tcW w:w="365" w:type="pct"/>
            <w:vAlign w:val="center"/>
          </w:tcPr>
          <w:p w:rsidR="00CD2A5A" w:rsidRDefault="00CD2A5A">
            <w:pPr>
              <w:spacing w:before="40" w:after="20"/>
              <w:jc w:val="center"/>
              <w:rPr>
                <w:b/>
                <w:i/>
                <w:sz w:val="20"/>
                <w:szCs w:val="20"/>
                <w:lang w:val="es-SV"/>
              </w:rPr>
            </w:pPr>
            <w:r>
              <w:rPr>
                <w:b/>
                <w:i/>
                <w:sz w:val="20"/>
                <w:szCs w:val="20"/>
                <w:lang w:val="en-GB"/>
              </w:rPr>
              <w:t>F</w:t>
            </w:r>
          </w:p>
        </w:tc>
        <w:tc>
          <w:tcPr>
            <w:tcW w:w="365" w:type="pct"/>
            <w:vAlign w:val="center"/>
          </w:tcPr>
          <w:p w:rsidR="00CD2A5A" w:rsidRDefault="00CD2A5A">
            <w:pPr>
              <w:spacing w:before="40" w:after="20"/>
              <w:jc w:val="center"/>
              <w:rPr>
                <w:b/>
                <w:i/>
                <w:sz w:val="20"/>
                <w:szCs w:val="20"/>
                <w:lang w:val="en-US"/>
              </w:rPr>
            </w:pPr>
            <w:r>
              <w:rPr>
                <w:b/>
                <w:i/>
                <w:sz w:val="20"/>
                <w:szCs w:val="20"/>
                <w:lang w:val="en-GB"/>
              </w:rPr>
              <w:t>M</w:t>
            </w:r>
          </w:p>
        </w:tc>
        <w:tc>
          <w:tcPr>
            <w:tcW w:w="279" w:type="pct"/>
            <w:vAlign w:val="center"/>
          </w:tcPr>
          <w:p w:rsidR="00CD2A5A" w:rsidRDefault="00CD2A5A">
            <w:pPr>
              <w:spacing w:before="40" w:after="20"/>
              <w:jc w:val="center"/>
              <w:rPr>
                <w:b/>
                <w:i/>
                <w:sz w:val="20"/>
                <w:szCs w:val="20"/>
                <w:lang w:val="en-US"/>
              </w:rPr>
            </w:pPr>
            <w:r>
              <w:rPr>
                <w:b/>
                <w:i/>
                <w:sz w:val="20"/>
                <w:szCs w:val="20"/>
                <w:lang w:val="en-GB"/>
              </w:rPr>
              <w:t>F</w:t>
            </w:r>
          </w:p>
        </w:tc>
        <w:tc>
          <w:tcPr>
            <w:tcW w:w="279" w:type="pct"/>
            <w:vAlign w:val="center"/>
          </w:tcPr>
          <w:p w:rsidR="00CD2A5A" w:rsidRDefault="00CD2A5A">
            <w:pPr>
              <w:spacing w:before="40" w:after="20"/>
              <w:jc w:val="center"/>
              <w:rPr>
                <w:b/>
                <w:i/>
                <w:sz w:val="20"/>
                <w:szCs w:val="20"/>
                <w:lang w:val="en-US"/>
              </w:rPr>
            </w:pPr>
            <w:r>
              <w:rPr>
                <w:b/>
                <w:i/>
                <w:sz w:val="20"/>
                <w:szCs w:val="20"/>
                <w:lang w:val="en-GB"/>
              </w:rPr>
              <w:t>M</w:t>
            </w:r>
          </w:p>
        </w:tc>
        <w:tc>
          <w:tcPr>
            <w:tcW w:w="279" w:type="pct"/>
            <w:vAlign w:val="center"/>
          </w:tcPr>
          <w:p w:rsidR="00CD2A5A" w:rsidRDefault="00CD2A5A">
            <w:pPr>
              <w:spacing w:before="40" w:after="20"/>
              <w:jc w:val="center"/>
              <w:rPr>
                <w:b/>
                <w:i/>
                <w:sz w:val="20"/>
                <w:szCs w:val="20"/>
                <w:lang w:val="en-US"/>
              </w:rPr>
            </w:pPr>
            <w:r>
              <w:rPr>
                <w:b/>
                <w:i/>
                <w:sz w:val="20"/>
                <w:szCs w:val="20"/>
                <w:lang w:val="en-GB"/>
              </w:rPr>
              <w:t>F</w:t>
            </w:r>
          </w:p>
        </w:tc>
        <w:tc>
          <w:tcPr>
            <w:tcW w:w="279" w:type="pct"/>
            <w:vAlign w:val="center"/>
          </w:tcPr>
          <w:p w:rsidR="00CD2A5A" w:rsidRDefault="00CD2A5A">
            <w:pPr>
              <w:spacing w:before="40" w:after="20"/>
              <w:jc w:val="center"/>
              <w:rPr>
                <w:b/>
                <w:i/>
                <w:sz w:val="20"/>
                <w:szCs w:val="20"/>
                <w:lang w:val="en-US"/>
              </w:rPr>
            </w:pPr>
            <w:r>
              <w:rPr>
                <w:b/>
                <w:i/>
                <w:sz w:val="20"/>
                <w:szCs w:val="20"/>
                <w:lang w:val="en-GB"/>
              </w:rPr>
              <w:t>M</w:t>
            </w:r>
          </w:p>
        </w:tc>
        <w:tc>
          <w:tcPr>
            <w:tcW w:w="279" w:type="pct"/>
            <w:vAlign w:val="center"/>
          </w:tcPr>
          <w:p w:rsidR="00CD2A5A" w:rsidRDefault="00CD2A5A">
            <w:pPr>
              <w:spacing w:before="40" w:after="20"/>
              <w:jc w:val="center"/>
              <w:rPr>
                <w:b/>
                <w:i/>
                <w:sz w:val="20"/>
                <w:szCs w:val="20"/>
                <w:lang w:val="en-US"/>
              </w:rPr>
            </w:pPr>
            <w:r>
              <w:rPr>
                <w:b/>
                <w:i/>
                <w:sz w:val="20"/>
                <w:szCs w:val="20"/>
                <w:lang w:val="en-GB"/>
              </w:rPr>
              <w:t>F</w:t>
            </w:r>
          </w:p>
        </w:tc>
        <w:tc>
          <w:tcPr>
            <w:tcW w:w="276" w:type="pct"/>
            <w:vAlign w:val="center"/>
          </w:tcPr>
          <w:p w:rsidR="00CD2A5A" w:rsidRDefault="00CD2A5A">
            <w:pPr>
              <w:spacing w:before="40" w:after="20"/>
              <w:jc w:val="center"/>
              <w:rPr>
                <w:b/>
                <w:i/>
                <w:sz w:val="20"/>
                <w:szCs w:val="20"/>
                <w:lang w:val="es-SV"/>
              </w:rPr>
            </w:pPr>
            <w:r>
              <w:rPr>
                <w:b/>
                <w:i/>
                <w:sz w:val="20"/>
                <w:szCs w:val="20"/>
                <w:lang w:val="en-GB"/>
              </w:rPr>
              <w:t>M</w:t>
            </w:r>
          </w:p>
        </w:tc>
      </w:tr>
      <w:tr w:rsidR="00CD2A5A">
        <w:trPr>
          <w:trHeight w:val="480"/>
          <w:jc w:val="center"/>
        </w:trPr>
        <w:tc>
          <w:tcPr>
            <w:tcW w:w="2005" w:type="pct"/>
            <w:vAlign w:val="center"/>
          </w:tcPr>
          <w:p w:rsidR="00CD2A5A" w:rsidRDefault="00CD2A5A">
            <w:pPr>
              <w:spacing w:before="40" w:after="20"/>
              <w:rPr>
                <w:sz w:val="20"/>
                <w:szCs w:val="20"/>
                <w:lang w:val="es-SV"/>
              </w:rPr>
            </w:pPr>
            <w:r>
              <w:rPr>
                <w:sz w:val="20"/>
                <w:szCs w:val="20"/>
                <w:lang w:val="en-GB"/>
              </w:rPr>
              <w:t>Total</w:t>
            </w:r>
          </w:p>
        </w:tc>
        <w:tc>
          <w:tcPr>
            <w:tcW w:w="594" w:type="pct"/>
            <w:vAlign w:val="center"/>
          </w:tcPr>
          <w:p w:rsidR="00CD2A5A" w:rsidRDefault="00CD2A5A">
            <w:pPr>
              <w:spacing w:before="40" w:after="20"/>
              <w:ind w:right="215"/>
              <w:jc w:val="right"/>
              <w:rPr>
                <w:sz w:val="20"/>
                <w:szCs w:val="20"/>
                <w:lang w:val="es-SV"/>
              </w:rPr>
            </w:pPr>
            <w:r>
              <w:rPr>
                <w:sz w:val="20"/>
                <w:szCs w:val="20"/>
                <w:lang w:val="es-SV"/>
              </w:rPr>
              <w:t>3,049</w:t>
            </w:r>
          </w:p>
        </w:tc>
        <w:tc>
          <w:tcPr>
            <w:tcW w:w="365" w:type="pct"/>
            <w:vAlign w:val="center"/>
          </w:tcPr>
          <w:p w:rsidR="00CD2A5A" w:rsidRDefault="00CD2A5A">
            <w:pPr>
              <w:spacing w:before="40" w:after="20"/>
              <w:ind w:right="215"/>
              <w:jc w:val="right"/>
              <w:rPr>
                <w:sz w:val="20"/>
                <w:szCs w:val="20"/>
                <w:lang w:val="es-SV"/>
              </w:rPr>
            </w:pPr>
            <w:r>
              <w:rPr>
                <w:sz w:val="20"/>
                <w:szCs w:val="20"/>
                <w:lang w:val="es-SV"/>
              </w:rPr>
              <w:t>1,522</w:t>
            </w:r>
          </w:p>
        </w:tc>
        <w:tc>
          <w:tcPr>
            <w:tcW w:w="365" w:type="pct"/>
            <w:vAlign w:val="center"/>
          </w:tcPr>
          <w:p w:rsidR="00CD2A5A" w:rsidRDefault="00CD2A5A">
            <w:pPr>
              <w:spacing w:before="40" w:after="20"/>
              <w:ind w:right="215"/>
              <w:jc w:val="right"/>
              <w:rPr>
                <w:sz w:val="20"/>
                <w:szCs w:val="20"/>
                <w:lang w:val="es-SV"/>
              </w:rPr>
            </w:pPr>
            <w:r>
              <w:rPr>
                <w:sz w:val="20"/>
                <w:szCs w:val="20"/>
                <w:lang w:val="es-SV"/>
              </w:rPr>
              <w:t>1,527</w:t>
            </w:r>
          </w:p>
        </w:tc>
        <w:tc>
          <w:tcPr>
            <w:tcW w:w="279" w:type="pct"/>
            <w:vAlign w:val="center"/>
          </w:tcPr>
          <w:p w:rsidR="00CD2A5A" w:rsidRDefault="00CD2A5A">
            <w:pPr>
              <w:spacing w:before="40" w:after="20"/>
              <w:ind w:right="215"/>
              <w:jc w:val="right"/>
              <w:rPr>
                <w:sz w:val="20"/>
                <w:szCs w:val="20"/>
                <w:lang w:val="es-SV"/>
              </w:rPr>
            </w:pPr>
            <w:r>
              <w:rPr>
                <w:sz w:val="20"/>
                <w:szCs w:val="20"/>
                <w:lang w:val="es-SV"/>
              </w:rPr>
              <w:t>484</w:t>
            </w:r>
          </w:p>
        </w:tc>
        <w:tc>
          <w:tcPr>
            <w:tcW w:w="279" w:type="pct"/>
            <w:vAlign w:val="center"/>
          </w:tcPr>
          <w:p w:rsidR="00CD2A5A" w:rsidRDefault="00CD2A5A">
            <w:pPr>
              <w:spacing w:before="40" w:after="20"/>
              <w:ind w:right="215"/>
              <w:jc w:val="right"/>
              <w:rPr>
                <w:sz w:val="20"/>
                <w:szCs w:val="20"/>
                <w:lang w:val="es-SV"/>
              </w:rPr>
            </w:pPr>
            <w:r>
              <w:rPr>
                <w:sz w:val="20"/>
                <w:szCs w:val="20"/>
                <w:lang w:val="es-SV"/>
              </w:rPr>
              <w:t>468</w:t>
            </w:r>
          </w:p>
        </w:tc>
        <w:tc>
          <w:tcPr>
            <w:tcW w:w="279" w:type="pct"/>
            <w:vAlign w:val="center"/>
          </w:tcPr>
          <w:p w:rsidR="00CD2A5A" w:rsidRDefault="00CD2A5A">
            <w:pPr>
              <w:spacing w:before="40" w:after="20"/>
              <w:ind w:right="215"/>
              <w:jc w:val="right"/>
              <w:rPr>
                <w:sz w:val="20"/>
                <w:szCs w:val="20"/>
                <w:lang w:val="es-SV"/>
              </w:rPr>
            </w:pPr>
            <w:r>
              <w:rPr>
                <w:sz w:val="20"/>
                <w:szCs w:val="20"/>
                <w:lang w:val="es-SV"/>
              </w:rPr>
              <w:t>508</w:t>
            </w:r>
          </w:p>
        </w:tc>
        <w:tc>
          <w:tcPr>
            <w:tcW w:w="279" w:type="pct"/>
            <w:vAlign w:val="center"/>
          </w:tcPr>
          <w:p w:rsidR="00CD2A5A" w:rsidRDefault="00CD2A5A">
            <w:pPr>
              <w:spacing w:before="40" w:after="20"/>
              <w:ind w:right="215"/>
              <w:jc w:val="right"/>
              <w:rPr>
                <w:sz w:val="20"/>
                <w:szCs w:val="20"/>
                <w:lang w:val="es-SV"/>
              </w:rPr>
            </w:pPr>
            <w:r>
              <w:rPr>
                <w:sz w:val="20"/>
                <w:szCs w:val="20"/>
                <w:lang w:val="es-SV"/>
              </w:rPr>
              <w:t>564</w:t>
            </w:r>
          </w:p>
        </w:tc>
        <w:tc>
          <w:tcPr>
            <w:tcW w:w="279" w:type="pct"/>
            <w:vAlign w:val="center"/>
          </w:tcPr>
          <w:p w:rsidR="00CD2A5A" w:rsidRDefault="00CD2A5A">
            <w:pPr>
              <w:spacing w:before="40" w:after="20"/>
              <w:ind w:right="215"/>
              <w:jc w:val="right"/>
              <w:rPr>
                <w:sz w:val="20"/>
                <w:szCs w:val="20"/>
                <w:lang w:val="es-SV"/>
              </w:rPr>
            </w:pPr>
            <w:r>
              <w:rPr>
                <w:sz w:val="20"/>
                <w:szCs w:val="20"/>
                <w:lang w:val="es-SV"/>
              </w:rPr>
              <w:t>530</w:t>
            </w:r>
          </w:p>
        </w:tc>
        <w:tc>
          <w:tcPr>
            <w:tcW w:w="276" w:type="pct"/>
            <w:vAlign w:val="center"/>
          </w:tcPr>
          <w:p w:rsidR="00CD2A5A" w:rsidRDefault="00CD2A5A">
            <w:pPr>
              <w:spacing w:before="40" w:after="20"/>
              <w:ind w:right="215"/>
              <w:jc w:val="right"/>
              <w:rPr>
                <w:sz w:val="20"/>
                <w:szCs w:val="20"/>
                <w:lang w:val="es-SV"/>
              </w:rPr>
            </w:pPr>
            <w:r>
              <w:rPr>
                <w:sz w:val="20"/>
                <w:szCs w:val="20"/>
                <w:lang w:val="es-SV"/>
              </w:rPr>
              <w:t>495</w:t>
            </w:r>
          </w:p>
        </w:tc>
      </w:tr>
    </w:tbl>
    <w:p w:rsidR="00CD2A5A" w:rsidRDefault="00CD2A5A">
      <w:pPr>
        <w:pStyle w:val="Header"/>
        <w:tabs>
          <w:tab w:val="clear" w:pos="4252"/>
        </w:tabs>
        <w:rPr>
          <w:b/>
          <w:lang w:val="es-SV"/>
        </w:rPr>
      </w:pPr>
    </w:p>
    <w:p w:rsidR="00CD2A5A" w:rsidRDefault="00CD2A5A" w:rsidP="006228EF">
      <w:pPr>
        <w:pStyle w:val="A0"/>
        <w:rPr>
          <w:lang w:val="es-SV"/>
        </w:rPr>
      </w:pPr>
      <w:r>
        <w:t>D.  Adoption</w:t>
      </w:r>
    </w:p>
    <w:p w:rsidR="00CD2A5A" w:rsidRDefault="00CD2A5A">
      <w:pPr>
        <w:pStyle w:val="Header"/>
        <w:numPr>
          <w:ilvl w:val="0"/>
          <w:numId w:val="3"/>
        </w:numPr>
        <w:tabs>
          <w:tab w:val="clear" w:pos="720"/>
          <w:tab w:val="clear" w:pos="4252"/>
        </w:tabs>
        <w:spacing w:after="240"/>
        <w:ind w:left="0" w:firstLine="0"/>
        <w:rPr>
          <w:lang w:val="en-US"/>
        </w:rPr>
      </w:pPr>
      <w:r>
        <w:rPr>
          <w:lang w:val="en-GB"/>
        </w:rPr>
        <w:t>In accordance with article 21 of the Convention on the Rights of the Child, in the past three years priority has been given to the adoption of children by nationals, as ordered by Family Courts.</w:t>
      </w:r>
      <w:r>
        <w:rPr>
          <w:lang w:val="en-US"/>
        </w:rPr>
        <w:t xml:space="preserve"> </w:t>
      </w:r>
      <w:r>
        <w:rPr>
          <w:lang w:val="en-GB"/>
        </w:rPr>
        <w:t>The adoption process is highly protective.</w:t>
      </w:r>
      <w:r>
        <w:rPr>
          <w:lang w:val="en-US"/>
        </w:rPr>
        <w:t xml:space="preserve"> </w:t>
      </w:r>
      <w:r>
        <w:rPr>
          <w:lang w:val="en-GB"/>
        </w:rPr>
        <w:t>The legal framework governing adoption consists of the Family Code, the Family Procedural Act, the Convention on the Protection of Children and Co-operation in Respect of Intercountry Adoption and the Convention on the Rights of the Child.</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Adoption consists of two phases:</w:t>
      </w:r>
      <w:r>
        <w:rPr>
          <w:lang w:val="en-US"/>
        </w:rPr>
        <w:t xml:space="preserve"> </w:t>
      </w:r>
      <w:r>
        <w:rPr>
          <w:lang w:val="en-GB"/>
        </w:rPr>
        <w:t>administrative and judicial.</w:t>
      </w:r>
      <w:r>
        <w:rPr>
          <w:lang w:val="en-US"/>
        </w:rPr>
        <w:t xml:space="preserve"> </w:t>
      </w:r>
      <w:r>
        <w:rPr>
          <w:lang w:val="en-GB"/>
        </w:rPr>
        <w:t>During the administrative phase ISNA has to establish that the child is eligible for adoption, and together with the Office of the Attorney-General of the Republic (PGR) establish that the foreigners are eligible to adopt in El Salvador.</w:t>
      </w:r>
      <w:r>
        <w:rPr>
          <w:lang w:val="en-US"/>
        </w:rPr>
        <w:t xml:space="preserve"> </w:t>
      </w:r>
      <w:r>
        <w:rPr>
          <w:lang w:val="en-GB"/>
        </w:rPr>
        <w:t>The eligibility of Salvadoran families to adopt is determined solely by the PGR.</w:t>
      </w:r>
      <w:r>
        <w:rPr>
          <w:lang w:val="en-US"/>
        </w:rPr>
        <w:t xml:space="preserve"> </w:t>
      </w:r>
      <w:r>
        <w:rPr>
          <w:lang w:val="en-GB"/>
        </w:rPr>
        <w:t>The latter has set up an assignment committee, responsible for selecting the family that will adopt a child, once they have been established as eligible.</w:t>
      </w:r>
      <w:r>
        <w:rPr>
          <w:lang w:val="en-US"/>
        </w:rPr>
        <w:t xml:space="preserve"> </w:t>
      </w:r>
      <w:r>
        <w:rPr>
          <w:lang w:val="en-GB"/>
        </w:rPr>
        <w:t>It falls to the Attorney-General of the Republic to authorize the adoption and at that moment the judicial phase begins in which the judge orders the adoption.</w:t>
      </w:r>
      <w:r>
        <w:rPr>
          <w:lang w:val="en-US"/>
        </w:rPr>
        <w:t xml:space="preserve"> </w:t>
      </w:r>
      <w:r>
        <w:rPr>
          <w:lang w:val="en-GB"/>
        </w:rPr>
        <w:t>Domestic adoptions have been given priority in recent years, through the use of foster homes as a protection measure, since 90 per cent of children in foster homes are adopted by their carers.</w:t>
      </w:r>
      <w:r>
        <w:rPr>
          <w:lang w:val="en-US"/>
        </w:rPr>
        <w:t xml:space="preserve"> </w:t>
      </w:r>
      <w:r>
        <w:rPr>
          <w:lang w:val="en-GB"/>
        </w:rPr>
        <w:t>The formalities required by law are carried out in the Adoptions Office, by technical staff of ISNA and the PGR.</w:t>
      </w:r>
      <w:r>
        <w:rPr>
          <w:lang w:val="en-US"/>
        </w:rPr>
        <w:t xml:space="preserve"> </w:t>
      </w:r>
      <w:r>
        <w:rPr>
          <w:lang w:val="en-GB"/>
        </w:rPr>
        <w:t>In accordance with the 1993 Hague Convention, ISNA and the PGR are the central authority for adoptions.</w:t>
      </w:r>
    </w:p>
    <w:p w:rsidR="00CD2A5A" w:rsidRDefault="00CD2A5A" w:rsidP="00CD2A5A">
      <w:pPr>
        <w:pStyle w:val="Figure"/>
        <w:rPr>
          <w:lang w:val="en-US"/>
        </w:rPr>
      </w:pPr>
      <w:r>
        <w:t>Figure 20</w:t>
      </w:r>
    </w:p>
    <w:p w:rsidR="00CD2A5A" w:rsidRDefault="00CD2A5A" w:rsidP="00CD2A5A">
      <w:pPr>
        <w:pStyle w:val="Figure"/>
        <w:rPr>
          <w:lang w:val="en-US"/>
        </w:rPr>
      </w:pPr>
      <w:r>
        <w:t>Adoption of children,</w:t>
      </w:r>
      <w:r>
        <w:rPr>
          <w:lang w:val="en-US"/>
        </w:rPr>
        <w:t xml:space="preserve"> </w:t>
      </w:r>
      <w:r>
        <w:t>by origin of adopter</w:t>
      </w:r>
      <w:r>
        <w:rPr>
          <w:lang w:val="en-US"/>
        </w:rPr>
        <w:t xml:space="preserve"> (2004-2006)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8"/>
        <w:gridCol w:w="492"/>
        <w:gridCol w:w="955"/>
        <w:gridCol w:w="918"/>
        <w:gridCol w:w="955"/>
        <w:gridCol w:w="918"/>
        <w:gridCol w:w="955"/>
        <w:gridCol w:w="918"/>
        <w:gridCol w:w="955"/>
        <w:gridCol w:w="918"/>
      </w:tblGrid>
      <w:tr w:rsidR="00CD2A5A">
        <w:trPr>
          <w:cantSplit/>
          <w:trHeight w:val="375"/>
          <w:jc w:val="center"/>
        </w:trPr>
        <w:tc>
          <w:tcPr>
            <w:tcW w:w="1509" w:type="dxa"/>
            <w:vMerge w:val="restart"/>
            <w:vAlign w:val="center"/>
          </w:tcPr>
          <w:p w:rsidR="00CD2A5A" w:rsidRDefault="00CD2A5A" w:rsidP="006228EF">
            <w:pPr>
              <w:spacing w:before="40" w:after="20"/>
              <w:jc w:val="center"/>
              <w:rPr>
                <w:b/>
                <w:i/>
                <w:sz w:val="20"/>
                <w:szCs w:val="20"/>
                <w:lang w:val="es-SV"/>
              </w:rPr>
            </w:pPr>
            <w:r>
              <w:rPr>
                <w:b/>
                <w:i/>
                <w:sz w:val="20"/>
                <w:szCs w:val="20"/>
                <w:lang w:val="en-GB"/>
              </w:rPr>
              <w:t>Family courts</w:t>
            </w:r>
          </w:p>
        </w:tc>
        <w:tc>
          <w:tcPr>
            <w:tcW w:w="2347" w:type="dxa"/>
            <w:gridSpan w:val="3"/>
            <w:vAlign w:val="center"/>
          </w:tcPr>
          <w:p w:rsidR="00CD2A5A" w:rsidRDefault="00CD2A5A" w:rsidP="006228EF">
            <w:pPr>
              <w:spacing w:before="40" w:after="20"/>
              <w:jc w:val="center"/>
              <w:rPr>
                <w:b/>
                <w:i/>
                <w:sz w:val="20"/>
                <w:szCs w:val="20"/>
                <w:lang w:val="es-SV"/>
              </w:rPr>
            </w:pPr>
            <w:r>
              <w:rPr>
                <w:b/>
                <w:i/>
                <w:sz w:val="20"/>
                <w:szCs w:val="20"/>
                <w:lang w:val="en-GB"/>
              </w:rPr>
              <w:t>Total</w:t>
            </w:r>
          </w:p>
        </w:tc>
        <w:tc>
          <w:tcPr>
            <w:tcW w:w="1852" w:type="dxa"/>
            <w:gridSpan w:val="2"/>
            <w:vAlign w:val="center"/>
          </w:tcPr>
          <w:p w:rsidR="00CD2A5A" w:rsidRDefault="00CD2A5A" w:rsidP="006228EF">
            <w:pPr>
              <w:spacing w:before="40" w:after="20"/>
              <w:jc w:val="center"/>
              <w:rPr>
                <w:b/>
                <w:i/>
                <w:sz w:val="20"/>
                <w:szCs w:val="20"/>
                <w:lang w:val="es-SV"/>
              </w:rPr>
            </w:pPr>
            <w:r>
              <w:rPr>
                <w:b/>
                <w:i/>
                <w:sz w:val="20"/>
                <w:szCs w:val="20"/>
                <w:lang w:val="en-GB"/>
              </w:rPr>
              <w:t>2004</w:t>
            </w:r>
          </w:p>
        </w:tc>
        <w:tc>
          <w:tcPr>
            <w:tcW w:w="1852" w:type="dxa"/>
            <w:gridSpan w:val="2"/>
            <w:vAlign w:val="center"/>
          </w:tcPr>
          <w:p w:rsidR="00CD2A5A" w:rsidRDefault="00CD2A5A" w:rsidP="006228EF">
            <w:pPr>
              <w:spacing w:before="40" w:after="20"/>
              <w:jc w:val="center"/>
              <w:rPr>
                <w:b/>
                <w:i/>
                <w:sz w:val="20"/>
                <w:szCs w:val="20"/>
                <w:lang w:val="es-SV"/>
              </w:rPr>
            </w:pPr>
            <w:r>
              <w:rPr>
                <w:b/>
                <w:i/>
                <w:sz w:val="20"/>
                <w:szCs w:val="20"/>
                <w:lang w:val="en-GB"/>
              </w:rPr>
              <w:t>2005</w:t>
            </w:r>
          </w:p>
        </w:tc>
        <w:tc>
          <w:tcPr>
            <w:tcW w:w="1852" w:type="dxa"/>
            <w:gridSpan w:val="2"/>
            <w:vAlign w:val="center"/>
          </w:tcPr>
          <w:p w:rsidR="00CD2A5A" w:rsidRDefault="00CD2A5A" w:rsidP="006228EF">
            <w:pPr>
              <w:spacing w:before="40" w:after="20"/>
              <w:jc w:val="center"/>
              <w:rPr>
                <w:b/>
                <w:i/>
                <w:sz w:val="20"/>
                <w:szCs w:val="20"/>
                <w:lang w:val="es-SV"/>
              </w:rPr>
            </w:pPr>
            <w:r>
              <w:rPr>
                <w:b/>
                <w:i/>
                <w:sz w:val="20"/>
                <w:szCs w:val="20"/>
                <w:lang w:val="en-GB"/>
              </w:rPr>
              <w:t>2006</w:t>
            </w:r>
          </w:p>
        </w:tc>
      </w:tr>
      <w:tr w:rsidR="00CD2A5A">
        <w:trPr>
          <w:cantSplit/>
          <w:trHeight w:val="360"/>
          <w:jc w:val="center"/>
        </w:trPr>
        <w:tc>
          <w:tcPr>
            <w:tcW w:w="1509" w:type="dxa"/>
            <w:vMerge/>
            <w:vAlign w:val="center"/>
          </w:tcPr>
          <w:p w:rsidR="00CD2A5A" w:rsidRDefault="00CD2A5A" w:rsidP="006228EF">
            <w:pPr>
              <w:spacing w:before="40" w:after="20"/>
              <w:jc w:val="center"/>
              <w:rPr>
                <w:b/>
                <w:i/>
                <w:sz w:val="20"/>
                <w:szCs w:val="20"/>
                <w:lang w:val="es-SV"/>
              </w:rPr>
            </w:pPr>
          </w:p>
        </w:tc>
        <w:tc>
          <w:tcPr>
            <w:tcW w:w="495" w:type="dxa"/>
            <w:vAlign w:val="center"/>
          </w:tcPr>
          <w:p w:rsidR="00CD2A5A" w:rsidRDefault="00CD2A5A" w:rsidP="006228EF">
            <w:pPr>
              <w:spacing w:before="40" w:after="20"/>
              <w:jc w:val="center"/>
              <w:rPr>
                <w:b/>
                <w:i/>
                <w:sz w:val="20"/>
                <w:szCs w:val="20"/>
                <w:lang w:val="es-SV"/>
              </w:rPr>
            </w:pPr>
            <w:r>
              <w:rPr>
                <w:b/>
                <w:i/>
                <w:sz w:val="20"/>
                <w:szCs w:val="20"/>
                <w:lang w:val="en-GB"/>
              </w:rPr>
              <w:t>Total</w:t>
            </w:r>
          </w:p>
        </w:tc>
        <w:tc>
          <w:tcPr>
            <w:tcW w:w="910" w:type="dxa"/>
            <w:vAlign w:val="center"/>
          </w:tcPr>
          <w:p w:rsidR="00CD2A5A" w:rsidRDefault="00CD2A5A" w:rsidP="006228EF">
            <w:pPr>
              <w:spacing w:before="40" w:after="20"/>
              <w:jc w:val="center"/>
              <w:rPr>
                <w:b/>
                <w:i/>
                <w:sz w:val="20"/>
                <w:szCs w:val="20"/>
                <w:lang w:val="es-SV"/>
              </w:rPr>
            </w:pPr>
            <w:r>
              <w:rPr>
                <w:b/>
                <w:i/>
                <w:sz w:val="20"/>
                <w:szCs w:val="20"/>
                <w:lang w:val="en-GB"/>
              </w:rPr>
              <w:t>Salvadoran</w:t>
            </w:r>
          </w:p>
        </w:tc>
        <w:tc>
          <w:tcPr>
            <w:tcW w:w="942" w:type="dxa"/>
            <w:vAlign w:val="center"/>
          </w:tcPr>
          <w:p w:rsidR="00CD2A5A" w:rsidRDefault="00CD2A5A" w:rsidP="006228EF">
            <w:pPr>
              <w:spacing w:before="40" w:after="20"/>
              <w:jc w:val="center"/>
              <w:rPr>
                <w:b/>
                <w:i/>
                <w:sz w:val="20"/>
                <w:szCs w:val="20"/>
                <w:lang w:val="es-SV"/>
              </w:rPr>
            </w:pPr>
            <w:r>
              <w:rPr>
                <w:b/>
                <w:i/>
                <w:sz w:val="20"/>
                <w:szCs w:val="20"/>
                <w:lang w:val="en-GB"/>
              </w:rPr>
              <w:t>Foreign</w:t>
            </w:r>
          </w:p>
        </w:tc>
        <w:tc>
          <w:tcPr>
            <w:tcW w:w="910" w:type="dxa"/>
            <w:vAlign w:val="center"/>
          </w:tcPr>
          <w:p w:rsidR="00CD2A5A" w:rsidRDefault="00CD2A5A" w:rsidP="006228EF">
            <w:pPr>
              <w:spacing w:before="40" w:after="20"/>
              <w:jc w:val="center"/>
              <w:rPr>
                <w:b/>
                <w:i/>
                <w:sz w:val="20"/>
                <w:szCs w:val="20"/>
                <w:lang w:val="es-SV"/>
              </w:rPr>
            </w:pPr>
            <w:r>
              <w:rPr>
                <w:b/>
                <w:i/>
                <w:sz w:val="20"/>
                <w:szCs w:val="20"/>
                <w:lang w:val="en-GB"/>
              </w:rPr>
              <w:t>Salvadoran</w:t>
            </w:r>
          </w:p>
        </w:tc>
        <w:tc>
          <w:tcPr>
            <w:tcW w:w="942" w:type="dxa"/>
            <w:vAlign w:val="center"/>
          </w:tcPr>
          <w:p w:rsidR="00CD2A5A" w:rsidRDefault="00CD2A5A" w:rsidP="006228EF">
            <w:pPr>
              <w:spacing w:before="40" w:after="20"/>
              <w:jc w:val="center"/>
              <w:rPr>
                <w:b/>
                <w:i/>
                <w:sz w:val="20"/>
                <w:szCs w:val="20"/>
                <w:lang w:val="es-SV"/>
              </w:rPr>
            </w:pPr>
            <w:r>
              <w:rPr>
                <w:b/>
                <w:i/>
                <w:sz w:val="20"/>
                <w:szCs w:val="20"/>
                <w:lang w:val="en-GB"/>
              </w:rPr>
              <w:t>Foreign</w:t>
            </w:r>
          </w:p>
        </w:tc>
        <w:tc>
          <w:tcPr>
            <w:tcW w:w="910" w:type="dxa"/>
            <w:vAlign w:val="center"/>
          </w:tcPr>
          <w:p w:rsidR="00CD2A5A" w:rsidRDefault="00CD2A5A" w:rsidP="006228EF">
            <w:pPr>
              <w:spacing w:before="40" w:after="20"/>
              <w:jc w:val="center"/>
              <w:rPr>
                <w:b/>
                <w:i/>
                <w:sz w:val="20"/>
                <w:szCs w:val="20"/>
                <w:lang w:val="es-SV"/>
              </w:rPr>
            </w:pPr>
            <w:r>
              <w:rPr>
                <w:b/>
                <w:i/>
                <w:sz w:val="20"/>
                <w:szCs w:val="20"/>
                <w:lang w:val="en-GB"/>
              </w:rPr>
              <w:t>Salvadoran</w:t>
            </w:r>
          </w:p>
        </w:tc>
        <w:tc>
          <w:tcPr>
            <w:tcW w:w="942" w:type="dxa"/>
            <w:vAlign w:val="center"/>
          </w:tcPr>
          <w:p w:rsidR="00CD2A5A" w:rsidRDefault="00CD2A5A" w:rsidP="006228EF">
            <w:pPr>
              <w:spacing w:before="40" w:after="20"/>
              <w:jc w:val="center"/>
              <w:rPr>
                <w:b/>
                <w:i/>
                <w:sz w:val="20"/>
                <w:szCs w:val="20"/>
                <w:lang w:val="es-SV"/>
              </w:rPr>
            </w:pPr>
            <w:r>
              <w:rPr>
                <w:b/>
                <w:i/>
                <w:sz w:val="20"/>
                <w:szCs w:val="20"/>
                <w:lang w:val="en-GB"/>
              </w:rPr>
              <w:t>Foreign</w:t>
            </w:r>
          </w:p>
        </w:tc>
        <w:tc>
          <w:tcPr>
            <w:tcW w:w="910" w:type="dxa"/>
            <w:vAlign w:val="center"/>
          </w:tcPr>
          <w:p w:rsidR="00CD2A5A" w:rsidRDefault="00CD2A5A" w:rsidP="006228EF">
            <w:pPr>
              <w:spacing w:before="40" w:after="20"/>
              <w:jc w:val="center"/>
              <w:rPr>
                <w:b/>
                <w:i/>
                <w:sz w:val="20"/>
                <w:szCs w:val="20"/>
                <w:lang w:val="es-SV"/>
              </w:rPr>
            </w:pPr>
            <w:r>
              <w:rPr>
                <w:b/>
                <w:i/>
                <w:sz w:val="20"/>
                <w:szCs w:val="20"/>
                <w:lang w:val="en-GB"/>
              </w:rPr>
              <w:t>Salvadoran</w:t>
            </w:r>
          </w:p>
        </w:tc>
        <w:tc>
          <w:tcPr>
            <w:tcW w:w="942" w:type="dxa"/>
            <w:vAlign w:val="center"/>
          </w:tcPr>
          <w:p w:rsidR="00CD2A5A" w:rsidRDefault="00CD2A5A" w:rsidP="006228EF">
            <w:pPr>
              <w:spacing w:before="40" w:after="20"/>
              <w:jc w:val="center"/>
              <w:rPr>
                <w:b/>
                <w:i/>
                <w:sz w:val="20"/>
                <w:szCs w:val="20"/>
                <w:lang w:val="es-SV"/>
              </w:rPr>
            </w:pPr>
            <w:r>
              <w:rPr>
                <w:b/>
                <w:i/>
                <w:sz w:val="20"/>
                <w:szCs w:val="20"/>
                <w:lang w:val="en-GB"/>
              </w:rPr>
              <w:t>Foreign</w:t>
            </w:r>
          </w:p>
        </w:tc>
      </w:tr>
      <w:tr w:rsidR="00CD2A5A">
        <w:trPr>
          <w:trHeight w:val="480"/>
          <w:jc w:val="center"/>
        </w:trPr>
        <w:tc>
          <w:tcPr>
            <w:tcW w:w="1509" w:type="dxa"/>
            <w:vAlign w:val="center"/>
          </w:tcPr>
          <w:p w:rsidR="00CD2A5A" w:rsidRDefault="00CD2A5A">
            <w:pPr>
              <w:spacing w:before="40" w:after="20"/>
              <w:rPr>
                <w:sz w:val="20"/>
                <w:szCs w:val="20"/>
                <w:lang w:val="es-SV"/>
              </w:rPr>
            </w:pPr>
            <w:r>
              <w:rPr>
                <w:sz w:val="20"/>
                <w:szCs w:val="20"/>
                <w:lang w:val="en-GB"/>
              </w:rPr>
              <w:t>Total</w:t>
            </w:r>
          </w:p>
        </w:tc>
        <w:tc>
          <w:tcPr>
            <w:tcW w:w="495" w:type="dxa"/>
            <w:vAlign w:val="center"/>
          </w:tcPr>
          <w:p w:rsidR="00CD2A5A" w:rsidRDefault="00CD2A5A" w:rsidP="006228EF">
            <w:pPr>
              <w:spacing w:before="40" w:after="20"/>
              <w:jc w:val="center"/>
              <w:rPr>
                <w:sz w:val="20"/>
                <w:szCs w:val="20"/>
                <w:lang w:val="es-SV"/>
              </w:rPr>
            </w:pPr>
            <w:r>
              <w:rPr>
                <w:sz w:val="20"/>
                <w:szCs w:val="20"/>
                <w:lang w:val="es-SV"/>
              </w:rPr>
              <w:t>1,924</w:t>
            </w:r>
          </w:p>
        </w:tc>
        <w:tc>
          <w:tcPr>
            <w:tcW w:w="910" w:type="dxa"/>
            <w:vAlign w:val="center"/>
          </w:tcPr>
          <w:p w:rsidR="00CD2A5A" w:rsidRDefault="00CD2A5A" w:rsidP="006228EF">
            <w:pPr>
              <w:spacing w:before="40" w:after="20"/>
              <w:jc w:val="center"/>
              <w:rPr>
                <w:sz w:val="20"/>
                <w:szCs w:val="20"/>
                <w:lang w:val="es-SV"/>
              </w:rPr>
            </w:pPr>
            <w:r>
              <w:rPr>
                <w:sz w:val="20"/>
                <w:szCs w:val="20"/>
                <w:lang w:val="es-SV"/>
              </w:rPr>
              <w:t>1,637</w:t>
            </w:r>
          </w:p>
        </w:tc>
        <w:tc>
          <w:tcPr>
            <w:tcW w:w="942" w:type="dxa"/>
            <w:vAlign w:val="center"/>
          </w:tcPr>
          <w:p w:rsidR="00CD2A5A" w:rsidRDefault="00CD2A5A" w:rsidP="006228EF">
            <w:pPr>
              <w:spacing w:before="40" w:after="20"/>
              <w:jc w:val="center"/>
              <w:rPr>
                <w:sz w:val="20"/>
                <w:szCs w:val="20"/>
                <w:lang w:val="es-SV"/>
              </w:rPr>
            </w:pPr>
            <w:r>
              <w:rPr>
                <w:sz w:val="20"/>
                <w:szCs w:val="20"/>
                <w:lang w:val="es-SV"/>
              </w:rPr>
              <w:t>287</w:t>
            </w:r>
          </w:p>
        </w:tc>
        <w:tc>
          <w:tcPr>
            <w:tcW w:w="910" w:type="dxa"/>
            <w:vAlign w:val="center"/>
          </w:tcPr>
          <w:p w:rsidR="00CD2A5A" w:rsidRDefault="00CD2A5A" w:rsidP="006228EF">
            <w:pPr>
              <w:spacing w:before="40" w:after="20"/>
              <w:jc w:val="center"/>
              <w:rPr>
                <w:sz w:val="20"/>
                <w:szCs w:val="20"/>
                <w:lang w:val="es-SV"/>
              </w:rPr>
            </w:pPr>
            <w:r>
              <w:rPr>
                <w:sz w:val="20"/>
                <w:szCs w:val="20"/>
                <w:lang w:val="es-SV"/>
              </w:rPr>
              <w:t>461</w:t>
            </w:r>
          </w:p>
        </w:tc>
        <w:tc>
          <w:tcPr>
            <w:tcW w:w="942" w:type="dxa"/>
            <w:vAlign w:val="center"/>
          </w:tcPr>
          <w:p w:rsidR="00CD2A5A" w:rsidRDefault="00CD2A5A" w:rsidP="006228EF">
            <w:pPr>
              <w:spacing w:before="40" w:after="20"/>
              <w:jc w:val="center"/>
              <w:rPr>
                <w:sz w:val="20"/>
                <w:szCs w:val="20"/>
                <w:lang w:val="es-SV"/>
              </w:rPr>
            </w:pPr>
            <w:r>
              <w:rPr>
                <w:sz w:val="20"/>
                <w:szCs w:val="20"/>
                <w:lang w:val="es-SV"/>
              </w:rPr>
              <w:t>77</w:t>
            </w:r>
          </w:p>
        </w:tc>
        <w:tc>
          <w:tcPr>
            <w:tcW w:w="910" w:type="dxa"/>
            <w:vAlign w:val="center"/>
          </w:tcPr>
          <w:p w:rsidR="00CD2A5A" w:rsidRDefault="00CD2A5A" w:rsidP="006228EF">
            <w:pPr>
              <w:spacing w:before="40" w:after="20"/>
              <w:jc w:val="center"/>
              <w:rPr>
                <w:sz w:val="20"/>
                <w:szCs w:val="20"/>
                <w:lang w:val="es-SV"/>
              </w:rPr>
            </w:pPr>
            <w:r>
              <w:rPr>
                <w:sz w:val="20"/>
                <w:szCs w:val="20"/>
                <w:lang w:val="es-SV"/>
              </w:rPr>
              <w:t>511</w:t>
            </w:r>
          </w:p>
        </w:tc>
        <w:tc>
          <w:tcPr>
            <w:tcW w:w="942" w:type="dxa"/>
            <w:vAlign w:val="center"/>
          </w:tcPr>
          <w:p w:rsidR="00CD2A5A" w:rsidRDefault="00CD2A5A" w:rsidP="006228EF">
            <w:pPr>
              <w:spacing w:before="40" w:after="20"/>
              <w:jc w:val="center"/>
              <w:rPr>
                <w:sz w:val="20"/>
                <w:szCs w:val="20"/>
                <w:lang w:val="es-SV"/>
              </w:rPr>
            </w:pPr>
            <w:r>
              <w:rPr>
                <w:sz w:val="20"/>
                <w:szCs w:val="20"/>
                <w:lang w:val="es-SV"/>
              </w:rPr>
              <w:t>82</w:t>
            </w:r>
          </w:p>
        </w:tc>
        <w:tc>
          <w:tcPr>
            <w:tcW w:w="910" w:type="dxa"/>
            <w:vAlign w:val="center"/>
          </w:tcPr>
          <w:p w:rsidR="00CD2A5A" w:rsidRDefault="00CD2A5A" w:rsidP="006228EF">
            <w:pPr>
              <w:spacing w:before="40" w:after="20"/>
              <w:jc w:val="center"/>
              <w:rPr>
                <w:sz w:val="20"/>
                <w:szCs w:val="20"/>
                <w:lang w:val="es-SV"/>
              </w:rPr>
            </w:pPr>
            <w:r>
              <w:rPr>
                <w:sz w:val="20"/>
                <w:szCs w:val="20"/>
                <w:lang w:val="es-SV"/>
              </w:rPr>
              <w:t>665</w:t>
            </w:r>
          </w:p>
        </w:tc>
        <w:tc>
          <w:tcPr>
            <w:tcW w:w="942" w:type="dxa"/>
            <w:vAlign w:val="center"/>
          </w:tcPr>
          <w:p w:rsidR="00CD2A5A" w:rsidRDefault="00CD2A5A" w:rsidP="006228EF">
            <w:pPr>
              <w:spacing w:before="40" w:after="20"/>
              <w:jc w:val="center"/>
              <w:rPr>
                <w:sz w:val="20"/>
                <w:szCs w:val="20"/>
                <w:lang w:val="es-SV"/>
              </w:rPr>
            </w:pPr>
            <w:r>
              <w:rPr>
                <w:sz w:val="20"/>
                <w:szCs w:val="20"/>
                <w:lang w:val="es-SV"/>
              </w:rPr>
              <w:t>128</w:t>
            </w:r>
          </w:p>
        </w:tc>
      </w:tr>
    </w:tbl>
    <w:p w:rsidR="00CD2A5A" w:rsidRDefault="00CD2A5A">
      <w:pPr>
        <w:rPr>
          <w:b/>
          <w:lang w:val="es-SV"/>
        </w:rPr>
      </w:pPr>
    </w:p>
    <w:p w:rsidR="00CD2A5A" w:rsidRDefault="00CD2A5A" w:rsidP="006228EF">
      <w:pPr>
        <w:pStyle w:val="A0"/>
        <w:rPr>
          <w:lang w:val="en-US"/>
        </w:rPr>
      </w:pPr>
      <w:r>
        <w:t>E.  Protection and assistance of children</w:t>
      </w:r>
    </w:p>
    <w:p w:rsidR="00CD2A5A" w:rsidRDefault="00CD2A5A">
      <w:pPr>
        <w:numPr>
          <w:ilvl w:val="0"/>
          <w:numId w:val="3"/>
        </w:numPr>
        <w:tabs>
          <w:tab w:val="clear" w:pos="720"/>
        </w:tabs>
        <w:spacing w:after="240"/>
        <w:ind w:left="0" w:firstLine="0"/>
        <w:rPr>
          <w:spacing w:val="-2"/>
          <w:lang w:val="en-US"/>
        </w:rPr>
      </w:pPr>
      <w:r>
        <w:rPr>
          <w:spacing w:val="-2"/>
          <w:lang w:val="en-GB"/>
        </w:rPr>
        <w:t>The Office of the Public Prosecutor of the Republic’s mission is laid down in the Constitution as the prosecution of crime.</w:t>
      </w:r>
      <w:r>
        <w:rPr>
          <w:spacing w:val="-2"/>
          <w:lang w:val="en-US"/>
        </w:rPr>
        <w:t xml:space="preserve"> </w:t>
      </w:r>
      <w:r>
        <w:rPr>
          <w:spacing w:val="-2"/>
          <w:lang w:val="en-GB"/>
        </w:rPr>
        <w:t>For the protection of child victims of crime the Office also has a prevention function, carried out by its Multidisciplinary Support Unit, which aims to help prevent violence and delinquency by conducting criminological studies and implementating prevention projects and programmes, such as the running of training workshops for adolescent promoters of violence prevention, the promotion of peace and dialogue been generations and cultures.</w:t>
      </w:r>
    </w:p>
    <w:p w:rsidR="00CD2A5A" w:rsidRDefault="00CD2A5A">
      <w:pPr>
        <w:numPr>
          <w:ilvl w:val="0"/>
          <w:numId w:val="3"/>
        </w:numPr>
        <w:tabs>
          <w:tab w:val="clear" w:pos="720"/>
        </w:tabs>
        <w:spacing w:after="240"/>
        <w:ind w:left="0" w:firstLine="0"/>
        <w:rPr>
          <w:lang w:val="en-US"/>
        </w:rPr>
      </w:pPr>
      <w:r>
        <w:rPr>
          <w:rFonts w:eastAsia="Arial Unicode MS"/>
          <w:lang w:val="en-GB"/>
        </w:rPr>
        <w:t xml:space="preserve">In 1992 the Unit for Offences against Minors and Women was set up within the Office of the Public Prosecutor of the Republic with the aim of concentrating on the investigation of </w:t>
      </w:r>
      <w:r>
        <w:rPr>
          <w:lang w:val="en-GB"/>
        </w:rPr>
        <w:t>offences committed against children in the family and offences against sexual freedom.</w:t>
      </w:r>
      <w:r>
        <w:rPr>
          <w:lang w:val="en-US"/>
        </w:rPr>
        <w:t xml:space="preserve"> </w:t>
      </w:r>
      <w:r>
        <w:rPr>
          <w:lang w:val="en-GB"/>
        </w:rPr>
        <w:t>The Office is obliged to take the necessary measures for the immediate protection of child victims and to prevent further violation of their rights as victims, always bearing in mind the child’s higher interest.</w:t>
      </w:r>
      <w:r>
        <w:rPr>
          <w:lang w:val="en-US"/>
        </w:rPr>
        <w:t xml:space="preserve"> </w:t>
      </w:r>
      <w:r>
        <w:rPr>
          <w:lang w:val="en-GB"/>
        </w:rPr>
        <w:t>This unit has been extended nationwide to ensure greater territorial coverage.</w:t>
      </w:r>
    </w:p>
    <w:p w:rsidR="00CD2A5A" w:rsidRDefault="00CD2A5A">
      <w:pPr>
        <w:keepNext/>
        <w:numPr>
          <w:ilvl w:val="0"/>
          <w:numId w:val="3"/>
        </w:numPr>
        <w:tabs>
          <w:tab w:val="clear" w:pos="720"/>
        </w:tabs>
        <w:spacing w:after="240"/>
        <w:ind w:left="0" w:firstLine="0"/>
        <w:rPr>
          <w:lang w:val="en-US"/>
        </w:rPr>
      </w:pPr>
      <w:r>
        <w:rPr>
          <w:lang w:val="en-GB"/>
        </w:rPr>
        <w:t>To protect child victims of crime and their families, the Unit for Offences against Minors and Women provides special assistance services, including the following:</w:t>
      </w:r>
      <w:r>
        <w:rPr>
          <w:lang w:val="en-US"/>
        </w:rPr>
        <w:t xml:space="preserve">  </w:t>
      </w:r>
    </w:p>
    <w:p w:rsidR="00CD2A5A" w:rsidRDefault="00CD2A5A">
      <w:pPr>
        <w:numPr>
          <w:ilvl w:val="1"/>
          <w:numId w:val="3"/>
        </w:numPr>
        <w:tabs>
          <w:tab w:val="clear" w:pos="1200"/>
        </w:tabs>
        <w:spacing w:after="240"/>
        <w:ind w:left="0" w:firstLine="567"/>
        <w:rPr>
          <w:lang w:val="en-US"/>
        </w:rPr>
      </w:pPr>
      <w:r>
        <w:rPr>
          <w:lang w:val="en-GB"/>
        </w:rPr>
        <w:t>Psychological assistance, with a view to supporting victims of physical, psychological and sexual violence, and their family members, to reduce the short- and long-term effects of the trauma;</w:t>
      </w:r>
      <w:r>
        <w:rPr>
          <w:lang w:val="en-US"/>
        </w:rPr>
        <w:t xml:space="preserve"> </w:t>
      </w:r>
    </w:p>
    <w:p w:rsidR="00CD2A5A" w:rsidRDefault="00CD2A5A">
      <w:pPr>
        <w:numPr>
          <w:ilvl w:val="1"/>
          <w:numId w:val="3"/>
        </w:numPr>
        <w:tabs>
          <w:tab w:val="clear" w:pos="1200"/>
        </w:tabs>
        <w:spacing w:after="240"/>
        <w:ind w:left="0" w:firstLine="567"/>
        <w:rPr>
          <w:lang w:val="en-US"/>
        </w:rPr>
      </w:pPr>
      <w:r>
        <w:rPr>
          <w:lang w:val="en-GB"/>
        </w:rPr>
        <w:t>Counselling, with the aim of seeking alternative care and protection for victims of physical, sexual and psychological violence, based on an investigation of the victim’s social and family background, and through coordination with other institutions involved in protection of children and adolescents;</w:t>
      </w:r>
      <w:r>
        <w:rPr>
          <w:lang w:val="en-US"/>
        </w:rPr>
        <w:t xml:space="preserve"> </w:t>
      </w:r>
    </w:p>
    <w:p w:rsidR="00CD2A5A" w:rsidRDefault="00CD2A5A">
      <w:pPr>
        <w:numPr>
          <w:ilvl w:val="1"/>
          <w:numId w:val="3"/>
        </w:numPr>
        <w:tabs>
          <w:tab w:val="clear" w:pos="1200"/>
        </w:tabs>
        <w:spacing w:after="240"/>
        <w:ind w:left="0" w:firstLine="567"/>
        <w:rPr>
          <w:lang w:val="en-US"/>
        </w:rPr>
      </w:pPr>
      <w:r>
        <w:rPr>
          <w:rFonts w:eastAsia="Arial Unicode MS"/>
          <w:lang w:val="en-GB"/>
        </w:rPr>
        <w:t>Legal assistance, involving follow-up of court proceedings for trying crimes.</w:t>
      </w:r>
      <w:r>
        <w:rPr>
          <w:rFonts w:eastAsia="Arial Unicode MS"/>
          <w:lang w:val="en-US"/>
        </w:rPr>
        <w:t xml:space="preserve"> </w:t>
      </w:r>
      <w:r>
        <w:rPr>
          <w:rFonts w:eastAsia="Arial Unicode MS"/>
          <w:lang w:val="en-GB"/>
        </w:rPr>
        <w:t xml:space="preserve">In the case of adult defendants it begins with the presentation of an </w:t>
      </w:r>
      <w:r>
        <w:rPr>
          <w:lang w:val="en-GB"/>
        </w:rPr>
        <w:t>indictment or injunction in which requests may be submitted to the magistrate.</w:t>
      </w:r>
    </w:p>
    <w:p w:rsidR="00CD2A5A" w:rsidRDefault="00CD2A5A">
      <w:pPr>
        <w:numPr>
          <w:ilvl w:val="0"/>
          <w:numId w:val="3"/>
        </w:numPr>
        <w:tabs>
          <w:tab w:val="clear" w:pos="720"/>
        </w:tabs>
        <w:spacing w:after="240"/>
        <w:ind w:left="0" w:firstLine="0"/>
        <w:rPr>
          <w:lang w:val="en-US" w:eastAsia="en-US"/>
        </w:rPr>
      </w:pPr>
      <w:r>
        <w:rPr>
          <w:lang w:val="en-GB" w:eastAsia="en-US"/>
        </w:rPr>
        <w:t>Regarding the judicial process, it is for the Office of the Attorney-General of the Republic via the Minors’ Attorneys to act as legal representative of minors to prevent them being exposed and to safeguard the child’s rights and higher interest in the proceedings referred to above.</w:t>
      </w:r>
      <w:r>
        <w:rPr>
          <w:lang w:val="en-US" w:eastAsia="en-US"/>
        </w:rPr>
        <w:t xml:space="preserve"> </w:t>
      </w:r>
    </w:p>
    <w:p w:rsidR="00CD2A5A" w:rsidRDefault="00CD2A5A">
      <w:pPr>
        <w:numPr>
          <w:ilvl w:val="0"/>
          <w:numId w:val="3"/>
        </w:numPr>
        <w:tabs>
          <w:tab w:val="clear" w:pos="720"/>
        </w:tabs>
        <w:spacing w:after="240"/>
        <w:ind w:left="0" w:firstLine="0"/>
        <w:rPr>
          <w:lang w:val="en-US"/>
        </w:rPr>
      </w:pPr>
      <w:r>
        <w:rPr>
          <w:lang w:val="en-GB"/>
        </w:rPr>
        <w:t>The aggrieved parties, including the victims or plaintiffs, are legally empowered to take legal proceedings (lodge an appeal) in cases of dismissal or definitive discharge, and in case of provisional discharge or filing of the case, they may request the legal proceedings to be re-opened.</w:t>
      </w:r>
    </w:p>
    <w:p w:rsidR="00CD2A5A" w:rsidRDefault="00CD2A5A">
      <w:pPr>
        <w:numPr>
          <w:ilvl w:val="0"/>
          <w:numId w:val="3"/>
        </w:numPr>
        <w:tabs>
          <w:tab w:val="clear" w:pos="720"/>
        </w:tabs>
        <w:spacing w:after="240"/>
        <w:ind w:left="0" w:firstLine="0"/>
        <w:rPr>
          <w:lang w:val="en-US"/>
        </w:rPr>
      </w:pPr>
      <w:r>
        <w:rPr>
          <w:lang w:val="en-GB"/>
        </w:rPr>
        <w:t>In cases of domestic violence it is essential for the victim to undergo a psychological assessment in order to establish the emotional effects caused by the cycle of violence to which they have been subjected.</w:t>
      </w:r>
      <w:r>
        <w:rPr>
          <w:lang w:val="en-US"/>
        </w:rPr>
        <w:t xml:space="preserve"> </w:t>
      </w:r>
      <w:r>
        <w:rPr>
          <w:lang w:val="en-GB"/>
        </w:rPr>
        <w:t>The attorney concerned will have to make an assessment of the victim before taking part in legal proceedings, and will have to provide psychological and social support, especially in the case of children and adolescent victims, offering them psychological treatment or assistance at the attorney’s office.</w:t>
      </w:r>
    </w:p>
    <w:p w:rsidR="00CD2A5A" w:rsidRDefault="00CD2A5A">
      <w:pPr>
        <w:numPr>
          <w:ilvl w:val="0"/>
          <w:numId w:val="3"/>
        </w:numPr>
        <w:tabs>
          <w:tab w:val="clear" w:pos="720"/>
        </w:tabs>
        <w:spacing w:after="240"/>
        <w:ind w:left="0" w:firstLine="0"/>
        <w:rPr>
          <w:lang w:val="en-US"/>
        </w:rPr>
      </w:pPr>
      <w:r>
        <w:rPr>
          <w:lang w:val="en-GB"/>
        </w:rPr>
        <w:t>Legal hearings and proceedings are generally public, but the court may order them to be partially or totally private where required for moral reasons, in the public interest, or where child victims of crimes are taking part.</w:t>
      </w:r>
      <w:r>
        <w:rPr>
          <w:lang w:val="en-US"/>
        </w:rPr>
        <w:t xml:space="preserve"> </w:t>
      </w:r>
      <w:r>
        <w:rPr>
          <w:lang w:val="en-GB"/>
        </w:rPr>
        <w:t>Having regard to the higher interests of the child, the Code of Criminal Procedure states that where the victim is under 18 years of age, he or she is entitled to facilities for testifying in informal and non-hostile environments, and their testimony is recorded to facilitate its reproduction in public where necessary.</w:t>
      </w:r>
      <w:r>
        <w:rPr>
          <w:lang w:val="en-US"/>
        </w:rPr>
        <w:t xml:space="preserve"> </w:t>
      </w:r>
      <w:r>
        <w:rPr>
          <w:lang w:val="en-GB"/>
        </w:rPr>
        <w:t>The law states that the identity of minors and their families must not be disclosed.</w:t>
      </w:r>
    </w:p>
    <w:p w:rsidR="00CD2A5A" w:rsidRDefault="00CD2A5A">
      <w:pPr>
        <w:numPr>
          <w:ilvl w:val="0"/>
          <w:numId w:val="3"/>
        </w:numPr>
        <w:tabs>
          <w:tab w:val="clear" w:pos="720"/>
        </w:tabs>
        <w:spacing w:after="240"/>
        <w:ind w:left="0" w:firstLine="0"/>
        <w:rPr>
          <w:lang w:val="en-US"/>
        </w:rPr>
      </w:pPr>
      <w:r>
        <w:rPr>
          <w:lang w:val="en-GB"/>
        </w:rPr>
        <w:t>The law offers special protection to minors aged under 18, providing for harsher sentences for crimes committed against them.</w:t>
      </w:r>
      <w:r>
        <w:rPr>
          <w:lang w:val="en-US"/>
        </w:rPr>
        <w:t xml:space="preserve"> </w:t>
      </w:r>
      <w:r>
        <w:rPr>
          <w:lang w:val="en-GB"/>
        </w:rPr>
        <w:t>The Code of Criminal Procedure provides that where the victim is a minor and has no parents or guardian, or where the crime is committed by a relative in the ascending line, the Office of the Public Prosecutor of the Republic will press criminal charges for all offences subject to private prosecution.</w:t>
      </w:r>
    </w:p>
    <w:p w:rsidR="00CD2A5A" w:rsidRDefault="00CD2A5A">
      <w:pPr>
        <w:keepNext/>
        <w:numPr>
          <w:ilvl w:val="0"/>
          <w:numId w:val="3"/>
        </w:numPr>
        <w:tabs>
          <w:tab w:val="clear" w:pos="720"/>
        </w:tabs>
        <w:spacing w:after="240"/>
        <w:ind w:left="0" w:firstLine="0"/>
      </w:pPr>
      <w:r>
        <w:rPr>
          <w:lang w:val="en-GB"/>
        </w:rPr>
        <w:t>Having regard to the higher interests of the child, the Office of the Public Prosecutor of the Republic, through the Unit for Minors and Women, is obliged to implement mechanisms for protecting children, to prevent them becoming repeat victims.</w:t>
      </w:r>
      <w:r>
        <w:rPr>
          <w:lang w:val="en-US"/>
        </w:rPr>
        <w:t xml:space="preserve"> </w:t>
      </w:r>
      <w:r>
        <w:rPr>
          <w:lang w:val="en-GB"/>
        </w:rPr>
        <w:t>These measures notably include:</w:t>
      </w:r>
    </w:p>
    <w:p w:rsidR="00CD2A5A" w:rsidRDefault="00CD2A5A">
      <w:pPr>
        <w:numPr>
          <w:ilvl w:val="0"/>
          <w:numId w:val="5"/>
        </w:numPr>
        <w:tabs>
          <w:tab w:val="clear" w:pos="720"/>
        </w:tabs>
        <w:spacing w:after="240"/>
        <w:ind w:left="0" w:firstLine="567"/>
        <w:rPr>
          <w:lang w:val="en-US"/>
        </w:rPr>
      </w:pPr>
      <w:r>
        <w:rPr>
          <w:lang w:val="en-GB"/>
        </w:rPr>
        <w:t>Giving evidence in advance of court proceedings;</w:t>
      </w:r>
    </w:p>
    <w:p w:rsidR="00CD2A5A" w:rsidRDefault="00CD2A5A">
      <w:pPr>
        <w:numPr>
          <w:ilvl w:val="0"/>
          <w:numId w:val="5"/>
        </w:numPr>
        <w:tabs>
          <w:tab w:val="clear" w:pos="720"/>
        </w:tabs>
        <w:spacing w:after="240"/>
        <w:ind w:left="0" w:firstLine="567"/>
        <w:rPr>
          <w:lang w:val="en-US"/>
        </w:rPr>
      </w:pPr>
      <w:r>
        <w:rPr>
          <w:lang w:val="en-GB"/>
        </w:rPr>
        <w:t>Not exposing victims in court hearings, applying the Special Regime for the Protection of Witnesses Act;</w:t>
      </w:r>
    </w:p>
    <w:p w:rsidR="00CD2A5A" w:rsidRDefault="00CD2A5A">
      <w:pPr>
        <w:numPr>
          <w:ilvl w:val="0"/>
          <w:numId w:val="5"/>
        </w:numPr>
        <w:tabs>
          <w:tab w:val="clear" w:pos="720"/>
        </w:tabs>
        <w:spacing w:after="240"/>
        <w:ind w:left="0" w:firstLine="567"/>
        <w:rPr>
          <w:lang w:val="en-US"/>
        </w:rPr>
      </w:pPr>
      <w:r>
        <w:rPr>
          <w:lang w:val="en-GB"/>
        </w:rPr>
        <w:t>Arranging shelter for child victims where necessary;</w:t>
      </w:r>
    </w:p>
    <w:p w:rsidR="00CD2A5A" w:rsidRDefault="00CD2A5A">
      <w:pPr>
        <w:numPr>
          <w:ilvl w:val="0"/>
          <w:numId w:val="5"/>
        </w:numPr>
        <w:tabs>
          <w:tab w:val="clear" w:pos="720"/>
        </w:tabs>
        <w:spacing w:after="240"/>
        <w:ind w:left="0" w:firstLine="567"/>
      </w:pPr>
      <w:r>
        <w:rPr>
          <w:lang w:val="en-GB"/>
        </w:rPr>
        <w:t>Arranging NGO support;</w:t>
      </w:r>
    </w:p>
    <w:p w:rsidR="00CD2A5A" w:rsidRDefault="00CD2A5A">
      <w:pPr>
        <w:numPr>
          <w:ilvl w:val="0"/>
          <w:numId w:val="5"/>
        </w:numPr>
        <w:tabs>
          <w:tab w:val="clear" w:pos="720"/>
        </w:tabs>
        <w:spacing w:after="240"/>
        <w:ind w:left="0" w:firstLine="567"/>
        <w:rPr>
          <w:lang w:val="en-US"/>
        </w:rPr>
      </w:pPr>
      <w:r>
        <w:rPr>
          <w:lang w:val="en-GB"/>
        </w:rPr>
        <w:t>Guaranteeing psychological and social care by the Institutional Multidisciplinary Team;</w:t>
      </w:r>
    </w:p>
    <w:p w:rsidR="00CD2A5A" w:rsidRDefault="00CD2A5A">
      <w:pPr>
        <w:numPr>
          <w:ilvl w:val="0"/>
          <w:numId w:val="5"/>
        </w:numPr>
        <w:tabs>
          <w:tab w:val="clear" w:pos="720"/>
        </w:tabs>
        <w:spacing w:after="240"/>
        <w:ind w:left="0" w:firstLine="567"/>
        <w:rPr>
          <w:lang w:val="en-US"/>
        </w:rPr>
      </w:pPr>
      <w:r>
        <w:rPr>
          <w:lang w:val="en-GB"/>
        </w:rPr>
        <w:t>Requesting the immediate protection measures provided for in the Domestic Violence Act.</w:t>
      </w:r>
    </w:p>
    <w:p w:rsidR="00CD2A5A" w:rsidRDefault="00CD2A5A">
      <w:pPr>
        <w:numPr>
          <w:ilvl w:val="0"/>
          <w:numId w:val="3"/>
        </w:numPr>
        <w:tabs>
          <w:tab w:val="clear" w:pos="720"/>
        </w:tabs>
        <w:spacing w:after="240"/>
        <w:ind w:left="0" w:firstLine="0"/>
        <w:rPr>
          <w:lang w:val="en-US"/>
        </w:rPr>
      </w:pPr>
      <w:r>
        <w:rPr>
          <w:lang w:val="en-GB"/>
        </w:rPr>
        <w:t>Criminal courts (magistrate’s courts, preliminary investigation and trial courts) have heard cases of crimes against minors, with performance and processing over the period 2004–2005 as set out in the following tables:</w:t>
      </w:r>
    </w:p>
    <w:p w:rsidR="00CD2A5A" w:rsidRDefault="00CD2A5A" w:rsidP="00CD2A5A">
      <w:pPr>
        <w:pStyle w:val="Figure"/>
      </w:pPr>
      <w:r>
        <w:t>Figure 21</w:t>
      </w:r>
    </w:p>
    <w:p w:rsidR="00CD2A5A" w:rsidRDefault="00CD2A5A" w:rsidP="00CD2A5A">
      <w:pPr>
        <w:pStyle w:val="Figure"/>
      </w:pPr>
      <w:r>
        <w:t xml:space="preserve">Statistical data of all cases involving minor victims in the 24 Magistrates Courts </w:t>
      </w:r>
      <w:r>
        <w:br/>
        <w:t>equipped with the Case Monitoring System</w:t>
      </w:r>
    </w:p>
    <w:tbl>
      <w:tblPr>
        <w:tblW w:w="9412" w:type="dxa"/>
        <w:tblInd w:w="5" w:type="dxa"/>
        <w:tblLayout w:type="fixed"/>
        <w:tblCellMar>
          <w:left w:w="0" w:type="dxa"/>
          <w:right w:w="0" w:type="dxa"/>
        </w:tblCellMar>
        <w:tblLook w:val="0000" w:firstRow="0" w:lastRow="0" w:firstColumn="0" w:lastColumn="0" w:noHBand="0" w:noVBand="0"/>
      </w:tblPr>
      <w:tblGrid>
        <w:gridCol w:w="1134"/>
        <w:gridCol w:w="857"/>
        <w:gridCol w:w="714"/>
        <w:gridCol w:w="569"/>
        <w:gridCol w:w="562"/>
        <w:gridCol w:w="499"/>
        <w:gridCol w:w="585"/>
        <w:gridCol w:w="548"/>
        <w:gridCol w:w="408"/>
        <w:gridCol w:w="408"/>
        <w:gridCol w:w="408"/>
        <w:gridCol w:w="563"/>
        <w:gridCol w:w="11"/>
        <w:gridCol w:w="553"/>
        <w:gridCol w:w="408"/>
        <w:gridCol w:w="408"/>
        <w:gridCol w:w="408"/>
        <w:gridCol w:w="369"/>
      </w:tblGrid>
      <w:tr w:rsidR="00CD2A5A">
        <w:trPr>
          <w:cantSplit/>
          <w:trHeight w:val="405"/>
        </w:trPr>
        <w:tc>
          <w:tcPr>
            <w:tcW w:w="602" w:type="pct"/>
            <w:vMerge w:val="restart"/>
            <w:tcBorders>
              <w:top w:val="single" w:sz="4" w:space="0" w:color="auto"/>
              <w:left w:val="single" w:sz="4" w:space="0" w:color="auto"/>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Magistrates Courts</w:t>
            </w:r>
          </w:p>
        </w:tc>
        <w:tc>
          <w:tcPr>
            <w:tcW w:w="455"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s-SV"/>
              </w:rPr>
            </w:pPr>
            <w:r>
              <w:rPr>
                <w:b/>
                <w:i/>
                <w:sz w:val="20"/>
                <w:szCs w:val="20"/>
                <w:lang w:val="en-GB"/>
              </w:rPr>
              <w:t>Total</w:t>
            </w:r>
          </w:p>
        </w:tc>
        <w:tc>
          <w:tcPr>
            <w:tcW w:w="1555" w:type="pct"/>
            <w:gridSpan w:val="5"/>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s-SV"/>
              </w:rPr>
            </w:pPr>
            <w:r>
              <w:rPr>
                <w:b/>
                <w:i/>
                <w:sz w:val="20"/>
                <w:szCs w:val="20"/>
                <w:lang w:val="en-GB"/>
              </w:rPr>
              <w:t>2004</w:t>
            </w:r>
          </w:p>
        </w:tc>
        <w:tc>
          <w:tcPr>
            <w:tcW w:w="1241" w:type="pct"/>
            <w:gridSpan w:val="5"/>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s-SV"/>
              </w:rPr>
            </w:pPr>
            <w:r>
              <w:rPr>
                <w:b/>
                <w:i/>
                <w:sz w:val="20"/>
                <w:szCs w:val="20"/>
                <w:lang w:val="en-GB"/>
              </w:rPr>
              <w:t>2005</w:t>
            </w:r>
          </w:p>
        </w:tc>
        <w:tc>
          <w:tcPr>
            <w:tcW w:w="1146" w:type="pct"/>
            <w:gridSpan w:val="6"/>
            <w:tcBorders>
              <w:top w:val="single" w:sz="4" w:space="0" w:color="auto"/>
              <w:left w:val="single" w:sz="4" w:space="0" w:color="auto"/>
              <w:bottom w:val="single" w:sz="4" w:space="0" w:color="auto"/>
              <w:right w:val="single" w:sz="4" w:space="0" w:color="000000"/>
            </w:tcBorders>
            <w:vAlign w:val="center"/>
          </w:tcPr>
          <w:p w:rsidR="00CD2A5A" w:rsidRDefault="00CD2A5A">
            <w:pPr>
              <w:spacing w:before="40" w:after="20"/>
              <w:rPr>
                <w:rFonts w:eastAsia="Arial Unicode MS"/>
                <w:b/>
                <w:i/>
                <w:sz w:val="20"/>
                <w:szCs w:val="20"/>
                <w:lang w:val="es-SV"/>
              </w:rPr>
            </w:pPr>
            <w:r>
              <w:rPr>
                <w:b/>
                <w:i/>
                <w:sz w:val="20"/>
                <w:szCs w:val="20"/>
                <w:lang w:val="en-GB"/>
              </w:rPr>
              <w:t>2006</w:t>
            </w:r>
          </w:p>
        </w:tc>
      </w:tr>
      <w:tr w:rsidR="00CD2A5A">
        <w:trPr>
          <w:cantSplit/>
          <w:trHeight w:val="1397"/>
        </w:trPr>
        <w:tc>
          <w:tcPr>
            <w:tcW w:w="602"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s-SV"/>
              </w:rPr>
            </w:pPr>
          </w:p>
        </w:tc>
        <w:tc>
          <w:tcPr>
            <w:tcW w:w="455"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s-SV"/>
              </w:rPr>
            </w:pPr>
          </w:p>
        </w:tc>
        <w:tc>
          <w:tcPr>
            <w:tcW w:w="379"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Total</w:t>
            </w:r>
          </w:p>
        </w:tc>
        <w:tc>
          <w:tcPr>
            <w:tcW w:w="302"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0 to 5</w:t>
            </w:r>
          </w:p>
        </w:tc>
        <w:tc>
          <w:tcPr>
            <w:tcW w:w="298"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6 to 11</w:t>
            </w:r>
          </w:p>
        </w:tc>
        <w:tc>
          <w:tcPr>
            <w:tcW w:w="265"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12 to 15</w:t>
            </w:r>
          </w:p>
        </w:tc>
        <w:tc>
          <w:tcPr>
            <w:tcW w:w="310"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16 to 17</w:t>
            </w:r>
          </w:p>
        </w:tc>
        <w:tc>
          <w:tcPr>
            <w:tcW w:w="29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Total</w:t>
            </w:r>
          </w:p>
        </w:tc>
        <w:tc>
          <w:tcPr>
            <w:tcW w:w="21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0 to 5</w:t>
            </w:r>
          </w:p>
        </w:tc>
        <w:tc>
          <w:tcPr>
            <w:tcW w:w="21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6 to 11</w:t>
            </w:r>
          </w:p>
        </w:tc>
        <w:tc>
          <w:tcPr>
            <w:tcW w:w="21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12 to 15</w:t>
            </w:r>
          </w:p>
        </w:tc>
        <w:tc>
          <w:tcPr>
            <w:tcW w:w="305" w:type="pct"/>
            <w:gridSpan w:val="2"/>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16 to 17</w:t>
            </w:r>
          </w:p>
        </w:tc>
        <w:tc>
          <w:tcPr>
            <w:tcW w:w="294"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Total</w:t>
            </w:r>
          </w:p>
        </w:tc>
        <w:tc>
          <w:tcPr>
            <w:tcW w:w="21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0 to 5</w:t>
            </w:r>
          </w:p>
        </w:tc>
        <w:tc>
          <w:tcPr>
            <w:tcW w:w="21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6 to 11</w:t>
            </w:r>
          </w:p>
        </w:tc>
        <w:tc>
          <w:tcPr>
            <w:tcW w:w="21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12 to 15</w:t>
            </w:r>
          </w:p>
        </w:tc>
        <w:tc>
          <w:tcPr>
            <w:tcW w:w="196"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16 to 17</w:t>
            </w:r>
          </w:p>
        </w:tc>
      </w:tr>
      <w:tr w:rsidR="00CD2A5A">
        <w:trPr>
          <w:trHeight w:val="420"/>
        </w:trPr>
        <w:tc>
          <w:tcPr>
            <w:tcW w:w="602"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Total</w:t>
            </w:r>
          </w:p>
        </w:tc>
        <w:tc>
          <w:tcPr>
            <w:tcW w:w="45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1,870</w:t>
            </w:r>
          </w:p>
        </w:tc>
        <w:tc>
          <w:tcPr>
            <w:tcW w:w="379"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575</w:t>
            </w:r>
          </w:p>
        </w:tc>
        <w:tc>
          <w:tcPr>
            <w:tcW w:w="30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63</w:t>
            </w:r>
          </w:p>
        </w:tc>
        <w:tc>
          <w:tcPr>
            <w:tcW w:w="298"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136</w:t>
            </w:r>
          </w:p>
        </w:tc>
        <w:tc>
          <w:tcPr>
            <w:tcW w:w="26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197</w:t>
            </w:r>
          </w:p>
        </w:tc>
        <w:tc>
          <w:tcPr>
            <w:tcW w:w="310"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179</w:t>
            </w:r>
          </w:p>
        </w:tc>
        <w:tc>
          <w:tcPr>
            <w:tcW w:w="291"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700</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84</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130</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200</w:t>
            </w:r>
          </w:p>
        </w:tc>
        <w:tc>
          <w:tcPr>
            <w:tcW w:w="305" w:type="pct"/>
            <w:gridSpan w:val="2"/>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286</w:t>
            </w:r>
          </w:p>
        </w:tc>
        <w:tc>
          <w:tcPr>
            <w:tcW w:w="294"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595</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53</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154</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188</w:t>
            </w:r>
          </w:p>
        </w:tc>
        <w:tc>
          <w:tcPr>
            <w:tcW w:w="196"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200</w:t>
            </w:r>
          </w:p>
        </w:tc>
      </w:tr>
      <w:tr w:rsidR="00CD2A5A">
        <w:trPr>
          <w:trHeight w:val="420"/>
        </w:trPr>
        <w:tc>
          <w:tcPr>
            <w:tcW w:w="602"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Average per court</w:t>
            </w:r>
          </w:p>
        </w:tc>
        <w:tc>
          <w:tcPr>
            <w:tcW w:w="45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78</w:t>
            </w:r>
          </w:p>
        </w:tc>
        <w:tc>
          <w:tcPr>
            <w:tcW w:w="379"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24</w:t>
            </w:r>
          </w:p>
        </w:tc>
        <w:tc>
          <w:tcPr>
            <w:tcW w:w="30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w:t>
            </w:r>
          </w:p>
        </w:tc>
        <w:tc>
          <w:tcPr>
            <w:tcW w:w="298"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26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c>
          <w:tcPr>
            <w:tcW w:w="310"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7</w:t>
            </w:r>
          </w:p>
        </w:tc>
        <w:tc>
          <w:tcPr>
            <w:tcW w:w="291"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29</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4</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c>
          <w:tcPr>
            <w:tcW w:w="305" w:type="pct"/>
            <w:gridSpan w:val="2"/>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12</w:t>
            </w:r>
          </w:p>
        </w:tc>
        <w:tc>
          <w:tcPr>
            <w:tcW w:w="294"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25</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21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c>
          <w:tcPr>
            <w:tcW w:w="196"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r>
    </w:tbl>
    <w:p w:rsidR="00CD2A5A" w:rsidRDefault="00CD2A5A">
      <w:pPr>
        <w:rPr>
          <w:lang w:val="es-SV"/>
        </w:rPr>
      </w:pPr>
    </w:p>
    <w:p w:rsidR="00CD2A5A" w:rsidRDefault="00CD2A5A" w:rsidP="00CD2A5A">
      <w:pPr>
        <w:pStyle w:val="Figure"/>
        <w:rPr>
          <w:lang w:val="es-SV"/>
        </w:rPr>
      </w:pPr>
      <w:r>
        <w:t>Figure 22</w:t>
      </w:r>
    </w:p>
    <w:tbl>
      <w:tblPr>
        <w:tblW w:w="9412" w:type="dxa"/>
        <w:tblCellMar>
          <w:left w:w="0" w:type="dxa"/>
          <w:right w:w="0" w:type="dxa"/>
        </w:tblCellMar>
        <w:tblLook w:val="0000" w:firstRow="0" w:lastRow="0" w:firstColumn="0" w:lastColumn="0" w:noHBand="0" w:noVBand="0"/>
      </w:tblPr>
      <w:tblGrid>
        <w:gridCol w:w="961"/>
        <w:gridCol w:w="421"/>
        <w:gridCol w:w="423"/>
        <w:gridCol w:w="421"/>
        <w:gridCol w:w="423"/>
        <w:gridCol w:w="421"/>
        <w:gridCol w:w="423"/>
        <w:gridCol w:w="421"/>
        <w:gridCol w:w="424"/>
        <w:gridCol w:w="422"/>
        <w:gridCol w:w="424"/>
        <w:gridCol w:w="422"/>
        <w:gridCol w:w="424"/>
        <w:gridCol w:w="422"/>
        <w:gridCol w:w="424"/>
        <w:gridCol w:w="422"/>
        <w:gridCol w:w="424"/>
        <w:gridCol w:w="422"/>
        <w:gridCol w:w="424"/>
        <w:gridCol w:w="422"/>
        <w:gridCol w:w="422"/>
      </w:tblGrid>
      <w:tr w:rsidR="00CD2A5A">
        <w:trPr>
          <w:trHeight w:val="645"/>
        </w:trPr>
        <w:tc>
          <w:tcPr>
            <w:tcW w:w="5000" w:type="pct"/>
            <w:gridSpan w:val="21"/>
            <w:tcBorders>
              <w:top w:val="nil"/>
              <w:left w:val="nil"/>
              <w:bottom w:val="nil"/>
              <w:right w:val="nil"/>
            </w:tcBorders>
            <w:vAlign w:val="center"/>
          </w:tcPr>
          <w:p w:rsidR="00CD2A5A" w:rsidRDefault="00CD2A5A">
            <w:pPr>
              <w:keepNext/>
              <w:spacing w:before="40" w:after="20"/>
              <w:jc w:val="center"/>
              <w:rPr>
                <w:rFonts w:eastAsia="Arial Unicode MS"/>
                <w:b/>
                <w:bCs/>
                <w:sz w:val="20"/>
                <w:szCs w:val="20"/>
                <w:lang w:val="en-US"/>
              </w:rPr>
            </w:pPr>
            <w:r>
              <w:rPr>
                <w:b/>
                <w:bCs/>
                <w:sz w:val="20"/>
                <w:szCs w:val="20"/>
                <w:lang w:val="en-GB"/>
              </w:rPr>
              <w:t xml:space="preserve">Statistical data of all cases involving minor victims in the 24 Magistrates Courts </w:t>
            </w:r>
            <w:r>
              <w:rPr>
                <w:b/>
                <w:bCs/>
                <w:sz w:val="20"/>
                <w:szCs w:val="20"/>
                <w:lang w:val="en-GB"/>
              </w:rPr>
              <w:br/>
              <w:t>equipped with the Case Monitoring System In 2006.</w:t>
            </w:r>
          </w:p>
        </w:tc>
      </w:tr>
      <w:tr w:rsidR="00CD2A5A">
        <w:trPr>
          <w:cantSplit/>
          <w:trHeight w:val="4059"/>
        </w:trPr>
        <w:tc>
          <w:tcPr>
            <w:tcW w:w="511" w:type="pct"/>
            <w:tcBorders>
              <w:top w:val="single" w:sz="4" w:space="0" w:color="auto"/>
              <w:left w:val="single" w:sz="4" w:space="0" w:color="auto"/>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rFonts w:eastAsia="Arial Unicode MS"/>
                <w:b/>
                <w:i/>
                <w:sz w:val="20"/>
                <w:szCs w:val="20"/>
                <w:lang w:val="en-GB"/>
              </w:rPr>
              <w:t>Magistrates Courts</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Total</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Case filed</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Mediation authorized</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Plea bargain</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Declaration of fault</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Discharge</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Inadmissible</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Incompetent</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Absolute invalidity</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Order for investigation with interim detention</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Order for investigation with injunctive relief</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Order for investigation with petition hearing</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Order for investigation without inerim detention</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Judicial pardon</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Mediation period</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Acquittal in fault proceedings</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Conviction in fast-track procedure</w:t>
            </w:r>
          </w:p>
        </w:tc>
        <w:tc>
          <w:tcPr>
            <w:tcW w:w="225"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Definitive discharge</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Provisional discharge</w:t>
            </w:r>
          </w:p>
        </w:tc>
        <w:tc>
          <w:tcPr>
            <w:tcW w:w="224" w:type="pct"/>
            <w:tcBorders>
              <w:top w:val="single" w:sz="4" w:space="0" w:color="auto"/>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Conditional suspension of proceedings</w:t>
            </w:r>
          </w:p>
        </w:tc>
      </w:tr>
      <w:tr w:rsidR="00CD2A5A">
        <w:trPr>
          <w:trHeight w:val="375"/>
        </w:trPr>
        <w:tc>
          <w:tcPr>
            <w:tcW w:w="511"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Total</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583</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54</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19</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128</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53</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54</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99</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144</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12</w:t>
            </w:r>
          </w:p>
        </w:tc>
      </w:tr>
      <w:tr w:rsidR="00CD2A5A">
        <w:trPr>
          <w:trHeight w:val="375"/>
        </w:trPr>
        <w:tc>
          <w:tcPr>
            <w:tcW w:w="511"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Average per court</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24</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25"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4</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224" w:type="pct"/>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r>
    </w:tbl>
    <w:p w:rsidR="00CD2A5A" w:rsidRDefault="00CD2A5A" w:rsidP="00CD2A5A">
      <w:pPr>
        <w:pStyle w:val="Figure"/>
      </w:pPr>
      <w:r>
        <w:t>Figure 23</w:t>
      </w:r>
    </w:p>
    <w:p w:rsidR="00CD2A5A" w:rsidRDefault="00CD2A5A" w:rsidP="00CD2A5A">
      <w:pPr>
        <w:pStyle w:val="Figure"/>
        <w:rPr>
          <w:lang w:val="en-US"/>
        </w:rPr>
      </w:pPr>
      <w:r>
        <w:t>Statistical data of all cases involving minor victims in the 30 Preliminary Investigation Courts</w:t>
      </w:r>
      <w:r>
        <w:br/>
        <w:t>equipped with the Case Monitoring System.</w:t>
      </w:r>
    </w:p>
    <w:tbl>
      <w:tblPr>
        <w:tblW w:w="9412" w:type="dxa"/>
        <w:tblInd w:w="5" w:type="dxa"/>
        <w:tblCellMar>
          <w:left w:w="0" w:type="dxa"/>
          <w:right w:w="0" w:type="dxa"/>
        </w:tblCellMar>
        <w:tblLook w:val="0000" w:firstRow="0" w:lastRow="0" w:firstColumn="0" w:lastColumn="0" w:noHBand="0" w:noVBand="0"/>
      </w:tblPr>
      <w:tblGrid>
        <w:gridCol w:w="2051"/>
        <w:gridCol w:w="813"/>
        <w:gridCol w:w="578"/>
        <w:gridCol w:w="401"/>
        <w:gridCol w:w="401"/>
        <w:gridCol w:w="401"/>
        <w:gridCol w:w="401"/>
        <w:gridCol w:w="578"/>
        <w:gridCol w:w="401"/>
        <w:gridCol w:w="401"/>
        <w:gridCol w:w="401"/>
        <w:gridCol w:w="403"/>
        <w:gridCol w:w="578"/>
        <w:gridCol w:w="401"/>
        <w:gridCol w:w="401"/>
        <w:gridCol w:w="401"/>
        <w:gridCol w:w="401"/>
      </w:tblGrid>
      <w:tr w:rsidR="00CD2A5A">
        <w:trPr>
          <w:cantSplit/>
          <w:trHeight w:val="405"/>
        </w:trPr>
        <w:tc>
          <w:tcPr>
            <w:tcW w:w="1090"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US"/>
              </w:rPr>
              <w:t xml:space="preserve">Preliminary investigation </w:t>
            </w:r>
            <w:r>
              <w:rPr>
                <w:b/>
                <w:i/>
                <w:sz w:val="20"/>
                <w:szCs w:val="20"/>
                <w:lang w:val="en-GB"/>
              </w:rPr>
              <w:t>courts</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Total</w:t>
            </w:r>
          </w:p>
        </w:tc>
        <w:tc>
          <w:tcPr>
            <w:tcW w:w="1159" w:type="pct"/>
            <w:gridSpan w:val="5"/>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2004</w:t>
            </w:r>
          </w:p>
        </w:tc>
        <w:tc>
          <w:tcPr>
            <w:tcW w:w="1160" w:type="pct"/>
            <w:gridSpan w:val="5"/>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2005</w:t>
            </w:r>
          </w:p>
        </w:tc>
        <w:tc>
          <w:tcPr>
            <w:tcW w:w="1159" w:type="pct"/>
            <w:gridSpan w:val="5"/>
            <w:tcBorders>
              <w:top w:val="single" w:sz="4" w:space="0" w:color="auto"/>
              <w:left w:val="single" w:sz="4" w:space="0" w:color="auto"/>
              <w:bottom w:val="single" w:sz="4" w:space="0" w:color="auto"/>
              <w:right w:val="single" w:sz="4" w:space="0" w:color="000000"/>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2006</w:t>
            </w:r>
          </w:p>
        </w:tc>
      </w:tr>
      <w:tr w:rsidR="00CD2A5A">
        <w:trPr>
          <w:cantSplit/>
          <w:trHeight w:val="1134"/>
        </w:trPr>
        <w:tc>
          <w:tcPr>
            <w:tcW w:w="1090"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n-US"/>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n-US"/>
              </w:rPr>
            </w:pPr>
          </w:p>
        </w:tc>
        <w:tc>
          <w:tcPr>
            <w:tcW w:w="30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Total</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0 to 5</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6 to 11</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12 to 15</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16 to 17</w:t>
            </w:r>
          </w:p>
        </w:tc>
        <w:tc>
          <w:tcPr>
            <w:tcW w:w="30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Total</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0 to 5</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6 to 11</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12 to 15</w:t>
            </w:r>
          </w:p>
        </w:tc>
        <w:tc>
          <w:tcPr>
            <w:tcW w:w="214"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16 to 17</w:t>
            </w:r>
          </w:p>
        </w:tc>
        <w:tc>
          <w:tcPr>
            <w:tcW w:w="307"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Total</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0 to 5</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6 to 11</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12 to 15</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16 to 17</w:t>
            </w:r>
          </w:p>
        </w:tc>
      </w:tr>
      <w:tr w:rsidR="00CD2A5A">
        <w:trPr>
          <w:trHeight w:val="270"/>
        </w:trPr>
        <w:tc>
          <w:tcPr>
            <w:tcW w:w="1090"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Total</w:t>
            </w:r>
          </w:p>
        </w:tc>
        <w:tc>
          <w:tcPr>
            <w:tcW w:w="43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1,883</w:t>
            </w:r>
          </w:p>
        </w:tc>
        <w:tc>
          <w:tcPr>
            <w:tcW w:w="30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671</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78</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206</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228</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159</w:t>
            </w:r>
          </w:p>
        </w:tc>
        <w:tc>
          <w:tcPr>
            <w:tcW w:w="30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651</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76</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161</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234</w:t>
            </w:r>
          </w:p>
        </w:tc>
        <w:tc>
          <w:tcPr>
            <w:tcW w:w="214"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180</w:t>
            </w:r>
          </w:p>
        </w:tc>
        <w:tc>
          <w:tcPr>
            <w:tcW w:w="30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561</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49</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147</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234</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131</w:t>
            </w:r>
          </w:p>
        </w:tc>
      </w:tr>
      <w:tr w:rsidR="00CD2A5A">
        <w:trPr>
          <w:trHeight w:val="270"/>
        </w:trPr>
        <w:tc>
          <w:tcPr>
            <w:tcW w:w="1090"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Average per court</w:t>
            </w:r>
          </w:p>
        </w:tc>
        <w:tc>
          <w:tcPr>
            <w:tcW w:w="43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63</w:t>
            </w:r>
          </w:p>
        </w:tc>
        <w:tc>
          <w:tcPr>
            <w:tcW w:w="30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23</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7</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w:t>
            </w:r>
          </w:p>
        </w:tc>
        <w:tc>
          <w:tcPr>
            <w:tcW w:w="30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22</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c>
          <w:tcPr>
            <w:tcW w:w="214"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30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19</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8</w:t>
            </w:r>
          </w:p>
        </w:tc>
        <w:tc>
          <w:tcPr>
            <w:tcW w:w="213"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w:t>
            </w:r>
          </w:p>
        </w:tc>
      </w:tr>
    </w:tbl>
    <w:p w:rsidR="00CD2A5A" w:rsidRDefault="00CD2A5A" w:rsidP="00CD2A5A">
      <w:pPr>
        <w:pStyle w:val="Figure"/>
        <w:rPr>
          <w:lang w:val="es-SV"/>
        </w:rPr>
      </w:pPr>
      <w:r>
        <w:t>Figure 24</w:t>
      </w:r>
    </w:p>
    <w:p w:rsidR="00CD2A5A" w:rsidRDefault="00CD2A5A" w:rsidP="00CD2A5A">
      <w:pPr>
        <w:pStyle w:val="Figure"/>
        <w:rPr>
          <w:lang w:val="en-US"/>
        </w:rPr>
      </w:pPr>
      <w:r>
        <w:t xml:space="preserve">Statistical data of all cases involving minor victims in the 30 preliminary investigation courts </w:t>
      </w:r>
      <w:r>
        <w:br/>
        <w:t>equipped with the Case Monitoring System in 2006.</w:t>
      </w:r>
    </w:p>
    <w:tbl>
      <w:tblPr>
        <w:tblW w:w="9412" w:type="dxa"/>
        <w:tblInd w:w="5" w:type="dxa"/>
        <w:tblCellMar>
          <w:left w:w="0" w:type="dxa"/>
          <w:right w:w="0" w:type="dxa"/>
        </w:tblCellMar>
        <w:tblLook w:val="0000" w:firstRow="0" w:lastRow="0" w:firstColumn="0" w:lastColumn="0" w:noHBand="0" w:noVBand="0"/>
      </w:tblPr>
      <w:tblGrid>
        <w:gridCol w:w="1701"/>
        <w:gridCol w:w="423"/>
        <w:gridCol w:w="566"/>
        <w:gridCol w:w="711"/>
        <w:gridCol w:w="330"/>
        <w:gridCol w:w="456"/>
        <w:gridCol w:w="456"/>
        <w:gridCol w:w="456"/>
        <w:gridCol w:w="456"/>
        <w:gridCol w:w="456"/>
        <w:gridCol w:w="456"/>
        <w:gridCol w:w="456"/>
        <w:gridCol w:w="550"/>
        <w:gridCol w:w="503"/>
        <w:gridCol w:w="386"/>
        <w:gridCol w:w="425"/>
        <w:gridCol w:w="625"/>
      </w:tblGrid>
      <w:tr w:rsidR="00CD2A5A">
        <w:trPr>
          <w:cantSplit/>
          <w:trHeight w:val="405"/>
        </w:trPr>
        <w:tc>
          <w:tcPr>
            <w:tcW w:w="904"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20"/>
              <w:rPr>
                <w:rFonts w:eastAsia="Arial Unicode MS"/>
                <w:b/>
                <w:i/>
                <w:sz w:val="20"/>
                <w:szCs w:val="20"/>
                <w:lang w:val="en-US"/>
              </w:rPr>
            </w:pPr>
            <w:r>
              <w:rPr>
                <w:b/>
                <w:i/>
                <w:sz w:val="20"/>
                <w:szCs w:val="20"/>
                <w:lang w:val="en-GB"/>
              </w:rPr>
              <w:t>Preliminary investigation courts</w:t>
            </w:r>
          </w:p>
        </w:tc>
        <w:tc>
          <w:tcPr>
            <w:tcW w:w="4096" w:type="pct"/>
            <w:gridSpan w:val="16"/>
            <w:tcBorders>
              <w:top w:val="single" w:sz="4" w:space="0" w:color="auto"/>
              <w:left w:val="nil"/>
              <w:bottom w:val="single" w:sz="4" w:space="0" w:color="auto"/>
              <w:right w:val="single" w:sz="4" w:space="0" w:color="000000"/>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2006</w:t>
            </w:r>
          </w:p>
        </w:tc>
      </w:tr>
      <w:tr w:rsidR="00CD2A5A">
        <w:trPr>
          <w:cantSplit/>
          <w:trHeight w:val="2156"/>
        </w:trPr>
        <w:tc>
          <w:tcPr>
            <w:tcW w:w="904"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n-US"/>
              </w:rPr>
            </w:pPr>
          </w:p>
        </w:tc>
        <w:tc>
          <w:tcPr>
            <w:tcW w:w="225"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Total</w:t>
            </w:r>
          </w:p>
        </w:tc>
        <w:tc>
          <w:tcPr>
            <w:tcW w:w="301"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Proceedings in progress</w:t>
            </w:r>
          </w:p>
        </w:tc>
        <w:tc>
          <w:tcPr>
            <w:tcW w:w="378"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Admission or rejection of evidence for public hearing</w:t>
            </w:r>
          </w:p>
        </w:tc>
        <w:tc>
          <w:tcPr>
            <w:tcW w:w="176"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Trial proceedings</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Provisional filing</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Mediation authorized</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Declaration of fault</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Contempt of court</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Incompetent</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Ratifying injunctive relief</w:t>
            </w:r>
          </w:p>
        </w:tc>
        <w:tc>
          <w:tcPr>
            <w:tcW w:w="24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Revoking injunctive relief</w:t>
            </w:r>
          </w:p>
        </w:tc>
        <w:tc>
          <w:tcPr>
            <w:tcW w:w="292"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Conviction in fast-track procedure</w:t>
            </w:r>
          </w:p>
        </w:tc>
        <w:tc>
          <w:tcPr>
            <w:tcW w:w="267"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n-US"/>
              </w:rPr>
            </w:pPr>
            <w:r>
              <w:rPr>
                <w:b/>
                <w:i/>
                <w:sz w:val="20"/>
                <w:szCs w:val="20"/>
                <w:lang w:val="en-GB"/>
              </w:rPr>
              <w:t>Conviction in fast-track procedure</w:t>
            </w:r>
          </w:p>
        </w:tc>
        <w:tc>
          <w:tcPr>
            <w:tcW w:w="205"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Definitive discharge</w:t>
            </w:r>
          </w:p>
        </w:tc>
        <w:tc>
          <w:tcPr>
            <w:tcW w:w="226"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Provisional discharge</w:t>
            </w:r>
          </w:p>
        </w:tc>
        <w:tc>
          <w:tcPr>
            <w:tcW w:w="331" w:type="pct"/>
            <w:tcBorders>
              <w:top w:val="nil"/>
              <w:left w:val="nil"/>
              <w:bottom w:val="single" w:sz="4" w:space="0" w:color="auto"/>
              <w:right w:val="single" w:sz="4" w:space="0" w:color="auto"/>
            </w:tcBorders>
            <w:textDirection w:val="btLr"/>
            <w:vAlign w:val="center"/>
          </w:tcPr>
          <w:p w:rsidR="00CD2A5A" w:rsidRDefault="00CD2A5A">
            <w:pPr>
              <w:spacing w:before="40" w:after="20"/>
              <w:rPr>
                <w:rFonts w:eastAsia="Arial Unicode MS"/>
                <w:b/>
                <w:i/>
                <w:sz w:val="20"/>
                <w:szCs w:val="20"/>
                <w:lang w:val="es-SV"/>
              </w:rPr>
            </w:pPr>
            <w:r>
              <w:rPr>
                <w:b/>
                <w:i/>
                <w:sz w:val="20"/>
                <w:szCs w:val="20"/>
                <w:lang w:val="en-GB"/>
              </w:rPr>
              <w:t>Conditional suspension of proceedings</w:t>
            </w:r>
          </w:p>
        </w:tc>
      </w:tr>
      <w:tr w:rsidR="00CD2A5A">
        <w:trPr>
          <w:trHeight w:val="270"/>
        </w:trPr>
        <w:tc>
          <w:tcPr>
            <w:tcW w:w="904"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Total</w:t>
            </w:r>
          </w:p>
        </w:tc>
        <w:tc>
          <w:tcPr>
            <w:tcW w:w="22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561</w:t>
            </w:r>
          </w:p>
        </w:tc>
        <w:tc>
          <w:tcPr>
            <w:tcW w:w="301"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263</w:t>
            </w:r>
          </w:p>
        </w:tc>
        <w:tc>
          <w:tcPr>
            <w:tcW w:w="378"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176"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170</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21</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12</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5</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9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26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0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26</w:t>
            </w:r>
          </w:p>
        </w:tc>
        <w:tc>
          <w:tcPr>
            <w:tcW w:w="226"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38</w:t>
            </w:r>
          </w:p>
        </w:tc>
        <w:tc>
          <w:tcPr>
            <w:tcW w:w="331"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14</w:t>
            </w:r>
          </w:p>
        </w:tc>
      </w:tr>
      <w:tr w:rsidR="00CD2A5A">
        <w:trPr>
          <w:trHeight w:val="315"/>
        </w:trPr>
        <w:tc>
          <w:tcPr>
            <w:tcW w:w="904"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Average per court</w:t>
            </w:r>
          </w:p>
        </w:tc>
        <w:tc>
          <w:tcPr>
            <w:tcW w:w="22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19</w:t>
            </w:r>
          </w:p>
        </w:tc>
        <w:tc>
          <w:tcPr>
            <w:tcW w:w="301"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9</w:t>
            </w:r>
          </w:p>
        </w:tc>
        <w:tc>
          <w:tcPr>
            <w:tcW w:w="378"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176"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6</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4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92"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67"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c>
          <w:tcPr>
            <w:tcW w:w="205"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226"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1</w:t>
            </w:r>
          </w:p>
        </w:tc>
        <w:tc>
          <w:tcPr>
            <w:tcW w:w="331" w:type="pct"/>
            <w:tcBorders>
              <w:top w:val="nil"/>
              <w:left w:val="nil"/>
              <w:bottom w:val="single" w:sz="4" w:space="0" w:color="auto"/>
              <w:right w:val="single" w:sz="4" w:space="0" w:color="auto"/>
            </w:tcBorders>
            <w:vAlign w:val="center"/>
          </w:tcPr>
          <w:p w:rsidR="00CD2A5A" w:rsidRDefault="00CD2A5A">
            <w:pPr>
              <w:spacing w:before="40" w:after="20"/>
              <w:jc w:val="center"/>
              <w:rPr>
                <w:rFonts w:eastAsia="Arial Unicode MS"/>
                <w:sz w:val="20"/>
                <w:szCs w:val="20"/>
                <w:lang w:val="es-SV"/>
              </w:rPr>
            </w:pPr>
            <w:r>
              <w:rPr>
                <w:sz w:val="20"/>
                <w:szCs w:val="20"/>
                <w:lang w:val="es-SV"/>
              </w:rPr>
              <w:t>0</w:t>
            </w:r>
          </w:p>
        </w:tc>
      </w:tr>
    </w:tbl>
    <w:p w:rsidR="00CD2A5A" w:rsidRDefault="00CD2A5A">
      <w:pPr>
        <w:rPr>
          <w:b/>
          <w:bCs/>
          <w:lang w:val="es-SV"/>
        </w:rPr>
      </w:pPr>
    </w:p>
    <w:p w:rsidR="00CD2A5A" w:rsidRDefault="00CD2A5A" w:rsidP="00CD2A5A">
      <w:pPr>
        <w:pStyle w:val="Figure"/>
        <w:rPr>
          <w:lang w:val="en-US"/>
        </w:rPr>
      </w:pPr>
      <w:r>
        <w:t>Figure 25</w:t>
      </w:r>
    </w:p>
    <w:p w:rsidR="00CD2A5A" w:rsidRDefault="00CD2A5A" w:rsidP="00CD2A5A">
      <w:pPr>
        <w:pStyle w:val="Figure"/>
        <w:rPr>
          <w:lang w:val="en-US"/>
        </w:rPr>
      </w:pPr>
      <w:r>
        <w:t xml:space="preserve">Statistical data of all cases involving minor victims in the eight Trial Courts </w:t>
      </w:r>
      <w:r>
        <w:br/>
        <w:t>equipped with the Case Monitoring System.</w:t>
      </w:r>
    </w:p>
    <w:tbl>
      <w:tblPr>
        <w:tblW w:w="9412" w:type="dxa"/>
        <w:tblInd w:w="5" w:type="dxa"/>
        <w:tblCellMar>
          <w:left w:w="0" w:type="dxa"/>
          <w:right w:w="0" w:type="dxa"/>
        </w:tblCellMar>
        <w:tblLook w:val="0000" w:firstRow="0" w:lastRow="0" w:firstColumn="0" w:lastColumn="0" w:noHBand="0" w:noVBand="0"/>
      </w:tblPr>
      <w:tblGrid>
        <w:gridCol w:w="1511"/>
        <w:gridCol w:w="951"/>
        <w:gridCol w:w="708"/>
        <w:gridCol w:w="397"/>
        <w:gridCol w:w="397"/>
        <w:gridCol w:w="397"/>
        <w:gridCol w:w="602"/>
        <w:gridCol w:w="506"/>
        <w:gridCol w:w="397"/>
        <w:gridCol w:w="397"/>
        <w:gridCol w:w="397"/>
        <w:gridCol w:w="403"/>
        <w:gridCol w:w="708"/>
        <w:gridCol w:w="399"/>
        <w:gridCol w:w="399"/>
        <w:gridCol w:w="444"/>
        <w:gridCol w:w="399"/>
      </w:tblGrid>
      <w:tr w:rsidR="00CD2A5A">
        <w:trPr>
          <w:cantSplit/>
          <w:trHeight w:val="405"/>
        </w:trPr>
        <w:tc>
          <w:tcPr>
            <w:tcW w:w="802"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Trial Courts</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Total</w:t>
            </w:r>
          </w:p>
        </w:tc>
        <w:tc>
          <w:tcPr>
            <w:tcW w:w="1329" w:type="pct"/>
            <w:gridSpan w:val="5"/>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2004</w:t>
            </w:r>
          </w:p>
        </w:tc>
        <w:tc>
          <w:tcPr>
            <w:tcW w:w="1116" w:type="pct"/>
            <w:gridSpan w:val="5"/>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2005</w:t>
            </w:r>
          </w:p>
        </w:tc>
        <w:tc>
          <w:tcPr>
            <w:tcW w:w="1248" w:type="pct"/>
            <w:gridSpan w:val="5"/>
            <w:tcBorders>
              <w:top w:val="single" w:sz="4" w:space="0" w:color="auto"/>
              <w:left w:val="single" w:sz="4" w:space="0" w:color="auto"/>
              <w:bottom w:val="single" w:sz="4" w:space="0" w:color="auto"/>
              <w:right w:val="single" w:sz="4" w:space="0" w:color="000000"/>
            </w:tcBorders>
            <w:vAlign w:val="center"/>
          </w:tcPr>
          <w:p w:rsidR="00CD2A5A" w:rsidRDefault="00CD2A5A">
            <w:pPr>
              <w:spacing w:before="40" w:after="20"/>
              <w:jc w:val="center"/>
              <w:rPr>
                <w:rFonts w:eastAsia="Arial Unicode MS"/>
                <w:b/>
                <w:i/>
                <w:sz w:val="20"/>
                <w:szCs w:val="20"/>
                <w:lang w:val="en-US"/>
              </w:rPr>
            </w:pPr>
            <w:r>
              <w:rPr>
                <w:b/>
                <w:i/>
                <w:sz w:val="20"/>
                <w:szCs w:val="20"/>
                <w:lang w:val="en-GB"/>
              </w:rPr>
              <w:t>2006</w:t>
            </w:r>
          </w:p>
        </w:tc>
      </w:tr>
      <w:tr w:rsidR="00CD2A5A">
        <w:trPr>
          <w:cantSplit/>
          <w:trHeight w:val="1134"/>
        </w:trPr>
        <w:tc>
          <w:tcPr>
            <w:tcW w:w="802"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n-US"/>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rFonts w:eastAsia="Arial Unicode MS"/>
                <w:b/>
                <w:i/>
                <w:sz w:val="20"/>
                <w:szCs w:val="20"/>
                <w:lang w:val="en-US"/>
              </w:rPr>
            </w:pPr>
          </w:p>
        </w:tc>
        <w:tc>
          <w:tcPr>
            <w:tcW w:w="376"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Total</w:t>
            </w:r>
          </w:p>
        </w:tc>
        <w:tc>
          <w:tcPr>
            <w:tcW w:w="21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0 to 5</w:t>
            </w:r>
          </w:p>
        </w:tc>
        <w:tc>
          <w:tcPr>
            <w:tcW w:w="21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6 to 11</w:t>
            </w:r>
          </w:p>
        </w:tc>
        <w:tc>
          <w:tcPr>
            <w:tcW w:w="21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12 to 15</w:t>
            </w:r>
          </w:p>
        </w:tc>
        <w:tc>
          <w:tcPr>
            <w:tcW w:w="319"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16 to 17</w:t>
            </w:r>
          </w:p>
        </w:tc>
        <w:tc>
          <w:tcPr>
            <w:tcW w:w="269"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rFonts w:eastAsia="Arial Unicode MS"/>
                <w:b/>
                <w:i/>
                <w:sz w:val="20"/>
                <w:szCs w:val="20"/>
                <w:lang w:val="en-GB"/>
              </w:rPr>
              <w:t>Total</w:t>
            </w:r>
          </w:p>
        </w:tc>
        <w:tc>
          <w:tcPr>
            <w:tcW w:w="21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0 to 5</w:t>
            </w:r>
          </w:p>
        </w:tc>
        <w:tc>
          <w:tcPr>
            <w:tcW w:w="21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n-US"/>
              </w:rPr>
            </w:pPr>
            <w:r>
              <w:rPr>
                <w:b/>
                <w:i/>
                <w:sz w:val="20"/>
                <w:szCs w:val="20"/>
                <w:lang w:val="en-GB"/>
              </w:rPr>
              <w:t>Age 6 to 11</w:t>
            </w:r>
          </w:p>
        </w:tc>
        <w:tc>
          <w:tcPr>
            <w:tcW w:w="211"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12 to 15</w:t>
            </w:r>
          </w:p>
        </w:tc>
        <w:tc>
          <w:tcPr>
            <w:tcW w:w="213"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16 to 17</w:t>
            </w:r>
          </w:p>
        </w:tc>
        <w:tc>
          <w:tcPr>
            <w:tcW w:w="376"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rFonts w:eastAsia="Arial Unicode MS"/>
                <w:b/>
                <w:i/>
                <w:sz w:val="20"/>
                <w:szCs w:val="20"/>
                <w:lang w:val="en-GB"/>
              </w:rPr>
              <w:t>Total</w:t>
            </w:r>
          </w:p>
        </w:tc>
        <w:tc>
          <w:tcPr>
            <w:tcW w:w="212"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0 to 5</w:t>
            </w:r>
          </w:p>
        </w:tc>
        <w:tc>
          <w:tcPr>
            <w:tcW w:w="212"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6 to 11</w:t>
            </w:r>
          </w:p>
        </w:tc>
        <w:tc>
          <w:tcPr>
            <w:tcW w:w="236"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12 to 15</w:t>
            </w:r>
          </w:p>
        </w:tc>
        <w:tc>
          <w:tcPr>
            <w:tcW w:w="212" w:type="pct"/>
            <w:tcBorders>
              <w:top w:val="nil"/>
              <w:left w:val="nil"/>
              <w:bottom w:val="single" w:sz="4" w:space="0" w:color="auto"/>
              <w:right w:val="single" w:sz="4" w:space="0" w:color="auto"/>
            </w:tcBorders>
            <w:textDirection w:val="btLr"/>
            <w:vAlign w:val="center"/>
          </w:tcPr>
          <w:p w:rsidR="00CD2A5A" w:rsidRDefault="00CD2A5A">
            <w:pPr>
              <w:spacing w:before="40" w:after="20"/>
              <w:ind w:left="113" w:right="113"/>
              <w:rPr>
                <w:rFonts w:eastAsia="Arial Unicode MS"/>
                <w:b/>
                <w:i/>
                <w:sz w:val="20"/>
                <w:szCs w:val="20"/>
                <w:lang w:val="es-SV"/>
              </w:rPr>
            </w:pPr>
            <w:r>
              <w:rPr>
                <w:b/>
                <w:i/>
                <w:sz w:val="20"/>
                <w:szCs w:val="20"/>
                <w:lang w:val="en-GB"/>
              </w:rPr>
              <w:t>Age 16 to 17</w:t>
            </w:r>
          </w:p>
        </w:tc>
      </w:tr>
      <w:tr w:rsidR="00CD2A5A">
        <w:trPr>
          <w:trHeight w:val="403"/>
        </w:trPr>
        <w:tc>
          <w:tcPr>
            <w:tcW w:w="802"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Total</w:t>
            </w:r>
          </w:p>
        </w:tc>
        <w:tc>
          <w:tcPr>
            <w:tcW w:w="505"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448</w:t>
            </w:r>
          </w:p>
        </w:tc>
        <w:tc>
          <w:tcPr>
            <w:tcW w:w="376"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16</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5</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7</w:t>
            </w:r>
          </w:p>
        </w:tc>
        <w:tc>
          <w:tcPr>
            <w:tcW w:w="319"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3</w:t>
            </w:r>
          </w:p>
        </w:tc>
        <w:tc>
          <w:tcPr>
            <w:tcW w:w="269"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99</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40</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19</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27</w:t>
            </w:r>
          </w:p>
        </w:tc>
        <w:tc>
          <w:tcPr>
            <w:tcW w:w="213"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13</w:t>
            </w:r>
          </w:p>
        </w:tc>
        <w:tc>
          <w:tcPr>
            <w:tcW w:w="376"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333</w:t>
            </w:r>
          </w:p>
        </w:tc>
        <w:tc>
          <w:tcPr>
            <w:tcW w:w="212"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93</w:t>
            </w:r>
          </w:p>
        </w:tc>
        <w:tc>
          <w:tcPr>
            <w:tcW w:w="212"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74</w:t>
            </w:r>
          </w:p>
        </w:tc>
        <w:tc>
          <w:tcPr>
            <w:tcW w:w="236"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103</w:t>
            </w:r>
          </w:p>
        </w:tc>
        <w:tc>
          <w:tcPr>
            <w:tcW w:w="212"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63</w:t>
            </w:r>
          </w:p>
        </w:tc>
      </w:tr>
      <w:tr w:rsidR="00CD2A5A">
        <w:trPr>
          <w:trHeight w:val="705"/>
        </w:trPr>
        <w:tc>
          <w:tcPr>
            <w:tcW w:w="802" w:type="pct"/>
            <w:tcBorders>
              <w:top w:val="nil"/>
              <w:left w:val="single" w:sz="4" w:space="0" w:color="auto"/>
              <w:bottom w:val="single" w:sz="4" w:space="0" w:color="auto"/>
              <w:right w:val="single" w:sz="4" w:space="0" w:color="auto"/>
            </w:tcBorders>
            <w:vAlign w:val="center"/>
          </w:tcPr>
          <w:p w:rsidR="00CD2A5A" w:rsidRDefault="00CD2A5A">
            <w:pPr>
              <w:spacing w:before="40" w:after="20"/>
              <w:rPr>
                <w:rFonts w:eastAsia="Arial Unicode MS"/>
                <w:sz w:val="20"/>
                <w:szCs w:val="20"/>
                <w:lang w:val="es-SV"/>
              </w:rPr>
            </w:pPr>
            <w:r>
              <w:rPr>
                <w:sz w:val="20"/>
                <w:szCs w:val="20"/>
                <w:lang w:val="en-GB"/>
              </w:rPr>
              <w:t>Average per court</w:t>
            </w:r>
          </w:p>
        </w:tc>
        <w:tc>
          <w:tcPr>
            <w:tcW w:w="505"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56</w:t>
            </w:r>
          </w:p>
        </w:tc>
        <w:tc>
          <w:tcPr>
            <w:tcW w:w="376"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2</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0</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w:t>
            </w:r>
          </w:p>
        </w:tc>
        <w:tc>
          <w:tcPr>
            <w:tcW w:w="319"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0</w:t>
            </w:r>
          </w:p>
        </w:tc>
        <w:tc>
          <w:tcPr>
            <w:tcW w:w="269"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12</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5</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2</w:t>
            </w:r>
          </w:p>
        </w:tc>
        <w:tc>
          <w:tcPr>
            <w:tcW w:w="211"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3</w:t>
            </w:r>
          </w:p>
        </w:tc>
        <w:tc>
          <w:tcPr>
            <w:tcW w:w="213"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2</w:t>
            </w:r>
          </w:p>
        </w:tc>
        <w:tc>
          <w:tcPr>
            <w:tcW w:w="376"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42</w:t>
            </w:r>
          </w:p>
        </w:tc>
        <w:tc>
          <w:tcPr>
            <w:tcW w:w="212"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12</w:t>
            </w:r>
          </w:p>
        </w:tc>
        <w:tc>
          <w:tcPr>
            <w:tcW w:w="212"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9</w:t>
            </w:r>
          </w:p>
        </w:tc>
        <w:tc>
          <w:tcPr>
            <w:tcW w:w="236"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13</w:t>
            </w:r>
          </w:p>
        </w:tc>
        <w:tc>
          <w:tcPr>
            <w:tcW w:w="212" w:type="pct"/>
            <w:tcBorders>
              <w:top w:val="nil"/>
              <w:left w:val="nil"/>
              <w:bottom w:val="single" w:sz="4" w:space="0" w:color="auto"/>
              <w:right w:val="single" w:sz="4" w:space="0" w:color="auto"/>
            </w:tcBorders>
            <w:vAlign w:val="center"/>
          </w:tcPr>
          <w:p w:rsidR="00CD2A5A" w:rsidRDefault="00CD2A5A">
            <w:pPr>
              <w:spacing w:before="40" w:after="20"/>
              <w:ind w:right="134"/>
              <w:jc w:val="right"/>
              <w:rPr>
                <w:rFonts w:eastAsia="Arial Unicode MS"/>
                <w:sz w:val="20"/>
                <w:szCs w:val="20"/>
                <w:lang w:val="es-SV"/>
              </w:rPr>
            </w:pPr>
            <w:r>
              <w:rPr>
                <w:sz w:val="20"/>
                <w:szCs w:val="20"/>
                <w:lang w:val="es-SV"/>
              </w:rPr>
              <w:t>8</w:t>
            </w:r>
          </w:p>
        </w:tc>
      </w:tr>
    </w:tbl>
    <w:p w:rsidR="00CD2A5A" w:rsidRDefault="00CD2A5A">
      <w:pPr>
        <w:spacing w:after="240"/>
        <w:rPr>
          <w:lang w:val="es-SV"/>
        </w:rPr>
      </w:pPr>
    </w:p>
    <w:p w:rsidR="00CD2A5A" w:rsidRDefault="00CD2A5A" w:rsidP="00CE08C8">
      <w:pPr>
        <w:pStyle w:val="Figure"/>
        <w:rPr>
          <w:lang w:val="es-SV"/>
        </w:rPr>
      </w:pPr>
      <w:r>
        <w:t>Figure 26</w:t>
      </w:r>
    </w:p>
    <w:p w:rsidR="00CD2A5A" w:rsidRDefault="00CD2A5A" w:rsidP="00CE08C8">
      <w:pPr>
        <w:pStyle w:val="Figure"/>
        <w:rPr>
          <w:lang w:val="en-US"/>
        </w:rPr>
      </w:pPr>
      <w:r>
        <w:t xml:space="preserve">Statistical data of all cases involving minor victims in the 8 Trial Courts </w:t>
      </w:r>
      <w:r>
        <w:br/>
        <w:t>equipped with the Case Monitoring System.</w:t>
      </w:r>
    </w:p>
    <w:tbl>
      <w:tblPr>
        <w:tblW w:w="9412" w:type="dxa"/>
        <w:tblInd w:w="5" w:type="dxa"/>
        <w:tblCellMar>
          <w:left w:w="0" w:type="dxa"/>
          <w:right w:w="0" w:type="dxa"/>
        </w:tblCellMar>
        <w:tblLook w:val="0000" w:firstRow="0" w:lastRow="0" w:firstColumn="0" w:lastColumn="0" w:noHBand="0" w:noVBand="0"/>
      </w:tblPr>
      <w:tblGrid>
        <w:gridCol w:w="1886"/>
        <w:gridCol w:w="1152"/>
        <w:gridCol w:w="573"/>
        <w:gridCol w:w="515"/>
        <w:gridCol w:w="573"/>
        <w:gridCol w:w="573"/>
        <w:gridCol w:w="573"/>
        <w:gridCol w:w="573"/>
        <w:gridCol w:w="473"/>
        <w:gridCol w:w="673"/>
        <w:gridCol w:w="673"/>
        <w:gridCol w:w="673"/>
        <w:gridCol w:w="502"/>
      </w:tblGrid>
      <w:tr w:rsidR="00CD2A5A">
        <w:trPr>
          <w:cantSplit/>
          <w:trHeight w:val="405"/>
        </w:trPr>
        <w:tc>
          <w:tcPr>
            <w:tcW w:w="1018"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jc w:val="center"/>
              <w:rPr>
                <w:rFonts w:eastAsia="Arial Unicode MS"/>
                <w:b/>
                <w:i/>
                <w:sz w:val="20"/>
                <w:szCs w:val="20"/>
                <w:lang w:val="en-US"/>
              </w:rPr>
            </w:pPr>
            <w:r>
              <w:rPr>
                <w:b/>
                <w:i/>
                <w:sz w:val="20"/>
                <w:szCs w:val="20"/>
                <w:lang w:val="en-GB"/>
              </w:rPr>
              <w:t>Trial Courts</w:t>
            </w:r>
          </w:p>
        </w:tc>
        <w:tc>
          <w:tcPr>
            <w:tcW w:w="628"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jc w:val="center"/>
              <w:rPr>
                <w:rFonts w:eastAsia="Arial Unicode MS"/>
                <w:b/>
                <w:i/>
                <w:sz w:val="20"/>
                <w:szCs w:val="20"/>
                <w:lang w:val="en-US"/>
              </w:rPr>
            </w:pPr>
            <w:r>
              <w:rPr>
                <w:b/>
                <w:i/>
                <w:sz w:val="20"/>
                <w:szCs w:val="20"/>
                <w:lang w:val="en-GB"/>
              </w:rPr>
              <w:t>Total</w:t>
            </w:r>
            <w:r>
              <w:rPr>
                <w:b/>
                <w:i/>
                <w:sz w:val="20"/>
                <w:szCs w:val="20"/>
                <w:lang w:val="en-GB"/>
              </w:rPr>
              <w:br/>
            </w:r>
            <w:r>
              <w:rPr>
                <w:b/>
                <w:i/>
                <w:sz w:val="20"/>
                <w:szCs w:val="20"/>
                <w:lang w:val="en-US"/>
              </w:rPr>
              <w:t>2004-2006</w:t>
            </w:r>
          </w:p>
        </w:tc>
        <w:tc>
          <w:tcPr>
            <w:tcW w:w="915" w:type="pct"/>
            <w:gridSpan w:val="3"/>
            <w:tcBorders>
              <w:top w:val="single" w:sz="4" w:space="0" w:color="auto"/>
              <w:left w:val="nil"/>
              <w:bottom w:val="single" w:sz="4" w:space="0" w:color="auto"/>
              <w:right w:val="nil"/>
            </w:tcBorders>
            <w:vAlign w:val="center"/>
          </w:tcPr>
          <w:p w:rsidR="00CD2A5A" w:rsidRDefault="00CD2A5A">
            <w:pPr>
              <w:keepNext/>
              <w:spacing w:before="40" w:after="40"/>
              <w:jc w:val="center"/>
              <w:rPr>
                <w:rFonts w:eastAsia="Arial Unicode MS"/>
                <w:b/>
                <w:i/>
                <w:sz w:val="20"/>
                <w:szCs w:val="20"/>
                <w:lang w:val="en-US"/>
              </w:rPr>
            </w:pPr>
            <w:r>
              <w:rPr>
                <w:b/>
                <w:i/>
                <w:sz w:val="20"/>
                <w:szCs w:val="20"/>
                <w:lang w:val="en-GB"/>
              </w:rPr>
              <w:t>2004</w:t>
            </w:r>
          </w:p>
        </w:tc>
        <w:tc>
          <w:tcPr>
            <w:tcW w:w="1221" w:type="pct"/>
            <w:gridSpan w:val="4"/>
            <w:tcBorders>
              <w:top w:val="single" w:sz="4" w:space="0" w:color="auto"/>
              <w:left w:val="single" w:sz="4" w:space="0" w:color="auto"/>
              <w:bottom w:val="single" w:sz="4" w:space="0" w:color="auto"/>
              <w:right w:val="nil"/>
            </w:tcBorders>
            <w:vAlign w:val="center"/>
          </w:tcPr>
          <w:p w:rsidR="00CD2A5A" w:rsidRDefault="00CD2A5A">
            <w:pPr>
              <w:keepNext/>
              <w:spacing w:before="40" w:after="40"/>
              <w:jc w:val="center"/>
              <w:rPr>
                <w:rFonts w:eastAsia="Arial Unicode MS"/>
                <w:b/>
                <w:i/>
                <w:sz w:val="20"/>
                <w:szCs w:val="20"/>
                <w:lang w:val="en-US"/>
              </w:rPr>
            </w:pPr>
            <w:r>
              <w:rPr>
                <w:b/>
                <w:i/>
                <w:sz w:val="20"/>
                <w:szCs w:val="20"/>
                <w:lang w:val="en-GB"/>
              </w:rPr>
              <w:t>2005</w:t>
            </w:r>
          </w:p>
        </w:tc>
        <w:tc>
          <w:tcPr>
            <w:tcW w:w="1218" w:type="pct"/>
            <w:gridSpan w:val="4"/>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jc w:val="center"/>
              <w:rPr>
                <w:rFonts w:eastAsia="Arial Unicode MS"/>
                <w:b/>
                <w:i/>
                <w:sz w:val="20"/>
                <w:szCs w:val="20"/>
                <w:lang w:val="en-US"/>
              </w:rPr>
            </w:pPr>
            <w:r>
              <w:rPr>
                <w:b/>
                <w:i/>
                <w:sz w:val="20"/>
                <w:szCs w:val="20"/>
                <w:lang w:val="en-GB"/>
              </w:rPr>
              <w:t>2006</w:t>
            </w:r>
          </w:p>
        </w:tc>
      </w:tr>
      <w:tr w:rsidR="00CD2A5A">
        <w:trPr>
          <w:cantSplit/>
          <w:trHeight w:val="1710"/>
        </w:trPr>
        <w:tc>
          <w:tcPr>
            <w:tcW w:w="1018" w:type="pct"/>
            <w:vMerge/>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rPr>
                <w:rFonts w:eastAsia="Arial Unicode MS"/>
                <w:b/>
                <w:i/>
                <w:sz w:val="20"/>
                <w:szCs w:val="20"/>
                <w:lang w:val="en-US"/>
              </w:rPr>
            </w:pPr>
          </w:p>
        </w:tc>
        <w:tc>
          <w:tcPr>
            <w:tcW w:w="628" w:type="pct"/>
            <w:vMerge/>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rPr>
                <w:rFonts w:eastAsia="Arial Unicode MS"/>
                <w:b/>
                <w:i/>
                <w:sz w:val="20"/>
                <w:szCs w:val="20"/>
                <w:lang w:val="en-US"/>
              </w:rPr>
            </w:pP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Total</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Acquittal</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Conviction</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Total</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Acquittal</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Conviction</w:t>
            </w:r>
          </w:p>
        </w:tc>
        <w:tc>
          <w:tcPr>
            <w:tcW w:w="306"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Mixed verdict</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n-US"/>
              </w:rPr>
            </w:pPr>
            <w:r>
              <w:rPr>
                <w:b/>
                <w:i/>
                <w:sz w:val="20"/>
                <w:szCs w:val="20"/>
                <w:lang w:val="en-GB"/>
              </w:rPr>
              <w:t>Total</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s-SV"/>
              </w:rPr>
            </w:pPr>
            <w:r>
              <w:rPr>
                <w:b/>
                <w:i/>
                <w:sz w:val="20"/>
                <w:szCs w:val="20"/>
                <w:lang w:val="en-GB"/>
              </w:rPr>
              <w:t>Acquittal</w:t>
            </w:r>
          </w:p>
        </w:tc>
        <w:tc>
          <w:tcPr>
            <w:tcW w:w="305"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s-SV"/>
              </w:rPr>
            </w:pPr>
            <w:r>
              <w:rPr>
                <w:b/>
                <w:i/>
                <w:sz w:val="20"/>
                <w:szCs w:val="20"/>
                <w:lang w:val="en-GB"/>
              </w:rPr>
              <w:t>Conviction</w:t>
            </w:r>
          </w:p>
        </w:tc>
        <w:tc>
          <w:tcPr>
            <w:tcW w:w="303" w:type="pct"/>
            <w:tcBorders>
              <w:top w:val="nil"/>
              <w:left w:val="nil"/>
              <w:bottom w:val="single" w:sz="4" w:space="0" w:color="auto"/>
              <w:right w:val="single" w:sz="4" w:space="0" w:color="auto"/>
            </w:tcBorders>
            <w:textDirection w:val="btLr"/>
            <w:vAlign w:val="center"/>
          </w:tcPr>
          <w:p w:rsidR="00CD2A5A" w:rsidRDefault="00CD2A5A">
            <w:pPr>
              <w:keepNext/>
              <w:spacing w:before="40" w:after="40"/>
              <w:rPr>
                <w:rFonts w:eastAsia="Arial Unicode MS"/>
                <w:b/>
                <w:i/>
                <w:sz w:val="20"/>
                <w:szCs w:val="20"/>
                <w:lang w:val="es-SV"/>
              </w:rPr>
            </w:pPr>
            <w:r>
              <w:rPr>
                <w:b/>
                <w:i/>
                <w:sz w:val="20"/>
                <w:szCs w:val="20"/>
                <w:lang w:val="en-GB"/>
              </w:rPr>
              <w:t>Mixed verdict</w:t>
            </w:r>
          </w:p>
        </w:tc>
      </w:tr>
      <w:tr w:rsidR="00CD2A5A">
        <w:trPr>
          <w:trHeight w:val="515"/>
        </w:trPr>
        <w:tc>
          <w:tcPr>
            <w:tcW w:w="1018"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n-GB"/>
              </w:rPr>
              <w:t>Total</w:t>
            </w:r>
          </w:p>
        </w:tc>
        <w:tc>
          <w:tcPr>
            <w:tcW w:w="628"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448</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16</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6</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10</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99</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45</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50</w:t>
            </w:r>
          </w:p>
        </w:tc>
        <w:tc>
          <w:tcPr>
            <w:tcW w:w="306"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4</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333</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152</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179</w:t>
            </w:r>
          </w:p>
        </w:tc>
        <w:tc>
          <w:tcPr>
            <w:tcW w:w="303"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2</w:t>
            </w:r>
          </w:p>
        </w:tc>
      </w:tr>
      <w:tr w:rsidR="00CD2A5A">
        <w:trPr>
          <w:trHeight w:val="660"/>
        </w:trPr>
        <w:tc>
          <w:tcPr>
            <w:tcW w:w="1018"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n-GB"/>
              </w:rPr>
              <w:t>Average per court</w:t>
            </w:r>
          </w:p>
        </w:tc>
        <w:tc>
          <w:tcPr>
            <w:tcW w:w="628"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56</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2</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12</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6</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6</w:t>
            </w:r>
          </w:p>
        </w:tc>
        <w:tc>
          <w:tcPr>
            <w:tcW w:w="306"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42</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19</w:t>
            </w:r>
          </w:p>
        </w:tc>
        <w:tc>
          <w:tcPr>
            <w:tcW w:w="305"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22</w:t>
            </w:r>
          </w:p>
        </w:tc>
        <w:tc>
          <w:tcPr>
            <w:tcW w:w="303" w:type="pct"/>
            <w:tcBorders>
              <w:top w:val="nil"/>
              <w:left w:val="nil"/>
              <w:bottom w:val="single" w:sz="4" w:space="0" w:color="auto"/>
              <w:right w:val="single" w:sz="4" w:space="0" w:color="auto"/>
            </w:tcBorders>
            <w:vAlign w:val="center"/>
          </w:tcPr>
          <w:p w:rsidR="00CD2A5A" w:rsidRDefault="00CD2A5A">
            <w:pPr>
              <w:spacing w:before="40" w:after="40"/>
              <w:ind w:right="363"/>
              <w:jc w:val="right"/>
              <w:rPr>
                <w:rFonts w:eastAsia="Arial Unicode MS"/>
                <w:sz w:val="20"/>
                <w:szCs w:val="20"/>
                <w:lang w:val="es-SV"/>
              </w:rPr>
            </w:pPr>
            <w:r>
              <w:rPr>
                <w:sz w:val="20"/>
                <w:szCs w:val="20"/>
                <w:lang w:val="es-SV"/>
              </w:rPr>
              <w:t>0</w:t>
            </w:r>
          </w:p>
        </w:tc>
      </w:tr>
    </w:tbl>
    <w:p w:rsidR="00CD2A5A" w:rsidRDefault="00CD2A5A" w:rsidP="006228EF">
      <w:pPr>
        <w:pStyle w:val="A0"/>
      </w:pPr>
      <w:r>
        <w:t>F.  Protection against domestic violence</w:t>
      </w:r>
    </w:p>
    <w:p w:rsidR="00CD2A5A" w:rsidRDefault="00CD2A5A">
      <w:pPr>
        <w:pStyle w:val="BodyText3"/>
        <w:numPr>
          <w:ilvl w:val="0"/>
          <w:numId w:val="3"/>
        </w:numPr>
        <w:tabs>
          <w:tab w:val="clear" w:pos="720"/>
        </w:tabs>
        <w:spacing w:before="0" w:beforeAutospacing="0" w:after="240" w:afterAutospacing="0"/>
        <w:ind w:left="0" w:firstLine="0"/>
        <w:rPr>
          <w:color w:val="auto"/>
          <w:lang w:val="en-US"/>
        </w:rPr>
      </w:pPr>
      <w:r>
        <w:rPr>
          <w:color w:val="auto"/>
          <w:lang w:val="en-GB"/>
        </w:rPr>
        <w:t>At the request of the Network for Action Against Gender Violence in El Salvador, the Office of the Public Prosecutor of the Republic, along with a number of government organizations and NGOs, set up a standing committee for the protection of children against domestic violence.</w:t>
      </w:r>
      <w:r>
        <w:rPr>
          <w:color w:val="auto"/>
          <w:lang w:val="en-US"/>
        </w:rPr>
        <w:t xml:space="preserve"> </w:t>
      </w:r>
      <w:r>
        <w:rPr>
          <w:color w:val="auto"/>
          <w:lang w:val="en-GB"/>
        </w:rPr>
        <w:t>In 2004, the committee drafted a manual for the application of the Domestic Violence Act, which was circulated to various institutions nationwide, with a view to providing fast and effective care for victims of domestic violence.</w:t>
      </w:r>
    </w:p>
    <w:p w:rsidR="00CD2A5A" w:rsidRDefault="00CD2A5A">
      <w:pPr>
        <w:pStyle w:val="BodyText3"/>
        <w:numPr>
          <w:ilvl w:val="0"/>
          <w:numId w:val="3"/>
        </w:numPr>
        <w:tabs>
          <w:tab w:val="clear" w:pos="720"/>
        </w:tabs>
        <w:spacing w:before="0" w:beforeAutospacing="0" w:after="240" w:afterAutospacing="0"/>
        <w:ind w:left="0" w:firstLine="0"/>
        <w:rPr>
          <w:color w:val="auto"/>
          <w:lang w:val="en-US"/>
        </w:rPr>
      </w:pPr>
      <w:r>
        <w:rPr>
          <w:color w:val="auto"/>
          <w:lang w:val="en-GB"/>
        </w:rPr>
        <w:t>Since 2004 the Office has been a member of a technical working party set up to draft legislation for the Legislative Assembly Committee on Women and the Family.</w:t>
      </w:r>
      <w:r>
        <w:rPr>
          <w:color w:val="auto"/>
          <w:lang w:val="en-US"/>
        </w:rPr>
        <w:t xml:space="preserve"> </w:t>
      </w:r>
      <w:r>
        <w:rPr>
          <w:color w:val="auto"/>
          <w:lang w:val="en-GB"/>
        </w:rPr>
        <w:t>That Committee prepared a bill on the protection of victims of sexual abuse, domestic violence and trafficking in persons for the purposes of commercial sexual exploitation, which is being considered for adoption by the legislative plenary.</w:t>
      </w:r>
      <w:r>
        <w:rPr>
          <w:color w:val="auto"/>
          <w:lang w:val="en-US"/>
        </w:rPr>
        <w:t xml:space="preserve"> </w:t>
      </w:r>
      <w:r>
        <w:rPr>
          <w:color w:val="auto"/>
          <w:lang w:val="en-GB"/>
        </w:rPr>
        <w:t>Proposals have also been prepared for reforms of the Family Code to protect women and children, which are also being considered in the hope that they will be approved by the Legislative Assembly.</w:t>
      </w:r>
    </w:p>
    <w:p w:rsidR="00CD2A5A" w:rsidRDefault="00CD2A5A">
      <w:pPr>
        <w:pStyle w:val="BodyText3"/>
        <w:numPr>
          <w:ilvl w:val="0"/>
          <w:numId w:val="3"/>
        </w:numPr>
        <w:tabs>
          <w:tab w:val="clear" w:pos="720"/>
        </w:tabs>
        <w:spacing w:before="0" w:beforeAutospacing="0" w:after="240" w:afterAutospacing="0"/>
        <w:ind w:left="0" w:firstLine="0"/>
        <w:rPr>
          <w:color w:val="auto"/>
          <w:lang w:val="en-US"/>
        </w:rPr>
      </w:pPr>
      <w:r>
        <w:rPr>
          <w:color w:val="auto"/>
          <w:lang w:val="en-GB"/>
        </w:rPr>
        <w:t>In the field of awareness-raising and training, the Inter-institutional Committee for the Prevention of and Care for Domestic Violence has been in existence since the year 2000, carrying out activities such as nationwide awareness-raising and fairs to prevent violence, in which it informs the pubic about the rights of women, children and adolescents, and gender violence, its causes, and which institutions are competent in this area.</w:t>
      </w:r>
      <w:r>
        <w:rPr>
          <w:color w:val="auto"/>
          <w:lang w:val="en-US"/>
        </w:rPr>
        <w:t xml:space="preserve"> </w:t>
      </w:r>
      <w:r>
        <w:rPr>
          <w:color w:val="auto"/>
          <w:lang w:val="en-GB"/>
        </w:rPr>
        <w:t>This project is run by the Salvadoran Institute for Women’s Development.</w:t>
      </w:r>
    </w:p>
    <w:p w:rsidR="00CD2A5A" w:rsidRDefault="00CD2A5A">
      <w:pPr>
        <w:pStyle w:val="BodyText3"/>
        <w:numPr>
          <w:ilvl w:val="0"/>
          <w:numId w:val="3"/>
        </w:numPr>
        <w:tabs>
          <w:tab w:val="clear" w:pos="720"/>
        </w:tabs>
        <w:spacing w:before="0" w:beforeAutospacing="0" w:after="240" w:afterAutospacing="0"/>
        <w:ind w:left="0" w:firstLine="0"/>
        <w:rPr>
          <w:color w:val="auto"/>
          <w:lang w:val="en-US"/>
        </w:rPr>
      </w:pPr>
      <w:r>
        <w:rPr>
          <w:color w:val="auto"/>
          <w:lang w:val="en-GB"/>
        </w:rPr>
        <w:t xml:space="preserve">Regarding publicizing violence specifically against children and adolescents, in 2003 the Working Party for the Eradication and Prevention of and Protection of Children from Commercial Sexual Exploitation was set up by the signature of a memorandum of understanding by fifteen institutions: the Legislative Assembly Committee on the Family, </w:t>
      </w:r>
      <w:r>
        <w:rPr>
          <w:bCs/>
          <w:color w:val="auto"/>
          <w:lang w:val="en-GB"/>
        </w:rPr>
        <w:t>Women and Children</w:t>
      </w:r>
      <w:r>
        <w:rPr>
          <w:color w:val="auto"/>
          <w:lang w:val="en-GB"/>
        </w:rPr>
        <w:t xml:space="preserve">, the </w:t>
      </w:r>
      <w:r>
        <w:rPr>
          <w:bCs/>
          <w:color w:val="auto"/>
          <w:lang w:val="en-GB"/>
        </w:rPr>
        <w:t>Office of the Public Prosecutor of the Republic,</w:t>
      </w:r>
      <w:r>
        <w:rPr>
          <w:color w:val="auto"/>
          <w:lang w:val="en-GB"/>
        </w:rPr>
        <w:t xml:space="preserve"> the National Council of the Judiviciary, the Ministry of Education</w:t>
      </w:r>
      <w:r>
        <w:rPr>
          <w:bCs/>
          <w:color w:val="auto"/>
          <w:lang w:val="en-GB"/>
        </w:rPr>
        <w:t>,</w:t>
      </w:r>
      <w:r>
        <w:rPr>
          <w:color w:val="auto"/>
          <w:lang w:val="en-GB"/>
        </w:rPr>
        <w:t xml:space="preserve"> the Ministry of Public Health</w:t>
      </w:r>
      <w:r>
        <w:rPr>
          <w:bCs/>
          <w:color w:val="auto"/>
          <w:lang w:val="en-GB"/>
        </w:rPr>
        <w:t xml:space="preserve"> and Social Welfare,</w:t>
      </w:r>
      <w:r>
        <w:rPr>
          <w:color w:val="auto"/>
          <w:lang w:val="en-GB"/>
        </w:rPr>
        <w:t xml:space="preserve"> the </w:t>
      </w:r>
      <w:r>
        <w:rPr>
          <w:bCs/>
          <w:color w:val="auto"/>
          <w:lang w:val="en-GB"/>
        </w:rPr>
        <w:t>Ministry of Employment and Social Security</w:t>
      </w:r>
      <w:r>
        <w:rPr>
          <w:color w:val="auto"/>
          <w:lang w:val="en-GB"/>
        </w:rPr>
        <w:t xml:space="preserve">, the </w:t>
      </w:r>
      <w:r>
        <w:rPr>
          <w:bCs/>
          <w:color w:val="auto"/>
          <w:lang w:val="en-GB"/>
        </w:rPr>
        <w:t>Ministry of External Relations,</w:t>
      </w:r>
      <w:r>
        <w:rPr>
          <w:color w:val="auto"/>
          <w:lang w:val="en-GB"/>
        </w:rPr>
        <w:t xml:space="preserve"> the </w:t>
      </w:r>
      <w:r>
        <w:rPr>
          <w:bCs/>
          <w:color w:val="auto"/>
          <w:lang w:val="en-GB"/>
        </w:rPr>
        <w:t>National Civil Police, the Salvadoran Institute for the Full Development of Children and Adolescents, the Salvadoran Institute for the Development of Women,</w:t>
      </w:r>
      <w:r>
        <w:rPr>
          <w:color w:val="auto"/>
          <w:lang w:val="en-GB"/>
        </w:rPr>
        <w:t xml:space="preserve"> the National Coordination </w:t>
      </w:r>
      <w:r>
        <w:rPr>
          <w:bCs/>
          <w:color w:val="auto"/>
          <w:lang w:val="en-GB"/>
        </w:rPr>
        <w:t>Association for Salvadoran Women, the Employers’ Association for the Development of the Communities of Morazán and San Miguel,</w:t>
      </w:r>
      <w:r>
        <w:rPr>
          <w:color w:val="auto"/>
          <w:lang w:val="en-GB"/>
        </w:rPr>
        <w:t xml:space="preserve"> the </w:t>
      </w:r>
      <w:r>
        <w:rPr>
          <w:bCs/>
          <w:color w:val="auto"/>
          <w:lang w:val="en-GB"/>
        </w:rPr>
        <w:t>Huellas</w:t>
      </w:r>
      <w:r>
        <w:rPr>
          <w:color w:val="auto"/>
          <w:lang w:val="en-GB"/>
        </w:rPr>
        <w:t xml:space="preserve"> Foundation and the Network against the Commercial </w:t>
      </w:r>
      <w:r>
        <w:rPr>
          <w:bCs/>
          <w:color w:val="auto"/>
          <w:lang w:val="en-GB"/>
        </w:rPr>
        <w:t>Sexual Exploitation of Children and Adolescents, in which they undertook to work together in this area</w:t>
      </w:r>
      <w:r>
        <w:rPr>
          <w:color w:val="auto"/>
          <w:lang w:val="en-GB"/>
        </w:rPr>
        <w:t>.</w:t>
      </w:r>
      <w:r>
        <w:rPr>
          <w:color w:val="auto"/>
          <w:lang w:val="en-US"/>
        </w:rPr>
        <w:t xml:space="preserve"> </w:t>
      </w:r>
      <w:r>
        <w:rPr>
          <w:color w:val="auto"/>
          <w:lang w:val="en-GB"/>
        </w:rPr>
        <w:t>The working party has also drawn up a number of information documents on the protection of children against sexual exploitation, which were distributed nationwide.</w:t>
      </w:r>
      <w:r>
        <w:rPr>
          <w:color w:val="auto"/>
          <w:lang w:val="en-US"/>
        </w:rPr>
        <w:t xml:space="preserve"> </w:t>
      </w:r>
      <w:r>
        <w:rPr>
          <w:color w:val="auto"/>
          <w:lang w:val="en-GB"/>
        </w:rPr>
        <w:t>It also drafted an inter-institutional action plan, which is in progress.</w:t>
      </w:r>
    </w:p>
    <w:p w:rsidR="00CD2A5A" w:rsidRDefault="00CD2A5A">
      <w:pPr>
        <w:pStyle w:val="BodyText3"/>
        <w:numPr>
          <w:ilvl w:val="0"/>
          <w:numId w:val="3"/>
        </w:numPr>
        <w:tabs>
          <w:tab w:val="clear" w:pos="720"/>
        </w:tabs>
        <w:spacing w:before="0" w:beforeAutospacing="0" w:after="240" w:afterAutospacing="0"/>
        <w:ind w:left="0" w:firstLine="0"/>
        <w:rPr>
          <w:color w:val="auto"/>
          <w:lang w:val="en-US"/>
        </w:rPr>
      </w:pPr>
      <w:r>
        <w:rPr>
          <w:color w:val="auto"/>
          <w:lang w:val="en-GB"/>
        </w:rPr>
        <w:t>By means of forums designed for judicial operators and citizens in general, work has also been done on awareness-raising in order to foster a rejection of violence against children and adolescents in various State sectors and society.</w:t>
      </w:r>
      <w:r>
        <w:rPr>
          <w:color w:val="auto"/>
          <w:lang w:val="en-US"/>
        </w:rPr>
        <w:t xml:space="preserve"> </w:t>
      </w:r>
      <w:r>
        <w:rPr>
          <w:color w:val="auto"/>
          <w:lang w:val="en-GB"/>
        </w:rPr>
        <w:t>The Office of the Public Prosecutor of the Republic has carried out an awareness-raising project on the issue of commercial sexual exploitation, which is designed to provide information to the population on the role of men in the prevention and eradicate sexual exploitation of children and adolescents.</w:t>
      </w:r>
      <w:r>
        <w:rPr>
          <w:color w:val="auto"/>
          <w:lang w:val="en-US"/>
        </w:rPr>
        <w:t xml:space="preserve"> </w:t>
      </w:r>
      <w:r>
        <w:rPr>
          <w:color w:val="auto"/>
          <w:lang w:val="en-GB"/>
        </w:rPr>
        <w:t>The Physical Training School is carrying out awareness-raising activities on the commercial sexual exploitation of children and adolescents, aimed at all public prosecution staff nationwide.</w:t>
      </w:r>
    </w:p>
    <w:p w:rsidR="00CD2A5A" w:rsidRDefault="00CD2A5A">
      <w:pPr>
        <w:pStyle w:val="BodyText3"/>
        <w:numPr>
          <w:ilvl w:val="0"/>
          <w:numId w:val="3"/>
        </w:numPr>
        <w:tabs>
          <w:tab w:val="clear" w:pos="720"/>
        </w:tabs>
        <w:spacing w:before="0" w:beforeAutospacing="0" w:after="240" w:afterAutospacing="0"/>
        <w:ind w:left="0" w:firstLine="0"/>
        <w:rPr>
          <w:color w:val="auto"/>
          <w:lang w:val="en-US"/>
        </w:rPr>
      </w:pPr>
      <w:r>
        <w:rPr>
          <w:color w:val="auto"/>
          <w:lang w:val="en-GB"/>
        </w:rPr>
        <w:t>The following tables give details of the treatment of cases of domestic violence against children in the Salvadoran judicial system.</w:t>
      </w:r>
      <w:r>
        <w:rPr>
          <w:color w:val="auto"/>
          <w:lang w:val="en-US"/>
        </w:rPr>
        <w:t xml:space="preserve"> </w:t>
      </w:r>
    </w:p>
    <w:p w:rsidR="00CD2A5A" w:rsidRDefault="00CD2A5A" w:rsidP="00CD2A5A">
      <w:pPr>
        <w:pStyle w:val="Figure"/>
        <w:rPr>
          <w:lang w:val="en-US"/>
        </w:rPr>
      </w:pPr>
      <w:r>
        <w:t>Figure 27</w:t>
      </w:r>
    </w:p>
    <w:p w:rsidR="00CD2A5A" w:rsidRDefault="00CD2A5A" w:rsidP="00CD2A5A">
      <w:pPr>
        <w:pStyle w:val="Figure"/>
        <w:rPr>
          <w:lang w:val="en-US"/>
        </w:rPr>
      </w:pPr>
      <w:r>
        <w:t>Statistical data on minors who are victims of domestic violence in the country’s 22 family courts, during 2006</w:t>
      </w:r>
    </w:p>
    <w:tbl>
      <w:tblPr>
        <w:tblW w:w="9412" w:type="dxa"/>
        <w:jc w:val="center"/>
        <w:tblInd w:w="5" w:type="dxa"/>
        <w:tblLayout w:type="fixed"/>
        <w:tblCellMar>
          <w:left w:w="0" w:type="dxa"/>
          <w:right w:w="0" w:type="dxa"/>
        </w:tblCellMar>
        <w:tblLook w:val="0000" w:firstRow="0" w:lastRow="0" w:firstColumn="0" w:lastColumn="0" w:noHBand="0" w:noVBand="0"/>
      </w:tblPr>
      <w:tblGrid>
        <w:gridCol w:w="1063"/>
        <w:gridCol w:w="779"/>
        <w:gridCol w:w="823"/>
        <w:gridCol w:w="815"/>
        <w:gridCol w:w="1367"/>
        <w:gridCol w:w="565"/>
        <w:gridCol w:w="567"/>
        <w:gridCol w:w="567"/>
        <w:gridCol w:w="568"/>
        <w:gridCol w:w="1067"/>
        <w:gridCol w:w="1231"/>
      </w:tblGrid>
      <w:tr w:rsidR="00CD2A5A" w:rsidTr="002A160F">
        <w:trPr>
          <w:trHeight w:val="405"/>
          <w:jc w:val="center"/>
        </w:trPr>
        <w:tc>
          <w:tcPr>
            <w:tcW w:w="565"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Family courts</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Total</w:t>
            </w:r>
          </w:p>
        </w:tc>
        <w:tc>
          <w:tcPr>
            <w:tcW w:w="7570" w:type="dxa"/>
            <w:gridSpan w:val="9"/>
            <w:tcBorders>
              <w:top w:val="single" w:sz="4" w:space="0" w:color="auto"/>
              <w:left w:val="nil"/>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Total</w:t>
            </w:r>
          </w:p>
        </w:tc>
      </w:tr>
      <w:tr w:rsidR="00CD2A5A" w:rsidTr="002A160F">
        <w:trPr>
          <w:trHeight w:val="465"/>
          <w:jc w:val="center"/>
        </w:trPr>
        <w:tc>
          <w:tcPr>
            <w:tcW w:w="565" w:type="pct"/>
            <w:vMerge/>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p>
        </w:tc>
        <w:tc>
          <w:tcPr>
            <w:tcW w:w="414" w:type="pct"/>
            <w:vMerge/>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p>
        </w:tc>
        <w:tc>
          <w:tcPr>
            <w:tcW w:w="3005" w:type="dxa"/>
            <w:gridSpan w:val="3"/>
            <w:tcBorders>
              <w:top w:val="single" w:sz="4" w:space="0" w:color="auto"/>
              <w:left w:val="nil"/>
              <w:bottom w:val="single" w:sz="4" w:space="0" w:color="auto"/>
              <w:right w:val="single" w:sz="4" w:space="0" w:color="auto"/>
            </w:tcBorders>
            <w:vAlign w:val="center"/>
          </w:tcPr>
          <w:p w:rsidR="00CD2A5A" w:rsidRDefault="00CD2A5A" w:rsidP="006228EF">
            <w:pPr>
              <w:spacing w:before="40" w:after="20"/>
              <w:jc w:val="center"/>
              <w:rPr>
                <w:b/>
                <w:i/>
                <w:sz w:val="20"/>
                <w:szCs w:val="20"/>
                <w:lang w:val="en-US"/>
              </w:rPr>
            </w:pPr>
            <w:r>
              <w:rPr>
                <w:b/>
                <w:i/>
                <w:sz w:val="20"/>
                <w:szCs w:val="20"/>
                <w:lang w:val="en-GB"/>
              </w:rPr>
              <w:t>Total by type of violence</w:t>
            </w:r>
          </w:p>
        </w:tc>
        <w:tc>
          <w:tcPr>
            <w:tcW w:w="2267" w:type="dxa"/>
            <w:gridSpan w:val="4"/>
            <w:tcBorders>
              <w:top w:val="single" w:sz="4" w:space="0" w:color="auto"/>
              <w:left w:val="nil"/>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Total by age range</w:t>
            </w:r>
          </w:p>
        </w:tc>
        <w:tc>
          <w:tcPr>
            <w:tcW w:w="2298" w:type="dxa"/>
            <w:gridSpan w:val="2"/>
            <w:tcBorders>
              <w:top w:val="single" w:sz="4" w:space="0" w:color="auto"/>
              <w:left w:val="nil"/>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Total by gender</w:t>
            </w:r>
          </w:p>
        </w:tc>
      </w:tr>
      <w:tr w:rsidR="00CD2A5A" w:rsidTr="002A160F">
        <w:trPr>
          <w:trHeight w:val="290"/>
          <w:jc w:val="center"/>
        </w:trPr>
        <w:tc>
          <w:tcPr>
            <w:tcW w:w="565" w:type="pct"/>
            <w:vMerge/>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p>
        </w:tc>
        <w:tc>
          <w:tcPr>
            <w:tcW w:w="414" w:type="pct"/>
            <w:vMerge/>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p>
        </w:tc>
        <w:tc>
          <w:tcPr>
            <w:tcW w:w="823"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Physical</w:t>
            </w:r>
          </w:p>
        </w:tc>
        <w:tc>
          <w:tcPr>
            <w:tcW w:w="815"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Sexual</w:t>
            </w:r>
          </w:p>
        </w:tc>
        <w:tc>
          <w:tcPr>
            <w:tcW w:w="1367"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Psychological</w:t>
            </w:r>
          </w:p>
        </w:tc>
        <w:tc>
          <w:tcPr>
            <w:tcW w:w="565"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Age 0 to 5</w:t>
            </w:r>
          </w:p>
        </w:tc>
        <w:tc>
          <w:tcPr>
            <w:tcW w:w="567"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Age 6-11</w:t>
            </w:r>
          </w:p>
        </w:tc>
        <w:tc>
          <w:tcPr>
            <w:tcW w:w="567"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Age 12-14</w:t>
            </w:r>
          </w:p>
        </w:tc>
        <w:tc>
          <w:tcPr>
            <w:tcW w:w="568"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Age 15-17</w:t>
            </w:r>
          </w:p>
        </w:tc>
        <w:tc>
          <w:tcPr>
            <w:tcW w:w="1067"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Female</w:t>
            </w:r>
          </w:p>
        </w:tc>
        <w:tc>
          <w:tcPr>
            <w:tcW w:w="1231" w:type="dxa"/>
            <w:vMerge w:val="restart"/>
            <w:tcBorders>
              <w:top w:val="nil"/>
              <w:left w:val="single" w:sz="4" w:space="0" w:color="auto"/>
              <w:bottom w:val="single" w:sz="4" w:space="0" w:color="auto"/>
              <w:right w:val="single" w:sz="4" w:space="0" w:color="auto"/>
            </w:tcBorders>
            <w:vAlign w:val="center"/>
          </w:tcPr>
          <w:p w:rsidR="00CD2A5A" w:rsidRDefault="00CD2A5A" w:rsidP="006228EF">
            <w:pPr>
              <w:spacing w:before="40" w:after="20"/>
              <w:jc w:val="center"/>
              <w:rPr>
                <w:b/>
                <w:i/>
                <w:sz w:val="20"/>
                <w:szCs w:val="20"/>
                <w:lang w:val="es-SV"/>
              </w:rPr>
            </w:pPr>
            <w:r>
              <w:rPr>
                <w:b/>
                <w:i/>
                <w:sz w:val="20"/>
                <w:szCs w:val="20"/>
                <w:lang w:val="en-GB"/>
              </w:rPr>
              <w:t>Male</w:t>
            </w:r>
          </w:p>
        </w:tc>
      </w:tr>
      <w:tr w:rsidR="00CD2A5A" w:rsidTr="002A160F">
        <w:trPr>
          <w:trHeight w:val="290"/>
          <w:jc w:val="center"/>
        </w:trPr>
        <w:tc>
          <w:tcPr>
            <w:tcW w:w="565" w:type="pct"/>
            <w:vMerge/>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414" w:type="pct"/>
            <w:vMerge/>
            <w:tcBorders>
              <w:top w:val="single" w:sz="4" w:space="0" w:color="auto"/>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823"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815"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1367"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565"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567"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567"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568"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1067"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c>
          <w:tcPr>
            <w:tcW w:w="1231" w:type="dxa"/>
            <w:vMerge/>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p>
        </w:tc>
      </w:tr>
      <w:tr w:rsidR="00CD2A5A" w:rsidTr="002A160F">
        <w:trPr>
          <w:trHeight w:val="420"/>
          <w:jc w:val="center"/>
        </w:trPr>
        <w:tc>
          <w:tcPr>
            <w:tcW w:w="565" w:type="pct"/>
            <w:tcBorders>
              <w:top w:val="nil"/>
              <w:left w:val="single" w:sz="4" w:space="0" w:color="auto"/>
              <w:bottom w:val="single" w:sz="4" w:space="0" w:color="auto"/>
              <w:right w:val="single" w:sz="4" w:space="0" w:color="auto"/>
            </w:tcBorders>
            <w:vAlign w:val="center"/>
          </w:tcPr>
          <w:p w:rsidR="00CD2A5A" w:rsidRDefault="00CD2A5A" w:rsidP="006228EF">
            <w:pPr>
              <w:spacing w:before="40" w:after="20"/>
              <w:rPr>
                <w:sz w:val="20"/>
                <w:szCs w:val="20"/>
                <w:lang w:val="es-SV"/>
              </w:rPr>
            </w:pPr>
            <w:r>
              <w:rPr>
                <w:sz w:val="20"/>
                <w:szCs w:val="20"/>
                <w:lang w:val="en-GB"/>
              </w:rPr>
              <w:t>Total</w:t>
            </w:r>
          </w:p>
        </w:tc>
        <w:tc>
          <w:tcPr>
            <w:tcW w:w="414" w:type="pct"/>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283</w:t>
            </w:r>
          </w:p>
        </w:tc>
        <w:tc>
          <w:tcPr>
            <w:tcW w:w="823"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169</w:t>
            </w:r>
          </w:p>
        </w:tc>
        <w:tc>
          <w:tcPr>
            <w:tcW w:w="815"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4</w:t>
            </w:r>
          </w:p>
        </w:tc>
        <w:tc>
          <w:tcPr>
            <w:tcW w:w="1367"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110</w:t>
            </w:r>
          </w:p>
        </w:tc>
        <w:tc>
          <w:tcPr>
            <w:tcW w:w="565"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95</w:t>
            </w:r>
          </w:p>
        </w:tc>
        <w:tc>
          <w:tcPr>
            <w:tcW w:w="567"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19</w:t>
            </w:r>
          </w:p>
        </w:tc>
        <w:tc>
          <w:tcPr>
            <w:tcW w:w="567"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44</w:t>
            </w:r>
          </w:p>
        </w:tc>
        <w:tc>
          <w:tcPr>
            <w:tcW w:w="568"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125</w:t>
            </w:r>
          </w:p>
        </w:tc>
        <w:tc>
          <w:tcPr>
            <w:tcW w:w="1067"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204</w:t>
            </w:r>
          </w:p>
        </w:tc>
        <w:tc>
          <w:tcPr>
            <w:tcW w:w="1231" w:type="dxa"/>
            <w:tcBorders>
              <w:top w:val="nil"/>
              <w:left w:val="nil"/>
              <w:bottom w:val="single" w:sz="4" w:space="0" w:color="auto"/>
              <w:right w:val="single" w:sz="4" w:space="0" w:color="auto"/>
            </w:tcBorders>
            <w:vAlign w:val="center"/>
          </w:tcPr>
          <w:p w:rsidR="00CD2A5A" w:rsidRDefault="00CD2A5A" w:rsidP="006228EF">
            <w:pPr>
              <w:spacing w:before="40" w:after="20"/>
              <w:jc w:val="center"/>
              <w:rPr>
                <w:sz w:val="20"/>
                <w:szCs w:val="20"/>
                <w:lang w:val="es-SV"/>
              </w:rPr>
            </w:pPr>
            <w:r>
              <w:rPr>
                <w:sz w:val="20"/>
                <w:szCs w:val="20"/>
                <w:lang w:val="es-SV"/>
              </w:rPr>
              <w:t>79</w:t>
            </w:r>
          </w:p>
        </w:tc>
      </w:tr>
    </w:tbl>
    <w:p w:rsidR="00CD2A5A" w:rsidRDefault="00CD2A5A">
      <w:pPr>
        <w:rPr>
          <w:b/>
          <w:bCs/>
          <w:lang w:val="es-SV"/>
        </w:rPr>
      </w:pPr>
    </w:p>
    <w:p w:rsidR="00CD2A5A" w:rsidRDefault="00CD2A5A" w:rsidP="00CD2A5A">
      <w:pPr>
        <w:pStyle w:val="Figure"/>
        <w:rPr>
          <w:lang w:val="es-SV"/>
        </w:rPr>
      </w:pPr>
      <w:r>
        <w:t>Figure 28</w:t>
      </w:r>
    </w:p>
    <w:p w:rsidR="00CD2A5A" w:rsidRDefault="00CD2A5A" w:rsidP="00CD2A5A">
      <w:pPr>
        <w:pStyle w:val="Figure"/>
        <w:rPr>
          <w:lang w:val="en-US"/>
        </w:rPr>
      </w:pPr>
      <w:r>
        <w:t>Statistical data on minors who are victims of domestic violence in the country’s 22 family courts, during 2006</w:t>
      </w:r>
    </w:p>
    <w:tbl>
      <w:tblPr>
        <w:tblW w:w="9412" w:type="dxa"/>
        <w:tblInd w:w="5" w:type="dxa"/>
        <w:tblCellMar>
          <w:left w:w="0" w:type="dxa"/>
          <w:right w:w="0" w:type="dxa"/>
        </w:tblCellMar>
        <w:tblLook w:val="0000" w:firstRow="0" w:lastRow="0" w:firstColumn="0" w:lastColumn="0" w:noHBand="0" w:noVBand="0"/>
      </w:tblPr>
      <w:tblGrid>
        <w:gridCol w:w="1109"/>
        <w:gridCol w:w="350"/>
        <w:gridCol w:w="352"/>
        <w:gridCol w:w="352"/>
        <w:gridCol w:w="352"/>
        <w:gridCol w:w="352"/>
        <w:gridCol w:w="352"/>
        <w:gridCol w:w="352"/>
        <w:gridCol w:w="352"/>
        <w:gridCol w:w="352"/>
        <w:gridCol w:w="352"/>
        <w:gridCol w:w="352"/>
        <w:gridCol w:w="352"/>
        <w:gridCol w:w="352"/>
        <w:gridCol w:w="352"/>
        <w:gridCol w:w="352"/>
        <w:gridCol w:w="356"/>
        <w:gridCol w:w="335"/>
        <w:gridCol w:w="335"/>
        <w:gridCol w:w="335"/>
        <w:gridCol w:w="335"/>
        <w:gridCol w:w="335"/>
        <w:gridCol w:w="335"/>
        <w:gridCol w:w="335"/>
        <w:gridCol w:w="324"/>
      </w:tblGrid>
      <w:tr w:rsidR="00CD2A5A">
        <w:trPr>
          <w:cantSplit/>
          <w:trHeight w:val="405"/>
        </w:trPr>
        <w:tc>
          <w:tcPr>
            <w:tcW w:w="589" w:type="pct"/>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b/>
                <w:i/>
                <w:sz w:val="20"/>
                <w:szCs w:val="20"/>
                <w:lang w:val="es-SV"/>
              </w:rPr>
            </w:pPr>
            <w:r>
              <w:rPr>
                <w:b/>
                <w:i/>
                <w:sz w:val="20"/>
                <w:szCs w:val="20"/>
                <w:lang w:val="en-GB"/>
              </w:rPr>
              <w:t>Family courts</w:t>
            </w:r>
          </w:p>
        </w:tc>
        <w:tc>
          <w:tcPr>
            <w:tcW w:w="4411" w:type="pct"/>
            <w:gridSpan w:val="24"/>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Type of violence involving minors</w:t>
            </w:r>
          </w:p>
        </w:tc>
      </w:tr>
      <w:tr w:rsidR="00CD2A5A">
        <w:trPr>
          <w:cantSplit/>
          <w:trHeight w:val="465"/>
        </w:trPr>
        <w:tc>
          <w:tcPr>
            <w:tcW w:w="589"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jc w:val="center"/>
              <w:rPr>
                <w:b/>
                <w:i/>
                <w:sz w:val="20"/>
                <w:szCs w:val="20"/>
                <w:lang w:val="en-US"/>
              </w:rPr>
            </w:pPr>
          </w:p>
        </w:tc>
        <w:tc>
          <w:tcPr>
            <w:tcW w:w="1495" w:type="pct"/>
            <w:gridSpan w:val="8"/>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s-SV"/>
              </w:rPr>
            </w:pPr>
            <w:r>
              <w:rPr>
                <w:b/>
                <w:i/>
                <w:sz w:val="20"/>
                <w:szCs w:val="20"/>
                <w:lang w:val="en-GB"/>
              </w:rPr>
              <w:t>Physical</w:t>
            </w:r>
          </w:p>
        </w:tc>
        <w:tc>
          <w:tcPr>
            <w:tcW w:w="1498" w:type="pct"/>
            <w:gridSpan w:val="8"/>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s-SV"/>
              </w:rPr>
            </w:pPr>
            <w:r>
              <w:rPr>
                <w:b/>
                <w:i/>
                <w:sz w:val="20"/>
                <w:szCs w:val="20"/>
                <w:lang w:val="en-GB"/>
              </w:rPr>
              <w:t>Sexual</w:t>
            </w:r>
          </w:p>
        </w:tc>
        <w:tc>
          <w:tcPr>
            <w:tcW w:w="1418" w:type="pct"/>
            <w:gridSpan w:val="8"/>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s-SV"/>
              </w:rPr>
            </w:pPr>
            <w:r>
              <w:rPr>
                <w:b/>
                <w:i/>
                <w:sz w:val="20"/>
                <w:szCs w:val="20"/>
                <w:lang w:val="en-GB"/>
              </w:rPr>
              <w:t>Psychological</w:t>
            </w:r>
          </w:p>
        </w:tc>
      </w:tr>
      <w:tr w:rsidR="00CD2A5A">
        <w:trPr>
          <w:cantSplit/>
          <w:trHeight w:val="540"/>
        </w:trPr>
        <w:tc>
          <w:tcPr>
            <w:tcW w:w="589"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b/>
                <w:i/>
                <w:sz w:val="20"/>
                <w:szCs w:val="20"/>
                <w:lang w:val="es-SV"/>
              </w:rPr>
            </w:pPr>
          </w:p>
        </w:tc>
        <w:tc>
          <w:tcPr>
            <w:tcW w:w="373"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0 to 5</w:t>
            </w:r>
          </w:p>
        </w:tc>
        <w:tc>
          <w:tcPr>
            <w:tcW w:w="37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6-11</w:t>
            </w:r>
          </w:p>
        </w:tc>
        <w:tc>
          <w:tcPr>
            <w:tcW w:w="37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12-14</w:t>
            </w:r>
          </w:p>
        </w:tc>
        <w:tc>
          <w:tcPr>
            <w:tcW w:w="37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15-17</w:t>
            </w:r>
          </w:p>
        </w:tc>
        <w:tc>
          <w:tcPr>
            <w:tcW w:w="37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0 to 5</w:t>
            </w:r>
          </w:p>
        </w:tc>
        <w:tc>
          <w:tcPr>
            <w:tcW w:w="37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6-11</w:t>
            </w:r>
          </w:p>
        </w:tc>
        <w:tc>
          <w:tcPr>
            <w:tcW w:w="37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12-14</w:t>
            </w:r>
          </w:p>
        </w:tc>
        <w:tc>
          <w:tcPr>
            <w:tcW w:w="376"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15-17</w:t>
            </w:r>
          </w:p>
        </w:tc>
        <w:tc>
          <w:tcPr>
            <w:tcW w:w="356"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0 to 5</w:t>
            </w:r>
          </w:p>
        </w:tc>
        <w:tc>
          <w:tcPr>
            <w:tcW w:w="356"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6-11</w:t>
            </w:r>
          </w:p>
        </w:tc>
        <w:tc>
          <w:tcPr>
            <w:tcW w:w="356"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12-14</w:t>
            </w:r>
          </w:p>
        </w:tc>
        <w:tc>
          <w:tcPr>
            <w:tcW w:w="350"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 xml:space="preserve">Age </w:t>
            </w:r>
            <w:r>
              <w:rPr>
                <w:b/>
                <w:i/>
                <w:sz w:val="20"/>
                <w:szCs w:val="20"/>
                <w:lang w:val="en-GB"/>
              </w:rPr>
              <w:br/>
              <w:t>15-17</w:t>
            </w:r>
          </w:p>
        </w:tc>
      </w:tr>
      <w:tr w:rsidR="00CD2A5A">
        <w:trPr>
          <w:cantSplit/>
          <w:trHeight w:val="300"/>
        </w:trPr>
        <w:tc>
          <w:tcPr>
            <w:tcW w:w="589" w:type="pct"/>
            <w:vMerge/>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20"/>
              <w:rPr>
                <w:b/>
                <w:i/>
                <w:sz w:val="20"/>
                <w:szCs w:val="20"/>
                <w:lang w:val="en-US"/>
              </w:rPr>
            </w:pPr>
          </w:p>
        </w:tc>
        <w:tc>
          <w:tcPr>
            <w:tcW w:w="186"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89"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F</w:t>
            </w:r>
          </w:p>
        </w:tc>
        <w:tc>
          <w:tcPr>
            <w:tcW w:w="172" w:type="pct"/>
            <w:tcBorders>
              <w:top w:val="nil"/>
              <w:left w:val="nil"/>
              <w:bottom w:val="single" w:sz="4" w:space="0" w:color="auto"/>
              <w:right w:val="single" w:sz="4" w:space="0" w:color="auto"/>
            </w:tcBorders>
            <w:vAlign w:val="center"/>
          </w:tcPr>
          <w:p w:rsidR="00CD2A5A" w:rsidRDefault="00CD2A5A">
            <w:pPr>
              <w:spacing w:before="40" w:after="20"/>
              <w:jc w:val="center"/>
              <w:rPr>
                <w:b/>
                <w:i/>
                <w:sz w:val="20"/>
                <w:szCs w:val="20"/>
                <w:lang w:val="en-US"/>
              </w:rPr>
            </w:pPr>
            <w:r>
              <w:rPr>
                <w:b/>
                <w:i/>
                <w:sz w:val="20"/>
                <w:szCs w:val="20"/>
                <w:lang w:val="en-GB"/>
              </w:rPr>
              <w:t>M</w:t>
            </w:r>
          </w:p>
        </w:tc>
      </w:tr>
      <w:tr w:rsidR="00CD2A5A">
        <w:trPr>
          <w:trHeight w:val="420"/>
        </w:trPr>
        <w:tc>
          <w:tcPr>
            <w:tcW w:w="589" w:type="pct"/>
            <w:tcBorders>
              <w:top w:val="nil"/>
              <w:left w:val="single" w:sz="4" w:space="0" w:color="auto"/>
              <w:bottom w:val="single" w:sz="4" w:space="0" w:color="auto"/>
              <w:right w:val="single" w:sz="4" w:space="0" w:color="auto"/>
            </w:tcBorders>
            <w:vAlign w:val="center"/>
          </w:tcPr>
          <w:p w:rsidR="00CD2A5A" w:rsidRDefault="00CD2A5A">
            <w:pPr>
              <w:spacing w:before="40" w:after="20"/>
              <w:rPr>
                <w:sz w:val="20"/>
                <w:szCs w:val="20"/>
                <w:lang w:val="en-US"/>
              </w:rPr>
            </w:pPr>
            <w:r>
              <w:rPr>
                <w:sz w:val="20"/>
                <w:szCs w:val="20"/>
                <w:lang w:val="en-GB"/>
              </w:rPr>
              <w:t>Total</w:t>
            </w:r>
          </w:p>
        </w:tc>
        <w:tc>
          <w:tcPr>
            <w:tcW w:w="186"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44</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20</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3</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3</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12</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10</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65</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12</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w:t>
            </w:r>
          </w:p>
        </w:tc>
        <w:tc>
          <w:tcPr>
            <w:tcW w:w="187"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2</w:t>
            </w:r>
          </w:p>
        </w:tc>
        <w:tc>
          <w:tcPr>
            <w:tcW w:w="189"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22</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9</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6</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6</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13</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8</w:t>
            </w:r>
          </w:p>
        </w:tc>
        <w:tc>
          <w:tcPr>
            <w:tcW w:w="178"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35</w:t>
            </w:r>
          </w:p>
        </w:tc>
        <w:tc>
          <w:tcPr>
            <w:tcW w:w="172" w:type="pct"/>
            <w:tcBorders>
              <w:top w:val="nil"/>
              <w:left w:val="nil"/>
              <w:bottom w:val="single" w:sz="4" w:space="0" w:color="auto"/>
              <w:right w:val="single" w:sz="4" w:space="0" w:color="auto"/>
            </w:tcBorders>
            <w:vAlign w:val="center"/>
          </w:tcPr>
          <w:p w:rsidR="00CD2A5A" w:rsidRDefault="00CD2A5A">
            <w:pPr>
              <w:spacing w:before="40" w:after="20"/>
              <w:jc w:val="center"/>
              <w:rPr>
                <w:sz w:val="20"/>
                <w:szCs w:val="20"/>
                <w:lang w:val="en-US"/>
              </w:rPr>
            </w:pPr>
            <w:r>
              <w:rPr>
                <w:sz w:val="20"/>
                <w:szCs w:val="20"/>
                <w:lang w:val="en-US"/>
              </w:rPr>
              <w:t>11</w:t>
            </w:r>
          </w:p>
        </w:tc>
      </w:tr>
    </w:tbl>
    <w:p w:rsidR="00CD2A5A" w:rsidRDefault="00CD2A5A">
      <w:pPr>
        <w:spacing w:after="240"/>
        <w:rPr>
          <w:lang w:val="en-US"/>
        </w:rPr>
      </w:pPr>
    </w:p>
    <w:p w:rsidR="00CD2A5A" w:rsidRDefault="00CD2A5A" w:rsidP="00CE08C8">
      <w:pPr>
        <w:pStyle w:val="Figure"/>
      </w:pPr>
      <w:r>
        <w:t xml:space="preserve">Figure 29 </w:t>
      </w:r>
    </w:p>
    <w:p w:rsidR="00CD2A5A" w:rsidRDefault="00CD2A5A" w:rsidP="00CE08C8">
      <w:pPr>
        <w:pStyle w:val="Figure"/>
      </w:pPr>
      <w:r>
        <w:t xml:space="preserve">Statistical data of all cases involving minor victims of domestic violence in the 24 Magistrates Courts </w:t>
      </w:r>
      <w:r>
        <w:br/>
        <w:t>equipped with the Case Monitoring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911"/>
        <w:gridCol w:w="1404"/>
        <w:gridCol w:w="1260"/>
        <w:gridCol w:w="1260"/>
        <w:gridCol w:w="1227"/>
        <w:gridCol w:w="1293"/>
      </w:tblGrid>
      <w:tr w:rsidR="00CD2A5A">
        <w:tblPrEx>
          <w:tblCellMar>
            <w:top w:w="0" w:type="dxa"/>
            <w:bottom w:w="0" w:type="dxa"/>
          </w:tblCellMar>
        </w:tblPrEx>
        <w:trPr>
          <w:tblHeader/>
        </w:trPr>
        <w:tc>
          <w:tcPr>
            <w:tcW w:w="2197" w:type="dxa"/>
            <w:vAlign w:val="center"/>
          </w:tcPr>
          <w:p w:rsidR="00CD2A5A" w:rsidRDefault="00CD2A5A">
            <w:pPr>
              <w:spacing w:before="40" w:after="40"/>
              <w:jc w:val="center"/>
              <w:rPr>
                <w:b/>
                <w:bCs/>
                <w:i/>
                <w:iCs/>
                <w:sz w:val="20"/>
                <w:lang w:val="en-GB"/>
              </w:rPr>
            </w:pPr>
          </w:p>
        </w:tc>
        <w:tc>
          <w:tcPr>
            <w:tcW w:w="2315" w:type="dxa"/>
            <w:gridSpan w:val="2"/>
            <w:vAlign w:val="center"/>
          </w:tcPr>
          <w:p w:rsidR="00CD2A5A" w:rsidRDefault="00CD2A5A">
            <w:pPr>
              <w:spacing w:before="40" w:after="40"/>
              <w:jc w:val="center"/>
              <w:rPr>
                <w:b/>
                <w:bCs/>
                <w:i/>
                <w:iCs/>
                <w:sz w:val="20"/>
                <w:lang w:val="en-GB"/>
              </w:rPr>
            </w:pPr>
            <w:r>
              <w:rPr>
                <w:b/>
                <w:bCs/>
                <w:i/>
                <w:iCs/>
                <w:sz w:val="20"/>
                <w:lang w:val="en-GB"/>
              </w:rPr>
              <w:t>2004</w:t>
            </w:r>
          </w:p>
        </w:tc>
        <w:tc>
          <w:tcPr>
            <w:tcW w:w="2520" w:type="dxa"/>
            <w:gridSpan w:val="2"/>
            <w:vAlign w:val="center"/>
          </w:tcPr>
          <w:p w:rsidR="00CD2A5A" w:rsidRDefault="00CD2A5A">
            <w:pPr>
              <w:spacing w:before="40" w:after="40"/>
              <w:jc w:val="center"/>
              <w:rPr>
                <w:b/>
                <w:bCs/>
                <w:i/>
                <w:iCs/>
                <w:sz w:val="20"/>
                <w:lang w:val="en-GB"/>
              </w:rPr>
            </w:pPr>
            <w:r>
              <w:rPr>
                <w:b/>
                <w:bCs/>
                <w:i/>
                <w:iCs/>
                <w:sz w:val="20"/>
                <w:lang w:val="en-GB"/>
              </w:rPr>
              <w:t>2005</w:t>
            </w:r>
          </w:p>
        </w:tc>
        <w:tc>
          <w:tcPr>
            <w:tcW w:w="2520" w:type="dxa"/>
            <w:gridSpan w:val="2"/>
            <w:vAlign w:val="center"/>
          </w:tcPr>
          <w:p w:rsidR="00CD2A5A" w:rsidRDefault="00CD2A5A">
            <w:pPr>
              <w:spacing w:before="40" w:after="40"/>
              <w:jc w:val="center"/>
              <w:rPr>
                <w:b/>
                <w:bCs/>
                <w:i/>
                <w:iCs/>
                <w:sz w:val="20"/>
                <w:lang w:val="en-GB"/>
              </w:rPr>
            </w:pPr>
            <w:r>
              <w:rPr>
                <w:b/>
                <w:bCs/>
                <w:i/>
                <w:iCs/>
                <w:sz w:val="20"/>
                <w:lang w:val="en-GB"/>
              </w:rPr>
              <w:t>2006</w:t>
            </w:r>
          </w:p>
        </w:tc>
      </w:tr>
      <w:tr w:rsidR="00CD2A5A" w:rsidTr="002A160F">
        <w:tblPrEx>
          <w:tblCellMar>
            <w:top w:w="0" w:type="dxa"/>
            <w:bottom w:w="0" w:type="dxa"/>
          </w:tblCellMar>
        </w:tblPrEx>
        <w:trPr>
          <w:tblHeader/>
        </w:trPr>
        <w:tc>
          <w:tcPr>
            <w:tcW w:w="2197" w:type="dxa"/>
            <w:vAlign w:val="center"/>
          </w:tcPr>
          <w:p w:rsidR="00CD2A5A" w:rsidRDefault="00CD2A5A">
            <w:pPr>
              <w:spacing w:before="40" w:after="40"/>
              <w:jc w:val="center"/>
              <w:rPr>
                <w:b/>
                <w:bCs/>
                <w:i/>
                <w:iCs/>
                <w:sz w:val="20"/>
                <w:lang w:val="en-GB"/>
              </w:rPr>
            </w:pPr>
          </w:p>
        </w:tc>
        <w:tc>
          <w:tcPr>
            <w:tcW w:w="911" w:type="dxa"/>
            <w:vAlign w:val="center"/>
          </w:tcPr>
          <w:p w:rsidR="00CD2A5A" w:rsidRDefault="00CD2A5A">
            <w:pPr>
              <w:spacing w:before="40" w:after="40"/>
              <w:jc w:val="center"/>
              <w:rPr>
                <w:b/>
                <w:bCs/>
                <w:i/>
                <w:iCs/>
                <w:sz w:val="20"/>
                <w:lang w:val="en-GB"/>
              </w:rPr>
            </w:pPr>
            <w:r>
              <w:rPr>
                <w:b/>
                <w:bCs/>
                <w:i/>
                <w:iCs/>
                <w:sz w:val="20"/>
                <w:lang w:val="en-GB"/>
              </w:rPr>
              <w:t>Total</w:t>
            </w:r>
          </w:p>
        </w:tc>
        <w:tc>
          <w:tcPr>
            <w:tcW w:w="1404" w:type="dxa"/>
            <w:vAlign w:val="center"/>
          </w:tcPr>
          <w:p w:rsidR="00CD2A5A" w:rsidRDefault="00CD2A5A">
            <w:pPr>
              <w:spacing w:before="40" w:after="40"/>
              <w:jc w:val="center"/>
              <w:rPr>
                <w:b/>
                <w:bCs/>
                <w:i/>
                <w:iCs/>
                <w:sz w:val="20"/>
                <w:lang w:val="en-GB"/>
              </w:rPr>
            </w:pPr>
            <w:r>
              <w:rPr>
                <w:b/>
                <w:bCs/>
                <w:i/>
                <w:iCs/>
                <w:sz w:val="20"/>
                <w:szCs w:val="16"/>
                <w:lang w:val="en-GB"/>
              </w:rPr>
              <w:t>Average per court</w:t>
            </w:r>
          </w:p>
        </w:tc>
        <w:tc>
          <w:tcPr>
            <w:tcW w:w="1260" w:type="dxa"/>
            <w:vAlign w:val="center"/>
          </w:tcPr>
          <w:p w:rsidR="00CD2A5A" w:rsidRDefault="00CD2A5A">
            <w:pPr>
              <w:spacing w:before="40" w:after="40"/>
              <w:jc w:val="center"/>
              <w:rPr>
                <w:b/>
                <w:bCs/>
                <w:i/>
                <w:iCs/>
                <w:sz w:val="20"/>
                <w:lang w:val="en-GB"/>
              </w:rPr>
            </w:pPr>
            <w:r>
              <w:rPr>
                <w:b/>
                <w:bCs/>
                <w:i/>
                <w:iCs/>
                <w:sz w:val="20"/>
                <w:lang w:val="en-GB"/>
              </w:rPr>
              <w:t>Total</w:t>
            </w:r>
          </w:p>
        </w:tc>
        <w:tc>
          <w:tcPr>
            <w:tcW w:w="1260" w:type="dxa"/>
            <w:vAlign w:val="center"/>
          </w:tcPr>
          <w:p w:rsidR="00CD2A5A" w:rsidRDefault="00CD2A5A">
            <w:pPr>
              <w:spacing w:before="40" w:after="40"/>
              <w:jc w:val="center"/>
              <w:rPr>
                <w:b/>
                <w:bCs/>
                <w:i/>
                <w:iCs/>
                <w:sz w:val="20"/>
                <w:lang w:val="en-GB"/>
              </w:rPr>
            </w:pPr>
            <w:r>
              <w:rPr>
                <w:b/>
                <w:bCs/>
                <w:i/>
                <w:iCs/>
                <w:sz w:val="20"/>
                <w:szCs w:val="16"/>
                <w:lang w:val="en-GB"/>
              </w:rPr>
              <w:t>Average per court</w:t>
            </w:r>
          </w:p>
        </w:tc>
        <w:tc>
          <w:tcPr>
            <w:tcW w:w="1227" w:type="dxa"/>
            <w:vAlign w:val="center"/>
          </w:tcPr>
          <w:p w:rsidR="00CD2A5A" w:rsidRDefault="00CD2A5A">
            <w:pPr>
              <w:spacing w:before="40" w:after="40"/>
              <w:jc w:val="center"/>
              <w:rPr>
                <w:b/>
                <w:bCs/>
                <w:i/>
                <w:iCs/>
                <w:sz w:val="20"/>
                <w:lang w:val="en-GB"/>
              </w:rPr>
            </w:pPr>
            <w:r>
              <w:rPr>
                <w:b/>
                <w:bCs/>
                <w:i/>
                <w:iCs/>
                <w:sz w:val="20"/>
                <w:lang w:val="en-GB"/>
              </w:rPr>
              <w:t>Total</w:t>
            </w:r>
          </w:p>
        </w:tc>
        <w:tc>
          <w:tcPr>
            <w:tcW w:w="1293" w:type="dxa"/>
            <w:vAlign w:val="center"/>
          </w:tcPr>
          <w:p w:rsidR="00CD2A5A" w:rsidRDefault="00CD2A5A">
            <w:pPr>
              <w:spacing w:before="40" w:after="40"/>
              <w:jc w:val="center"/>
              <w:rPr>
                <w:b/>
                <w:bCs/>
                <w:i/>
                <w:iCs/>
                <w:sz w:val="20"/>
                <w:lang w:val="en-GB"/>
              </w:rPr>
            </w:pPr>
            <w:r>
              <w:rPr>
                <w:b/>
                <w:bCs/>
                <w:i/>
                <w:iCs/>
                <w:sz w:val="20"/>
                <w:szCs w:val="16"/>
                <w:lang w:val="en-GB"/>
              </w:rPr>
              <w:t>Average per court</w:t>
            </w:r>
          </w:p>
        </w:tc>
      </w:tr>
      <w:tr w:rsidR="00CD2A5A" w:rsidTr="002A160F">
        <w:tblPrEx>
          <w:tblCellMar>
            <w:top w:w="0" w:type="dxa"/>
            <w:bottom w:w="0" w:type="dxa"/>
          </w:tblCellMar>
        </w:tblPrEx>
        <w:tc>
          <w:tcPr>
            <w:tcW w:w="2197" w:type="dxa"/>
          </w:tcPr>
          <w:p w:rsidR="00CD2A5A" w:rsidRDefault="00CD2A5A">
            <w:pPr>
              <w:pStyle w:val="Style1"/>
              <w:widowControl/>
              <w:autoSpaceDE/>
              <w:autoSpaceDN/>
              <w:adjustRightInd/>
              <w:spacing w:before="40" w:after="40"/>
              <w:rPr>
                <w:smallCaps/>
                <w:szCs w:val="16"/>
                <w:lang w:val="en-GB" w:eastAsia="fr-FR"/>
              </w:rPr>
            </w:pPr>
            <w:r>
              <w:rPr>
                <w:smallCaps/>
                <w:szCs w:val="16"/>
                <w:lang w:val="en-GB" w:eastAsia="fr-FR"/>
              </w:rPr>
              <w:t>Magistrates Courts</w:t>
            </w:r>
          </w:p>
        </w:tc>
        <w:tc>
          <w:tcPr>
            <w:tcW w:w="911" w:type="dxa"/>
          </w:tcPr>
          <w:p w:rsidR="00CD2A5A" w:rsidRDefault="00CD2A5A">
            <w:pPr>
              <w:pStyle w:val="Style1"/>
              <w:widowControl/>
              <w:autoSpaceDE/>
              <w:autoSpaceDN/>
              <w:adjustRightInd/>
              <w:spacing w:before="40" w:after="40"/>
              <w:rPr>
                <w:szCs w:val="24"/>
                <w:lang w:val="en-GB" w:eastAsia="fr-FR"/>
              </w:rPr>
            </w:pPr>
          </w:p>
        </w:tc>
        <w:tc>
          <w:tcPr>
            <w:tcW w:w="1404" w:type="dxa"/>
          </w:tcPr>
          <w:p w:rsidR="00CD2A5A" w:rsidRDefault="00CD2A5A">
            <w:pPr>
              <w:spacing w:before="40" w:after="40"/>
              <w:rPr>
                <w:sz w:val="20"/>
                <w:lang w:val="en-GB"/>
              </w:rPr>
            </w:pPr>
          </w:p>
        </w:tc>
        <w:tc>
          <w:tcPr>
            <w:tcW w:w="1260" w:type="dxa"/>
          </w:tcPr>
          <w:p w:rsidR="00CD2A5A" w:rsidRDefault="00CD2A5A">
            <w:pPr>
              <w:spacing w:before="40" w:after="40"/>
              <w:rPr>
                <w:sz w:val="20"/>
                <w:lang w:val="en-GB"/>
              </w:rPr>
            </w:pPr>
          </w:p>
        </w:tc>
        <w:tc>
          <w:tcPr>
            <w:tcW w:w="1260" w:type="dxa"/>
          </w:tcPr>
          <w:p w:rsidR="00CD2A5A" w:rsidRDefault="00CD2A5A">
            <w:pPr>
              <w:spacing w:before="40" w:after="40"/>
              <w:rPr>
                <w:sz w:val="20"/>
                <w:lang w:val="en-GB"/>
              </w:rPr>
            </w:pPr>
          </w:p>
        </w:tc>
        <w:tc>
          <w:tcPr>
            <w:tcW w:w="1227" w:type="dxa"/>
          </w:tcPr>
          <w:p w:rsidR="00CD2A5A" w:rsidRDefault="00CD2A5A">
            <w:pPr>
              <w:spacing w:before="40" w:after="40"/>
              <w:rPr>
                <w:sz w:val="20"/>
                <w:lang w:val="en-GB"/>
              </w:rPr>
            </w:pPr>
          </w:p>
        </w:tc>
        <w:tc>
          <w:tcPr>
            <w:tcW w:w="1293" w:type="dxa"/>
          </w:tcPr>
          <w:p w:rsidR="00CD2A5A" w:rsidRDefault="00CD2A5A">
            <w:pPr>
              <w:spacing w:before="40" w:after="40"/>
              <w:rPr>
                <w:sz w:val="20"/>
                <w:lang w:val="en-GB"/>
              </w:rPr>
            </w:pP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Mediation authorized</w:t>
            </w:r>
          </w:p>
        </w:tc>
        <w:tc>
          <w:tcPr>
            <w:tcW w:w="911" w:type="dxa"/>
          </w:tcPr>
          <w:p w:rsidR="00CD2A5A" w:rsidRDefault="00CD2A5A">
            <w:pPr>
              <w:spacing w:before="40" w:after="40"/>
              <w:ind w:right="277"/>
              <w:jc w:val="right"/>
              <w:rPr>
                <w:sz w:val="20"/>
                <w:lang w:val="en-GB"/>
              </w:rPr>
            </w:pPr>
            <w:r>
              <w:rPr>
                <w:sz w:val="20"/>
                <w:lang w:val="en-GB"/>
              </w:rPr>
              <w:t>1</w:t>
            </w:r>
          </w:p>
        </w:tc>
        <w:tc>
          <w:tcPr>
            <w:tcW w:w="1404" w:type="dxa"/>
          </w:tcPr>
          <w:p w:rsidR="00CD2A5A" w:rsidRDefault="00CD2A5A">
            <w:pPr>
              <w:spacing w:before="40" w:after="40"/>
              <w:ind w:right="277"/>
              <w:jc w:val="right"/>
              <w:rPr>
                <w:sz w:val="20"/>
                <w:lang w:val="en-GB"/>
              </w:rPr>
            </w:pPr>
            <w:r>
              <w:rPr>
                <w:sz w:val="20"/>
                <w:lang w:val="en-GB"/>
              </w:rPr>
              <w:t>0</w:t>
            </w:r>
          </w:p>
        </w:tc>
        <w:tc>
          <w:tcPr>
            <w:tcW w:w="1260" w:type="dxa"/>
          </w:tcPr>
          <w:p w:rsidR="00CD2A5A" w:rsidRDefault="00CD2A5A">
            <w:pPr>
              <w:spacing w:before="40" w:after="40"/>
              <w:ind w:right="277"/>
              <w:jc w:val="right"/>
              <w:rPr>
                <w:sz w:val="20"/>
                <w:lang w:val="en-GB"/>
              </w:rPr>
            </w:pPr>
            <w:r>
              <w:rPr>
                <w:sz w:val="20"/>
                <w:lang w:val="en-GB"/>
              </w:rPr>
              <w:t>6</w:t>
            </w:r>
          </w:p>
        </w:tc>
        <w:tc>
          <w:tcPr>
            <w:tcW w:w="1260" w:type="dxa"/>
          </w:tcPr>
          <w:p w:rsidR="00CD2A5A" w:rsidRDefault="00CD2A5A">
            <w:pPr>
              <w:spacing w:before="40" w:after="40"/>
              <w:ind w:right="277"/>
              <w:jc w:val="right"/>
              <w:rPr>
                <w:sz w:val="20"/>
                <w:lang w:val="en-GB"/>
              </w:rPr>
            </w:pPr>
            <w:r>
              <w:rPr>
                <w:sz w:val="20"/>
                <w:lang w:val="en-GB"/>
              </w:rPr>
              <w:t>0</w:t>
            </w:r>
          </w:p>
        </w:tc>
        <w:tc>
          <w:tcPr>
            <w:tcW w:w="1227" w:type="dxa"/>
          </w:tcPr>
          <w:p w:rsidR="00CD2A5A" w:rsidRDefault="00CD2A5A">
            <w:pPr>
              <w:spacing w:before="40" w:after="40"/>
              <w:ind w:right="277"/>
              <w:jc w:val="right"/>
              <w:rPr>
                <w:sz w:val="20"/>
                <w:lang w:val="en-GB"/>
              </w:rPr>
            </w:pPr>
            <w:r>
              <w:rPr>
                <w:sz w:val="20"/>
                <w:lang w:val="en-GB"/>
              </w:rPr>
              <w:t>12</w:t>
            </w:r>
          </w:p>
        </w:tc>
        <w:tc>
          <w:tcPr>
            <w:tcW w:w="1293" w:type="dxa"/>
          </w:tcPr>
          <w:p w:rsidR="00CD2A5A" w:rsidRDefault="00CD2A5A">
            <w:pPr>
              <w:spacing w:before="40" w:after="40"/>
              <w:ind w:right="277"/>
              <w:jc w:val="right"/>
              <w:rPr>
                <w:sz w:val="20"/>
                <w:lang w:val="en-GB"/>
              </w:rPr>
            </w:pPr>
            <w:r>
              <w:rPr>
                <w:sz w:val="20"/>
                <w:lang w:val="en-GB"/>
              </w:rPr>
              <w:t>1</w:t>
            </w:r>
          </w:p>
        </w:tc>
      </w:tr>
      <w:tr w:rsidR="00CD2A5A" w:rsidTr="002A160F">
        <w:tblPrEx>
          <w:tblCellMar>
            <w:top w:w="0" w:type="dxa"/>
            <w:bottom w:w="0" w:type="dxa"/>
          </w:tblCellMar>
        </w:tblPrEx>
        <w:tc>
          <w:tcPr>
            <w:tcW w:w="2197" w:type="dxa"/>
          </w:tcPr>
          <w:p w:rsidR="00CD2A5A" w:rsidRDefault="00CD2A5A">
            <w:pPr>
              <w:spacing w:before="40" w:after="40"/>
              <w:ind w:left="113"/>
              <w:rPr>
                <w:sz w:val="20"/>
                <w:szCs w:val="16"/>
                <w:lang w:val="en-GB"/>
              </w:rPr>
            </w:pPr>
            <w:r>
              <w:rPr>
                <w:sz w:val="20"/>
                <w:szCs w:val="16"/>
                <w:lang w:val="en-GB"/>
              </w:rPr>
              <w:t>Order for investigation with injunctive relief</w:t>
            </w:r>
          </w:p>
        </w:tc>
        <w:tc>
          <w:tcPr>
            <w:tcW w:w="911" w:type="dxa"/>
          </w:tcPr>
          <w:p w:rsidR="00CD2A5A" w:rsidRDefault="00CD2A5A">
            <w:pPr>
              <w:spacing w:before="40" w:after="40"/>
              <w:ind w:right="277"/>
              <w:jc w:val="right"/>
              <w:rPr>
                <w:sz w:val="20"/>
                <w:lang w:val="en-GB"/>
              </w:rPr>
            </w:pPr>
          </w:p>
        </w:tc>
        <w:tc>
          <w:tcPr>
            <w:tcW w:w="1404" w:type="dxa"/>
          </w:tcPr>
          <w:p w:rsidR="00CD2A5A" w:rsidRDefault="00CD2A5A">
            <w:pPr>
              <w:spacing w:before="40" w:after="40"/>
              <w:ind w:right="277"/>
              <w:jc w:val="right"/>
              <w:rPr>
                <w:sz w:val="20"/>
                <w:lang w:val="en-GB"/>
              </w:rPr>
            </w:pPr>
          </w:p>
        </w:tc>
        <w:tc>
          <w:tcPr>
            <w:tcW w:w="1260" w:type="dxa"/>
          </w:tcPr>
          <w:p w:rsidR="00CD2A5A" w:rsidRDefault="00CD2A5A">
            <w:pPr>
              <w:spacing w:before="40" w:after="40"/>
              <w:ind w:right="277"/>
              <w:jc w:val="right"/>
              <w:rPr>
                <w:sz w:val="20"/>
                <w:lang w:val="en-GB"/>
              </w:rPr>
            </w:pPr>
            <w:r>
              <w:rPr>
                <w:sz w:val="20"/>
                <w:lang w:val="en-GB"/>
              </w:rPr>
              <w:t>3</w:t>
            </w:r>
          </w:p>
        </w:tc>
        <w:tc>
          <w:tcPr>
            <w:tcW w:w="1260" w:type="dxa"/>
          </w:tcPr>
          <w:p w:rsidR="00CD2A5A" w:rsidRDefault="00CD2A5A">
            <w:pPr>
              <w:spacing w:before="40" w:after="40"/>
              <w:ind w:right="277"/>
              <w:jc w:val="right"/>
              <w:rPr>
                <w:sz w:val="20"/>
                <w:lang w:val="en-GB"/>
              </w:rPr>
            </w:pPr>
            <w:r>
              <w:rPr>
                <w:sz w:val="20"/>
                <w:lang w:val="en-GB"/>
              </w:rPr>
              <w:t>0</w:t>
            </w:r>
          </w:p>
        </w:tc>
        <w:tc>
          <w:tcPr>
            <w:tcW w:w="1227" w:type="dxa"/>
          </w:tcPr>
          <w:p w:rsidR="00CD2A5A" w:rsidRDefault="00CD2A5A">
            <w:pPr>
              <w:spacing w:before="40" w:after="40"/>
              <w:ind w:right="277"/>
              <w:jc w:val="right"/>
              <w:rPr>
                <w:sz w:val="20"/>
                <w:lang w:val="en-GB"/>
              </w:rPr>
            </w:pPr>
            <w:r>
              <w:rPr>
                <w:sz w:val="20"/>
                <w:lang w:val="en-GB"/>
              </w:rPr>
              <w:t>4</w:t>
            </w:r>
          </w:p>
        </w:tc>
        <w:tc>
          <w:tcPr>
            <w:tcW w:w="1293" w:type="dxa"/>
          </w:tcPr>
          <w:p w:rsidR="00CD2A5A" w:rsidRDefault="00CD2A5A">
            <w:pPr>
              <w:spacing w:before="40" w:after="40"/>
              <w:ind w:right="277"/>
              <w:jc w:val="right"/>
              <w:rPr>
                <w:sz w:val="20"/>
                <w:lang w:val="en-GB"/>
              </w:rPr>
            </w:pPr>
            <w:r>
              <w:rPr>
                <w:sz w:val="20"/>
                <w:lang w:val="en-GB"/>
              </w:rPr>
              <w:t>0</w:t>
            </w: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Discharge</w:t>
            </w:r>
          </w:p>
        </w:tc>
        <w:tc>
          <w:tcPr>
            <w:tcW w:w="911" w:type="dxa"/>
          </w:tcPr>
          <w:p w:rsidR="00CD2A5A" w:rsidRDefault="00CD2A5A">
            <w:pPr>
              <w:spacing w:before="40" w:after="40"/>
              <w:ind w:right="277"/>
              <w:jc w:val="right"/>
              <w:rPr>
                <w:sz w:val="20"/>
                <w:lang w:val="en-GB"/>
              </w:rPr>
            </w:pPr>
            <w:r>
              <w:rPr>
                <w:sz w:val="20"/>
                <w:lang w:val="en-GB"/>
              </w:rPr>
              <w:t>1</w:t>
            </w:r>
          </w:p>
        </w:tc>
        <w:tc>
          <w:tcPr>
            <w:tcW w:w="1404" w:type="dxa"/>
          </w:tcPr>
          <w:p w:rsidR="00CD2A5A" w:rsidRDefault="00CD2A5A">
            <w:pPr>
              <w:spacing w:before="40" w:after="40"/>
              <w:ind w:right="277"/>
              <w:jc w:val="right"/>
              <w:rPr>
                <w:sz w:val="20"/>
                <w:lang w:val="en-GB"/>
              </w:rPr>
            </w:pPr>
            <w:r>
              <w:rPr>
                <w:sz w:val="20"/>
                <w:lang w:val="en-GB"/>
              </w:rPr>
              <w:t>0</w:t>
            </w:r>
          </w:p>
        </w:tc>
        <w:tc>
          <w:tcPr>
            <w:tcW w:w="1260" w:type="dxa"/>
          </w:tcPr>
          <w:p w:rsidR="00CD2A5A" w:rsidRDefault="00CD2A5A">
            <w:pPr>
              <w:spacing w:before="40" w:after="40"/>
              <w:ind w:right="277"/>
              <w:jc w:val="right"/>
              <w:rPr>
                <w:sz w:val="20"/>
                <w:lang w:val="en-GB"/>
              </w:rPr>
            </w:pPr>
          </w:p>
        </w:tc>
        <w:tc>
          <w:tcPr>
            <w:tcW w:w="1260" w:type="dxa"/>
          </w:tcPr>
          <w:p w:rsidR="00CD2A5A" w:rsidRDefault="00CD2A5A">
            <w:pPr>
              <w:spacing w:before="40" w:after="40"/>
              <w:ind w:right="277"/>
              <w:jc w:val="right"/>
              <w:rPr>
                <w:sz w:val="20"/>
                <w:lang w:val="en-GB"/>
              </w:rPr>
            </w:pPr>
          </w:p>
        </w:tc>
        <w:tc>
          <w:tcPr>
            <w:tcW w:w="1227" w:type="dxa"/>
          </w:tcPr>
          <w:p w:rsidR="00CD2A5A" w:rsidRDefault="00CD2A5A">
            <w:pPr>
              <w:spacing w:before="40" w:after="40"/>
              <w:ind w:right="277"/>
              <w:jc w:val="right"/>
              <w:rPr>
                <w:sz w:val="20"/>
                <w:lang w:val="en-GB"/>
              </w:rPr>
            </w:pPr>
            <w:r>
              <w:rPr>
                <w:sz w:val="20"/>
                <w:lang w:val="en-GB"/>
              </w:rPr>
              <w:t>13</w:t>
            </w:r>
          </w:p>
        </w:tc>
        <w:tc>
          <w:tcPr>
            <w:tcW w:w="1293" w:type="dxa"/>
          </w:tcPr>
          <w:p w:rsidR="00CD2A5A" w:rsidRDefault="00CD2A5A">
            <w:pPr>
              <w:spacing w:before="40" w:after="40"/>
              <w:ind w:right="277"/>
              <w:jc w:val="right"/>
              <w:rPr>
                <w:sz w:val="20"/>
                <w:lang w:val="en-GB"/>
              </w:rPr>
            </w:pPr>
            <w:r>
              <w:rPr>
                <w:sz w:val="20"/>
                <w:lang w:val="en-GB"/>
              </w:rPr>
              <w:t>1</w:t>
            </w:r>
          </w:p>
        </w:tc>
      </w:tr>
      <w:tr w:rsidR="00CD2A5A" w:rsidTr="002A160F">
        <w:tblPrEx>
          <w:tblCellMar>
            <w:top w:w="0" w:type="dxa"/>
            <w:bottom w:w="0" w:type="dxa"/>
          </w:tblCellMar>
        </w:tblPrEx>
        <w:tc>
          <w:tcPr>
            <w:tcW w:w="2197" w:type="dxa"/>
          </w:tcPr>
          <w:p w:rsidR="00CD2A5A" w:rsidRDefault="00CD2A5A">
            <w:pPr>
              <w:spacing w:before="40" w:after="40"/>
              <w:ind w:left="113"/>
              <w:rPr>
                <w:sz w:val="20"/>
                <w:szCs w:val="16"/>
                <w:lang w:val="en-GB"/>
              </w:rPr>
            </w:pPr>
            <w:r>
              <w:rPr>
                <w:sz w:val="20"/>
                <w:szCs w:val="16"/>
                <w:lang w:val="en-GB"/>
              </w:rPr>
              <w:t>Order for investigation with petition hearing</w:t>
            </w:r>
          </w:p>
        </w:tc>
        <w:tc>
          <w:tcPr>
            <w:tcW w:w="911" w:type="dxa"/>
          </w:tcPr>
          <w:p w:rsidR="00CD2A5A" w:rsidRDefault="00CD2A5A">
            <w:pPr>
              <w:spacing w:before="40" w:after="40"/>
              <w:ind w:right="277"/>
              <w:jc w:val="right"/>
              <w:rPr>
                <w:sz w:val="20"/>
                <w:lang w:val="en-GB"/>
              </w:rPr>
            </w:pPr>
          </w:p>
        </w:tc>
        <w:tc>
          <w:tcPr>
            <w:tcW w:w="1404" w:type="dxa"/>
          </w:tcPr>
          <w:p w:rsidR="00CD2A5A" w:rsidRDefault="00CD2A5A">
            <w:pPr>
              <w:spacing w:before="40" w:after="40"/>
              <w:ind w:right="277"/>
              <w:jc w:val="right"/>
              <w:rPr>
                <w:sz w:val="20"/>
                <w:lang w:val="en-GB"/>
              </w:rPr>
            </w:pPr>
          </w:p>
        </w:tc>
        <w:tc>
          <w:tcPr>
            <w:tcW w:w="1260" w:type="dxa"/>
          </w:tcPr>
          <w:p w:rsidR="00CD2A5A" w:rsidRDefault="00CD2A5A">
            <w:pPr>
              <w:spacing w:before="40" w:after="40"/>
              <w:ind w:right="277"/>
              <w:jc w:val="right"/>
              <w:rPr>
                <w:sz w:val="20"/>
                <w:lang w:val="en-GB"/>
              </w:rPr>
            </w:pPr>
          </w:p>
        </w:tc>
        <w:tc>
          <w:tcPr>
            <w:tcW w:w="1260" w:type="dxa"/>
          </w:tcPr>
          <w:p w:rsidR="00CD2A5A" w:rsidRDefault="00CD2A5A">
            <w:pPr>
              <w:spacing w:before="40" w:after="40"/>
              <w:ind w:right="277"/>
              <w:jc w:val="right"/>
              <w:rPr>
                <w:sz w:val="20"/>
                <w:lang w:val="en-GB"/>
              </w:rPr>
            </w:pPr>
          </w:p>
        </w:tc>
        <w:tc>
          <w:tcPr>
            <w:tcW w:w="1227" w:type="dxa"/>
          </w:tcPr>
          <w:p w:rsidR="00CD2A5A" w:rsidRDefault="00CD2A5A">
            <w:pPr>
              <w:spacing w:before="40" w:after="40"/>
              <w:ind w:right="277"/>
              <w:jc w:val="right"/>
              <w:rPr>
                <w:sz w:val="20"/>
                <w:lang w:val="en-GB"/>
              </w:rPr>
            </w:pPr>
            <w:r>
              <w:rPr>
                <w:sz w:val="20"/>
                <w:lang w:val="en-GB"/>
              </w:rPr>
              <w:t>2</w:t>
            </w:r>
          </w:p>
        </w:tc>
        <w:tc>
          <w:tcPr>
            <w:tcW w:w="1293" w:type="dxa"/>
          </w:tcPr>
          <w:p w:rsidR="00CD2A5A" w:rsidRDefault="00CD2A5A">
            <w:pPr>
              <w:spacing w:before="40" w:after="40"/>
              <w:ind w:right="277"/>
              <w:jc w:val="right"/>
              <w:rPr>
                <w:sz w:val="20"/>
                <w:lang w:val="en-GB"/>
              </w:rPr>
            </w:pPr>
            <w:r>
              <w:rPr>
                <w:sz w:val="20"/>
                <w:lang w:val="en-GB"/>
              </w:rPr>
              <w:t>0</w:t>
            </w: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Non-applicability of the anti-gang law</w:t>
            </w:r>
          </w:p>
        </w:tc>
        <w:tc>
          <w:tcPr>
            <w:tcW w:w="911" w:type="dxa"/>
          </w:tcPr>
          <w:p w:rsidR="00CD2A5A" w:rsidRDefault="00CD2A5A">
            <w:pPr>
              <w:spacing w:before="40" w:after="40"/>
              <w:ind w:right="277"/>
              <w:jc w:val="right"/>
              <w:rPr>
                <w:sz w:val="20"/>
                <w:lang w:val="en-GB"/>
              </w:rPr>
            </w:pPr>
            <w:r>
              <w:rPr>
                <w:sz w:val="20"/>
                <w:lang w:val="en-GB"/>
              </w:rPr>
              <w:t>1</w:t>
            </w:r>
          </w:p>
        </w:tc>
        <w:tc>
          <w:tcPr>
            <w:tcW w:w="1404" w:type="dxa"/>
          </w:tcPr>
          <w:p w:rsidR="00CD2A5A" w:rsidRDefault="00CD2A5A">
            <w:pPr>
              <w:spacing w:before="40" w:after="40"/>
              <w:ind w:right="277"/>
              <w:jc w:val="right"/>
              <w:rPr>
                <w:sz w:val="20"/>
                <w:lang w:val="en-GB"/>
              </w:rPr>
            </w:pPr>
            <w:r>
              <w:rPr>
                <w:sz w:val="20"/>
                <w:lang w:val="en-GB"/>
              </w:rPr>
              <w:t>0</w:t>
            </w:r>
          </w:p>
        </w:tc>
        <w:tc>
          <w:tcPr>
            <w:tcW w:w="1260" w:type="dxa"/>
          </w:tcPr>
          <w:p w:rsidR="00CD2A5A" w:rsidRDefault="00CD2A5A">
            <w:pPr>
              <w:spacing w:before="40" w:after="40"/>
              <w:ind w:right="277"/>
              <w:jc w:val="right"/>
              <w:rPr>
                <w:sz w:val="20"/>
                <w:lang w:val="en-GB"/>
              </w:rPr>
            </w:pPr>
          </w:p>
        </w:tc>
        <w:tc>
          <w:tcPr>
            <w:tcW w:w="1260" w:type="dxa"/>
          </w:tcPr>
          <w:p w:rsidR="00CD2A5A" w:rsidRDefault="00CD2A5A">
            <w:pPr>
              <w:spacing w:before="40" w:after="40"/>
              <w:ind w:right="277"/>
              <w:jc w:val="right"/>
              <w:rPr>
                <w:sz w:val="20"/>
                <w:lang w:val="en-GB"/>
              </w:rPr>
            </w:pPr>
          </w:p>
        </w:tc>
        <w:tc>
          <w:tcPr>
            <w:tcW w:w="1227" w:type="dxa"/>
          </w:tcPr>
          <w:p w:rsidR="00CD2A5A" w:rsidRDefault="00CD2A5A">
            <w:pPr>
              <w:spacing w:before="40" w:after="40"/>
              <w:ind w:right="277"/>
              <w:jc w:val="right"/>
              <w:rPr>
                <w:sz w:val="20"/>
                <w:lang w:val="en-GB"/>
              </w:rPr>
            </w:pPr>
          </w:p>
        </w:tc>
        <w:tc>
          <w:tcPr>
            <w:tcW w:w="1293" w:type="dxa"/>
          </w:tcPr>
          <w:p w:rsidR="00CD2A5A" w:rsidRDefault="00CD2A5A">
            <w:pPr>
              <w:spacing w:before="40" w:after="40"/>
              <w:ind w:right="277"/>
              <w:jc w:val="right"/>
              <w:rPr>
                <w:sz w:val="20"/>
                <w:lang w:val="en-GB"/>
              </w:rPr>
            </w:pP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Order for investigation with interim detention</w:t>
            </w:r>
          </w:p>
        </w:tc>
        <w:tc>
          <w:tcPr>
            <w:tcW w:w="911" w:type="dxa"/>
          </w:tcPr>
          <w:p w:rsidR="00CD2A5A" w:rsidRDefault="00CD2A5A">
            <w:pPr>
              <w:spacing w:before="40" w:after="40"/>
              <w:ind w:right="277"/>
              <w:jc w:val="right"/>
              <w:rPr>
                <w:sz w:val="20"/>
                <w:lang w:val="en-GB"/>
              </w:rPr>
            </w:pPr>
            <w:r>
              <w:rPr>
                <w:sz w:val="20"/>
                <w:lang w:val="en-GB"/>
              </w:rPr>
              <w:t>1</w:t>
            </w:r>
          </w:p>
        </w:tc>
        <w:tc>
          <w:tcPr>
            <w:tcW w:w="1404" w:type="dxa"/>
          </w:tcPr>
          <w:p w:rsidR="00CD2A5A" w:rsidRDefault="00CD2A5A">
            <w:pPr>
              <w:spacing w:before="40" w:after="40"/>
              <w:ind w:right="277"/>
              <w:jc w:val="right"/>
              <w:rPr>
                <w:sz w:val="20"/>
                <w:lang w:val="en-GB"/>
              </w:rPr>
            </w:pPr>
            <w:r>
              <w:rPr>
                <w:sz w:val="20"/>
                <w:lang w:val="en-GB"/>
              </w:rPr>
              <w:t>0</w:t>
            </w:r>
          </w:p>
        </w:tc>
        <w:tc>
          <w:tcPr>
            <w:tcW w:w="1260" w:type="dxa"/>
          </w:tcPr>
          <w:p w:rsidR="00CD2A5A" w:rsidRDefault="00CD2A5A">
            <w:pPr>
              <w:spacing w:before="40" w:after="40"/>
              <w:ind w:right="277"/>
              <w:jc w:val="right"/>
              <w:rPr>
                <w:sz w:val="20"/>
                <w:lang w:val="en-GB"/>
              </w:rPr>
            </w:pPr>
          </w:p>
        </w:tc>
        <w:tc>
          <w:tcPr>
            <w:tcW w:w="1260" w:type="dxa"/>
          </w:tcPr>
          <w:p w:rsidR="00CD2A5A" w:rsidRDefault="00CD2A5A">
            <w:pPr>
              <w:spacing w:before="40" w:after="40"/>
              <w:ind w:right="277"/>
              <w:jc w:val="right"/>
              <w:rPr>
                <w:sz w:val="20"/>
                <w:lang w:val="en-GB"/>
              </w:rPr>
            </w:pPr>
          </w:p>
        </w:tc>
        <w:tc>
          <w:tcPr>
            <w:tcW w:w="1227" w:type="dxa"/>
          </w:tcPr>
          <w:p w:rsidR="00CD2A5A" w:rsidRDefault="00CD2A5A">
            <w:pPr>
              <w:spacing w:before="40" w:after="40"/>
              <w:ind w:right="277"/>
              <w:jc w:val="right"/>
              <w:rPr>
                <w:sz w:val="20"/>
                <w:lang w:val="en-GB"/>
              </w:rPr>
            </w:pPr>
          </w:p>
        </w:tc>
        <w:tc>
          <w:tcPr>
            <w:tcW w:w="1293" w:type="dxa"/>
          </w:tcPr>
          <w:p w:rsidR="00CD2A5A" w:rsidRDefault="00CD2A5A">
            <w:pPr>
              <w:spacing w:before="40" w:after="40"/>
              <w:ind w:right="277"/>
              <w:jc w:val="right"/>
              <w:rPr>
                <w:sz w:val="20"/>
                <w:lang w:val="en-GB"/>
              </w:rPr>
            </w:pP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Order for investigation without interim detention</w:t>
            </w:r>
          </w:p>
        </w:tc>
        <w:tc>
          <w:tcPr>
            <w:tcW w:w="911" w:type="dxa"/>
          </w:tcPr>
          <w:p w:rsidR="00CD2A5A" w:rsidRDefault="00CD2A5A">
            <w:pPr>
              <w:spacing w:before="40" w:after="40"/>
              <w:ind w:right="277"/>
              <w:jc w:val="right"/>
              <w:rPr>
                <w:sz w:val="20"/>
                <w:lang w:val="en-GB"/>
              </w:rPr>
            </w:pPr>
            <w:r>
              <w:rPr>
                <w:sz w:val="20"/>
                <w:lang w:val="en-GB"/>
              </w:rPr>
              <w:t>1</w:t>
            </w:r>
          </w:p>
        </w:tc>
        <w:tc>
          <w:tcPr>
            <w:tcW w:w="1404" w:type="dxa"/>
          </w:tcPr>
          <w:p w:rsidR="00CD2A5A" w:rsidRDefault="00CD2A5A">
            <w:pPr>
              <w:spacing w:before="40" w:after="40"/>
              <w:ind w:right="277"/>
              <w:jc w:val="right"/>
              <w:rPr>
                <w:sz w:val="20"/>
                <w:lang w:val="en-GB"/>
              </w:rPr>
            </w:pPr>
            <w:r>
              <w:rPr>
                <w:sz w:val="20"/>
                <w:lang w:val="en-GB"/>
              </w:rPr>
              <w:t>0</w:t>
            </w:r>
          </w:p>
        </w:tc>
        <w:tc>
          <w:tcPr>
            <w:tcW w:w="1260" w:type="dxa"/>
          </w:tcPr>
          <w:p w:rsidR="00CD2A5A" w:rsidRDefault="00CD2A5A">
            <w:pPr>
              <w:spacing w:before="40" w:after="40"/>
              <w:ind w:right="277"/>
              <w:jc w:val="right"/>
              <w:rPr>
                <w:sz w:val="20"/>
                <w:lang w:val="en-GB"/>
              </w:rPr>
            </w:pPr>
            <w:r>
              <w:rPr>
                <w:sz w:val="20"/>
                <w:lang w:val="en-GB"/>
              </w:rPr>
              <w:t>10</w:t>
            </w:r>
          </w:p>
        </w:tc>
        <w:tc>
          <w:tcPr>
            <w:tcW w:w="1260" w:type="dxa"/>
          </w:tcPr>
          <w:p w:rsidR="00CD2A5A" w:rsidRDefault="00CD2A5A">
            <w:pPr>
              <w:spacing w:before="40" w:after="40"/>
              <w:ind w:right="277"/>
              <w:jc w:val="right"/>
              <w:rPr>
                <w:sz w:val="20"/>
                <w:lang w:val="en-GB"/>
              </w:rPr>
            </w:pPr>
            <w:r>
              <w:rPr>
                <w:sz w:val="20"/>
                <w:lang w:val="en-GB"/>
              </w:rPr>
              <w:t>0</w:t>
            </w:r>
          </w:p>
        </w:tc>
        <w:tc>
          <w:tcPr>
            <w:tcW w:w="1227" w:type="dxa"/>
          </w:tcPr>
          <w:p w:rsidR="00CD2A5A" w:rsidRDefault="00CD2A5A">
            <w:pPr>
              <w:spacing w:before="40" w:after="40"/>
              <w:ind w:right="277"/>
              <w:jc w:val="right"/>
              <w:rPr>
                <w:sz w:val="20"/>
                <w:lang w:val="en-GB"/>
              </w:rPr>
            </w:pPr>
            <w:r>
              <w:rPr>
                <w:sz w:val="20"/>
                <w:lang w:val="en-GB"/>
              </w:rPr>
              <w:t>15</w:t>
            </w:r>
          </w:p>
        </w:tc>
        <w:tc>
          <w:tcPr>
            <w:tcW w:w="1293" w:type="dxa"/>
          </w:tcPr>
          <w:p w:rsidR="00CD2A5A" w:rsidRDefault="00CD2A5A">
            <w:pPr>
              <w:spacing w:before="40" w:after="40"/>
              <w:ind w:right="277"/>
              <w:jc w:val="right"/>
              <w:rPr>
                <w:sz w:val="20"/>
                <w:lang w:val="en-GB"/>
              </w:rPr>
            </w:pPr>
            <w:r>
              <w:rPr>
                <w:sz w:val="20"/>
                <w:lang w:val="en-GB"/>
              </w:rPr>
              <w:t>1</w:t>
            </w: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Definitive discharge</w:t>
            </w:r>
          </w:p>
        </w:tc>
        <w:tc>
          <w:tcPr>
            <w:tcW w:w="911" w:type="dxa"/>
          </w:tcPr>
          <w:p w:rsidR="00CD2A5A" w:rsidRDefault="00CD2A5A">
            <w:pPr>
              <w:spacing w:before="40" w:after="40"/>
              <w:ind w:right="277"/>
              <w:jc w:val="right"/>
              <w:rPr>
                <w:sz w:val="20"/>
                <w:lang w:val="en-GB"/>
              </w:rPr>
            </w:pPr>
            <w:r>
              <w:rPr>
                <w:sz w:val="20"/>
                <w:lang w:val="en-GB"/>
              </w:rPr>
              <w:t>20</w:t>
            </w:r>
          </w:p>
        </w:tc>
        <w:tc>
          <w:tcPr>
            <w:tcW w:w="1404" w:type="dxa"/>
          </w:tcPr>
          <w:p w:rsidR="00CD2A5A" w:rsidRDefault="00CD2A5A">
            <w:pPr>
              <w:spacing w:before="40" w:after="40"/>
              <w:ind w:right="277"/>
              <w:jc w:val="right"/>
              <w:rPr>
                <w:sz w:val="20"/>
                <w:lang w:val="en-GB"/>
              </w:rPr>
            </w:pPr>
            <w:r>
              <w:rPr>
                <w:sz w:val="20"/>
                <w:lang w:val="en-GB"/>
              </w:rPr>
              <w:t>1</w:t>
            </w:r>
          </w:p>
        </w:tc>
        <w:tc>
          <w:tcPr>
            <w:tcW w:w="1260" w:type="dxa"/>
          </w:tcPr>
          <w:p w:rsidR="00CD2A5A" w:rsidRDefault="00CD2A5A">
            <w:pPr>
              <w:spacing w:before="40" w:after="40"/>
              <w:ind w:right="277"/>
              <w:jc w:val="right"/>
              <w:rPr>
                <w:sz w:val="20"/>
                <w:lang w:val="en-GB"/>
              </w:rPr>
            </w:pPr>
            <w:r>
              <w:rPr>
                <w:sz w:val="20"/>
                <w:lang w:val="en-GB"/>
              </w:rPr>
              <w:t>9</w:t>
            </w:r>
          </w:p>
        </w:tc>
        <w:tc>
          <w:tcPr>
            <w:tcW w:w="1260" w:type="dxa"/>
          </w:tcPr>
          <w:p w:rsidR="00CD2A5A" w:rsidRDefault="00CD2A5A">
            <w:pPr>
              <w:spacing w:before="40" w:after="40"/>
              <w:ind w:right="277"/>
              <w:jc w:val="right"/>
              <w:rPr>
                <w:sz w:val="20"/>
                <w:lang w:val="en-GB"/>
              </w:rPr>
            </w:pPr>
            <w:r>
              <w:rPr>
                <w:sz w:val="20"/>
                <w:lang w:val="en-GB"/>
              </w:rPr>
              <w:t>0</w:t>
            </w:r>
          </w:p>
        </w:tc>
        <w:tc>
          <w:tcPr>
            <w:tcW w:w="1227" w:type="dxa"/>
          </w:tcPr>
          <w:p w:rsidR="00CD2A5A" w:rsidRDefault="00CD2A5A">
            <w:pPr>
              <w:spacing w:before="40" w:after="40"/>
              <w:ind w:right="277"/>
              <w:jc w:val="right"/>
              <w:rPr>
                <w:sz w:val="20"/>
                <w:lang w:val="en-GB"/>
              </w:rPr>
            </w:pPr>
            <w:r>
              <w:rPr>
                <w:sz w:val="20"/>
                <w:lang w:val="en-GB"/>
              </w:rPr>
              <w:t>17</w:t>
            </w:r>
          </w:p>
        </w:tc>
        <w:tc>
          <w:tcPr>
            <w:tcW w:w="1293" w:type="dxa"/>
          </w:tcPr>
          <w:p w:rsidR="00CD2A5A" w:rsidRDefault="00CD2A5A">
            <w:pPr>
              <w:spacing w:before="40" w:after="40"/>
              <w:ind w:right="277"/>
              <w:jc w:val="right"/>
              <w:rPr>
                <w:sz w:val="20"/>
                <w:lang w:val="en-GB"/>
              </w:rPr>
            </w:pPr>
            <w:r>
              <w:rPr>
                <w:sz w:val="20"/>
                <w:lang w:val="en-GB"/>
              </w:rPr>
              <w:t>1</w:t>
            </w: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Provisional discharge</w:t>
            </w:r>
          </w:p>
        </w:tc>
        <w:tc>
          <w:tcPr>
            <w:tcW w:w="911" w:type="dxa"/>
          </w:tcPr>
          <w:p w:rsidR="00CD2A5A" w:rsidRDefault="00CD2A5A">
            <w:pPr>
              <w:spacing w:before="40" w:after="40"/>
              <w:ind w:right="277"/>
              <w:jc w:val="right"/>
              <w:rPr>
                <w:sz w:val="20"/>
                <w:lang w:val="en-GB"/>
              </w:rPr>
            </w:pPr>
            <w:r>
              <w:rPr>
                <w:sz w:val="20"/>
                <w:lang w:val="en-GB"/>
              </w:rPr>
              <w:t>11</w:t>
            </w:r>
          </w:p>
        </w:tc>
        <w:tc>
          <w:tcPr>
            <w:tcW w:w="1404" w:type="dxa"/>
          </w:tcPr>
          <w:p w:rsidR="00CD2A5A" w:rsidRDefault="00CD2A5A">
            <w:pPr>
              <w:spacing w:before="40" w:after="40"/>
              <w:ind w:right="284"/>
              <w:jc w:val="right"/>
              <w:rPr>
                <w:sz w:val="20"/>
                <w:lang w:val="en-GB"/>
              </w:rPr>
            </w:pPr>
            <w:r>
              <w:rPr>
                <w:sz w:val="20"/>
                <w:lang w:val="en-GB"/>
              </w:rPr>
              <w:t>0</w:t>
            </w:r>
          </w:p>
        </w:tc>
        <w:tc>
          <w:tcPr>
            <w:tcW w:w="1260" w:type="dxa"/>
          </w:tcPr>
          <w:p w:rsidR="00CD2A5A" w:rsidRDefault="00CD2A5A">
            <w:pPr>
              <w:spacing w:before="40" w:after="40"/>
              <w:ind w:right="284"/>
              <w:jc w:val="right"/>
              <w:rPr>
                <w:sz w:val="20"/>
                <w:lang w:val="en-GB"/>
              </w:rPr>
            </w:pPr>
            <w:r>
              <w:rPr>
                <w:sz w:val="20"/>
                <w:lang w:val="en-GB"/>
              </w:rPr>
              <w:t>15</w:t>
            </w:r>
          </w:p>
        </w:tc>
        <w:tc>
          <w:tcPr>
            <w:tcW w:w="1260" w:type="dxa"/>
          </w:tcPr>
          <w:p w:rsidR="00CD2A5A" w:rsidRDefault="00CD2A5A">
            <w:pPr>
              <w:spacing w:before="40" w:after="40"/>
              <w:ind w:right="284"/>
              <w:jc w:val="right"/>
              <w:rPr>
                <w:sz w:val="20"/>
                <w:lang w:val="en-GB"/>
              </w:rPr>
            </w:pPr>
            <w:r>
              <w:rPr>
                <w:sz w:val="20"/>
                <w:lang w:val="en-GB"/>
              </w:rPr>
              <w:t>1</w:t>
            </w:r>
          </w:p>
        </w:tc>
        <w:tc>
          <w:tcPr>
            <w:tcW w:w="1227" w:type="dxa"/>
          </w:tcPr>
          <w:p w:rsidR="00CD2A5A" w:rsidRDefault="00CD2A5A">
            <w:pPr>
              <w:spacing w:before="40" w:after="40"/>
              <w:ind w:right="284"/>
              <w:jc w:val="right"/>
              <w:rPr>
                <w:sz w:val="20"/>
                <w:lang w:val="en-GB"/>
              </w:rPr>
            </w:pPr>
            <w:r>
              <w:rPr>
                <w:sz w:val="20"/>
                <w:lang w:val="en-GB"/>
              </w:rPr>
              <w:t>96</w:t>
            </w:r>
          </w:p>
        </w:tc>
        <w:tc>
          <w:tcPr>
            <w:tcW w:w="1293" w:type="dxa"/>
          </w:tcPr>
          <w:p w:rsidR="00CD2A5A" w:rsidRDefault="00CD2A5A">
            <w:pPr>
              <w:spacing w:before="40" w:after="40"/>
              <w:ind w:right="284"/>
              <w:jc w:val="right"/>
              <w:rPr>
                <w:sz w:val="20"/>
                <w:lang w:val="en-GB"/>
              </w:rPr>
            </w:pPr>
            <w:r>
              <w:rPr>
                <w:sz w:val="20"/>
                <w:lang w:val="en-GB"/>
              </w:rPr>
              <w:t>4</w:t>
            </w: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Conditional suspension of proceedings</w:t>
            </w:r>
          </w:p>
        </w:tc>
        <w:tc>
          <w:tcPr>
            <w:tcW w:w="911" w:type="dxa"/>
          </w:tcPr>
          <w:p w:rsidR="00CD2A5A" w:rsidRDefault="00CD2A5A">
            <w:pPr>
              <w:spacing w:before="40" w:after="40"/>
              <w:ind w:right="277"/>
              <w:jc w:val="right"/>
              <w:rPr>
                <w:sz w:val="20"/>
                <w:lang w:val="en-GB"/>
              </w:rPr>
            </w:pPr>
            <w:r>
              <w:rPr>
                <w:sz w:val="20"/>
                <w:lang w:val="en-GB"/>
              </w:rPr>
              <w:t>3</w:t>
            </w:r>
          </w:p>
        </w:tc>
        <w:tc>
          <w:tcPr>
            <w:tcW w:w="1404" w:type="dxa"/>
          </w:tcPr>
          <w:p w:rsidR="00CD2A5A" w:rsidRDefault="00CD2A5A">
            <w:pPr>
              <w:spacing w:before="40" w:after="40"/>
              <w:ind w:right="284"/>
              <w:jc w:val="right"/>
              <w:rPr>
                <w:sz w:val="20"/>
                <w:lang w:val="en-GB"/>
              </w:rPr>
            </w:pPr>
            <w:r>
              <w:rPr>
                <w:sz w:val="20"/>
                <w:lang w:val="en-GB"/>
              </w:rPr>
              <w:t>0</w:t>
            </w:r>
          </w:p>
        </w:tc>
        <w:tc>
          <w:tcPr>
            <w:tcW w:w="1260" w:type="dxa"/>
          </w:tcPr>
          <w:p w:rsidR="00CD2A5A" w:rsidRDefault="00CD2A5A">
            <w:pPr>
              <w:spacing w:before="40" w:after="40"/>
              <w:ind w:right="284"/>
              <w:jc w:val="right"/>
              <w:rPr>
                <w:sz w:val="20"/>
                <w:lang w:val="en-GB"/>
              </w:rPr>
            </w:pPr>
            <w:r>
              <w:rPr>
                <w:sz w:val="20"/>
                <w:lang w:val="en-GB"/>
              </w:rPr>
              <w:t>1</w:t>
            </w:r>
          </w:p>
        </w:tc>
        <w:tc>
          <w:tcPr>
            <w:tcW w:w="1260" w:type="dxa"/>
          </w:tcPr>
          <w:p w:rsidR="00CD2A5A" w:rsidRDefault="00CD2A5A">
            <w:pPr>
              <w:spacing w:before="40" w:after="40"/>
              <w:ind w:right="284"/>
              <w:jc w:val="right"/>
              <w:rPr>
                <w:sz w:val="20"/>
                <w:lang w:val="en-GB"/>
              </w:rPr>
            </w:pPr>
            <w:r>
              <w:rPr>
                <w:sz w:val="20"/>
                <w:lang w:val="en-GB"/>
              </w:rPr>
              <w:t>0</w:t>
            </w:r>
          </w:p>
        </w:tc>
        <w:tc>
          <w:tcPr>
            <w:tcW w:w="1227" w:type="dxa"/>
          </w:tcPr>
          <w:p w:rsidR="00CD2A5A" w:rsidRDefault="00CD2A5A">
            <w:pPr>
              <w:spacing w:before="40" w:after="40"/>
              <w:ind w:right="284"/>
              <w:jc w:val="right"/>
              <w:rPr>
                <w:sz w:val="20"/>
                <w:lang w:val="en-GB"/>
              </w:rPr>
            </w:pPr>
            <w:r>
              <w:rPr>
                <w:sz w:val="20"/>
                <w:lang w:val="en-GB"/>
              </w:rPr>
              <w:t>2</w:t>
            </w:r>
          </w:p>
        </w:tc>
        <w:tc>
          <w:tcPr>
            <w:tcW w:w="1293" w:type="dxa"/>
          </w:tcPr>
          <w:p w:rsidR="00CD2A5A" w:rsidRDefault="00CD2A5A">
            <w:pPr>
              <w:spacing w:before="40" w:after="40"/>
              <w:ind w:right="284"/>
              <w:jc w:val="right"/>
              <w:rPr>
                <w:sz w:val="20"/>
                <w:lang w:val="en-GB"/>
              </w:rPr>
            </w:pPr>
            <w:r>
              <w:rPr>
                <w:sz w:val="20"/>
                <w:lang w:val="en-GB"/>
              </w:rPr>
              <w:t>0</w:t>
            </w:r>
          </w:p>
        </w:tc>
      </w:tr>
      <w:tr w:rsidR="00CD2A5A" w:rsidTr="002A160F">
        <w:tblPrEx>
          <w:tblCellMar>
            <w:top w:w="0" w:type="dxa"/>
            <w:bottom w:w="0" w:type="dxa"/>
          </w:tblCellMar>
        </w:tblPrEx>
        <w:tc>
          <w:tcPr>
            <w:tcW w:w="2197" w:type="dxa"/>
          </w:tcPr>
          <w:p w:rsidR="00CD2A5A" w:rsidRDefault="00CD2A5A">
            <w:pPr>
              <w:spacing w:before="40" w:after="40"/>
              <w:ind w:left="113"/>
              <w:rPr>
                <w:sz w:val="20"/>
                <w:lang w:val="en-GB"/>
              </w:rPr>
            </w:pPr>
            <w:r>
              <w:rPr>
                <w:sz w:val="20"/>
                <w:szCs w:val="16"/>
                <w:lang w:val="en-GB"/>
              </w:rPr>
              <w:t>Total</w:t>
            </w:r>
          </w:p>
        </w:tc>
        <w:tc>
          <w:tcPr>
            <w:tcW w:w="911" w:type="dxa"/>
          </w:tcPr>
          <w:p w:rsidR="00CD2A5A" w:rsidRDefault="00CD2A5A">
            <w:pPr>
              <w:spacing w:before="40" w:after="40"/>
              <w:ind w:right="277"/>
              <w:jc w:val="right"/>
              <w:rPr>
                <w:sz w:val="20"/>
                <w:lang w:val="en-GB"/>
              </w:rPr>
            </w:pPr>
            <w:r>
              <w:rPr>
                <w:sz w:val="20"/>
                <w:lang w:val="en-GB"/>
              </w:rPr>
              <w:t>39</w:t>
            </w:r>
          </w:p>
        </w:tc>
        <w:tc>
          <w:tcPr>
            <w:tcW w:w="1404" w:type="dxa"/>
          </w:tcPr>
          <w:p w:rsidR="00CD2A5A" w:rsidRDefault="00CD2A5A">
            <w:pPr>
              <w:spacing w:before="40" w:after="40"/>
              <w:ind w:right="284"/>
              <w:jc w:val="right"/>
              <w:rPr>
                <w:sz w:val="20"/>
                <w:lang w:val="en-GB"/>
              </w:rPr>
            </w:pPr>
            <w:r>
              <w:rPr>
                <w:sz w:val="20"/>
                <w:lang w:val="en-GB"/>
              </w:rPr>
              <w:t>2</w:t>
            </w:r>
          </w:p>
        </w:tc>
        <w:tc>
          <w:tcPr>
            <w:tcW w:w="1260" w:type="dxa"/>
          </w:tcPr>
          <w:p w:rsidR="00CD2A5A" w:rsidRDefault="00CD2A5A">
            <w:pPr>
              <w:spacing w:before="40" w:after="40"/>
              <w:ind w:right="284"/>
              <w:jc w:val="right"/>
              <w:rPr>
                <w:sz w:val="20"/>
                <w:lang w:val="en-GB"/>
              </w:rPr>
            </w:pPr>
            <w:r>
              <w:rPr>
                <w:sz w:val="20"/>
                <w:lang w:val="en-GB"/>
              </w:rPr>
              <w:t>44</w:t>
            </w:r>
          </w:p>
        </w:tc>
        <w:tc>
          <w:tcPr>
            <w:tcW w:w="1260" w:type="dxa"/>
          </w:tcPr>
          <w:p w:rsidR="00CD2A5A" w:rsidRDefault="00CD2A5A">
            <w:pPr>
              <w:spacing w:before="40" w:after="40"/>
              <w:ind w:right="284"/>
              <w:jc w:val="right"/>
              <w:rPr>
                <w:sz w:val="20"/>
                <w:lang w:val="en-GB"/>
              </w:rPr>
            </w:pPr>
            <w:r>
              <w:rPr>
                <w:sz w:val="20"/>
                <w:lang w:val="en-GB"/>
              </w:rPr>
              <w:t>7</w:t>
            </w:r>
          </w:p>
        </w:tc>
        <w:tc>
          <w:tcPr>
            <w:tcW w:w="1227" w:type="dxa"/>
          </w:tcPr>
          <w:p w:rsidR="00CD2A5A" w:rsidRDefault="00CD2A5A">
            <w:pPr>
              <w:spacing w:before="40" w:after="40"/>
              <w:ind w:right="284"/>
              <w:jc w:val="right"/>
              <w:rPr>
                <w:sz w:val="20"/>
                <w:lang w:val="en-GB"/>
              </w:rPr>
            </w:pPr>
          </w:p>
        </w:tc>
        <w:tc>
          <w:tcPr>
            <w:tcW w:w="1293" w:type="dxa"/>
          </w:tcPr>
          <w:p w:rsidR="00CD2A5A" w:rsidRDefault="00CD2A5A">
            <w:pPr>
              <w:spacing w:before="40" w:after="40"/>
              <w:ind w:right="284"/>
              <w:jc w:val="right"/>
              <w:rPr>
                <w:sz w:val="20"/>
                <w:lang w:val="en-GB"/>
              </w:rPr>
            </w:pPr>
          </w:p>
        </w:tc>
      </w:tr>
      <w:tr w:rsidR="00CD2A5A" w:rsidTr="002A160F">
        <w:tblPrEx>
          <w:tblCellMar>
            <w:top w:w="0" w:type="dxa"/>
            <w:bottom w:w="0" w:type="dxa"/>
          </w:tblCellMar>
        </w:tblPrEx>
        <w:tc>
          <w:tcPr>
            <w:tcW w:w="2197" w:type="dxa"/>
          </w:tcPr>
          <w:p w:rsidR="00CD2A5A" w:rsidRDefault="00CD2A5A">
            <w:pPr>
              <w:spacing w:before="40" w:after="40"/>
              <w:rPr>
                <w:sz w:val="20"/>
                <w:lang w:val="en-GB"/>
              </w:rPr>
            </w:pPr>
          </w:p>
        </w:tc>
        <w:tc>
          <w:tcPr>
            <w:tcW w:w="911" w:type="dxa"/>
          </w:tcPr>
          <w:p w:rsidR="00CD2A5A" w:rsidRDefault="00CD2A5A">
            <w:pPr>
              <w:spacing w:before="40" w:after="40"/>
              <w:ind w:right="277"/>
              <w:jc w:val="right"/>
              <w:rPr>
                <w:sz w:val="20"/>
                <w:lang w:val="en-GB"/>
              </w:rPr>
            </w:pPr>
          </w:p>
        </w:tc>
        <w:tc>
          <w:tcPr>
            <w:tcW w:w="1404" w:type="dxa"/>
          </w:tcPr>
          <w:p w:rsidR="00CD2A5A" w:rsidRDefault="00CD2A5A">
            <w:pPr>
              <w:spacing w:before="40" w:after="40"/>
              <w:ind w:right="284"/>
              <w:jc w:val="right"/>
              <w:rPr>
                <w:sz w:val="20"/>
                <w:lang w:val="en-GB"/>
              </w:rPr>
            </w:pPr>
          </w:p>
        </w:tc>
        <w:tc>
          <w:tcPr>
            <w:tcW w:w="1260" w:type="dxa"/>
          </w:tcPr>
          <w:p w:rsidR="00CD2A5A" w:rsidRDefault="00CD2A5A">
            <w:pPr>
              <w:spacing w:before="40" w:after="40"/>
              <w:ind w:right="284"/>
              <w:jc w:val="right"/>
              <w:rPr>
                <w:sz w:val="20"/>
                <w:lang w:val="en-GB"/>
              </w:rPr>
            </w:pPr>
          </w:p>
        </w:tc>
        <w:tc>
          <w:tcPr>
            <w:tcW w:w="1260" w:type="dxa"/>
          </w:tcPr>
          <w:p w:rsidR="00CD2A5A" w:rsidRDefault="00CD2A5A">
            <w:pPr>
              <w:spacing w:before="40" w:after="40"/>
              <w:ind w:right="284"/>
              <w:jc w:val="right"/>
              <w:rPr>
                <w:sz w:val="20"/>
                <w:lang w:val="en-GB"/>
              </w:rPr>
            </w:pPr>
          </w:p>
        </w:tc>
        <w:tc>
          <w:tcPr>
            <w:tcW w:w="1227" w:type="dxa"/>
          </w:tcPr>
          <w:p w:rsidR="00CD2A5A" w:rsidRDefault="00CD2A5A">
            <w:pPr>
              <w:spacing w:before="40" w:after="40"/>
              <w:ind w:right="284"/>
              <w:jc w:val="right"/>
              <w:rPr>
                <w:sz w:val="20"/>
                <w:lang w:val="en-GB"/>
              </w:rPr>
            </w:pPr>
          </w:p>
        </w:tc>
        <w:tc>
          <w:tcPr>
            <w:tcW w:w="1293" w:type="dxa"/>
          </w:tcPr>
          <w:p w:rsidR="00CD2A5A" w:rsidRDefault="00CD2A5A">
            <w:pPr>
              <w:spacing w:before="40" w:after="40"/>
              <w:ind w:right="284"/>
              <w:jc w:val="right"/>
              <w:rPr>
                <w:sz w:val="20"/>
                <w:lang w:val="en-GB"/>
              </w:rPr>
            </w:pPr>
          </w:p>
        </w:tc>
      </w:tr>
      <w:tr w:rsidR="00CD2A5A" w:rsidTr="002A160F">
        <w:tblPrEx>
          <w:tblCellMar>
            <w:top w:w="0" w:type="dxa"/>
            <w:bottom w:w="0" w:type="dxa"/>
          </w:tblCellMar>
        </w:tblPrEx>
        <w:tc>
          <w:tcPr>
            <w:tcW w:w="2197" w:type="dxa"/>
          </w:tcPr>
          <w:p w:rsidR="00CD2A5A" w:rsidRDefault="00CD2A5A">
            <w:pPr>
              <w:spacing w:before="40" w:after="40"/>
              <w:rPr>
                <w:sz w:val="20"/>
                <w:lang w:val="en-GB"/>
              </w:rPr>
            </w:pPr>
            <w:r>
              <w:rPr>
                <w:sz w:val="20"/>
                <w:lang w:val="en-GB"/>
              </w:rPr>
              <w:t>Total 2004-2006</w:t>
            </w:r>
          </w:p>
        </w:tc>
        <w:tc>
          <w:tcPr>
            <w:tcW w:w="911" w:type="dxa"/>
          </w:tcPr>
          <w:p w:rsidR="00CD2A5A" w:rsidRDefault="00CD2A5A">
            <w:pPr>
              <w:spacing w:before="40" w:after="40"/>
              <w:ind w:right="277"/>
              <w:jc w:val="right"/>
              <w:rPr>
                <w:sz w:val="20"/>
                <w:lang w:val="en-GB"/>
              </w:rPr>
            </w:pPr>
            <w:r>
              <w:rPr>
                <w:sz w:val="20"/>
                <w:lang w:val="en-GB"/>
              </w:rPr>
              <w:t>345</w:t>
            </w:r>
          </w:p>
        </w:tc>
        <w:tc>
          <w:tcPr>
            <w:tcW w:w="1404" w:type="dxa"/>
          </w:tcPr>
          <w:p w:rsidR="00CD2A5A" w:rsidRDefault="00CD2A5A">
            <w:pPr>
              <w:spacing w:before="40" w:after="40"/>
              <w:ind w:right="284"/>
              <w:jc w:val="right"/>
              <w:rPr>
                <w:sz w:val="20"/>
                <w:lang w:val="en-GB"/>
              </w:rPr>
            </w:pPr>
          </w:p>
        </w:tc>
        <w:tc>
          <w:tcPr>
            <w:tcW w:w="1260" w:type="dxa"/>
          </w:tcPr>
          <w:p w:rsidR="00CD2A5A" w:rsidRDefault="00CD2A5A">
            <w:pPr>
              <w:spacing w:before="40" w:after="40"/>
              <w:ind w:right="284"/>
              <w:jc w:val="right"/>
              <w:rPr>
                <w:sz w:val="20"/>
                <w:lang w:val="en-GB"/>
              </w:rPr>
            </w:pPr>
          </w:p>
        </w:tc>
        <w:tc>
          <w:tcPr>
            <w:tcW w:w="1260" w:type="dxa"/>
          </w:tcPr>
          <w:p w:rsidR="00CD2A5A" w:rsidRDefault="00CD2A5A">
            <w:pPr>
              <w:spacing w:before="40" w:after="40"/>
              <w:ind w:right="284"/>
              <w:jc w:val="right"/>
              <w:rPr>
                <w:sz w:val="20"/>
                <w:lang w:val="en-GB"/>
              </w:rPr>
            </w:pPr>
          </w:p>
        </w:tc>
        <w:tc>
          <w:tcPr>
            <w:tcW w:w="1227" w:type="dxa"/>
          </w:tcPr>
          <w:p w:rsidR="00CD2A5A" w:rsidRDefault="00CD2A5A">
            <w:pPr>
              <w:spacing w:before="40" w:after="40"/>
              <w:ind w:right="284"/>
              <w:jc w:val="right"/>
              <w:rPr>
                <w:sz w:val="20"/>
                <w:lang w:val="en-GB"/>
              </w:rPr>
            </w:pPr>
          </w:p>
        </w:tc>
        <w:tc>
          <w:tcPr>
            <w:tcW w:w="1293" w:type="dxa"/>
          </w:tcPr>
          <w:p w:rsidR="00CD2A5A" w:rsidRDefault="00CD2A5A">
            <w:pPr>
              <w:spacing w:before="40" w:after="40"/>
              <w:ind w:right="284"/>
              <w:jc w:val="right"/>
              <w:rPr>
                <w:sz w:val="20"/>
                <w:lang w:val="en-GB"/>
              </w:rPr>
            </w:pPr>
          </w:p>
        </w:tc>
      </w:tr>
      <w:tr w:rsidR="00CD2A5A" w:rsidTr="002A160F">
        <w:tblPrEx>
          <w:tblCellMar>
            <w:top w:w="0" w:type="dxa"/>
            <w:bottom w:w="0" w:type="dxa"/>
          </w:tblCellMar>
        </w:tblPrEx>
        <w:tc>
          <w:tcPr>
            <w:tcW w:w="2197" w:type="dxa"/>
          </w:tcPr>
          <w:p w:rsidR="00CD2A5A" w:rsidRDefault="00CD2A5A">
            <w:pPr>
              <w:spacing w:before="40" w:after="40"/>
              <w:rPr>
                <w:sz w:val="20"/>
                <w:lang w:val="en-GB"/>
              </w:rPr>
            </w:pPr>
            <w:r>
              <w:rPr>
                <w:sz w:val="20"/>
                <w:lang w:val="en-GB"/>
              </w:rPr>
              <w:t>Average per court</w:t>
            </w:r>
          </w:p>
        </w:tc>
        <w:tc>
          <w:tcPr>
            <w:tcW w:w="911" w:type="dxa"/>
          </w:tcPr>
          <w:p w:rsidR="00CD2A5A" w:rsidRDefault="00CD2A5A">
            <w:pPr>
              <w:spacing w:before="40" w:after="40"/>
              <w:ind w:right="277"/>
              <w:jc w:val="right"/>
              <w:rPr>
                <w:sz w:val="20"/>
                <w:lang w:val="en-GB"/>
              </w:rPr>
            </w:pPr>
            <w:r>
              <w:rPr>
                <w:sz w:val="20"/>
                <w:lang w:val="en-GB"/>
              </w:rPr>
              <w:t>14</w:t>
            </w:r>
          </w:p>
        </w:tc>
        <w:tc>
          <w:tcPr>
            <w:tcW w:w="1404" w:type="dxa"/>
          </w:tcPr>
          <w:p w:rsidR="00CD2A5A" w:rsidRDefault="00CD2A5A">
            <w:pPr>
              <w:spacing w:before="40" w:after="40"/>
              <w:ind w:right="284"/>
              <w:jc w:val="right"/>
              <w:rPr>
                <w:sz w:val="20"/>
                <w:lang w:val="en-GB"/>
              </w:rPr>
            </w:pPr>
          </w:p>
        </w:tc>
        <w:tc>
          <w:tcPr>
            <w:tcW w:w="1260" w:type="dxa"/>
          </w:tcPr>
          <w:p w:rsidR="00CD2A5A" w:rsidRDefault="00CD2A5A">
            <w:pPr>
              <w:spacing w:before="40" w:after="40"/>
              <w:ind w:right="284"/>
              <w:jc w:val="right"/>
              <w:rPr>
                <w:sz w:val="20"/>
                <w:lang w:val="en-GB"/>
              </w:rPr>
            </w:pPr>
          </w:p>
        </w:tc>
        <w:tc>
          <w:tcPr>
            <w:tcW w:w="1260" w:type="dxa"/>
          </w:tcPr>
          <w:p w:rsidR="00CD2A5A" w:rsidRDefault="00CD2A5A">
            <w:pPr>
              <w:spacing w:before="40" w:after="40"/>
              <w:ind w:right="284"/>
              <w:jc w:val="right"/>
              <w:rPr>
                <w:sz w:val="20"/>
                <w:lang w:val="en-GB"/>
              </w:rPr>
            </w:pPr>
          </w:p>
        </w:tc>
        <w:tc>
          <w:tcPr>
            <w:tcW w:w="1227" w:type="dxa"/>
          </w:tcPr>
          <w:p w:rsidR="00CD2A5A" w:rsidRDefault="00CD2A5A">
            <w:pPr>
              <w:spacing w:before="40" w:after="40"/>
              <w:ind w:right="284"/>
              <w:jc w:val="right"/>
              <w:rPr>
                <w:sz w:val="20"/>
                <w:lang w:val="en-GB"/>
              </w:rPr>
            </w:pPr>
          </w:p>
        </w:tc>
        <w:tc>
          <w:tcPr>
            <w:tcW w:w="1293" w:type="dxa"/>
          </w:tcPr>
          <w:p w:rsidR="00CD2A5A" w:rsidRDefault="00CD2A5A">
            <w:pPr>
              <w:spacing w:before="40" w:after="40"/>
              <w:ind w:right="284"/>
              <w:jc w:val="right"/>
              <w:rPr>
                <w:sz w:val="20"/>
                <w:lang w:val="en-GB"/>
              </w:rPr>
            </w:pPr>
          </w:p>
        </w:tc>
      </w:tr>
    </w:tbl>
    <w:p w:rsidR="00CD2A5A" w:rsidRDefault="00CD2A5A" w:rsidP="00CD2A5A">
      <w:pPr>
        <w:pStyle w:val="Figure"/>
      </w:pPr>
    </w:p>
    <w:p w:rsidR="00CD2A5A" w:rsidRDefault="00CD2A5A" w:rsidP="00CD2A5A">
      <w:pPr>
        <w:pStyle w:val="Figure"/>
      </w:pPr>
      <w:r>
        <w:t>Figure 30</w:t>
      </w:r>
    </w:p>
    <w:p w:rsidR="00CD2A5A" w:rsidRDefault="00CD2A5A" w:rsidP="00CD2A5A">
      <w:pPr>
        <w:pStyle w:val="Figure"/>
      </w:pPr>
      <w:r>
        <w:t>Statistical data of all cases involving minor victims of domestic violence</w:t>
      </w:r>
      <w:r>
        <w:br/>
        <w:t>in the 30 Preliminary investigation courts equipped with the Case Monitoring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1"/>
        <w:gridCol w:w="1286"/>
        <w:gridCol w:w="1287"/>
        <w:gridCol w:w="1287"/>
        <w:gridCol w:w="1287"/>
        <w:gridCol w:w="1287"/>
        <w:gridCol w:w="1287"/>
      </w:tblGrid>
      <w:tr w:rsidR="00CD2A5A" w:rsidTr="00CE08C8">
        <w:tblPrEx>
          <w:tblCellMar>
            <w:top w:w="0" w:type="dxa"/>
            <w:bottom w:w="0" w:type="dxa"/>
          </w:tblCellMar>
        </w:tblPrEx>
        <w:trPr>
          <w:tblHeader/>
          <w:jc w:val="center"/>
        </w:trPr>
        <w:tc>
          <w:tcPr>
            <w:tcW w:w="1831" w:type="dxa"/>
            <w:vAlign w:val="center"/>
          </w:tcPr>
          <w:p w:rsidR="00CD2A5A" w:rsidRDefault="00CD2A5A">
            <w:pPr>
              <w:spacing w:before="40" w:after="40"/>
              <w:jc w:val="center"/>
              <w:rPr>
                <w:b/>
                <w:bCs/>
                <w:i/>
                <w:iCs/>
                <w:sz w:val="20"/>
                <w:lang w:val="en-GB"/>
              </w:rPr>
            </w:pPr>
          </w:p>
        </w:tc>
        <w:tc>
          <w:tcPr>
            <w:tcW w:w="2573" w:type="dxa"/>
            <w:gridSpan w:val="2"/>
            <w:vAlign w:val="center"/>
          </w:tcPr>
          <w:p w:rsidR="00CD2A5A" w:rsidRDefault="00CD2A5A">
            <w:pPr>
              <w:spacing w:before="40" w:after="40"/>
              <w:jc w:val="center"/>
              <w:rPr>
                <w:b/>
                <w:bCs/>
                <w:i/>
                <w:iCs/>
                <w:sz w:val="20"/>
                <w:lang w:val="en-GB"/>
              </w:rPr>
            </w:pPr>
            <w:r>
              <w:rPr>
                <w:b/>
                <w:bCs/>
                <w:i/>
                <w:iCs/>
                <w:sz w:val="20"/>
                <w:lang w:val="en-GB"/>
              </w:rPr>
              <w:t>2004</w:t>
            </w:r>
          </w:p>
        </w:tc>
        <w:tc>
          <w:tcPr>
            <w:tcW w:w="2574" w:type="dxa"/>
            <w:gridSpan w:val="2"/>
            <w:vAlign w:val="center"/>
          </w:tcPr>
          <w:p w:rsidR="00CD2A5A" w:rsidRDefault="00CD2A5A">
            <w:pPr>
              <w:spacing w:before="40" w:after="40"/>
              <w:jc w:val="center"/>
              <w:rPr>
                <w:b/>
                <w:bCs/>
                <w:i/>
                <w:iCs/>
                <w:sz w:val="20"/>
                <w:lang w:val="en-GB"/>
              </w:rPr>
            </w:pPr>
            <w:r>
              <w:rPr>
                <w:b/>
                <w:bCs/>
                <w:i/>
                <w:iCs/>
                <w:sz w:val="20"/>
                <w:lang w:val="en-GB"/>
              </w:rPr>
              <w:t>2005</w:t>
            </w:r>
          </w:p>
        </w:tc>
        <w:tc>
          <w:tcPr>
            <w:tcW w:w="2574" w:type="dxa"/>
            <w:gridSpan w:val="2"/>
            <w:vAlign w:val="center"/>
          </w:tcPr>
          <w:p w:rsidR="00CD2A5A" w:rsidRDefault="00CD2A5A">
            <w:pPr>
              <w:spacing w:before="40" w:after="40"/>
              <w:jc w:val="center"/>
              <w:rPr>
                <w:b/>
                <w:bCs/>
                <w:i/>
                <w:iCs/>
                <w:sz w:val="20"/>
                <w:lang w:val="en-GB"/>
              </w:rPr>
            </w:pPr>
            <w:r>
              <w:rPr>
                <w:b/>
                <w:bCs/>
                <w:i/>
                <w:iCs/>
                <w:sz w:val="20"/>
                <w:lang w:val="en-GB"/>
              </w:rPr>
              <w:t>2006</w:t>
            </w:r>
          </w:p>
        </w:tc>
      </w:tr>
      <w:tr w:rsidR="00CD2A5A" w:rsidTr="00CE08C8">
        <w:tblPrEx>
          <w:tblCellMar>
            <w:top w:w="0" w:type="dxa"/>
            <w:bottom w:w="0" w:type="dxa"/>
          </w:tblCellMar>
        </w:tblPrEx>
        <w:trPr>
          <w:tblHeader/>
          <w:jc w:val="center"/>
        </w:trPr>
        <w:tc>
          <w:tcPr>
            <w:tcW w:w="1831" w:type="dxa"/>
            <w:vAlign w:val="center"/>
          </w:tcPr>
          <w:p w:rsidR="00CD2A5A" w:rsidRDefault="00CD2A5A">
            <w:pPr>
              <w:spacing w:before="40" w:after="40"/>
              <w:jc w:val="center"/>
              <w:rPr>
                <w:b/>
                <w:bCs/>
                <w:i/>
                <w:iCs/>
                <w:sz w:val="20"/>
                <w:lang w:val="en-GB"/>
              </w:rPr>
            </w:pPr>
          </w:p>
        </w:tc>
        <w:tc>
          <w:tcPr>
            <w:tcW w:w="1286" w:type="dxa"/>
            <w:vAlign w:val="center"/>
          </w:tcPr>
          <w:p w:rsidR="00CD2A5A" w:rsidRDefault="00CD2A5A">
            <w:pPr>
              <w:spacing w:before="40" w:after="40"/>
              <w:jc w:val="center"/>
              <w:rPr>
                <w:b/>
                <w:bCs/>
                <w:i/>
                <w:iCs/>
                <w:sz w:val="20"/>
                <w:lang w:val="en-GB"/>
              </w:rPr>
            </w:pPr>
            <w:r>
              <w:rPr>
                <w:b/>
                <w:bCs/>
                <w:i/>
                <w:iCs/>
                <w:sz w:val="20"/>
                <w:lang w:val="en-GB"/>
              </w:rPr>
              <w:t>Total</w:t>
            </w:r>
          </w:p>
        </w:tc>
        <w:tc>
          <w:tcPr>
            <w:tcW w:w="1287" w:type="dxa"/>
            <w:vAlign w:val="center"/>
          </w:tcPr>
          <w:p w:rsidR="00CD2A5A" w:rsidRDefault="00CD2A5A">
            <w:pPr>
              <w:spacing w:before="40" w:after="40"/>
              <w:jc w:val="center"/>
              <w:rPr>
                <w:b/>
                <w:bCs/>
                <w:i/>
                <w:iCs/>
                <w:sz w:val="20"/>
                <w:lang w:val="en-GB"/>
              </w:rPr>
            </w:pPr>
            <w:r>
              <w:rPr>
                <w:b/>
                <w:bCs/>
                <w:i/>
                <w:iCs/>
                <w:sz w:val="20"/>
                <w:szCs w:val="16"/>
                <w:lang w:val="en-GB"/>
              </w:rPr>
              <w:t>Average per court</w:t>
            </w:r>
          </w:p>
        </w:tc>
        <w:tc>
          <w:tcPr>
            <w:tcW w:w="1287" w:type="dxa"/>
            <w:vAlign w:val="center"/>
          </w:tcPr>
          <w:p w:rsidR="00CD2A5A" w:rsidRDefault="00CD2A5A">
            <w:pPr>
              <w:spacing w:before="40" w:after="40"/>
              <w:jc w:val="center"/>
              <w:rPr>
                <w:b/>
                <w:bCs/>
                <w:i/>
                <w:iCs/>
                <w:sz w:val="20"/>
                <w:lang w:val="en-GB"/>
              </w:rPr>
            </w:pPr>
            <w:r>
              <w:rPr>
                <w:b/>
                <w:bCs/>
                <w:i/>
                <w:iCs/>
                <w:sz w:val="20"/>
                <w:lang w:val="en-GB"/>
              </w:rPr>
              <w:t>Total</w:t>
            </w:r>
          </w:p>
        </w:tc>
        <w:tc>
          <w:tcPr>
            <w:tcW w:w="1287" w:type="dxa"/>
            <w:vAlign w:val="center"/>
          </w:tcPr>
          <w:p w:rsidR="00CD2A5A" w:rsidRDefault="00CD2A5A">
            <w:pPr>
              <w:spacing w:before="40" w:after="40"/>
              <w:jc w:val="center"/>
              <w:rPr>
                <w:b/>
                <w:bCs/>
                <w:i/>
                <w:iCs/>
                <w:sz w:val="20"/>
                <w:lang w:val="en-GB"/>
              </w:rPr>
            </w:pPr>
            <w:r>
              <w:rPr>
                <w:b/>
                <w:bCs/>
                <w:i/>
                <w:iCs/>
                <w:sz w:val="20"/>
                <w:szCs w:val="16"/>
                <w:lang w:val="en-GB"/>
              </w:rPr>
              <w:t>Average per court</w:t>
            </w:r>
          </w:p>
        </w:tc>
        <w:tc>
          <w:tcPr>
            <w:tcW w:w="1287" w:type="dxa"/>
            <w:vAlign w:val="center"/>
          </w:tcPr>
          <w:p w:rsidR="00CD2A5A" w:rsidRDefault="00CD2A5A">
            <w:pPr>
              <w:spacing w:before="40" w:after="40"/>
              <w:jc w:val="center"/>
              <w:rPr>
                <w:b/>
                <w:bCs/>
                <w:i/>
                <w:iCs/>
                <w:sz w:val="20"/>
                <w:lang w:val="en-GB"/>
              </w:rPr>
            </w:pPr>
            <w:r>
              <w:rPr>
                <w:b/>
                <w:bCs/>
                <w:i/>
                <w:iCs/>
                <w:sz w:val="20"/>
                <w:lang w:val="en-GB"/>
              </w:rPr>
              <w:t>Total</w:t>
            </w:r>
          </w:p>
        </w:tc>
        <w:tc>
          <w:tcPr>
            <w:tcW w:w="1287" w:type="dxa"/>
            <w:vAlign w:val="center"/>
          </w:tcPr>
          <w:p w:rsidR="00CD2A5A" w:rsidRDefault="00CD2A5A">
            <w:pPr>
              <w:spacing w:before="40" w:after="40"/>
              <w:jc w:val="center"/>
              <w:rPr>
                <w:b/>
                <w:bCs/>
                <w:i/>
                <w:iCs/>
                <w:sz w:val="20"/>
                <w:lang w:val="en-GB"/>
              </w:rPr>
            </w:pPr>
            <w:r>
              <w:rPr>
                <w:b/>
                <w:bCs/>
                <w:i/>
                <w:iCs/>
                <w:sz w:val="20"/>
                <w:szCs w:val="16"/>
                <w:lang w:val="en-GB"/>
              </w:rPr>
              <w:t>Average per court</w:t>
            </w:r>
          </w:p>
        </w:tc>
      </w:tr>
      <w:tr w:rsidR="00CD2A5A">
        <w:tblPrEx>
          <w:tblCellMar>
            <w:top w:w="0" w:type="dxa"/>
            <w:bottom w:w="0" w:type="dxa"/>
          </w:tblCellMar>
        </w:tblPrEx>
        <w:trPr>
          <w:jc w:val="center"/>
        </w:trPr>
        <w:tc>
          <w:tcPr>
            <w:tcW w:w="1831" w:type="dxa"/>
          </w:tcPr>
          <w:p w:rsidR="00CD2A5A" w:rsidRDefault="00CD2A5A">
            <w:pPr>
              <w:pStyle w:val="Style1"/>
              <w:widowControl/>
              <w:autoSpaceDE/>
              <w:autoSpaceDN/>
              <w:adjustRightInd/>
              <w:spacing w:before="40" w:after="40"/>
              <w:rPr>
                <w:smallCaps/>
                <w:szCs w:val="16"/>
                <w:lang w:val="en-GB" w:eastAsia="fr-FR"/>
              </w:rPr>
            </w:pPr>
            <w:r>
              <w:rPr>
                <w:smallCaps/>
                <w:szCs w:val="16"/>
                <w:lang w:val="en-GB" w:eastAsia="fr-FR"/>
              </w:rPr>
              <w:t xml:space="preserve">Magistrates </w:t>
            </w:r>
            <w:r>
              <w:rPr>
                <w:smallCaps/>
                <w:szCs w:val="16"/>
                <w:lang w:val="en-GB" w:eastAsia="fr-FR"/>
              </w:rPr>
              <w:br/>
              <w:t>Courts</w:t>
            </w:r>
          </w:p>
        </w:tc>
        <w:tc>
          <w:tcPr>
            <w:tcW w:w="1286" w:type="dxa"/>
          </w:tcPr>
          <w:p w:rsidR="00CD2A5A" w:rsidRDefault="00CD2A5A">
            <w:pPr>
              <w:pStyle w:val="Style1"/>
              <w:widowControl/>
              <w:autoSpaceDE/>
              <w:autoSpaceDN/>
              <w:adjustRightInd/>
              <w:spacing w:before="40" w:after="40"/>
              <w:rPr>
                <w:lang w:val="es-SV" w:eastAsia="fr-FR"/>
              </w:rPr>
            </w:pPr>
          </w:p>
        </w:tc>
        <w:tc>
          <w:tcPr>
            <w:tcW w:w="1287" w:type="dxa"/>
          </w:tcPr>
          <w:p w:rsidR="00CD2A5A" w:rsidRDefault="00CD2A5A">
            <w:pPr>
              <w:spacing w:before="40" w:after="40"/>
              <w:rPr>
                <w:sz w:val="20"/>
                <w:lang w:val="en-GB"/>
              </w:rPr>
            </w:pPr>
          </w:p>
        </w:tc>
        <w:tc>
          <w:tcPr>
            <w:tcW w:w="1287" w:type="dxa"/>
          </w:tcPr>
          <w:p w:rsidR="00CD2A5A" w:rsidRDefault="00CD2A5A">
            <w:pPr>
              <w:spacing w:before="40" w:after="40"/>
              <w:rPr>
                <w:sz w:val="20"/>
                <w:lang w:val="en-GB"/>
              </w:rPr>
            </w:pPr>
          </w:p>
        </w:tc>
        <w:tc>
          <w:tcPr>
            <w:tcW w:w="1287" w:type="dxa"/>
          </w:tcPr>
          <w:p w:rsidR="00CD2A5A" w:rsidRDefault="00CD2A5A">
            <w:pPr>
              <w:spacing w:before="40" w:after="40"/>
              <w:rPr>
                <w:sz w:val="20"/>
                <w:lang w:val="en-GB"/>
              </w:rPr>
            </w:pPr>
          </w:p>
        </w:tc>
        <w:tc>
          <w:tcPr>
            <w:tcW w:w="1287" w:type="dxa"/>
          </w:tcPr>
          <w:p w:rsidR="00CD2A5A" w:rsidRDefault="00CD2A5A">
            <w:pPr>
              <w:spacing w:before="40" w:after="40"/>
              <w:rPr>
                <w:sz w:val="20"/>
                <w:lang w:val="en-GB"/>
              </w:rPr>
            </w:pPr>
          </w:p>
        </w:tc>
        <w:tc>
          <w:tcPr>
            <w:tcW w:w="1287" w:type="dxa"/>
          </w:tcPr>
          <w:p w:rsidR="00CD2A5A" w:rsidRDefault="00CD2A5A">
            <w:pPr>
              <w:spacing w:before="40" w:after="40"/>
              <w:rPr>
                <w:sz w:val="20"/>
                <w:lang w:val="en-GB"/>
              </w:rPr>
            </w:pP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lang w:val="en-GB"/>
              </w:rPr>
            </w:pPr>
            <w:r>
              <w:rPr>
                <w:sz w:val="20"/>
                <w:szCs w:val="20"/>
                <w:lang w:val="en-GB"/>
              </w:rPr>
              <w:t>Total</w:t>
            </w:r>
          </w:p>
        </w:tc>
        <w:tc>
          <w:tcPr>
            <w:tcW w:w="1286" w:type="dxa"/>
          </w:tcPr>
          <w:p w:rsidR="00CD2A5A" w:rsidRDefault="00CD2A5A">
            <w:pPr>
              <w:pStyle w:val="Style1"/>
              <w:widowControl/>
              <w:autoSpaceDE/>
              <w:autoSpaceDN/>
              <w:adjustRightInd/>
              <w:spacing w:before="40" w:after="40"/>
              <w:jc w:val="center"/>
              <w:rPr>
                <w:lang w:val="es-SV" w:eastAsia="fr-FR"/>
              </w:rPr>
            </w:pPr>
            <w:r>
              <w:rPr>
                <w:lang w:val="es-SV" w:eastAsia="fr-FR"/>
              </w:rPr>
              <w:t>8</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9</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14</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lang w:val="en-GB"/>
              </w:rPr>
            </w:pPr>
            <w:r>
              <w:rPr>
                <w:sz w:val="20"/>
                <w:szCs w:val="20"/>
                <w:lang w:val="en-GB"/>
              </w:rPr>
              <w:t>Proceedings in progress</w:t>
            </w:r>
          </w:p>
        </w:tc>
        <w:tc>
          <w:tcPr>
            <w:tcW w:w="1286" w:type="dxa"/>
          </w:tcPr>
          <w:p w:rsidR="00CD2A5A" w:rsidRDefault="00CD2A5A">
            <w:pPr>
              <w:spacing w:before="40" w:after="40"/>
              <w:jc w:val="center"/>
              <w:rPr>
                <w:sz w:val="20"/>
                <w:lang w:val="en-GB"/>
              </w:rPr>
            </w:pPr>
            <w:r>
              <w:rPr>
                <w:sz w:val="20"/>
                <w:szCs w:val="20"/>
                <w:lang w:val="es-SV"/>
              </w:rPr>
              <w:t>3</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2</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5</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szCs w:val="20"/>
                <w:lang w:val="en-GB"/>
              </w:rPr>
            </w:pPr>
            <w:r>
              <w:rPr>
                <w:sz w:val="20"/>
                <w:szCs w:val="20"/>
                <w:lang w:val="en-GB"/>
              </w:rPr>
              <w:t>Trial proceedings</w:t>
            </w:r>
          </w:p>
        </w:tc>
        <w:tc>
          <w:tcPr>
            <w:tcW w:w="1286" w:type="dxa"/>
          </w:tcPr>
          <w:p w:rsidR="00CD2A5A" w:rsidRDefault="00CD2A5A">
            <w:pPr>
              <w:spacing w:before="40" w:after="40"/>
              <w:jc w:val="center"/>
              <w:rPr>
                <w:sz w:val="20"/>
                <w:szCs w:val="20"/>
                <w:lang w:val="es-SV"/>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r>
              <w:rPr>
                <w:sz w:val="20"/>
                <w:lang w:val="en-GB"/>
              </w:rPr>
              <w:t>2</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szCs w:val="16"/>
                <w:lang w:val="en-GB"/>
              </w:rPr>
            </w:pPr>
            <w:r>
              <w:rPr>
                <w:sz w:val="20"/>
                <w:szCs w:val="20"/>
                <w:lang w:val="en-GB"/>
              </w:rPr>
              <w:t>Mediation authorized</w:t>
            </w:r>
          </w:p>
        </w:tc>
        <w:tc>
          <w:tcPr>
            <w:tcW w:w="1286" w:type="dxa"/>
          </w:tcPr>
          <w:p w:rsidR="00CD2A5A" w:rsidRDefault="00CD2A5A">
            <w:pPr>
              <w:spacing w:before="40" w:after="40"/>
              <w:jc w:val="center"/>
              <w:rPr>
                <w:sz w:val="20"/>
                <w:lang w:val="en-GB"/>
              </w:rPr>
            </w:pPr>
            <w:r>
              <w:rPr>
                <w:sz w:val="20"/>
                <w:szCs w:val="20"/>
                <w:lang w:val="es-SV"/>
              </w:rPr>
              <w:t>2</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3</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szCs w:val="20"/>
                <w:lang w:val="en-GB"/>
              </w:rPr>
            </w:pPr>
            <w:r>
              <w:rPr>
                <w:sz w:val="20"/>
                <w:szCs w:val="20"/>
                <w:lang w:val="en-GB"/>
              </w:rPr>
              <w:t>Incompetent</w:t>
            </w:r>
          </w:p>
        </w:tc>
        <w:tc>
          <w:tcPr>
            <w:tcW w:w="1286" w:type="dxa"/>
          </w:tcPr>
          <w:p w:rsidR="00CD2A5A" w:rsidRDefault="00CD2A5A">
            <w:pPr>
              <w:spacing w:before="40" w:after="40"/>
              <w:jc w:val="center"/>
              <w:rPr>
                <w:sz w:val="20"/>
                <w:szCs w:val="20"/>
                <w:lang w:val="es-SV"/>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szCs w:val="20"/>
                <w:lang w:val="en-GB"/>
              </w:rPr>
            </w:pPr>
            <w:r>
              <w:rPr>
                <w:sz w:val="20"/>
                <w:szCs w:val="20"/>
                <w:lang w:val="en-GB"/>
              </w:rPr>
              <w:t>Contempt of court</w:t>
            </w:r>
          </w:p>
        </w:tc>
        <w:tc>
          <w:tcPr>
            <w:tcW w:w="1286" w:type="dxa"/>
          </w:tcPr>
          <w:p w:rsidR="00CD2A5A" w:rsidRDefault="00CD2A5A">
            <w:pPr>
              <w:spacing w:before="40" w:after="40"/>
              <w:jc w:val="center"/>
              <w:rPr>
                <w:sz w:val="20"/>
                <w:szCs w:val="20"/>
                <w:lang w:val="es-SV"/>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r>
              <w:rPr>
                <w:sz w:val="20"/>
                <w:lang w:val="en-GB"/>
              </w:rPr>
              <w:t>3</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szCs w:val="20"/>
                <w:lang w:val="en-GB"/>
              </w:rPr>
            </w:pPr>
            <w:r>
              <w:rPr>
                <w:sz w:val="20"/>
                <w:szCs w:val="20"/>
                <w:lang w:val="en-GB"/>
              </w:rPr>
              <w:t>Absolute invalidity</w:t>
            </w:r>
          </w:p>
        </w:tc>
        <w:tc>
          <w:tcPr>
            <w:tcW w:w="1286" w:type="dxa"/>
          </w:tcPr>
          <w:p w:rsidR="00CD2A5A" w:rsidRDefault="00CD2A5A">
            <w:pPr>
              <w:spacing w:before="40" w:after="40"/>
              <w:jc w:val="center"/>
              <w:rPr>
                <w:sz w:val="20"/>
                <w:szCs w:val="20"/>
                <w:lang w:val="es-SV"/>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lang w:val="en-GB"/>
              </w:rPr>
            </w:pPr>
            <w:r>
              <w:rPr>
                <w:sz w:val="20"/>
                <w:szCs w:val="20"/>
                <w:lang w:val="en-GB"/>
              </w:rPr>
              <w:t>Conviction in fast-track procedure</w:t>
            </w:r>
          </w:p>
        </w:tc>
        <w:tc>
          <w:tcPr>
            <w:tcW w:w="1286" w:type="dxa"/>
          </w:tcPr>
          <w:p w:rsidR="00CD2A5A" w:rsidRDefault="00CD2A5A">
            <w:pPr>
              <w:spacing w:before="40" w:after="40"/>
              <w:jc w:val="center"/>
              <w:rPr>
                <w:sz w:val="20"/>
                <w:lang w:val="en-GB"/>
              </w:rPr>
            </w:pPr>
            <w:r>
              <w:rPr>
                <w:sz w:val="20"/>
                <w:szCs w:val="20"/>
                <w:lang w:val="es-SV"/>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szCs w:val="16"/>
                <w:lang w:val="en-GB"/>
              </w:rPr>
            </w:pPr>
            <w:r>
              <w:rPr>
                <w:sz w:val="20"/>
                <w:szCs w:val="20"/>
                <w:lang w:val="en-GB"/>
              </w:rPr>
              <w:t>Definitive discharge</w:t>
            </w:r>
          </w:p>
        </w:tc>
        <w:tc>
          <w:tcPr>
            <w:tcW w:w="1286"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lang w:val="en-GB"/>
              </w:rPr>
            </w:pPr>
            <w:r>
              <w:rPr>
                <w:sz w:val="20"/>
                <w:szCs w:val="20"/>
                <w:lang w:val="en-GB"/>
              </w:rPr>
              <w:t>Provisional discharge</w:t>
            </w:r>
          </w:p>
        </w:tc>
        <w:tc>
          <w:tcPr>
            <w:tcW w:w="1286"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r>
      <w:tr w:rsidR="00CD2A5A">
        <w:tblPrEx>
          <w:tblCellMar>
            <w:top w:w="0" w:type="dxa"/>
            <w:bottom w:w="0" w:type="dxa"/>
          </w:tblCellMar>
        </w:tblPrEx>
        <w:trPr>
          <w:jc w:val="center"/>
        </w:trPr>
        <w:tc>
          <w:tcPr>
            <w:tcW w:w="1831" w:type="dxa"/>
          </w:tcPr>
          <w:p w:rsidR="00CD2A5A" w:rsidRDefault="00CD2A5A">
            <w:pPr>
              <w:spacing w:before="40" w:after="40"/>
              <w:ind w:left="113"/>
              <w:rPr>
                <w:sz w:val="20"/>
                <w:lang w:val="en-GB"/>
              </w:rPr>
            </w:pPr>
            <w:r>
              <w:rPr>
                <w:sz w:val="20"/>
                <w:szCs w:val="20"/>
                <w:lang w:val="en-GB"/>
              </w:rPr>
              <w:t>Conditional suspension of proceedings</w:t>
            </w:r>
          </w:p>
        </w:tc>
        <w:tc>
          <w:tcPr>
            <w:tcW w:w="1286"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c>
          <w:tcPr>
            <w:tcW w:w="1287"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r>
              <w:rPr>
                <w:sz w:val="20"/>
                <w:lang w:val="en-GB"/>
              </w:rPr>
              <w:t>0</w:t>
            </w:r>
          </w:p>
        </w:tc>
      </w:tr>
      <w:tr w:rsidR="00CD2A5A">
        <w:tblPrEx>
          <w:tblCellMar>
            <w:top w:w="0" w:type="dxa"/>
            <w:bottom w:w="0" w:type="dxa"/>
          </w:tblCellMar>
        </w:tblPrEx>
        <w:trPr>
          <w:jc w:val="center"/>
        </w:trPr>
        <w:tc>
          <w:tcPr>
            <w:tcW w:w="1831" w:type="dxa"/>
          </w:tcPr>
          <w:p w:rsidR="00CD2A5A" w:rsidRDefault="00CD2A5A">
            <w:pPr>
              <w:spacing w:before="40" w:after="40"/>
              <w:rPr>
                <w:sz w:val="20"/>
                <w:lang w:val="en-GB"/>
              </w:rPr>
            </w:pPr>
            <w:r>
              <w:rPr>
                <w:sz w:val="20"/>
                <w:lang w:val="en-GB"/>
              </w:rPr>
              <w:t>Total 2004-2006</w:t>
            </w:r>
          </w:p>
        </w:tc>
        <w:tc>
          <w:tcPr>
            <w:tcW w:w="1286" w:type="dxa"/>
          </w:tcPr>
          <w:p w:rsidR="00CD2A5A" w:rsidRDefault="00CD2A5A">
            <w:pPr>
              <w:spacing w:before="40" w:after="40"/>
              <w:jc w:val="center"/>
              <w:rPr>
                <w:sz w:val="20"/>
                <w:lang w:val="en-GB"/>
              </w:rPr>
            </w:pPr>
            <w:r>
              <w:rPr>
                <w:sz w:val="20"/>
                <w:lang w:val="en-GB"/>
              </w:rPr>
              <w:t>31</w:t>
            </w: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r>
      <w:tr w:rsidR="00CD2A5A">
        <w:tblPrEx>
          <w:tblCellMar>
            <w:top w:w="0" w:type="dxa"/>
            <w:bottom w:w="0" w:type="dxa"/>
          </w:tblCellMar>
        </w:tblPrEx>
        <w:trPr>
          <w:jc w:val="center"/>
        </w:trPr>
        <w:tc>
          <w:tcPr>
            <w:tcW w:w="1831" w:type="dxa"/>
          </w:tcPr>
          <w:p w:rsidR="00CD2A5A" w:rsidRDefault="00CD2A5A">
            <w:pPr>
              <w:spacing w:before="40" w:after="40"/>
              <w:rPr>
                <w:sz w:val="20"/>
                <w:lang w:val="en-GB"/>
              </w:rPr>
            </w:pPr>
            <w:r>
              <w:rPr>
                <w:sz w:val="20"/>
                <w:lang w:val="en-GB"/>
              </w:rPr>
              <w:t>Average per court</w:t>
            </w:r>
          </w:p>
        </w:tc>
        <w:tc>
          <w:tcPr>
            <w:tcW w:w="1286" w:type="dxa"/>
          </w:tcPr>
          <w:p w:rsidR="00CD2A5A" w:rsidRDefault="00CD2A5A">
            <w:pPr>
              <w:spacing w:before="40" w:after="40"/>
              <w:jc w:val="center"/>
              <w:rPr>
                <w:sz w:val="20"/>
                <w:lang w:val="en-GB"/>
              </w:rPr>
            </w:pPr>
            <w:r>
              <w:rPr>
                <w:sz w:val="20"/>
                <w:lang w:val="en-GB"/>
              </w:rPr>
              <w:t>1</w:t>
            </w: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c>
          <w:tcPr>
            <w:tcW w:w="1287" w:type="dxa"/>
          </w:tcPr>
          <w:p w:rsidR="00CD2A5A" w:rsidRDefault="00CD2A5A">
            <w:pPr>
              <w:spacing w:before="40" w:after="40"/>
              <w:jc w:val="center"/>
              <w:rPr>
                <w:sz w:val="20"/>
                <w:lang w:val="en-GB"/>
              </w:rPr>
            </w:pPr>
          </w:p>
        </w:tc>
      </w:tr>
    </w:tbl>
    <w:p w:rsidR="00CD2A5A" w:rsidRDefault="00CD2A5A" w:rsidP="00CD2A5A">
      <w:pPr>
        <w:pStyle w:val="Figure"/>
      </w:pPr>
    </w:p>
    <w:p w:rsidR="00CD2A5A" w:rsidRDefault="00CD2A5A">
      <w:pPr>
        <w:pStyle w:val="Header"/>
        <w:numPr>
          <w:ilvl w:val="0"/>
          <w:numId w:val="3"/>
        </w:numPr>
        <w:tabs>
          <w:tab w:val="clear" w:pos="720"/>
          <w:tab w:val="clear" w:pos="4252"/>
        </w:tabs>
        <w:spacing w:after="240"/>
        <w:ind w:left="0" w:firstLine="0"/>
        <w:rPr>
          <w:lang w:val="en-US"/>
        </w:rPr>
      </w:pPr>
      <w:r>
        <w:rPr>
          <w:lang w:val="en-GB"/>
        </w:rPr>
        <w:t>The Salvadoran Government’s National Policy on Women, implemented through the Salvadoran Institute for the Development of Women (ISDEMU), recognizes that violence against women, in public and private spaces, manifests itself in the unequal exercise of power through the social establishment of gender differences that place women at a disadvantage in relation to men, and over other vulnerable groups such as children, adolescents and older and disabled persons.</w:t>
      </w:r>
      <w:r>
        <w:rPr>
          <w:lang w:val="en-US"/>
        </w:rPr>
        <w:t xml:space="preserve"> </w:t>
      </w:r>
      <w:r>
        <w:rPr>
          <w:lang w:val="en-GB"/>
        </w:rPr>
        <w:t>The State of El Salvador has taken up the challenge of eliminating these generic socio-structural inequalities, which goes beyond mere legislative action and consolidation of a safe infrastructure.</w:t>
      </w:r>
      <w:r>
        <w:rPr>
          <w:lang w:val="en-US"/>
        </w:rPr>
        <w:t xml:space="preserve"> </w:t>
      </w:r>
      <w:r>
        <w:rPr>
          <w:lang w:val="en-GB"/>
        </w:rPr>
        <w:t>There is therefore a need for action to change cultural models that place women at a disadvantage and leave them exposed to gender violence.</w:t>
      </w:r>
    </w:p>
    <w:p w:rsidR="00CD2A5A" w:rsidRDefault="00CD2A5A" w:rsidP="002A160F">
      <w:pPr>
        <w:pStyle w:val="Header"/>
        <w:numPr>
          <w:ilvl w:val="0"/>
          <w:numId w:val="3"/>
        </w:numPr>
        <w:tabs>
          <w:tab w:val="clear" w:pos="720"/>
          <w:tab w:val="clear" w:pos="4252"/>
        </w:tabs>
        <w:spacing w:after="240"/>
        <w:ind w:left="0" w:firstLine="0"/>
        <w:rPr>
          <w:lang w:val="en-US"/>
        </w:rPr>
      </w:pPr>
      <w:r>
        <w:rPr>
          <w:lang w:val="en-GB"/>
        </w:rPr>
        <w:t>This policy includes the Family Relations Restoration Programme (PSRF), the objectives of which include implementing ongoing educational gender awareness and prevention programmes on the issue of domestic violence, sexual assault and child abuse, aimed at the population at risk, in coordination with government bodies, local governments, civil society and private enterprise.</w:t>
      </w:r>
      <w:r>
        <w:rPr>
          <w:lang w:val="en-US"/>
        </w:rPr>
        <w:t xml:space="preserve"> </w:t>
      </w:r>
      <w:r>
        <w:rPr>
          <w:lang w:val="en-GB"/>
        </w:rPr>
        <w:t>In this context, a national domestic violence prevention and care plan has been devised, under which a number of publicity and awareness measures against violence have been carried out, including:</w:t>
      </w:r>
      <w:r>
        <w:rPr>
          <w:lang w:val="en-US"/>
        </w:rPr>
        <w:t xml:space="preserve"> </w:t>
      </w:r>
      <w:r>
        <w:rPr>
          <w:lang w:val="en-GB"/>
        </w:rPr>
        <w:t>publicity for the Domestic Violence Act, the Inter-American Convention on the Prevention, Punishment and Eradication of Violence Against Women (Convention of Belem Do Para), the Convention on the Elimination of All Forms of Discrimination against Women, and the Convention on the Rights of the Child, in activities aimed at staff of government institutions and the judiciary, schools, the armed forces, the National Civil Police, and the general population.</w:t>
      </w:r>
      <w:r>
        <w:rPr>
          <w:lang w:val="en-US"/>
        </w:rPr>
        <w:t xml:space="preserve"> </w:t>
      </w:r>
      <w:r>
        <w:rPr>
          <w:lang w:val="en-GB"/>
        </w:rPr>
        <w:t>A total of 631 Prevention Fairs have also been carried out since 2004 in the country’s 14 departments, directly benefiting 160,744 people, and 803,720 indirectly.</w:t>
      </w:r>
      <w:r>
        <w:rPr>
          <w:lang w:val="en-US"/>
        </w:rPr>
        <w:t xml:space="preserve"> </w:t>
      </w:r>
    </w:p>
    <w:p w:rsidR="00CD2A5A" w:rsidRDefault="00CD2A5A" w:rsidP="00CE08C8">
      <w:pPr>
        <w:pStyle w:val="Figure"/>
        <w:rPr>
          <w:lang w:val="en-US"/>
        </w:rPr>
      </w:pPr>
      <w:r>
        <w:t>Figure 31</w:t>
      </w:r>
    </w:p>
    <w:p w:rsidR="00CD2A5A" w:rsidRDefault="00CD2A5A" w:rsidP="00CE08C8">
      <w:pPr>
        <w:pStyle w:val="Figure"/>
        <w:rPr>
          <w:lang w:val="en-US"/>
        </w:rPr>
      </w:pPr>
      <w:r>
        <w:t>Fairs against domestic violence</w:t>
      </w:r>
    </w:p>
    <w:p w:rsidR="00CD2A5A" w:rsidRDefault="00CD2A5A" w:rsidP="00CE08C8">
      <w:pPr>
        <w:pStyle w:val="Figure"/>
        <w:rPr>
          <w:lang w:val="en-US"/>
        </w:rPr>
      </w:pPr>
      <w:r>
        <w:t>People taking part in fairs against domestic violence</w:t>
      </w:r>
    </w:p>
    <w:tbl>
      <w:tblPr>
        <w:tblW w:w="9412" w:type="dxa"/>
        <w:jc w:val="center"/>
        <w:tblLayout w:type="fixed"/>
        <w:tblCellMar>
          <w:left w:w="0" w:type="dxa"/>
          <w:right w:w="0" w:type="dxa"/>
        </w:tblCellMar>
        <w:tblLook w:val="0000" w:firstRow="0" w:lastRow="0" w:firstColumn="0" w:lastColumn="0" w:noHBand="0" w:noVBand="0"/>
      </w:tblPr>
      <w:tblGrid>
        <w:gridCol w:w="1883"/>
        <w:gridCol w:w="1883"/>
        <w:gridCol w:w="1882"/>
        <w:gridCol w:w="1882"/>
        <w:gridCol w:w="1882"/>
      </w:tblGrid>
      <w:tr w:rsidR="00CD2A5A">
        <w:trPr>
          <w:trHeight w:val="255"/>
          <w:jc w:val="center"/>
        </w:trPr>
        <w:tc>
          <w:tcPr>
            <w:tcW w:w="1883"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bCs/>
                <w:i/>
                <w:sz w:val="20"/>
                <w:szCs w:val="20"/>
                <w:lang w:val="es-SV"/>
              </w:rPr>
            </w:pPr>
            <w:r>
              <w:rPr>
                <w:b/>
                <w:bCs/>
                <w:i/>
                <w:sz w:val="20"/>
                <w:szCs w:val="20"/>
                <w:lang w:val="en-GB"/>
              </w:rPr>
              <w:t>Year</w:t>
            </w:r>
          </w:p>
        </w:tc>
        <w:tc>
          <w:tcPr>
            <w:tcW w:w="1883"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bCs/>
                <w:i/>
                <w:sz w:val="20"/>
                <w:szCs w:val="20"/>
                <w:lang w:val="es-SV"/>
              </w:rPr>
            </w:pPr>
            <w:r>
              <w:rPr>
                <w:b/>
                <w:bCs/>
                <w:i/>
                <w:sz w:val="20"/>
                <w:szCs w:val="20"/>
                <w:lang w:val="en-GB"/>
              </w:rPr>
              <w:t>Number of fairs</w:t>
            </w:r>
          </w:p>
        </w:tc>
        <w:tc>
          <w:tcPr>
            <w:tcW w:w="1882"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bCs/>
                <w:i/>
                <w:sz w:val="20"/>
                <w:szCs w:val="20"/>
                <w:lang w:val="es-SV"/>
              </w:rPr>
            </w:pPr>
            <w:r>
              <w:rPr>
                <w:b/>
                <w:bCs/>
                <w:i/>
                <w:sz w:val="20"/>
                <w:szCs w:val="20"/>
                <w:lang w:val="en-GB"/>
              </w:rPr>
              <w:t>Women participants</w:t>
            </w:r>
          </w:p>
        </w:tc>
        <w:tc>
          <w:tcPr>
            <w:tcW w:w="1882"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bCs/>
                <w:i/>
                <w:sz w:val="20"/>
                <w:szCs w:val="20"/>
                <w:lang w:val="es-SV"/>
              </w:rPr>
            </w:pPr>
            <w:r>
              <w:rPr>
                <w:b/>
                <w:bCs/>
                <w:i/>
                <w:sz w:val="20"/>
                <w:szCs w:val="20"/>
                <w:lang w:val="en-GB"/>
              </w:rPr>
              <w:t>Men participants</w:t>
            </w:r>
          </w:p>
        </w:tc>
        <w:tc>
          <w:tcPr>
            <w:tcW w:w="1882"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bCs/>
                <w:i/>
                <w:sz w:val="20"/>
                <w:szCs w:val="20"/>
                <w:lang w:val="es-SV"/>
              </w:rPr>
            </w:pPr>
            <w:r>
              <w:rPr>
                <w:b/>
                <w:bCs/>
                <w:i/>
                <w:sz w:val="20"/>
                <w:szCs w:val="20"/>
                <w:lang w:val="en-GB"/>
              </w:rPr>
              <w:t>Total</w:t>
            </w:r>
          </w:p>
        </w:tc>
      </w:tr>
      <w:tr w:rsidR="00CD2A5A">
        <w:trPr>
          <w:trHeight w:val="255"/>
          <w:jc w:val="center"/>
        </w:trPr>
        <w:tc>
          <w:tcPr>
            <w:tcW w:w="1883"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rPr>
                <w:sz w:val="20"/>
                <w:szCs w:val="20"/>
                <w:lang w:val="es-SV"/>
              </w:rPr>
            </w:pPr>
            <w:r>
              <w:rPr>
                <w:sz w:val="20"/>
                <w:szCs w:val="20"/>
                <w:lang w:val="en-GB"/>
              </w:rPr>
              <w:t>2004</w:t>
            </w:r>
          </w:p>
        </w:tc>
        <w:tc>
          <w:tcPr>
            <w:tcW w:w="1883"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102</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38,882</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32,966</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71,848</w:t>
            </w:r>
          </w:p>
        </w:tc>
      </w:tr>
      <w:tr w:rsidR="00CD2A5A">
        <w:trPr>
          <w:trHeight w:val="255"/>
          <w:jc w:val="center"/>
        </w:trPr>
        <w:tc>
          <w:tcPr>
            <w:tcW w:w="1883"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rPr>
                <w:sz w:val="20"/>
                <w:szCs w:val="20"/>
                <w:lang w:val="es-SV"/>
              </w:rPr>
            </w:pPr>
            <w:r>
              <w:rPr>
                <w:sz w:val="20"/>
                <w:szCs w:val="20"/>
                <w:lang w:val="en-GB"/>
              </w:rPr>
              <w:t>2005</w:t>
            </w:r>
          </w:p>
        </w:tc>
        <w:tc>
          <w:tcPr>
            <w:tcW w:w="1883"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463</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30,699</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23,019</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53,718</w:t>
            </w:r>
          </w:p>
        </w:tc>
      </w:tr>
      <w:tr w:rsidR="00CD2A5A">
        <w:trPr>
          <w:trHeight w:val="255"/>
          <w:jc w:val="center"/>
        </w:trPr>
        <w:tc>
          <w:tcPr>
            <w:tcW w:w="1883"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rPr>
                <w:sz w:val="20"/>
                <w:szCs w:val="20"/>
                <w:lang w:val="es-SV"/>
              </w:rPr>
            </w:pPr>
            <w:r>
              <w:rPr>
                <w:sz w:val="20"/>
                <w:szCs w:val="20"/>
                <w:lang w:val="en-GB"/>
              </w:rPr>
              <w:t>2006</w:t>
            </w:r>
          </w:p>
        </w:tc>
        <w:tc>
          <w:tcPr>
            <w:tcW w:w="1883"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66</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20,502</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14,676</w:t>
            </w:r>
          </w:p>
        </w:tc>
        <w:tc>
          <w:tcPr>
            <w:tcW w:w="1882" w:type="dxa"/>
            <w:tcBorders>
              <w:top w:val="single" w:sz="4" w:space="0" w:color="auto"/>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35,178</w:t>
            </w:r>
          </w:p>
        </w:tc>
      </w:tr>
      <w:tr w:rsidR="00CD2A5A">
        <w:trPr>
          <w:trHeight w:val="255"/>
          <w:jc w:val="center"/>
        </w:trPr>
        <w:tc>
          <w:tcPr>
            <w:tcW w:w="1883" w:type="dxa"/>
            <w:tcBorders>
              <w:top w:val="nil"/>
              <w:left w:val="single" w:sz="4" w:space="0" w:color="auto"/>
              <w:bottom w:val="single" w:sz="4" w:space="0" w:color="auto"/>
              <w:right w:val="single" w:sz="4" w:space="0" w:color="auto"/>
            </w:tcBorders>
            <w:noWrap/>
            <w:vAlign w:val="center"/>
          </w:tcPr>
          <w:p w:rsidR="00CD2A5A" w:rsidRDefault="00CD2A5A">
            <w:pPr>
              <w:spacing w:before="40" w:after="40"/>
              <w:rPr>
                <w:bCs/>
                <w:sz w:val="20"/>
                <w:szCs w:val="20"/>
                <w:lang w:val="es-SV"/>
              </w:rPr>
            </w:pPr>
            <w:r>
              <w:rPr>
                <w:bCs/>
                <w:sz w:val="20"/>
                <w:szCs w:val="20"/>
                <w:lang w:val="en-GB"/>
              </w:rPr>
              <w:t>Total</w:t>
            </w:r>
          </w:p>
        </w:tc>
        <w:tc>
          <w:tcPr>
            <w:tcW w:w="1883" w:type="dxa"/>
            <w:tcBorders>
              <w:top w:val="nil"/>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631</w:t>
            </w:r>
          </w:p>
        </w:tc>
        <w:tc>
          <w:tcPr>
            <w:tcW w:w="1882" w:type="dxa"/>
            <w:tcBorders>
              <w:top w:val="nil"/>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90,083</w:t>
            </w:r>
          </w:p>
        </w:tc>
        <w:tc>
          <w:tcPr>
            <w:tcW w:w="1882" w:type="dxa"/>
            <w:tcBorders>
              <w:top w:val="nil"/>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70,661</w:t>
            </w:r>
          </w:p>
        </w:tc>
        <w:tc>
          <w:tcPr>
            <w:tcW w:w="1882" w:type="dxa"/>
            <w:tcBorders>
              <w:top w:val="nil"/>
              <w:left w:val="nil"/>
              <w:bottom w:val="single" w:sz="4" w:space="0" w:color="auto"/>
              <w:right w:val="single" w:sz="4" w:space="0" w:color="auto"/>
            </w:tcBorders>
            <w:noWrap/>
            <w:vAlign w:val="center"/>
          </w:tcPr>
          <w:p w:rsidR="00CD2A5A" w:rsidRDefault="00CD2A5A">
            <w:pPr>
              <w:spacing w:before="40" w:after="40"/>
              <w:ind w:right="789"/>
              <w:jc w:val="right"/>
              <w:rPr>
                <w:sz w:val="20"/>
                <w:szCs w:val="20"/>
                <w:lang w:val="es-SV"/>
              </w:rPr>
            </w:pPr>
            <w:r>
              <w:rPr>
                <w:sz w:val="20"/>
                <w:szCs w:val="20"/>
                <w:lang w:val="es-SV"/>
              </w:rPr>
              <w:t>160,744</w:t>
            </w:r>
          </w:p>
        </w:tc>
      </w:tr>
    </w:tbl>
    <w:p w:rsidR="00CD2A5A" w:rsidRDefault="00CD2A5A">
      <w:pPr>
        <w:pStyle w:val="Source"/>
      </w:pPr>
      <w:r>
        <w:rPr>
          <w:i/>
        </w:rPr>
        <w:t>Source</w:t>
      </w:r>
      <w:r>
        <w:t>: ISDEMU</w:t>
      </w:r>
    </w:p>
    <w:p w:rsidR="00CD2A5A" w:rsidRDefault="00CD2A5A">
      <w:pPr>
        <w:pStyle w:val="Header"/>
        <w:numPr>
          <w:ilvl w:val="0"/>
          <w:numId w:val="3"/>
        </w:numPr>
        <w:tabs>
          <w:tab w:val="clear" w:pos="720"/>
          <w:tab w:val="clear" w:pos="4252"/>
        </w:tabs>
        <w:spacing w:after="240"/>
        <w:ind w:left="0" w:firstLine="0"/>
        <w:rPr>
          <w:lang w:val="en-US"/>
        </w:rPr>
      </w:pPr>
      <w:r>
        <w:rPr>
          <w:lang w:val="en-GB"/>
        </w:rPr>
        <w:t>Since 2004, ISDEMU has been implementing group action agendas for child and adolescent victims of domestic violence, child abuse and commercial sexual exploitation of children.</w:t>
      </w:r>
    </w:p>
    <w:p w:rsidR="00CD2A5A" w:rsidRDefault="00CD2A5A">
      <w:pPr>
        <w:numPr>
          <w:ilvl w:val="0"/>
          <w:numId w:val="3"/>
        </w:numPr>
        <w:tabs>
          <w:tab w:val="clear" w:pos="720"/>
        </w:tabs>
        <w:spacing w:after="240"/>
        <w:ind w:left="0" w:firstLine="0"/>
        <w:rPr>
          <w:spacing w:val="-2"/>
          <w:lang w:val="en-US"/>
        </w:rPr>
      </w:pPr>
      <w:r>
        <w:rPr>
          <w:spacing w:val="-2"/>
          <w:lang w:val="en-GB"/>
        </w:rPr>
        <w:t>The PSRF has been carrying out sessions for students of national and private schools, covering topics such as:</w:t>
      </w:r>
      <w:r>
        <w:rPr>
          <w:spacing w:val="-2"/>
          <w:lang w:val="en-US"/>
        </w:rPr>
        <w:t xml:space="preserve"> </w:t>
      </w:r>
      <w:r>
        <w:rPr>
          <w:spacing w:val="-2"/>
          <w:lang w:val="en-GB"/>
        </w:rPr>
        <w:t>child abuse, sexual abuse, teenage pregnancies, commercial sexual exploitation of children, human values and trafficking in persons.</w:t>
      </w:r>
      <w:r>
        <w:rPr>
          <w:spacing w:val="-2"/>
          <w:lang w:val="en-US"/>
        </w:rPr>
        <w:t xml:space="preserve"> </w:t>
      </w:r>
      <w:r>
        <w:rPr>
          <w:spacing w:val="-2"/>
          <w:lang w:val="en-GB"/>
        </w:rPr>
        <w:t>Individual and group psychology sessions are also being conducted for children and adolescents with the aim of improving their mental health and self-esteem.</w:t>
      </w:r>
      <w:r>
        <w:rPr>
          <w:spacing w:val="-2"/>
          <w:lang w:val="en-US"/>
        </w:rPr>
        <w:t xml:space="preserve"> </w:t>
      </w:r>
      <w:r>
        <w:rPr>
          <w:spacing w:val="-2"/>
          <w:lang w:val="en-GB"/>
        </w:rPr>
        <w:t>Individual psychological care has been given to 4,900 children; and to a further 5,794 in group sessions; 8,294 underwent psychological monitoring.</w:t>
      </w:r>
    </w:p>
    <w:p w:rsidR="00CD2A5A" w:rsidRDefault="00CD2A5A">
      <w:pPr>
        <w:pStyle w:val="Header"/>
        <w:numPr>
          <w:ilvl w:val="0"/>
          <w:numId w:val="3"/>
        </w:numPr>
        <w:tabs>
          <w:tab w:val="clear" w:pos="720"/>
          <w:tab w:val="clear" w:pos="4252"/>
        </w:tabs>
        <w:spacing w:after="240"/>
        <w:ind w:left="0" w:firstLine="0"/>
      </w:pPr>
      <w:r>
        <w:rPr>
          <w:lang w:val="en-GB"/>
        </w:rPr>
        <w:t>The Salvadoran State, through the Office of the Public Prosecutor of the Republic and the courts of justice, has continued to prosecute sexual offences against children and adolescents.</w:t>
      </w:r>
      <w:r>
        <w:rPr>
          <w:lang w:val="en-US"/>
        </w:rPr>
        <w:t xml:space="preserve"> </w:t>
      </w:r>
      <w:r>
        <w:rPr>
          <w:lang w:val="en-GB"/>
        </w:rPr>
        <w:t>See information on this in annex IV.</w:t>
      </w:r>
    </w:p>
    <w:p w:rsidR="00CD2A5A" w:rsidRDefault="00CD2A5A">
      <w:pPr>
        <w:numPr>
          <w:ilvl w:val="0"/>
          <w:numId w:val="3"/>
        </w:numPr>
        <w:tabs>
          <w:tab w:val="clear" w:pos="720"/>
        </w:tabs>
        <w:spacing w:after="200"/>
        <w:ind w:left="0" w:firstLine="0"/>
        <w:rPr>
          <w:lang w:val="en-US"/>
        </w:rPr>
      </w:pPr>
      <w:r>
        <w:rPr>
          <w:lang w:val="en-GB"/>
        </w:rPr>
        <w:t>Regarding the protection of children involved in offences against family rights and duties, the Minors’ and Women’s Unit of the Office of the Public Prosecutor of the Republic is responsible for taking criminal proceedings.</w:t>
      </w:r>
      <w:r>
        <w:rPr>
          <w:lang w:val="en-US"/>
        </w:rPr>
        <w:t xml:space="preserve"> </w:t>
      </w:r>
      <w:r>
        <w:rPr>
          <w:lang w:val="en-GB"/>
        </w:rPr>
        <w:t>In caring for victims, the Office provides legal, psychological and social assistance, in some cases applying the protection measures provided for in the Domestic Violence Act.</w:t>
      </w:r>
      <w:r>
        <w:rPr>
          <w:lang w:val="en-US"/>
        </w:rPr>
        <w:t xml:space="preserve"> </w:t>
      </w:r>
      <w:r>
        <w:rPr>
          <w:lang w:val="en-GB"/>
        </w:rPr>
        <w:t>In performing this function, the Office acts on this issue in constant coordination with government institutions such as ISDEMU, ISNA, the National Secretariat for the Family, the Institute of Forensic Medicine, the Supreme Court of Justice and the National Civil Police.</w:t>
      </w:r>
    </w:p>
    <w:p w:rsidR="00CD2A5A" w:rsidRDefault="00CD2A5A">
      <w:pPr>
        <w:pStyle w:val="Header"/>
        <w:numPr>
          <w:ilvl w:val="0"/>
          <w:numId w:val="3"/>
        </w:numPr>
        <w:tabs>
          <w:tab w:val="clear" w:pos="720"/>
          <w:tab w:val="clear" w:pos="4252"/>
        </w:tabs>
        <w:spacing w:after="200"/>
        <w:ind w:left="0" w:firstLine="0"/>
      </w:pPr>
      <w:r>
        <w:rPr>
          <w:lang w:val="en-GB"/>
        </w:rPr>
        <w:t>Criminal law recognizes several types of crimes in which paternal irresponsibility is punished by imprisonment.</w:t>
      </w:r>
      <w:r>
        <w:rPr>
          <w:lang w:val="en-US"/>
        </w:rPr>
        <w:t xml:space="preserve"> </w:t>
      </w:r>
      <w:r>
        <w:rPr>
          <w:lang w:val="en-GB"/>
        </w:rPr>
        <w:t>See annex V for the relevant legislation.</w:t>
      </w:r>
    </w:p>
    <w:p w:rsidR="00CD2A5A" w:rsidRDefault="00CD2A5A">
      <w:pPr>
        <w:pStyle w:val="Header"/>
        <w:numPr>
          <w:ilvl w:val="0"/>
          <w:numId w:val="3"/>
        </w:numPr>
        <w:tabs>
          <w:tab w:val="clear" w:pos="720"/>
          <w:tab w:val="clear" w:pos="4252"/>
        </w:tabs>
        <w:spacing w:after="200"/>
        <w:ind w:left="0" w:firstLine="0"/>
      </w:pPr>
      <w:r>
        <w:rPr>
          <w:lang w:val="en-GB"/>
        </w:rPr>
        <w:t>The Office of the Public Prosecutor of the Republic reports statistics on crimes relating to family relations for the reporting period.</w:t>
      </w:r>
      <w:r>
        <w:rPr>
          <w:lang w:val="en-US"/>
        </w:rPr>
        <w:t xml:space="preserve"> </w:t>
      </w:r>
      <w:r>
        <w:rPr>
          <w:lang w:val="en-GB"/>
        </w:rPr>
        <w:t>See annex VI for this information.</w:t>
      </w:r>
      <w:r>
        <w:t xml:space="preserve"> </w:t>
      </w:r>
    </w:p>
    <w:p w:rsidR="00CD2A5A" w:rsidRDefault="00CD2A5A">
      <w:pPr>
        <w:numPr>
          <w:ilvl w:val="0"/>
          <w:numId w:val="3"/>
        </w:numPr>
        <w:tabs>
          <w:tab w:val="clear" w:pos="720"/>
        </w:tabs>
        <w:spacing w:after="200"/>
        <w:ind w:left="0" w:firstLine="0"/>
        <w:rPr>
          <w:lang w:val="en-US"/>
        </w:rPr>
      </w:pPr>
      <w:r>
        <w:rPr>
          <w:lang w:val="en-GB"/>
        </w:rPr>
        <w:t>Regarding child-abuse victims, in all cases handled by ISNA protection measures were adopted in accordance with the ISNA Act, and measures were also ordered for those responsible for the children.</w:t>
      </w:r>
    </w:p>
    <w:p w:rsidR="00CD2A5A" w:rsidRDefault="00CD2A5A">
      <w:pPr>
        <w:numPr>
          <w:ilvl w:val="0"/>
          <w:numId w:val="3"/>
        </w:numPr>
        <w:tabs>
          <w:tab w:val="clear" w:pos="720"/>
        </w:tabs>
        <w:spacing w:after="200"/>
        <w:ind w:left="0" w:firstLine="0"/>
        <w:rPr>
          <w:lang w:val="en-US"/>
        </w:rPr>
      </w:pPr>
      <w:r>
        <w:rPr>
          <w:lang w:val="en-GB"/>
        </w:rPr>
        <w:t>ISDEMU also cares for child victims of sexual assault and abuse.</w:t>
      </w:r>
      <w:r>
        <w:rPr>
          <w:lang w:val="en-US"/>
        </w:rPr>
        <w:t xml:space="preserve"> </w:t>
      </w:r>
      <w:r>
        <w:rPr>
          <w:lang w:val="en-GB"/>
        </w:rPr>
        <w:t>The following table sets out the number and percentage of children handled by ISDEMU in 2006.</w:t>
      </w:r>
    </w:p>
    <w:p w:rsidR="00CD2A5A" w:rsidRDefault="00CD2A5A" w:rsidP="00CE08C8">
      <w:pPr>
        <w:pStyle w:val="Figure"/>
        <w:spacing w:after="120"/>
        <w:rPr>
          <w:lang w:val="en-US"/>
        </w:rPr>
      </w:pPr>
      <w:r>
        <w:t>Figure 32</w:t>
      </w:r>
    </w:p>
    <w:p w:rsidR="00CD2A5A" w:rsidRDefault="00CD2A5A" w:rsidP="00CE08C8">
      <w:pPr>
        <w:pStyle w:val="Figure"/>
        <w:spacing w:after="120"/>
        <w:rPr>
          <w:lang w:val="en-US"/>
        </w:rPr>
      </w:pPr>
      <w:r>
        <w:t>Child victims of sexual assault and abuse treated by ISDEMU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2"/>
        <w:gridCol w:w="926"/>
        <w:gridCol w:w="1009"/>
        <w:gridCol w:w="973"/>
        <w:gridCol w:w="1011"/>
        <w:gridCol w:w="936"/>
        <w:gridCol w:w="1020"/>
        <w:gridCol w:w="983"/>
        <w:gridCol w:w="1022"/>
        <w:gridCol w:w="700"/>
      </w:tblGrid>
      <w:tr w:rsidR="00CD2A5A" w:rsidTr="002A160F">
        <w:trPr>
          <w:jc w:val="center"/>
        </w:trPr>
        <w:tc>
          <w:tcPr>
            <w:tcW w:w="442" w:type="pct"/>
            <w:vMerge w:val="restart"/>
            <w:noWrap/>
            <w:vAlign w:val="center"/>
          </w:tcPr>
          <w:p w:rsidR="00CD2A5A" w:rsidRDefault="00CD2A5A" w:rsidP="002A160F">
            <w:pPr>
              <w:spacing w:before="40" w:after="40"/>
              <w:jc w:val="center"/>
              <w:rPr>
                <w:b/>
                <w:bCs/>
                <w:i/>
                <w:sz w:val="20"/>
                <w:szCs w:val="20"/>
                <w:lang w:val="es-SV"/>
              </w:rPr>
            </w:pPr>
            <w:r>
              <w:rPr>
                <w:b/>
                <w:bCs/>
                <w:i/>
                <w:sz w:val="20"/>
                <w:szCs w:val="20"/>
                <w:lang w:val="en-GB"/>
              </w:rPr>
              <w:t>Age</w:t>
            </w:r>
          </w:p>
        </w:tc>
        <w:tc>
          <w:tcPr>
            <w:tcW w:w="2082" w:type="pct"/>
            <w:gridSpan w:val="4"/>
            <w:noWrap/>
            <w:vAlign w:val="center"/>
          </w:tcPr>
          <w:p w:rsidR="00CD2A5A" w:rsidRDefault="00CD2A5A" w:rsidP="002A160F">
            <w:pPr>
              <w:spacing w:before="40" w:after="40"/>
              <w:jc w:val="center"/>
              <w:rPr>
                <w:b/>
                <w:bCs/>
                <w:i/>
                <w:sz w:val="20"/>
                <w:szCs w:val="20"/>
                <w:lang w:val="es-SV"/>
              </w:rPr>
            </w:pPr>
            <w:r>
              <w:rPr>
                <w:b/>
                <w:bCs/>
                <w:i/>
                <w:sz w:val="20"/>
                <w:szCs w:val="20"/>
                <w:lang w:val="en-GB"/>
              </w:rPr>
              <w:t>Sexual assault</w:t>
            </w:r>
          </w:p>
        </w:tc>
        <w:tc>
          <w:tcPr>
            <w:tcW w:w="2104" w:type="pct"/>
            <w:gridSpan w:val="4"/>
            <w:noWrap/>
            <w:vAlign w:val="center"/>
          </w:tcPr>
          <w:p w:rsidR="00CD2A5A" w:rsidRDefault="00CD2A5A" w:rsidP="002A160F">
            <w:pPr>
              <w:spacing w:before="40" w:after="40"/>
              <w:jc w:val="center"/>
              <w:rPr>
                <w:b/>
                <w:bCs/>
                <w:i/>
                <w:sz w:val="20"/>
                <w:szCs w:val="20"/>
                <w:lang w:val="es-SV"/>
              </w:rPr>
            </w:pPr>
            <w:r>
              <w:rPr>
                <w:b/>
                <w:bCs/>
                <w:i/>
                <w:sz w:val="20"/>
                <w:szCs w:val="20"/>
                <w:lang w:val="en-GB"/>
              </w:rPr>
              <w:t>Child abuse</w:t>
            </w:r>
          </w:p>
        </w:tc>
        <w:tc>
          <w:tcPr>
            <w:tcW w:w="372" w:type="pct"/>
            <w:noWrap/>
            <w:vAlign w:val="center"/>
          </w:tcPr>
          <w:p w:rsidR="00CD2A5A" w:rsidRDefault="00CD2A5A" w:rsidP="002A160F">
            <w:pPr>
              <w:spacing w:before="40" w:after="40"/>
              <w:jc w:val="center"/>
              <w:rPr>
                <w:b/>
                <w:i/>
                <w:sz w:val="20"/>
                <w:szCs w:val="20"/>
                <w:lang w:val="es-SV"/>
              </w:rPr>
            </w:pPr>
          </w:p>
        </w:tc>
      </w:tr>
      <w:tr w:rsidR="00CD2A5A" w:rsidTr="002A160F">
        <w:trPr>
          <w:jc w:val="center"/>
        </w:trPr>
        <w:tc>
          <w:tcPr>
            <w:tcW w:w="442" w:type="pct"/>
            <w:vMerge/>
            <w:noWrap/>
            <w:vAlign w:val="center"/>
          </w:tcPr>
          <w:p w:rsidR="00CD2A5A" w:rsidRDefault="00CD2A5A" w:rsidP="002A160F">
            <w:pPr>
              <w:spacing w:before="40" w:after="40"/>
              <w:jc w:val="center"/>
              <w:rPr>
                <w:b/>
                <w:i/>
                <w:sz w:val="20"/>
                <w:szCs w:val="20"/>
                <w:lang w:val="es-SV"/>
              </w:rPr>
            </w:pPr>
          </w:p>
        </w:tc>
        <w:tc>
          <w:tcPr>
            <w:tcW w:w="492" w:type="pct"/>
            <w:noWrap/>
            <w:vAlign w:val="center"/>
          </w:tcPr>
          <w:p w:rsidR="00CD2A5A" w:rsidRDefault="00CD2A5A" w:rsidP="002A160F">
            <w:pPr>
              <w:spacing w:before="40" w:after="40"/>
              <w:jc w:val="center"/>
              <w:rPr>
                <w:b/>
                <w:bCs/>
                <w:i/>
                <w:sz w:val="20"/>
                <w:szCs w:val="20"/>
                <w:lang w:val="es-SV"/>
              </w:rPr>
            </w:pPr>
            <w:r>
              <w:rPr>
                <w:b/>
                <w:bCs/>
                <w:i/>
                <w:sz w:val="20"/>
                <w:szCs w:val="20"/>
                <w:lang w:val="en-GB"/>
              </w:rPr>
              <w:t>Female</w:t>
            </w:r>
          </w:p>
        </w:tc>
        <w:tc>
          <w:tcPr>
            <w:tcW w:w="536" w:type="pct"/>
            <w:noWrap/>
            <w:vAlign w:val="center"/>
          </w:tcPr>
          <w:p w:rsidR="00CD2A5A" w:rsidRDefault="00CD2A5A" w:rsidP="002A160F">
            <w:pPr>
              <w:spacing w:before="40" w:after="40"/>
              <w:jc w:val="center"/>
              <w:rPr>
                <w:b/>
                <w:bCs/>
                <w:i/>
                <w:sz w:val="20"/>
                <w:szCs w:val="20"/>
                <w:lang w:val="es-SV"/>
              </w:rPr>
            </w:pPr>
            <w:r>
              <w:rPr>
                <w:b/>
                <w:bCs/>
                <w:i/>
                <w:sz w:val="20"/>
                <w:szCs w:val="20"/>
                <w:lang w:val="en-GB"/>
              </w:rPr>
              <w:t>Percentage</w:t>
            </w:r>
          </w:p>
        </w:tc>
        <w:tc>
          <w:tcPr>
            <w:tcW w:w="517" w:type="pct"/>
            <w:noWrap/>
            <w:vAlign w:val="center"/>
          </w:tcPr>
          <w:p w:rsidR="00CD2A5A" w:rsidRDefault="00CD2A5A" w:rsidP="002A160F">
            <w:pPr>
              <w:spacing w:before="40" w:after="40"/>
              <w:jc w:val="center"/>
              <w:rPr>
                <w:b/>
                <w:bCs/>
                <w:i/>
                <w:sz w:val="20"/>
                <w:szCs w:val="20"/>
                <w:lang w:val="es-SV"/>
              </w:rPr>
            </w:pPr>
            <w:r>
              <w:rPr>
                <w:b/>
                <w:bCs/>
                <w:i/>
                <w:sz w:val="20"/>
                <w:szCs w:val="20"/>
                <w:lang w:val="en-GB"/>
              </w:rPr>
              <w:t>Male</w:t>
            </w:r>
          </w:p>
        </w:tc>
        <w:tc>
          <w:tcPr>
            <w:tcW w:w="537" w:type="pct"/>
            <w:noWrap/>
            <w:vAlign w:val="center"/>
          </w:tcPr>
          <w:p w:rsidR="00CD2A5A" w:rsidRDefault="00CD2A5A" w:rsidP="002A160F">
            <w:pPr>
              <w:spacing w:before="40" w:after="40"/>
              <w:jc w:val="center"/>
              <w:rPr>
                <w:b/>
                <w:bCs/>
                <w:i/>
                <w:sz w:val="20"/>
                <w:szCs w:val="20"/>
                <w:lang w:val="es-SV"/>
              </w:rPr>
            </w:pPr>
            <w:r>
              <w:rPr>
                <w:b/>
                <w:bCs/>
                <w:i/>
                <w:sz w:val="20"/>
                <w:szCs w:val="20"/>
                <w:lang w:val="en-GB"/>
              </w:rPr>
              <w:t>Percentage</w:t>
            </w:r>
          </w:p>
        </w:tc>
        <w:tc>
          <w:tcPr>
            <w:tcW w:w="497" w:type="pct"/>
            <w:noWrap/>
            <w:vAlign w:val="center"/>
          </w:tcPr>
          <w:p w:rsidR="00CD2A5A" w:rsidRDefault="00CD2A5A" w:rsidP="002A160F">
            <w:pPr>
              <w:spacing w:before="40" w:after="40"/>
              <w:jc w:val="center"/>
              <w:rPr>
                <w:b/>
                <w:bCs/>
                <w:i/>
                <w:sz w:val="20"/>
                <w:szCs w:val="20"/>
                <w:lang w:val="es-SV"/>
              </w:rPr>
            </w:pPr>
            <w:r>
              <w:rPr>
                <w:b/>
                <w:bCs/>
                <w:i/>
                <w:sz w:val="20"/>
                <w:szCs w:val="20"/>
                <w:lang w:val="en-GB"/>
              </w:rPr>
              <w:t>Female</w:t>
            </w:r>
          </w:p>
        </w:tc>
        <w:tc>
          <w:tcPr>
            <w:tcW w:w="542" w:type="pct"/>
            <w:noWrap/>
            <w:vAlign w:val="center"/>
          </w:tcPr>
          <w:p w:rsidR="00CD2A5A" w:rsidRDefault="00CD2A5A" w:rsidP="002A160F">
            <w:pPr>
              <w:spacing w:before="40" w:after="40"/>
              <w:jc w:val="center"/>
              <w:rPr>
                <w:b/>
                <w:bCs/>
                <w:i/>
                <w:sz w:val="20"/>
                <w:szCs w:val="20"/>
                <w:lang w:val="es-SV"/>
              </w:rPr>
            </w:pPr>
            <w:r>
              <w:rPr>
                <w:b/>
                <w:bCs/>
                <w:i/>
                <w:sz w:val="20"/>
                <w:szCs w:val="20"/>
                <w:lang w:val="en-GB"/>
              </w:rPr>
              <w:t>Percentage</w:t>
            </w:r>
          </w:p>
        </w:tc>
        <w:tc>
          <w:tcPr>
            <w:tcW w:w="522" w:type="pct"/>
            <w:noWrap/>
            <w:vAlign w:val="center"/>
          </w:tcPr>
          <w:p w:rsidR="00CD2A5A" w:rsidRDefault="00CD2A5A" w:rsidP="002A160F">
            <w:pPr>
              <w:spacing w:before="40" w:after="40"/>
              <w:jc w:val="center"/>
              <w:rPr>
                <w:b/>
                <w:bCs/>
                <w:i/>
                <w:sz w:val="20"/>
                <w:szCs w:val="20"/>
                <w:lang w:val="es-SV"/>
              </w:rPr>
            </w:pPr>
            <w:r>
              <w:rPr>
                <w:b/>
                <w:bCs/>
                <w:i/>
                <w:sz w:val="20"/>
                <w:szCs w:val="20"/>
                <w:lang w:val="en-GB"/>
              </w:rPr>
              <w:t>Male</w:t>
            </w:r>
          </w:p>
        </w:tc>
        <w:tc>
          <w:tcPr>
            <w:tcW w:w="543" w:type="pct"/>
            <w:noWrap/>
            <w:vAlign w:val="center"/>
          </w:tcPr>
          <w:p w:rsidR="00CD2A5A" w:rsidRDefault="00CD2A5A" w:rsidP="002A160F">
            <w:pPr>
              <w:spacing w:before="40" w:after="40"/>
              <w:jc w:val="center"/>
              <w:rPr>
                <w:b/>
                <w:bCs/>
                <w:i/>
                <w:sz w:val="20"/>
                <w:szCs w:val="20"/>
                <w:lang w:val="es-SV"/>
              </w:rPr>
            </w:pPr>
            <w:r>
              <w:rPr>
                <w:b/>
                <w:bCs/>
                <w:i/>
                <w:sz w:val="20"/>
                <w:szCs w:val="20"/>
                <w:lang w:val="en-GB"/>
              </w:rPr>
              <w:t>Percentage</w:t>
            </w:r>
          </w:p>
        </w:tc>
        <w:tc>
          <w:tcPr>
            <w:tcW w:w="372" w:type="pct"/>
            <w:noWrap/>
            <w:vAlign w:val="center"/>
          </w:tcPr>
          <w:p w:rsidR="00CD2A5A" w:rsidRDefault="00CD2A5A" w:rsidP="002A160F">
            <w:pPr>
              <w:spacing w:before="40" w:after="40"/>
              <w:jc w:val="center"/>
              <w:rPr>
                <w:b/>
                <w:i/>
                <w:sz w:val="20"/>
                <w:szCs w:val="20"/>
                <w:lang w:val="es-SV"/>
              </w:rPr>
            </w:pPr>
            <w:r>
              <w:rPr>
                <w:b/>
                <w:i/>
                <w:sz w:val="20"/>
                <w:szCs w:val="20"/>
                <w:lang w:val="en-GB"/>
              </w:rPr>
              <w:t>Total</w:t>
            </w:r>
          </w:p>
        </w:tc>
      </w:tr>
      <w:tr w:rsidR="00CD2A5A" w:rsidTr="002A160F">
        <w:trPr>
          <w:jc w:val="center"/>
        </w:trPr>
        <w:tc>
          <w:tcPr>
            <w:tcW w:w="442" w:type="pct"/>
            <w:noWrap/>
            <w:vAlign w:val="center"/>
          </w:tcPr>
          <w:p w:rsidR="00CD2A5A" w:rsidRDefault="00CD2A5A" w:rsidP="002A160F">
            <w:pPr>
              <w:spacing w:before="40" w:after="40"/>
              <w:rPr>
                <w:bCs/>
                <w:sz w:val="20"/>
                <w:szCs w:val="20"/>
                <w:lang w:val="es-SV"/>
              </w:rPr>
            </w:pPr>
            <w:r>
              <w:rPr>
                <w:bCs/>
                <w:sz w:val="20"/>
                <w:szCs w:val="20"/>
                <w:lang w:val="es-SV"/>
              </w:rPr>
              <w:t>0-1</w:t>
            </w:r>
          </w:p>
        </w:tc>
        <w:tc>
          <w:tcPr>
            <w:tcW w:w="492" w:type="pct"/>
            <w:noWrap/>
            <w:vAlign w:val="center"/>
          </w:tcPr>
          <w:p w:rsidR="00CD2A5A" w:rsidRDefault="00CD2A5A" w:rsidP="002A160F">
            <w:pPr>
              <w:spacing w:before="40" w:after="40"/>
              <w:ind w:right="227"/>
              <w:jc w:val="right"/>
              <w:rPr>
                <w:sz w:val="20"/>
                <w:szCs w:val="20"/>
                <w:lang w:val="es-SV"/>
              </w:rPr>
            </w:pPr>
            <w:r>
              <w:rPr>
                <w:sz w:val="20"/>
                <w:szCs w:val="20"/>
                <w:lang w:val="es-SV"/>
              </w:rPr>
              <w:t>1</w:t>
            </w:r>
          </w:p>
        </w:tc>
        <w:tc>
          <w:tcPr>
            <w:tcW w:w="536" w:type="pct"/>
            <w:noWrap/>
            <w:vAlign w:val="center"/>
          </w:tcPr>
          <w:p w:rsidR="00CD2A5A" w:rsidRDefault="00CD2A5A" w:rsidP="002A160F">
            <w:pPr>
              <w:spacing w:before="40" w:after="40"/>
              <w:ind w:right="57"/>
              <w:jc w:val="center"/>
              <w:rPr>
                <w:sz w:val="20"/>
                <w:szCs w:val="20"/>
                <w:lang w:val="es-SV"/>
              </w:rPr>
            </w:pPr>
            <w:r>
              <w:rPr>
                <w:sz w:val="20"/>
                <w:szCs w:val="20"/>
                <w:lang w:val="es-SV"/>
              </w:rPr>
              <w:t>0.16%</w:t>
            </w:r>
          </w:p>
        </w:tc>
        <w:tc>
          <w:tcPr>
            <w:tcW w:w="517" w:type="pct"/>
            <w:noWrap/>
            <w:vAlign w:val="center"/>
          </w:tcPr>
          <w:p w:rsidR="00CD2A5A" w:rsidRDefault="00CD2A5A" w:rsidP="002A160F">
            <w:pPr>
              <w:spacing w:before="40" w:after="40"/>
              <w:ind w:right="227"/>
              <w:jc w:val="right"/>
              <w:rPr>
                <w:sz w:val="20"/>
                <w:szCs w:val="20"/>
                <w:lang w:val="es-SV"/>
              </w:rPr>
            </w:pPr>
          </w:p>
        </w:tc>
        <w:tc>
          <w:tcPr>
            <w:tcW w:w="537" w:type="pct"/>
            <w:noWrap/>
            <w:vAlign w:val="center"/>
          </w:tcPr>
          <w:p w:rsidR="00CD2A5A" w:rsidRDefault="00CD2A5A" w:rsidP="002A160F">
            <w:pPr>
              <w:spacing w:before="40" w:after="40"/>
              <w:ind w:right="57"/>
              <w:rPr>
                <w:sz w:val="20"/>
                <w:szCs w:val="20"/>
                <w:lang w:val="es-SV"/>
              </w:rPr>
            </w:pPr>
          </w:p>
        </w:tc>
        <w:tc>
          <w:tcPr>
            <w:tcW w:w="497" w:type="pct"/>
            <w:noWrap/>
            <w:vAlign w:val="center"/>
          </w:tcPr>
          <w:p w:rsidR="00CD2A5A" w:rsidRDefault="00CD2A5A" w:rsidP="002A160F">
            <w:pPr>
              <w:spacing w:before="40" w:after="40"/>
              <w:ind w:right="227"/>
              <w:jc w:val="right"/>
              <w:rPr>
                <w:sz w:val="20"/>
                <w:szCs w:val="20"/>
                <w:lang w:val="es-SV"/>
              </w:rPr>
            </w:pPr>
            <w:r>
              <w:rPr>
                <w:sz w:val="20"/>
                <w:szCs w:val="20"/>
                <w:lang w:val="es-SV"/>
              </w:rPr>
              <w:t>37</w:t>
            </w:r>
          </w:p>
        </w:tc>
        <w:tc>
          <w:tcPr>
            <w:tcW w:w="542" w:type="pct"/>
            <w:noWrap/>
            <w:vAlign w:val="center"/>
          </w:tcPr>
          <w:p w:rsidR="00CD2A5A" w:rsidRDefault="00CD2A5A" w:rsidP="002A160F">
            <w:pPr>
              <w:spacing w:before="40" w:after="40"/>
              <w:ind w:right="57"/>
              <w:jc w:val="center"/>
              <w:rPr>
                <w:sz w:val="20"/>
                <w:szCs w:val="20"/>
                <w:lang w:val="es-SV"/>
              </w:rPr>
            </w:pPr>
            <w:r>
              <w:rPr>
                <w:sz w:val="20"/>
                <w:szCs w:val="20"/>
                <w:lang w:val="es-SV"/>
              </w:rPr>
              <w:t>2.37%</w:t>
            </w:r>
          </w:p>
        </w:tc>
        <w:tc>
          <w:tcPr>
            <w:tcW w:w="522" w:type="pct"/>
            <w:noWrap/>
            <w:vAlign w:val="center"/>
          </w:tcPr>
          <w:p w:rsidR="00CD2A5A" w:rsidRDefault="00CD2A5A" w:rsidP="002A160F">
            <w:pPr>
              <w:spacing w:before="40" w:after="40"/>
              <w:ind w:right="227"/>
              <w:jc w:val="right"/>
              <w:rPr>
                <w:sz w:val="20"/>
                <w:szCs w:val="20"/>
                <w:lang w:val="es-SV"/>
              </w:rPr>
            </w:pPr>
            <w:r>
              <w:rPr>
                <w:sz w:val="20"/>
                <w:szCs w:val="20"/>
                <w:lang w:val="es-SV"/>
              </w:rPr>
              <w:t>18</w:t>
            </w:r>
          </w:p>
        </w:tc>
        <w:tc>
          <w:tcPr>
            <w:tcW w:w="543" w:type="pct"/>
            <w:noWrap/>
            <w:vAlign w:val="center"/>
          </w:tcPr>
          <w:p w:rsidR="00CD2A5A" w:rsidRDefault="00CD2A5A" w:rsidP="002A160F">
            <w:pPr>
              <w:spacing w:before="40" w:after="40"/>
              <w:ind w:right="57"/>
              <w:jc w:val="center"/>
              <w:rPr>
                <w:sz w:val="20"/>
                <w:szCs w:val="20"/>
                <w:lang w:val="es-SV"/>
              </w:rPr>
            </w:pPr>
            <w:r>
              <w:rPr>
                <w:sz w:val="20"/>
                <w:szCs w:val="20"/>
                <w:lang w:val="es-SV"/>
              </w:rPr>
              <w:t>1.31%</w:t>
            </w:r>
          </w:p>
        </w:tc>
        <w:tc>
          <w:tcPr>
            <w:tcW w:w="372" w:type="pct"/>
            <w:noWrap/>
            <w:vAlign w:val="center"/>
          </w:tcPr>
          <w:p w:rsidR="00CD2A5A" w:rsidRDefault="00CD2A5A" w:rsidP="002A160F">
            <w:pPr>
              <w:spacing w:before="40" w:after="40"/>
              <w:ind w:right="227"/>
              <w:jc w:val="right"/>
              <w:rPr>
                <w:bCs/>
                <w:sz w:val="20"/>
                <w:szCs w:val="20"/>
                <w:lang w:val="es-SV"/>
              </w:rPr>
            </w:pPr>
            <w:r>
              <w:rPr>
                <w:bCs/>
                <w:sz w:val="20"/>
                <w:szCs w:val="20"/>
                <w:lang w:val="es-SV"/>
              </w:rPr>
              <w:t>56</w:t>
            </w:r>
          </w:p>
        </w:tc>
      </w:tr>
      <w:tr w:rsidR="00CD2A5A" w:rsidTr="002A160F">
        <w:trPr>
          <w:jc w:val="center"/>
        </w:trPr>
        <w:tc>
          <w:tcPr>
            <w:tcW w:w="442" w:type="pct"/>
            <w:noWrap/>
            <w:vAlign w:val="center"/>
          </w:tcPr>
          <w:p w:rsidR="00CD2A5A" w:rsidRDefault="00CD2A5A" w:rsidP="002A160F">
            <w:pPr>
              <w:spacing w:before="40" w:after="40"/>
              <w:rPr>
                <w:bCs/>
                <w:sz w:val="20"/>
                <w:szCs w:val="20"/>
                <w:lang w:val="es-SV"/>
              </w:rPr>
            </w:pPr>
            <w:r>
              <w:rPr>
                <w:bCs/>
                <w:sz w:val="20"/>
                <w:szCs w:val="20"/>
                <w:lang w:val="es-SV"/>
              </w:rPr>
              <w:t>2-5</w:t>
            </w:r>
          </w:p>
        </w:tc>
        <w:tc>
          <w:tcPr>
            <w:tcW w:w="492" w:type="pct"/>
            <w:noWrap/>
            <w:vAlign w:val="center"/>
          </w:tcPr>
          <w:p w:rsidR="00CD2A5A" w:rsidRDefault="00CD2A5A" w:rsidP="002A160F">
            <w:pPr>
              <w:spacing w:before="40" w:after="40"/>
              <w:ind w:right="227"/>
              <w:jc w:val="right"/>
              <w:rPr>
                <w:sz w:val="20"/>
                <w:szCs w:val="20"/>
                <w:lang w:val="es-SV"/>
              </w:rPr>
            </w:pPr>
            <w:r>
              <w:rPr>
                <w:sz w:val="20"/>
                <w:szCs w:val="20"/>
                <w:lang w:val="es-SV"/>
              </w:rPr>
              <w:t>40</w:t>
            </w:r>
          </w:p>
        </w:tc>
        <w:tc>
          <w:tcPr>
            <w:tcW w:w="536" w:type="pct"/>
            <w:noWrap/>
            <w:vAlign w:val="center"/>
          </w:tcPr>
          <w:p w:rsidR="00CD2A5A" w:rsidRDefault="00CD2A5A" w:rsidP="002A160F">
            <w:pPr>
              <w:spacing w:before="40" w:after="40"/>
              <w:ind w:right="57"/>
              <w:jc w:val="center"/>
              <w:rPr>
                <w:sz w:val="20"/>
                <w:szCs w:val="20"/>
                <w:lang w:val="es-SV"/>
              </w:rPr>
            </w:pPr>
            <w:r>
              <w:rPr>
                <w:sz w:val="20"/>
                <w:szCs w:val="20"/>
                <w:lang w:val="es-SV"/>
              </w:rPr>
              <w:t>6.33%</w:t>
            </w:r>
          </w:p>
        </w:tc>
        <w:tc>
          <w:tcPr>
            <w:tcW w:w="517" w:type="pct"/>
            <w:noWrap/>
            <w:vAlign w:val="center"/>
          </w:tcPr>
          <w:p w:rsidR="00CD2A5A" w:rsidRDefault="00CD2A5A" w:rsidP="002A160F">
            <w:pPr>
              <w:spacing w:before="40" w:after="40"/>
              <w:ind w:right="227"/>
              <w:jc w:val="right"/>
              <w:rPr>
                <w:sz w:val="20"/>
                <w:szCs w:val="20"/>
                <w:lang w:val="es-SV"/>
              </w:rPr>
            </w:pPr>
            <w:r>
              <w:rPr>
                <w:sz w:val="20"/>
                <w:szCs w:val="20"/>
                <w:lang w:val="es-SV"/>
              </w:rPr>
              <w:t>23</w:t>
            </w:r>
          </w:p>
        </w:tc>
        <w:tc>
          <w:tcPr>
            <w:tcW w:w="537" w:type="pct"/>
            <w:noWrap/>
            <w:vAlign w:val="center"/>
          </w:tcPr>
          <w:p w:rsidR="00CD2A5A" w:rsidRDefault="00CD2A5A" w:rsidP="002A160F">
            <w:pPr>
              <w:spacing w:before="40" w:after="40"/>
              <w:ind w:right="57"/>
              <w:jc w:val="center"/>
              <w:rPr>
                <w:sz w:val="20"/>
                <w:szCs w:val="20"/>
                <w:lang w:val="es-SV"/>
              </w:rPr>
            </w:pPr>
            <w:r>
              <w:rPr>
                <w:sz w:val="20"/>
                <w:szCs w:val="20"/>
                <w:lang w:val="es-SV"/>
              </w:rPr>
              <w:t>24.21%</w:t>
            </w:r>
          </w:p>
        </w:tc>
        <w:tc>
          <w:tcPr>
            <w:tcW w:w="497" w:type="pct"/>
            <w:noWrap/>
            <w:vAlign w:val="center"/>
          </w:tcPr>
          <w:p w:rsidR="00CD2A5A" w:rsidRDefault="00CD2A5A" w:rsidP="002A160F">
            <w:pPr>
              <w:spacing w:before="40" w:after="40"/>
              <w:ind w:right="227"/>
              <w:jc w:val="right"/>
              <w:rPr>
                <w:sz w:val="20"/>
                <w:szCs w:val="20"/>
                <w:lang w:val="es-SV"/>
              </w:rPr>
            </w:pPr>
            <w:r>
              <w:rPr>
                <w:sz w:val="20"/>
                <w:szCs w:val="20"/>
                <w:lang w:val="es-SV"/>
              </w:rPr>
              <w:t>164</w:t>
            </w:r>
          </w:p>
        </w:tc>
        <w:tc>
          <w:tcPr>
            <w:tcW w:w="542" w:type="pct"/>
            <w:noWrap/>
            <w:vAlign w:val="center"/>
          </w:tcPr>
          <w:p w:rsidR="00CD2A5A" w:rsidRDefault="00CD2A5A" w:rsidP="002A160F">
            <w:pPr>
              <w:spacing w:before="40" w:after="40"/>
              <w:ind w:right="57"/>
              <w:jc w:val="center"/>
              <w:rPr>
                <w:sz w:val="20"/>
                <w:szCs w:val="20"/>
                <w:lang w:val="es-SV"/>
              </w:rPr>
            </w:pPr>
            <w:r>
              <w:rPr>
                <w:sz w:val="20"/>
                <w:szCs w:val="20"/>
                <w:lang w:val="es-SV"/>
              </w:rPr>
              <w:t>10.50%</w:t>
            </w:r>
          </w:p>
        </w:tc>
        <w:tc>
          <w:tcPr>
            <w:tcW w:w="522" w:type="pct"/>
            <w:noWrap/>
            <w:vAlign w:val="center"/>
          </w:tcPr>
          <w:p w:rsidR="00CD2A5A" w:rsidRDefault="00CD2A5A" w:rsidP="002A160F">
            <w:pPr>
              <w:spacing w:before="40" w:after="40"/>
              <w:ind w:right="227"/>
              <w:jc w:val="right"/>
              <w:rPr>
                <w:sz w:val="20"/>
                <w:szCs w:val="20"/>
                <w:lang w:val="es-SV"/>
              </w:rPr>
            </w:pPr>
            <w:r>
              <w:rPr>
                <w:sz w:val="20"/>
                <w:szCs w:val="20"/>
                <w:lang w:val="es-SV"/>
              </w:rPr>
              <w:t>147</w:t>
            </w:r>
          </w:p>
        </w:tc>
        <w:tc>
          <w:tcPr>
            <w:tcW w:w="543" w:type="pct"/>
            <w:noWrap/>
            <w:vAlign w:val="center"/>
          </w:tcPr>
          <w:p w:rsidR="00CD2A5A" w:rsidRDefault="00CD2A5A" w:rsidP="002A160F">
            <w:pPr>
              <w:spacing w:before="40" w:after="40"/>
              <w:ind w:right="57"/>
              <w:jc w:val="center"/>
              <w:rPr>
                <w:sz w:val="20"/>
                <w:szCs w:val="20"/>
                <w:lang w:val="es-SV"/>
              </w:rPr>
            </w:pPr>
            <w:r>
              <w:rPr>
                <w:sz w:val="20"/>
                <w:szCs w:val="20"/>
                <w:lang w:val="es-SV"/>
              </w:rPr>
              <w:t>10.74%</w:t>
            </w:r>
          </w:p>
        </w:tc>
        <w:tc>
          <w:tcPr>
            <w:tcW w:w="372" w:type="pct"/>
            <w:noWrap/>
            <w:vAlign w:val="center"/>
          </w:tcPr>
          <w:p w:rsidR="00CD2A5A" w:rsidRDefault="00CD2A5A" w:rsidP="002A160F">
            <w:pPr>
              <w:spacing w:before="40" w:after="40"/>
              <w:ind w:right="227"/>
              <w:jc w:val="right"/>
              <w:rPr>
                <w:bCs/>
                <w:sz w:val="20"/>
                <w:szCs w:val="20"/>
                <w:lang w:val="es-SV"/>
              </w:rPr>
            </w:pPr>
            <w:r>
              <w:rPr>
                <w:bCs/>
                <w:sz w:val="20"/>
                <w:szCs w:val="20"/>
                <w:lang w:val="es-SV"/>
              </w:rPr>
              <w:t>374</w:t>
            </w:r>
          </w:p>
        </w:tc>
      </w:tr>
      <w:tr w:rsidR="00CD2A5A" w:rsidTr="002A160F">
        <w:trPr>
          <w:jc w:val="center"/>
        </w:trPr>
        <w:tc>
          <w:tcPr>
            <w:tcW w:w="442" w:type="pct"/>
            <w:noWrap/>
            <w:vAlign w:val="center"/>
          </w:tcPr>
          <w:p w:rsidR="00CD2A5A" w:rsidRDefault="00CD2A5A" w:rsidP="002A160F">
            <w:pPr>
              <w:spacing w:before="40" w:after="40"/>
              <w:rPr>
                <w:bCs/>
                <w:sz w:val="20"/>
                <w:szCs w:val="20"/>
                <w:lang w:val="es-SV"/>
              </w:rPr>
            </w:pPr>
            <w:r>
              <w:rPr>
                <w:bCs/>
                <w:sz w:val="20"/>
                <w:szCs w:val="20"/>
                <w:lang w:val="es-SV"/>
              </w:rPr>
              <w:t>6-9</w:t>
            </w:r>
          </w:p>
        </w:tc>
        <w:tc>
          <w:tcPr>
            <w:tcW w:w="492" w:type="pct"/>
            <w:noWrap/>
            <w:vAlign w:val="center"/>
          </w:tcPr>
          <w:p w:rsidR="00CD2A5A" w:rsidRDefault="00CD2A5A" w:rsidP="002A160F">
            <w:pPr>
              <w:spacing w:before="40" w:after="40"/>
              <w:ind w:right="227"/>
              <w:jc w:val="right"/>
              <w:rPr>
                <w:sz w:val="20"/>
                <w:szCs w:val="20"/>
                <w:lang w:val="es-SV"/>
              </w:rPr>
            </w:pPr>
            <w:r>
              <w:rPr>
                <w:sz w:val="20"/>
                <w:szCs w:val="20"/>
                <w:lang w:val="es-SV"/>
              </w:rPr>
              <w:t>95</w:t>
            </w:r>
          </w:p>
        </w:tc>
        <w:tc>
          <w:tcPr>
            <w:tcW w:w="536" w:type="pct"/>
            <w:noWrap/>
            <w:vAlign w:val="center"/>
          </w:tcPr>
          <w:p w:rsidR="00CD2A5A" w:rsidRDefault="00CD2A5A" w:rsidP="002A160F">
            <w:pPr>
              <w:spacing w:before="40" w:after="40"/>
              <w:ind w:right="57"/>
              <w:jc w:val="center"/>
              <w:rPr>
                <w:sz w:val="20"/>
                <w:szCs w:val="20"/>
                <w:lang w:val="es-SV"/>
              </w:rPr>
            </w:pPr>
            <w:r>
              <w:rPr>
                <w:sz w:val="20"/>
                <w:szCs w:val="20"/>
                <w:lang w:val="es-SV"/>
              </w:rPr>
              <w:t>15.03%</w:t>
            </w:r>
          </w:p>
        </w:tc>
        <w:tc>
          <w:tcPr>
            <w:tcW w:w="517" w:type="pct"/>
            <w:noWrap/>
            <w:vAlign w:val="center"/>
          </w:tcPr>
          <w:p w:rsidR="00CD2A5A" w:rsidRDefault="00CD2A5A" w:rsidP="002A160F">
            <w:pPr>
              <w:spacing w:before="40" w:after="40"/>
              <w:ind w:right="227"/>
              <w:jc w:val="right"/>
              <w:rPr>
                <w:sz w:val="20"/>
                <w:szCs w:val="20"/>
                <w:lang w:val="es-SV"/>
              </w:rPr>
            </w:pPr>
            <w:r>
              <w:rPr>
                <w:sz w:val="20"/>
                <w:szCs w:val="20"/>
                <w:lang w:val="es-SV"/>
              </w:rPr>
              <w:t>39</w:t>
            </w:r>
          </w:p>
        </w:tc>
        <w:tc>
          <w:tcPr>
            <w:tcW w:w="537" w:type="pct"/>
            <w:noWrap/>
            <w:vAlign w:val="center"/>
          </w:tcPr>
          <w:p w:rsidR="00CD2A5A" w:rsidRDefault="00CD2A5A" w:rsidP="002A160F">
            <w:pPr>
              <w:spacing w:before="40" w:after="40"/>
              <w:ind w:right="57"/>
              <w:jc w:val="center"/>
              <w:rPr>
                <w:sz w:val="20"/>
                <w:szCs w:val="20"/>
                <w:lang w:val="es-SV"/>
              </w:rPr>
            </w:pPr>
            <w:r>
              <w:rPr>
                <w:sz w:val="20"/>
                <w:szCs w:val="20"/>
                <w:lang w:val="es-SV"/>
              </w:rPr>
              <w:t>41.05%</w:t>
            </w:r>
          </w:p>
        </w:tc>
        <w:tc>
          <w:tcPr>
            <w:tcW w:w="497" w:type="pct"/>
            <w:noWrap/>
            <w:vAlign w:val="center"/>
          </w:tcPr>
          <w:p w:rsidR="00CD2A5A" w:rsidRDefault="00CD2A5A" w:rsidP="002A160F">
            <w:pPr>
              <w:spacing w:before="40" w:after="40"/>
              <w:ind w:right="227"/>
              <w:jc w:val="right"/>
              <w:rPr>
                <w:sz w:val="20"/>
                <w:szCs w:val="20"/>
                <w:lang w:val="es-SV"/>
              </w:rPr>
            </w:pPr>
            <w:r>
              <w:rPr>
                <w:sz w:val="20"/>
                <w:szCs w:val="20"/>
                <w:lang w:val="es-SV"/>
              </w:rPr>
              <w:t>379</w:t>
            </w:r>
          </w:p>
        </w:tc>
        <w:tc>
          <w:tcPr>
            <w:tcW w:w="542" w:type="pct"/>
            <w:noWrap/>
            <w:vAlign w:val="center"/>
          </w:tcPr>
          <w:p w:rsidR="00CD2A5A" w:rsidRDefault="00CD2A5A" w:rsidP="002A160F">
            <w:pPr>
              <w:spacing w:before="40" w:after="40"/>
              <w:ind w:right="57"/>
              <w:jc w:val="center"/>
              <w:rPr>
                <w:sz w:val="20"/>
                <w:szCs w:val="20"/>
                <w:lang w:val="es-SV"/>
              </w:rPr>
            </w:pPr>
            <w:r>
              <w:rPr>
                <w:sz w:val="20"/>
                <w:szCs w:val="20"/>
                <w:lang w:val="es-SV"/>
              </w:rPr>
              <w:t>24.26%</w:t>
            </w:r>
          </w:p>
        </w:tc>
        <w:tc>
          <w:tcPr>
            <w:tcW w:w="522" w:type="pct"/>
            <w:noWrap/>
            <w:vAlign w:val="center"/>
          </w:tcPr>
          <w:p w:rsidR="00CD2A5A" w:rsidRDefault="00CD2A5A" w:rsidP="002A160F">
            <w:pPr>
              <w:spacing w:before="40" w:after="40"/>
              <w:ind w:right="227"/>
              <w:jc w:val="right"/>
              <w:rPr>
                <w:sz w:val="20"/>
                <w:szCs w:val="20"/>
                <w:lang w:val="es-SV"/>
              </w:rPr>
            </w:pPr>
            <w:r>
              <w:rPr>
                <w:sz w:val="20"/>
                <w:szCs w:val="20"/>
                <w:lang w:val="es-SV"/>
              </w:rPr>
              <w:t>423</w:t>
            </w:r>
          </w:p>
        </w:tc>
        <w:tc>
          <w:tcPr>
            <w:tcW w:w="543" w:type="pct"/>
            <w:noWrap/>
            <w:vAlign w:val="center"/>
          </w:tcPr>
          <w:p w:rsidR="00CD2A5A" w:rsidRDefault="00CD2A5A" w:rsidP="002A160F">
            <w:pPr>
              <w:spacing w:before="40" w:after="40"/>
              <w:ind w:right="57"/>
              <w:jc w:val="center"/>
              <w:rPr>
                <w:sz w:val="20"/>
                <w:szCs w:val="20"/>
                <w:lang w:val="es-SV"/>
              </w:rPr>
            </w:pPr>
            <w:r>
              <w:rPr>
                <w:sz w:val="20"/>
                <w:szCs w:val="20"/>
                <w:lang w:val="es-SV"/>
              </w:rPr>
              <w:t>30.90%</w:t>
            </w:r>
          </w:p>
        </w:tc>
        <w:tc>
          <w:tcPr>
            <w:tcW w:w="372" w:type="pct"/>
            <w:noWrap/>
            <w:vAlign w:val="center"/>
          </w:tcPr>
          <w:p w:rsidR="00CD2A5A" w:rsidRDefault="00CD2A5A" w:rsidP="002A160F">
            <w:pPr>
              <w:spacing w:before="40" w:after="40"/>
              <w:ind w:right="227"/>
              <w:jc w:val="right"/>
              <w:rPr>
                <w:bCs/>
                <w:sz w:val="20"/>
                <w:szCs w:val="20"/>
                <w:lang w:val="es-SV"/>
              </w:rPr>
            </w:pPr>
            <w:r>
              <w:rPr>
                <w:bCs/>
                <w:sz w:val="20"/>
                <w:szCs w:val="20"/>
                <w:lang w:val="es-SV"/>
              </w:rPr>
              <w:t>936</w:t>
            </w:r>
          </w:p>
        </w:tc>
      </w:tr>
      <w:tr w:rsidR="00CD2A5A" w:rsidTr="002A160F">
        <w:trPr>
          <w:jc w:val="center"/>
        </w:trPr>
        <w:tc>
          <w:tcPr>
            <w:tcW w:w="442" w:type="pct"/>
            <w:noWrap/>
            <w:vAlign w:val="center"/>
          </w:tcPr>
          <w:p w:rsidR="00CD2A5A" w:rsidRDefault="00CD2A5A" w:rsidP="002A160F">
            <w:pPr>
              <w:spacing w:before="40" w:after="40"/>
              <w:rPr>
                <w:bCs/>
                <w:sz w:val="20"/>
                <w:szCs w:val="20"/>
                <w:lang w:val="es-SV"/>
              </w:rPr>
            </w:pPr>
            <w:r>
              <w:rPr>
                <w:bCs/>
                <w:sz w:val="20"/>
                <w:szCs w:val="20"/>
                <w:lang w:val="es-SV"/>
              </w:rPr>
              <w:t>10-13</w:t>
            </w:r>
          </w:p>
        </w:tc>
        <w:tc>
          <w:tcPr>
            <w:tcW w:w="492" w:type="pct"/>
            <w:noWrap/>
            <w:vAlign w:val="center"/>
          </w:tcPr>
          <w:p w:rsidR="00CD2A5A" w:rsidRDefault="00CD2A5A" w:rsidP="002A160F">
            <w:pPr>
              <w:spacing w:before="40" w:after="40"/>
              <w:ind w:right="227"/>
              <w:jc w:val="right"/>
              <w:rPr>
                <w:sz w:val="20"/>
                <w:szCs w:val="20"/>
                <w:lang w:val="es-SV"/>
              </w:rPr>
            </w:pPr>
            <w:r>
              <w:rPr>
                <w:sz w:val="20"/>
                <w:szCs w:val="20"/>
                <w:lang w:val="es-SV"/>
              </w:rPr>
              <w:t>188</w:t>
            </w:r>
          </w:p>
        </w:tc>
        <w:tc>
          <w:tcPr>
            <w:tcW w:w="536" w:type="pct"/>
            <w:noWrap/>
            <w:vAlign w:val="center"/>
          </w:tcPr>
          <w:p w:rsidR="00CD2A5A" w:rsidRDefault="00CD2A5A" w:rsidP="002A160F">
            <w:pPr>
              <w:spacing w:before="40" w:after="40"/>
              <w:ind w:right="57"/>
              <w:jc w:val="center"/>
              <w:rPr>
                <w:sz w:val="20"/>
                <w:szCs w:val="20"/>
                <w:lang w:val="es-SV"/>
              </w:rPr>
            </w:pPr>
            <w:r>
              <w:rPr>
                <w:sz w:val="20"/>
                <w:szCs w:val="20"/>
                <w:lang w:val="es-SV"/>
              </w:rPr>
              <w:t>29.75%</w:t>
            </w:r>
          </w:p>
        </w:tc>
        <w:tc>
          <w:tcPr>
            <w:tcW w:w="517" w:type="pct"/>
            <w:noWrap/>
            <w:vAlign w:val="center"/>
          </w:tcPr>
          <w:p w:rsidR="00CD2A5A" w:rsidRDefault="00CD2A5A" w:rsidP="002A160F">
            <w:pPr>
              <w:spacing w:before="40" w:after="40"/>
              <w:ind w:right="227"/>
              <w:jc w:val="right"/>
              <w:rPr>
                <w:sz w:val="20"/>
                <w:szCs w:val="20"/>
                <w:lang w:val="es-SV"/>
              </w:rPr>
            </w:pPr>
            <w:r>
              <w:rPr>
                <w:sz w:val="20"/>
                <w:szCs w:val="20"/>
                <w:lang w:val="es-SV"/>
              </w:rPr>
              <w:t>23</w:t>
            </w:r>
          </w:p>
        </w:tc>
        <w:tc>
          <w:tcPr>
            <w:tcW w:w="537" w:type="pct"/>
            <w:noWrap/>
            <w:vAlign w:val="center"/>
          </w:tcPr>
          <w:p w:rsidR="00CD2A5A" w:rsidRDefault="00CD2A5A" w:rsidP="002A160F">
            <w:pPr>
              <w:spacing w:before="40" w:after="40"/>
              <w:ind w:right="57"/>
              <w:jc w:val="center"/>
              <w:rPr>
                <w:sz w:val="20"/>
                <w:szCs w:val="20"/>
                <w:lang w:val="es-SV"/>
              </w:rPr>
            </w:pPr>
            <w:r>
              <w:rPr>
                <w:sz w:val="20"/>
                <w:szCs w:val="20"/>
                <w:lang w:val="es-SV"/>
              </w:rPr>
              <w:t>24.21%</w:t>
            </w:r>
          </w:p>
        </w:tc>
        <w:tc>
          <w:tcPr>
            <w:tcW w:w="497" w:type="pct"/>
            <w:noWrap/>
            <w:vAlign w:val="center"/>
          </w:tcPr>
          <w:p w:rsidR="00CD2A5A" w:rsidRDefault="00CD2A5A" w:rsidP="002A160F">
            <w:pPr>
              <w:spacing w:before="40" w:after="40"/>
              <w:ind w:right="227"/>
              <w:jc w:val="right"/>
              <w:rPr>
                <w:sz w:val="20"/>
                <w:szCs w:val="20"/>
                <w:lang w:val="es-SV"/>
              </w:rPr>
            </w:pPr>
            <w:r>
              <w:rPr>
                <w:sz w:val="20"/>
                <w:szCs w:val="20"/>
                <w:lang w:val="es-SV"/>
              </w:rPr>
              <w:t>478</w:t>
            </w:r>
          </w:p>
        </w:tc>
        <w:tc>
          <w:tcPr>
            <w:tcW w:w="542" w:type="pct"/>
            <w:noWrap/>
            <w:vAlign w:val="center"/>
          </w:tcPr>
          <w:p w:rsidR="00CD2A5A" w:rsidRDefault="00CD2A5A" w:rsidP="002A160F">
            <w:pPr>
              <w:spacing w:before="40" w:after="40"/>
              <w:ind w:right="57"/>
              <w:jc w:val="center"/>
              <w:rPr>
                <w:sz w:val="20"/>
                <w:szCs w:val="20"/>
                <w:lang w:val="es-SV"/>
              </w:rPr>
            </w:pPr>
            <w:r>
              <w:rPr>
                <w:sz w:val="20"/>
                <w:szCs w:val="20"/>
                <w:lang w:val="es-SV"/>
              </w:rPr>
              <w:t>30.60%</w:t>
            </w:r>
          </w:p>
        </w:tc>
        <w:tc>
          <w:tcPr>
            <w:tcW w:w="522" w:type="pct"/>
            <w:noWrap/>
            <w:vAlign w:val="center"/>
          </w:tcPr>
          <w:p w:rsidR="00CD2A5A" w:rsidRDefault="00CD2A5A" w:rsidP="002A160F">
            <w:pPr>
              <w:spacing w:before="40" w:after="40"/>
              <w:ind w:right="227"/>
              <w:jc w:val="right"/>
              <w:rPr>
                <w:sz w:val="20"/>
                <w:szCs w:val="20"/>
                <w:lang w:val="es-SV"/>
              </w:rPr>
            </w:pPr>
            <w:r>
              <w:rPr>
                <w:sz w:val="20"/>
                <w:szCs w:val="20"/>
                <w:lang w:val="es-SV"/>
              </w:rPr>
              <w:t>490</w:t>
            </w:r>
          </w:p>
        </w:tc>
        <w:tc>
          <w:tcPr>
            <w:tcW w:w="543" w:type="pct"/>
            <w:noWrap/>
            <w:vAlign w:val="center"/>
          </w:tcPr>
          <w:p w:rsidR="00CD2A5A" w:rsidRDefault="00CD2A5A" w:rsidP="002A160F">
            <w:pPr>
              <w:spacing w:before="40" w:after="40"/>
              <w:ind w:right="57"/>
              <w:jc w:val="center"/>
              <w:rPr>
                <w:sz w:val="20"/>
                <w:szCs w:val="20"/>
                <w:lang w:val="es-SV"/>
              </w:rPr>
            </w:pPr>
            <w:r>
              <w:rPr>
                <w:sz w:val="20"/>
                <w:szCs w:val="20"/>
                <w:lang w:val="es-SV"/>
              </w:rPr>
              <w:t>35.79%</w:t>
            </w:r>
          </w:p>
        </w:tc>
        <w:tc>
          <w:tcPr>
            <w:tcW w:w="372" w:type="pct"/>
            <w:noWrap/>
            <w:vAlign w:val="center"/>
          </w:tcPr>
          <w:p w:rsidR="00CD2A5A" w:rsidRDefault="00CD2A5A" w:rsidP="002A160F">
            <w:pPr>
              <w:spacing w:before="40" w:after="40"/>
              <w:ind w:right="227"/>
              <w:jc w:val="right"/>
              <w:rPr>
                <w:bCs/>
                <w:sz w:val="20"/>
                <w:szCs w:val="20"/>
                <w:lang w:val="es-SV"/>
              </w:rPr>
            </w:pPr>
            <w:r>
              <w:rPr>
                <w:bCs/>
                <w:sz w:val="20"/>
                <w:szCs w:val="20"/>
                <w:lang w:val="es-SV"/>
              </w:rPr>
              <w:t>1179</w:t>
            </w:r>
          </w:p>
        </w:tc>
      </w:tr>
      <w:tr w:rsidR="00CD2A5A" w:rsidTr="002A160F">
        <w:trPr>
          <w:jc w:val="center"/>
        </w:trPr>
        <w:tc>
          <w:tcPr>
            <w:tcW w:w="442" w:type="pct"/>
            <w:noWrap/>
            <w:vAlign w:val="center"/>
          </w:tcPr>
          <w:p w:rsidR="00CD2A5A" w:rsidRDefault="00CD2A5A" w:rsidP="002A160F">
            <w:pPr>
              <w:spacing w:before="40" w:after="40"/>
              <w:rPr>
                <w:bCs/>
                <w:sz w:val="20"/>
                <w:szCs w:val="20"/>
                <w:lang w:val="es-SV"/>
              </w:rPr>
            </w:pPr>
            <w:r>
              <w:rPr>
                <w:bCs/>
                <w:sz w:val="20"/>
                <w:szCs w:val="20"/>
                <w:lang w:val="es-SV"/>
              </w:rPr>
              <w:t>14-17</w:t>
            </w:r>
          </w:p>
        </w:tc>
        <w:tc>
          <w:tcPr>
            <w:tcW w:w="492" w:type="pct"/>
            <w:noWrap/>
            <w:vAlign w:val="center"/>
          </w:tcPr>
          <w:p w:rsidR="00CD2A5A" w:rsidRDefault="00CD2A5A" w:rsidP="002A160F">
            <w:pPr>
              <w:spacing w:before="40" w:after="40"/>
              <w:ind w:right="227"/>
              <w:jc w:val="right"/>
              <w:rPr>
                <w:sz w:val="20"/>
                <w:szCs w:val="20"/>
                <w:lang w:val="es-SV"/>
              </w:rPr>
            </w:pPr>
            <w:r>
              <w:rPr>
                <w:sz w:val="20"/>
                <w:szCs w:val="20"/>
                <w:lang w:val="es-SV"/>
              </w:rPr>
              <w:t>308</w:t>
            </w:r>
          </w:p>
        </w:tc>
        <w:tc>
          <w:tcPr>
            <w:tcW w:w="536" w:type="pct"/>
            <w:noWrap/>
            <w:vAlign w:val="center"/>
          </w:tcPr>
          <w:p w:rsidR="00CD2A5A" w:rsidRDefault="00CD2A5A" w:rsidP="002A160F">
            <w:pPr>
              <w:spacing w:before="40" w:after="40"/>
              <w:ind w:right="57"/>
              <w:jc w:val="center"/>
              <w:rPr>
                <w:sz w:val="20"/>
                <w:szCs w:val="20"/>
                <w:lang w:val="es-SV"/>
              </w:rPr>
            </w:pPr>
            <w:r>
              <w:rPr>
                <w:sz w:val="20"/>
                <w:szCs w:val="20"/>
                <w:lang w:val="es-SV"/>
              </w:rPr>
              <w:t>48.73%</w:t>
            </w:r>
          </w:p>
        </w:tc>
        <w:tc>
          <w:tcPr>
            <w:tcW w:w="517" w:type="pct"/>
            <w:noWrap/>
            <w:vAlign w:val="center"/>
          </w:tcPr>
          <w:p w:rsidR="00CD2A5A" w:rsidRDefault="00CD2A5A" w:rsidP="002A160F">
            <w:pPr>
              <w:spacing w:before="40" w:after="40"/>
              <w:ind w:right="227"/>
              <w:jc w:val="right"/>
              <w:rPr>
                <w:sz w:val="20"/>
                <w:szCs w:val="20"/>
                <w:lang w:val="es-SV"/>
              </w:rPr>
            </w:pPr>
            <w:r>
              <w:rPr>
                <w:sz w:val="20"/>
                <w:szCs w:val="20"/>
                <w:lang w:val="es-SV"/>
              </w:rPr>
              <w:t>10</w:t>
            </w:r>
          </w:p>
        </w:tc>
        <w:tc>
          <w:tcPr>
            <w:tcW w:w="537" w:type="pct"/>
            <w:noWrap/>
            <w:vAlign w:val="center"/>
          </w:tcPr>
          <w:p w:rsidR="00CD2A5A" w:rsidRDefault="00CD2A5A" w:rsidP="002A160F">
            <w:pPr>
              <w:spacing w:before="40" w:after="40"/>
              <w:ind w:right="57"/>
              <w:jc w:val="center"/>
              <w:rPr>
                <w:sz w:val="20"/>
                <w:szCs w:val="20"/>
                <w:lang w:val="es-SV"/>
              </w:rPr>
            </w:pPr>
            <w:r>
              <w:rPr>
                <w:sz w:val="20"/>
                <w:szCs w:val="20"/>
                <w:lang w:val="es-SV"/>
              </w:rPr>
              <w:t>10.53%</w:t>
            </w:r>
          </w:p>
        </w:tc>
        <w:tc>
          <w:tcPr>
            <w:tcW w:w="497" w:type="pct"/>
            <w:noWrap/>
            <w:vAlign w:val="center"/>
          </w:tcPr>
          <w:p w:rsidR="00CD2A5A" w:rsidRDefault="00CD2A5A" w:rsidP="002A160F">
            <w:pPr>
              <w:spacing w:before="40" w:after="40"/>
              <w:ind w:right="227"/>
              <w:jc w:val="right"/>
              <w:rPr>
                <w:sz w:val="20"/>
                <w:szCs w:val="20"/>
                <w:lang w:val="es-SV"/>
              </w:rPr>
            </w:pPr>
            <w:r>
              <w:rPr>
                <w:sz w:val="20"/>
                <w:szCs w:val="20"/>
                <w:lang w:val="es-SV"/>
              </w:rPr>
              <w:t>504</w:t>
            </w:r>
          </w:p>
        </w:tc>
        <w:tc>
          <w:tcPr>
            <w:tcW w:w="542" w:type="pct"/>
            <w:noWrap/>
            <w:vAlign w:val="center"/>
          </w:tcPr>
          <w:p w:rsidR="00CD2A5A" w:rsidRDefault="00CD2A5A" w:rsidP="002A160F">
            <w:pPr>
              <w:spacing w:before="40" w:after="40"/>
              <w:ind w:right="57"/>
              <w:jc w:val="center"/>
              <w:rPr>
                <w:sz w:val="20"/>
                <w:szCs w:val="20"/>
                <w:lang w:val="es-SV"/>
              </w:rPr>
            </w:pPr>
            <w:r>
              <w:rPr>
                <w:sz w:val="20"/>
                <w:szCs w:val="20"/>
                <w:lang w:val="es-SV"/>
              </w:rPr>
              <w:t>32.27%</w:t>
            </w:r>
          </w:p>
        </w:tc>
        <w:tc>
          <w:tcPr>
            <w:tcW w:w="522" w:type="pct"/>
            <w:noWrap/>
            <w:vAlign w:val="center"/>
          </w:tcPr>
          <w:p w:rsidR="00CD2A5A" w:rsidRDefault="00CD2A5A" w:rsidP="002A160F">
            <w:pPr>
              <w:spacing w:before="40" w:after="40"/>
              <w:ind w:right="227"/>
              <w:jc w:val="right"/>
              <w:rPr>
                <w:sz w:val="20"/>
                <w:szCs w:val="20"/>
                <w:lang w:val="es-SV"/>
              </w:rPr>
            </w:pPr>
            <w:r>
              <w:rPr>
                <w:sz w:val="20"/>
                <w:szCs w:val="20"/>
                <w:lang w:val="es-SV"/>
              </w:rPr>
              <w:t>291</w:t>
            </w:r>
          </w:p>
        </w:tc>
        <w:tc>
          <w:tcPr>
            <w:tcW w:w="543" w:type="pct"/>
            <w:noWrap/>
            <w:vAlign w:val="center"/>
          </w:tcPr>
          <w:p w:rsidR="00CD2A5A" w:rsidRDefault="00CD2A5A" w:rsidP="002A160F">
            <w:pPr>
              <w:spacing w:before="40" w:after="40"/>
              <w:ind w:right="57"/>
              <w:jc w:val="center"/>
              <w:rPr>
                <w:sz w:val="20"/>
                <w:szCs w:val="20"/>
                <w:lang w:val="es-SV"/>
              </w:rPr>
            </w:pPr>
            <w:r>
              <w:rPr>
                <w:sz w:val="20"/>
                <w:szCs w:val="20"/>
                <w:lang w:val="es-SV"/>
              </w:rPr>
              <w:t>21.26%</w:t>
            </w:r>
          </w:p>
        </w:tc>
        <w:tc>
          <w:tcPr>
            <w:tcW w:w="372" w:type="pct"/>
            <w:noWrap/>
            <w:vAlign w:val="center"/>
          </w:tcPr>
          <w:p w:rsidR="00CD2A5A" w:rsidRDefault="00CD2A5A" w:rsidP="002A160F">
            <w:pPr>
              <w:spacing w:before="40" w:after="40"/>
              <w:ind w:right="227"/>
              <w:jc w:val="right"/>
              <w:rPr>
                <w:bCs/>
                <w:sz w:val="20"/>
                <w:szCs w:val="20"/>
                <w:lang w:val="es-SV"/>
              </w:rPr>
            </w:pPr>
            <w:r>
              <w:rPr>
                <w:bCs/>
                <w:sz w:val="20"/>
                <w:szCs w:val="20"/>
                <w:lang w:val="es-SV"/>
              </w:rPr>
              <w:t>1113</w:t>
            </w:r>
          </w:p>
        </w:tc>
      </w:tr>
      <w:tr w:rsidR="00CD2A5A" w:rsidTr="002A160F">
        <w:trPr>
          <w:jc w:val="center"/>
        </w:trPr>
        <w:tc>
          <w:tcPr>
            <w:tcW w:w="442" w:type="pct"/>
            <w:noWrap/>
            <w:vAlign w:val="center"/>
          </w:tcPr>
          <w:p w:rsidR="00CD2A5A" w:rsidRDefault="00CD2A5A" w:rsidP="002A160F">
            <w:pPr>
              <w:spacing w:before="40" w:after="40"/>
              <w:rPr>
                <w:bCs/>
                <w:sz w:val="20"/>
                <w:szCs w:val="20"/>
                <w:lang w:val="es-SV"/>
              </w:rPr>
            </w:pPr>
            <w:r>
              <w:rPr>
                <w:bCs/>
                <w:sz w:val="20"/>
                <w:szCs w:val="20"/>
                <w:lang w:val="en-GB"/>
              </w:rPr>
              <w:t>Total</w:t>
            </w:r>
          </w:p>
        </w:tc>
        <w:tc>
          <w:tcPr>
            <w:tcW w:w="492" w:type="pct"/>
            <w:noWrap/>
            <w:vAlign w:val="center"/>
          </w:tcPr>
          <w:p w:rsidR="00CD2A5A" w:rsidRDefault="00CD2A5A" w:rsidP="002A160F">
            <w:pPr>
              <w:spacing w:before="40" w:after="40"/>
              <w:ind w:right="227"/>
              <w:jc w:val="right"/>
              <w:rPr>
                <w:bCs/>
                <w:sz w:val="20"/>
                <w:szCs w:val="20"/>
                <w:lang w:val="es-SV"/>
              </w:rPr>
            </w:pPr>
            <w:r>
              <w:rPr>
                <w:bCs/>
                <w:sz w:val="20"/>
                <w:szCs w:val="20"/>
                <w:lang w:val="es-SV"/>
              </w:rPr>
              <w:t>632</w:t>
            </w:r>
          </w:p>
        </w:tc>
        <w:tc>
          <w:tcPr>
            <w:tcW w:w="536" w:type="pct"/>
            <w:noWrap/>
            <w:vAlign w:val="center"/>
          </w:tcPr>
          <w:p w:rsidR="00CD2A5A" w:rsidRDefault="00CD2A5A" w:rsidP="002A160F">
            <w:pPr>
              <w:spacing w:before="40" w:after="40"/>
              <w:ind w:right="57"/>
              <w:jc w:val="center"/>
              <w:rPr>
                <w:bCs/>
                <w:sz w:val="20"/>
                <w:szCs w:val="20"/>
                <w:lang w:val="es-SV"/>
              </w:rPr>
            </w:pPr>
          </w:p>
        </w:tc>
        <w:tc>
          <w:tcPr>
            <w:tcW w:w="517" w:type="pct"/>
            <w:noWrap/>
            <w:vAlign w:val="center"/>
          </w:tcPr>
          <w:p w:rsidR="00CD2A5A" w:rsidRDefault="00CD2A5A" w:rsidP="002A160F">
            <w:pPr>
              <w:spacing w:before="40" w:after="40"/>
              <w:ind w:right="227"/>
              <w:jc w:val="right"/>
              <w:rPr>
                <w:bCs/>
                <w:sz w:val="20"/>
                <w:szCs w:val="20"/>
                <w:lang w:val="es-SV"/>
              </w:rPr>
            </w:pPr>
            <w:r>
              <w:rPr>
                <w:bCs/>
                <w:sz w:val="20"/>
                <w:szCs w:val="20"/>
                <w:lang w:val="es-SV"/>
              </w:rPr>
              <w:t>95</w:t>
            </w:r>
          </w:p>
        </w:tc>
        <w:tc>
          <w:tcPr>
            <w:tcW w:w="537" w:type="pct"/>
            <w:noWrap/>
            <w:vAlign w:val="center"/>
          </w:tcPr>
          <w:p w:rsidR="00CD2A5A" w:rsidRDefault="00CD2A5A" w:rsidP="002A160F">
            <w:pPr>
              <w:spacing w:before="40" w:after="40"/>
              <w:ind w:right="57"/>
              <w:rPr>
                <w:bCs/>
                <w:sz w:val="20"/>
                <w:szCs w:val="20"/>
                <w:lang w:val="es-SV"/>
              </w:rPr>
            </w:pPr>
          </w:p>
        </w:tc>
        <w:tc>
          <w:tcPr>
            <w:tcW w:w="497" w:type="pct"/>
            <w:noWrap/>
            <w:vAlign w:val="center"/>
          </w:tcPr>
          <w:p w:rsidR="00CD2A5A" w:rsidRDefault="00CD2A5A" w:rsidP="002A160F">
            <w:pPr>
              <w:spacing w:before="40" w:after="40"/>
              <w:ind w:right="227"/>
              <w:jc w:val="right"/>
              <w:rPr>
                <w:bCs/>
                <w:sz w:val="20"/>
                <w:szCs w:val="20"/>
                <w:lang w:val="es-SV"/>
              </w:rPr>
            </w:pPr>
            <w:r>
              <w:rPr>
                <w:bCs/>
                <w:sz w:val="20"/>
                <w:szCs w:val="20"/>
                <w:lang w:val="es-SV"/>
              </w:rPr>
              <w:t>1,562</w:t>
            </w:r>
          </w:p>
        </w:tc>
        <w:tc>
          <w:tcPr>
            <w:tcW w:w="542" w:type="pct"/>
            <w:noWrap/>
            <w:vAlign w:val="center"/>
          </w:tcPr>
          <w:p w:rsidR="00CD2A5A" w:rsidRDefault="00CD2A5A" w:rsidP="002A160F">
            <w:pPr>
              <w:spacing w:before="40" w:after="40"/>
              <w:ind w:right="57"/>
              <w:rPr>
                <w:bCs/>
                <w:sz w:val="20"/>
                <w:szCs w:val="20"/>
                <w:lang w:val="es-SV"/>
              </w:rPr>
            </w:pPr>
          </w:p>
        </w:tc>
        <w:tc>
          <w:tcPr>
            <w:tcW w:w="522" w:type="pct"/>
            <w:noWrap/>
            <w:vAlign w:val="center"/>
          </w:tcPr>
          <w:p w:rsidR="00CD2A5A" w:rsidRDefault="00CD2A5A" w:rsidP="002A160F">
            <w:pPr>
              <w:spacing w:before="40" w:after="40"/>
              <w:ind w:right="227"/>
              <w:jc w:val="right"/>
              <w:rPr>
                <w:bCs/>
                <w:sz w:val="20"/>
                <w:szCs w:val="20"/>
                <w:lang w:val="es-SV"/>
              </w:rPr>
            </w:pPr>
            <w:r>
              <w:rPr>
                <w:bCs/>
                <w:sz w:val="20"/>
                <w:szCs w:val="20"/>
                <w:lang w:val="es-SV"/>
              </w:rPr>
              <w:t>1,369</w:t>
            </w:r>
          </w:p>
        </w:tc>
        <w:tc>
          <w:tcPr>
            <w:tcW w:w="543" w:type="pct"/>
            <w:noWrap/>
            <w:vAlign w:val="center"/>
          </w:tcPr>
          <w:p w:rsidR="00CD2A5A" w:rsidRDefault="00CD2A5A" w:rsidP="002A160F">
            <w:pPr>
              <w:spacing w:before="40" w:after="40"/>
              <w:ind w:right="57"/>
              <w:rPr>
                <w:bCs/>
                <w:sz w:val="20"/>
                <w:szCs w:val="20"/>
                <w:lang w:val="es-SV"/>
              </w:rPr>
            </w:pPr>
          </w:p>
        </w:tc>
        <w:tc>
          <w:tcPr>
            <w:tcW w:w="372" w:type="pct"/>
            <w:noWrap/>
            <w:vAlign w:val="center"/>
          </w:tcPr>
          <w:p w:rsidR="00CD2A5A" w:rsidRDefault="00CD2A5A" w:rsidP="002A160F">
            <w:pPr>
              <w:spacing w:before="40" w:after="40"/>
              <w:ind w:right="227"/>
              <w:jc w:val="right"/>
              <w:rPr>
                <w:bCs/>
                <w:sz w:val="20"/>
                <w:szCs w:val="20"/>
                <w:lang w:val="es-SV"/>
              </w:rPr>
            </w:pPr>
            <w:r>
              <w:rPr>
                <w:bCs/>
                <w:sz w:val="20"/>
                <w:szCs w:val="20"/>
                <w:lang w:val="es-SV"/>
              </w:rPr>
              <w:t>3,658</w:t>
            </w:r>
          </w:p>
        </w:tc>
      </w:tr>
    </w:tbl>
    <w:p w:rsidR="00CD2A5A" w:rsidRDefault="00CD2A5A">
      <w:pPr>
        <w:pStyle w:val="Source"/>
        <w:rPr>
          <w:lang w:val="es-SV"/>
        </w:rPr>
      </w:pPr>
      <w:r>
        <w:rPr>
          <w:i/>
        </w:rPr>
        <w:t>Source</w:t>
      </w:r>
      <w:r>
        <w:t>:</w:t>
      </w:r>
      <w:r>
        <w:rPr>
          <w:lang w:val="es-SV"/>
        </w:rPr>
        <w:t xml:space="preserve"> </w:t>
      </w:r>
      <w:r>
        <w:t>ISDEMU</w:t>
      </w:r>
    </w:p>
    <w:p w:rsidR="00CD2A5A" w:rsidRDefault="00CD2A5A">
      <w:pPr>
        <w:pStyle w:val="Header"/>
        <w:numPr>
          <w:ilvl w:val="0"/>
          <w:numId w:val="3"/>
        </w:numPr>
        <w:tabs>
          <w:tab w:val="clear" w:pos="720"/>
          <w:tab w:val="clear" w:pos="4252"/>
        </w:tabs>
        <w:spacing w:after="240"/>
        <w:ind w:left="0" w:firstLine="0"/>
        <w:rPr>
          <w:lang w:val="en-US"/>
        </w:rPr>
      </w:pPr>
      <w:r>
        <w:rPr>
          <w:lang w:val="en-GB"/>
        </w:rPr>
        <w:t>See annex VII for the cases occurring in 2004-2005.</w:t>
      </w:r>
    </w:p>
    <w:p w:rsidR="00CD2A5A" w:rsidRDefault="00CD2A5A">
      <w:pPr>
        <w:pStyle w:val="Header"/>
        <w:numPr>
          <w:ilvl w:val="0"/>
          <w:numId w:val="3"/>
        </w:numPr>
        <w:tabs>
          <w:tab w:val="clear" w:pos="720"/>
          <w:tab w:val="clear" w:pos="4252"/>
        </w:tabs>
        <w:spacing w:after="240"/>
        <w:ind w:left="0" w:firstLine="0"/>
        <w:rPr>
          <w:lang w:val="en-US"/>
        </w:rPr>
      </w:pPr>
      <w:r>
        <w:rPr>
          <w:lang w:val="en-GB"/>
        </w:rPr>
        <w:t>ISDEMU offers temporary shelter for women and their children who have suffered domestic violence, sexual abuse and commercial sexual exploitation.</w:t>
      </w:r>
      <w:r>
        <w:rPr>
          <w:lang w:val="en-US"/>
        </w:rPr>
        <w:t xml:space="preserve"> </w:t>
      </w:r>
      <w:r>
        <w:rPr>
          <w:lang w:val="en-GB"/>
        </w:rPr>
        <w:t>The temporary protection goes hand in hand with psychological and social care, legal advice and individual and group support for women victims of domestic violence, including the children.</w:t>
      </w:r>
    </w:p>
    <w:p w:rsidR="00CD2A5A" w:rsidRDefault="00CD2A5A" w:rsidP="00CE08C8">
      <w:pPr>
        <w:pStyle w:val="Figure"/>
        <w:spacing w:after="120"/>
        <w:rPr>
          <w:lang w:val="en-US"/>
        </w:rPr>
      </w:pPr>
      <w:r>
        <w:t>Figure 33</w:t>
      </w:r>
    </w:p>
    <w:p w:rsidR="00CD2A5A" w:rsidRDefault="00CD2A5A" w:rsidP="00CE08C8">
      <w:pPr>
        <w:pStyle w:val="Figure"/>
        <w:spacing w:after="120"/>
        <w:rPr>
          <w:lang w:val="en-US"/>
        </w:rPr>
      </w:pPr>
      <w:r>
        <w:t>Domestic violence victims sheltered by ISDEMU (2004-2007)</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1871"/>
        <w:gridCol w:w="13"/>
        <w:gridCol w:w="1881"/>
        <w:gridCol w:w="1884"/>
        <w:gridCol w:w="1875"/>
      </w:tblGrid>
      <w:tr w:rsidR="00CD2A5A">
        <w:tblPrEx>
          <w:tblCellMar>
            <w:top w:w="0" w:type="dxa"/>
            <w:bottom w:w="0" w:type="dxa"/>
          </w:tblCellMar>
        </w:tblPrEx>
        <w:trPr>
          <w:jc w:val="center"/>
        </w:trPr>
        <w:tc>
          <w:tcPr>
            <w:tcW w:w="1003" w:type="pct"/>
            <w:vAlign w:val="center"/>
          </w:tcPr>
          <w:p w:rsidR="00CD2A5A" w:rsidRDefault="00CD2A5A">
            <w:pPr>
              <w:spacing w:before="20" w:after="20"/>
              <w:jc w:val="center"/>
              <w:rPr>
                <w:b/>
                <w:i/>
                <w:sz w:val="20"/>
                <w:szCs w:val="20"/>
                <w:lang w:val="es-SV"/>
              </w:rPr>
            </w:pPr>
            <w:r>
              <w:rPr>
                <w:b/>
                <w:i/>
                <w:sz w:val="20"/>
                <w:szCs w:val="20"/>
                <w:lang w:val="en-GB"/>
              </w:rPr>
              <w:t>Year</w:t>
            </w:r>
          </w:p>
        </w:tc>
        <w:tc>
          <w:tcPr>
            <w:tcW w:w="1001" w:type="pct"/>
            <w:gridSpan w:val="2"/>
            <w:vAlign w:val="center"/>
          </w:tcPr>
          <w:p w:rsidR="00CD2A5A" w:rsidRDefault="00CD2A5A">
            <w:pPr>
              <w:spacing w:before="20" w:after="20"/>
              <w:jc w:val="center"/>
              <w:rPr>
                <w:b/>
                <w:i/>
                <w:sz w:val="20"/>
                <w:szCs w:val="20"/>
                <w:lang w:val="es-SV"/>
              </w:rPr>
            </w:pPr>
            <w:r>
              <w:rPr>
                <w:b/>
                <w:i/>
                <w:sz w:val="20"/>
                <w:szCs w:val="20"/>
                <w:lang w:val="en-GB"/>
              </w:rPr>
              <w:t>Women</w:t>
            </w:r>
          </w:p>
        </w:tc>
        <w:tc>
          <w:tcPr>
            <w:tcW w:w="999" w:type="pct"/>
            <w:vAlign w:val="center"/>
          </w:tcPr>
          <w:p w:rsidR="00CD2A5A" w:rsidRDefault="00CD2A5A">
            <w:pPr>
              <w:spacing w:before="20" w:after="20"/>
              <w:jc w:val="center"/>
              <w:rPr>
                <w:b/>
                <w:i/>
                <w:sz w:val="20"/>
                <w:szCs w:val="20"/>
                <w:lang w:val="es-SV"/>
              </w:rPr>
            </w:pPr>
            <w:r>
              <w:rPr>
                <w:b/>
                <w:i/>
                <w:sz w:val="20"/>
                <w:szCs w:val="20"/>
                <w:lang w:val="en-GB"/>
              </w:rPr>
              <w:t>Boys</w:t>
            </w:r>
          </w:p>
        </w:tc>
        <w:tc>
          <w:tcPr>
            <w:tcW w:w="1001" w:type="pct"/>
            <w:vAlign w:val="center"/>
          </w:tcPr>
          <w:p w:rsidR="00CD2A5A" w:rsidRDefault="00CD2A5A">
            <w:pPr>
              <w:spacing w:before="20" w:after="20"/>
              <w:jc w:val="center"/>
              <w:rPr>
                <w:b/>
                <w:i/>
                <w:sz w:val="20"/>
                <w:szCs w:val="20"/>
                <w:lang w:val="es-SV"/>
              </w:rPr>
            </w:pPr>
            <w:r>
              <w:rPr>
                <w:b/>
                <w:i/>
                <w:sz w:val="20"/>
                <w:szCs w:val="20"/>
                <w:lang w:val="en-GB"/>
              </w:rPr>
              <w:t>Girls</w:t>
            </w:r>
          </w:p>
        </w:tc>
        <w:tc>
          <w:tcPr>
            <w:tcW w:w="996" w:type="pct"/>
            <w:vAlign w:val="center"/>
          </w:tcPr>
          <w:p w:rsidR="00CD2A5A" w:rsidRDefault="00CD2A5A">
            <w:pPr>
              <w:spacing w:before="20" w:after="20"/>
              <w:jc w:val="center"/>
              <w:rPr>
                <w:b/>
                <w:i/>
                <w:sz w:val="20"/>
                <w:szCs w:val="20"/>
                <w:lang w:val="es-SV"/>
              </w:rPr>
            </w:pPr>
            <w:r>
              <w:rPr>
                <w:b/>
                <w:i/>
                <w:sz w:val="20"/>
                <w:szCs w:val="20"/>
                <w:lang w:val="en-GB"/>
              </w:rPr>
              <w:t>Total</w:t>
            </w:r>
          </w:p>
        </w:tc>
      </w:tr>
      <w:tr w:rsidR="00CD2A5A">
        <w:tblPrEx>
          <w:tblCellMar>
            <w:top w:w="0" w:type="dxa"/>
            <w:bottom w:w="0" w:type="dxa"/>
          </w:tblCellMar>
        </w:tblPrEx>
        <w:trPr>
          <w:jc w:val="center"/>
        </w:trPr>
        <w:tc>
          <w:tcPr>
            <w:tcW w:w="1003" w:type="pct"/>
            <w:vAlign w:val="center"/>
          </w:tcPr>
          <w:p w:rsidR="00CD2A5A" w:rsidRDefault="00CD2A5A">
            <w:pPr>
              <w:spacing w:before="20" w:after="20"/>
              <w:rPr>
                <w:sz w:val="20"/>
                <w:szCs w:val="20"/>
                <w:lang w:val="es-SV"/>
              </w:rPr>
            </w:pPr>
            <w:r>
              <w:rPr>
                <w:sz w:val="20"/>
                <w:szCs w:val="20"/>
                <w:lang w:val="es-SV"/>
              </w:rPr>
              <w:t>2004</w:t>
            </w:r>
          </w:p>
        </w:tc>
        <w:tc>
          <w:tcPr>
            <w:tcW w:w="1001" w:type="pct"/>
            <w:gridSpan w:val="2"/>
            <w:vAlign w:val="center"/>
          </w:tcPr>
          <w:p w:rsidR="00CD2A5A" w:rsidRDefault="00CD2A5A">
            <w:pPr>
              <w:spacing w:before="20" w:after="20"/>
              <w:ind w:right="712"/>
              <w:jc w:val="right"/>
              <w:rPr>
                <w:sz w:val="20"/>
                <w:szCs w:val="20"/>
                <w:lang w:val="es-SV"/>
              </w:rPr>
            </w:pPr>
            <w:r>
              <w:rPr>
                <w:sz w:val="20"/>
                <w:szCs w:val="20"/>
                <w:lang w:val="es-SV"/>
              </w:rPr>
              <w:t>88</w:t>
            </w:r>
          </w:p>
        </w:tc>
        <w:tc>
          <w:tcPr>
            <w:tcW w:w="999" w:type="pct"/>
            <w:vAlign w:val="center"/>
          </w:tcPr>
          <w:p w:rsidR="00CD2A5A" w:rsidRDefault="00CD2A5A">
            <w:pPr>
              <w:spacing w:before="20" w:after="20"/>
              <w:ind w:right="712"/>
              <w:jc w:val="right"/>
              <w:rPr>
                <w:sz w:val="20"/>
                <w:szCs w:val="20"/>
                <w:lang w:val="es-SV"/>
              </w:rPr>
            </w:pPr>
            <w:r>
              <w:rPr>
                <w:sz w:val="20"/>
                <w:szCs w:val="20"/>
                <w:lang w:val="es-SV"/>
              </w:rPr>
              <w:t>53</w:t>
            </w:r>
          </w:p>
        </w:tc>
        <w:tc>
          <w:tcPr>
            <w:tcW w:w="1001" w:type="pct"/>
            <w:vAlign w:val="center"/>
          </w:tcPr>
          <w:p w:rsidR="00CD2A5A" w:rsidRDefault="00CD2A5A">
            <w:pPr>
              <w:spacing w:before="20" w:after="20"/>
              <w:ind w:right="712"/>
              <w:jc w:val="right"/>
              <w:rPr>
                <w:sz w:val="20"/>
                <w:szCs w:val="20"/>
                <w:lang w:val="es-SV"/>
              </w:rPr>
            </w:pPr>
            <w:r>
              <w:rPr>
                <w:sz w:val="20"/>
                <w:szCs w:val="20"/>
                <w:lang w:val="es-SV"/>
              </w:rPr>
              <w:t>58</w:t>
            </w:r>
          </w:p>
        </w:tc>
        <w:tc>
          <w:tcPr>
            <w:tcW w:w="996" w:type="pct"/>
            <w:vAlign w:val="center"/>
          </w:tcPr>
          <w:p w:rsidR="00CD2A5A" w:rsidRDefault="00CD2A5A">
            <w:pPr>
              <w:spacing w:before="20" w:after="20"/>
              <w:ind w:right="712"/>
              <w:jc w:val="right"/>
              <w:rPr>
                <w:sz w:val="20"/>
                <w:szCs w:val="20"/>
                <w:lang w:val="es-SV"/>
              </w:rPr>
            </w:pPr>
            <w:r>
              <w:rPr>
                <w:sz w:val="20"/>
                <w:szCs w:val="20"/>
                <w:lang w:val="es-SV"/>
              </w:rPr>
              <w:t>199</w:t>
            </w:r>
          </w:p>
        </w:tc>
      </w:tr>
      <w:tr w:rsidR="00CD2A5A">
        <w:tblPrEx>
          <w:tblCellMar>
            <w:top w:w="0" w:type="dxa"/>
            <w:bottom w:w="0" w:type="dxa"/>
          </w:tblCellMar>
        </w:tblPrEx>
        <w:trPr>
          <w:jc w:val="center"/>
        </w:trPr>
        <w:tc>
          <w:tcPr>
            <w:tcW w:w="1003" w:type="pct"/>
            <w:vAlign w:val="center"/>
          </w:tcPr>
          <w:p w:rsidR="00CD2A5A" w:rsidRDefault="00CD2A5A">
            <w:pPr>
              <w:spacing w:before="20" w:after="20"/>
              <w:rPr>
                <w:sz w:val="20"/>
                <w:szCs w:val="20"/>
                <w:lang w:val="es-SV"/>
              </w:rPr>
            </w:pPr>
            <w:r>
              <w:rPr>
                <w:sz w:val="20"/>
                <w:szCs w:val="20"/>
                <w:lang w:val="es-SV"/>
              </w:rPr>
              <w:t>2005</w:t>
            </w:r>
          </w:p>
        </w:tc>
        <w:tc>
          <w:tcPr>
            <w:tcW w:w="1001" w:type="pct"/>
            <w:gridSpan w:val="2"/>
            <w:vAlign w:val="center"/>
          </w:tcPr>
          <w:p w:rsidR="00CD2A5A" w:rsidRDefault="00CD2A5A">
            <w:pPr>
              <w:spacing w:before="20" w:after="20"/>
              <w:ind w:right="712"/>
              <w:jc w:val="right"/>
              <w:rPr>
                <w:sz w:val="20"/>
                <w:szCs w:val="20"/>
                <w:lang w:val="es-SV"/>
              </w:rPr>
            </w:pPr>
            <w:r>
              <w:rPr>
                <w:sz w:val="20"/>
                <w:szCs w:val="20"/>
                <w:lang w:val="es-SV"/>
              </w:rPr>
              <w:t>54</w:t>
            </w:r>
          </w:p>
        </w:tc>
        <w:tc>
          <w:tcPr>
            <w:tcW w:w="999" w:type="pct"/>
            <w:vAlign w:val="center"/>
          </w:tcPr>
          <w:p w:rsidR="00CD2A5A" w:rsidRDefault="00CD2A5A">
            <w:pPr>
              <w:spacing w:before="20" w:after="20"/>
              <w:ind w:right="712"/>
              <w:jc w:val="right"/>
              <w:rPr>
                <w:sz w:val="20"/>
                <w:szCs w:val="20"/>
                <w:lang w:val="es-SV"/>
              </w:rPr>
            </w:pPr>
            <w:r>
              <w:rPr>
                <w:sz w:val="20"/>
                <w:szCs w:val="20"/>
                <w:lang w:val="es-SV"/>
              </w:rPr>
              <w:t>30</w:t>
            </w:r>
          </w:p>
        </w:tc>
        <w:tc>
          <w:tcPr>
            <w:tcW w:w="1001" w:type="pct"/>
            <w:vAlign w:val="center"/>
          </w:tcPr>
          <w:p w:rsidR="00CD2A5A" w:rsidRDefault="00CD2A5A">
            <w:pPr>
              <w:spacing w:before="20" w:after="20"/>
              <w:ind w:right="712"/>
              <w:jc w:val="right"/>
              <w:rPr>
                <w:sz w:val="20"/>
                <w:szCs w:val="20"/>
                <w:lang w:val="es-SV"/>
              </w:rPr>
            </w:pPr>
            <w:r>
              <w:rPr>
                <w:sz w:val="20"/>
                <w:szCs w:val="20"/>
                <w:lang w:val="es-SV"/>
              </w:rPr>
              <w:t>95</w:t>
            </w:r>
          </w:p>
        </w:tc>
        <w:tc>
          <w:tcPr>
            <w:tcW w:w="996" w:type="pct"/>
            <w:vAlign w:val="center"/>
          </w:tcPr>
          <w:p w:rsidR="00CD2A5A" w:rsidRDefault="00CD2A5A">
            <w:pPr>
              <w:spacing w:before="20" w:after="20"/>
              <w:ind w:right="712"/>
              <w:jc w:val="right"/>
              <w:rPr>
                <w:sz w:val="20"/>
                <w:szCs w:val="20"/>
                <w:lang w:val="es-SV"/>
              </w:rPr>
            </w:pPr>
            <w:r>
              <w:rPr>
                <w:sz w:val="20"/>
                <w:szCs w:val="20"/>
                <w:lang w:val="es-SV"/>
              </w:rPr>
              <w:t>179</w:t>
            </w:r>
          </w:p>
        </w:tc>
      </w:tr>
      <w:tr w:rsidR="00CD2A5A">
        <w:tblPrEx>
          <w:tblCellMar>
            <w:top w:w="0" w:type="dxa"/>
            <w:bottom w:w="0" w:type="dxa"/>
          </w:tblCellMar>
        </w:tblPrEx>
        <w:trPr>
          <w:jc w:val="center"/>
        </w:trPr>
        <w:tc>
          <w:tcPr>
            <w:tcW w:w="1003" w:type="pct"/>
            <w:vAlign w:val="center"/>
          </w:tcPr>
          <w:p w:rsidR="00CD2A5A" w:rsidRDefault="00CD2A5A">
            <w:pPr>
              <w:spacing w:before="20" w:after="20"/>
              <w:rPr>
                <w:sz w:val="20"/>
                <w:szCs w:val="20"/>
                <w:lang w:val="es-SV"/>
              </w:rPr>
            </w:pPr>
            <w:r>
              <w:rPr>
                <w:sz w:val="20"/>
                <w:szCs w:val="20"/>
                <w:lang w:val="es-SV"/>
              </w:rPr>
              <w:t>2006</w:t>
            </w:r>
          </w:p>
        </w:tc>
        <w:tc>
          <w:tcPr>
            <w:tcW w:w="1001" w:type="pct"/>
            <w:gridSpan w:val="2"/>
            <w:vAlign w:val="center"/>
          </w:tcPr>
          <w:p w:rsidR="00CD2A5A" w:rsidRDefault="00CD2A5A">
            <w:pPr>
              <w:spacing w:before="20" w:after="20"/>
              <w:ind w:right="712"/>
              <w:jc w:val="right"/>
              <w:rPr>
                <w:sz w:val="20"/>
                <w:szCs w:val="20"/>
                <w:lang w:val="es-SV"/>
              </w:rPr>
            </w:pPr>
            <w:r>
              <w:rPr>
                <w:sz w:val="20"/>
                <w:szCs w:val="20"/>
                <w:lang w:val="es-SV"/>
              </w:rPr>
              <w:t>60</w:t>
            </w:r>
          </w:p>
        </w:tc>
        <w:tc>
          <w:tcPr>
            <w:tcW w:w="999" w:type="pct"/>
            <w:vAlign w:val="center"/>
          </w:tcPr>
          <w:p w:rsidR="00CD2A5A" w:rsidRDefault="00CD2A5A">
            <w:pPr>
              <w:spacing w:before="20" w:after="20"/>
              <w:ind w:right="712"/>
              <w:jc w:val="right"/>
              <w:rPr>
                <w:sz w:val="20"/>
                <w:szCs w:val="20"/>
                <w:lang w:val="es-SV"/>
              </w:rPr>
            </w:pPr>
            <w:r>
              <w:rPr>
                <w:sz w:val="20"/>
                <w:szCs w:val="20"/>
                <w:lang w:val="es-SV"/>
              </w:rPr>
              <w:t>42</w:t>
            </w:r>
          </w:p>
        </w:tc>
        <w:tc>
          <w:tcPr>
            <w:tcW w:w="1001" w:type="pct"/>
            <w:vAlign w:val="center"/>
          </w:tcPr>
          <w:p w:rsidR="00CD2A5A" w:rsidRDefault="00CD2A5A">
            <w:pPr>
              <w:spacing w:before="20" w:after="20"/>
              <w:ind w:right="712"/>
              <w:jc w:val="right"/>
              <w:rPr>
                <w:sz w:val="20"/>
                <w:szCs w:val="20"/>
                <w:lang w:val="es-SV"/>
              </w:rPr>
            </w:pPr>
            <w:r>
              <w:rPr>
                <w:sz w:val="20"/>
                <w:szCs w:val="20"/>
                <w:lang w:val="es-SV"/>
              </w:rPr>
              <w:t>122</w:t>
            </w:r>
          </w:p>
        </w:tc>
        <w:tc>
          <w:tcPr>
            <w:tcW w:w="996" w:type="pct"/>
            <w:vAlign w:val="center"/>
          </w:tcPr>
          <w:p w:rsidR="00CD2A5A" w:rsidRDefault="00CD2A5A">
            <w:pPr>
              <w:spacing w:before="20" w:after="20"/>
              <w:ind w:right="712"/>
              <w:jc w:val="right"/>
              <w:rPr>
                <w:sz w:val="20"/>
                <w:szCs w:val="20"/>
                <w:lang w:val="es-SV"/>
              </w:rPr>
            </w:pPr>
            <w:r>
              <w:rPr>
                <w:sz w:val="20"/>
                <w:szCs w:val="20"/>
                <w:lang w:val="es-SV"/>
              </w:rPr>
              <w:t>225</w:t>
            </w:r>
          </w:p>
        </w:tc>
      </w:tr>
      <w:tr w:rsidR="00CD2A5A">
        <w:tblPrEx>
          <w:tblCellMar>
            <w:top w:w="0" w:type="dxa"/>
            <w:bottom w:w="0" w:type="dxa"/>
          </w:tblCellMar>
        </w:tblPrEx>
        <w:trPr>
          <w:jc w:val="center"/>
        </w:trPr>
        <w:tc>
          <w:tcPr>
            <w:tcW w:w="1003" w:type="pct"/>
            <w:vAlign w:val="center"/>
          </w:tcPr>
          <w:p w:rsidR="00CD2A5A" w:rsidRDefault="00CD2A5A">
            <w:pPr>
              <w:spacing w:before="20" w:after="20"/>
              <w:rPr>
                <w:sz w:val="20"/>
                <w:szCs w:val="20"/>
                <w:lang w:val="es-SV"/>
              </w:rPr>
            </w:pPr>
          </w:p>
        </w:tc>
        <w:tc>
          <w:tcPr>
            <w:tcW w:w="1001" w:type="pct"/>
            <w:gridSpan w:val="2"/>
            <w:vAlign w:val="center"/>
          </w:tcPr>
          <w:p w:rsidR="00CD2A5A" w:rsidRDefault="00CD2A5A">
            <w:pPr>
              <w:spacing w:before="20" w:after="20"/>
              <w:ind w:right="712"/>
              <w:jc w:val="right"/>
              <w:rPr>
                <w:sz w:val="20"/>
                <w:szCs w:val="20"/>
                <w:lang w:val="es-SV"/>
              </w:rPr>
            </w:pPr>
          </w:p>
        </w:tc>
        <w:tc>
          <w:tcPr>
            <w:tcW w:w="999" w:type="pct"/>
            <w:vAlign w:val="center"/>
          </w:tcPr>
          <w:p w:rsidR="00CD2A5A" w:rsidRDefault="00CD2A5A">
            <w:pPr>
              <w:spacing w:before="20" w:after="20"/>
              <w:ind w:right="712"/>
              <w:jc w:val="right"/>
              <w:rPr>
                <w:sz w:val="20"/>
                <w:szCs w:val="20"/>
                <w:lang w:val="es-SV"/>
              </w:rPr>
            </w:pPr>
          </w:p>
        </w:tc>
        <w:tc>
          <w:tcPr>
            <w:tcW w:w="1001" w:type="pct"/>
            <w:vAlign w:val="center"/>
          </w:tcPr>
          <w:p w:rsidR="00CD2A5A" w:rsidRDefault="00CD2A5A">
            <w:pPr>
              <w:spacing w:before="20" w:after="20"/>
              <w:ind w:right="712"/>
              <w:jc w:val="right"/>
              <w:rPr>
                <w:sz w:val="20"/>
                <w:szCs w:val="20"/>
                <w:lang w:val="es-SV"/>
              </w:rPr>
            </w:pPr>
          </w:p>
        </w:tc>
        <w:tc>
          <w:tcPr>
            <w:tcW w:w="996" w:type="pct"/>
            <w:vAlign w:val="center"/>
          </w:tcPr>
          <w:p w:rsidR="00CD2A5A" w:rsidRDefault="00CD2A5A">
            <w:pPr>
              <w:spacing w:before="20" w:after="20"/>
              <w:ind w:right="712"/>
              <w:jc w:val="right"/>
              <w:rPr>
                <w:sz w:val="20"/>
                <w:szCs w:val="20"/>
                <w:lang w:val="es-SV"/>
              </w:rPr>
            </w:pPr>
          </w:p>
        </w:tc>
      </w:tr>
      <w:tr w:rsidR="00CD2A5A">
        <w:tblPrEx>
          <w:tblCellMar>
            <w:top w:w="0" w:type="dxa"/>
            <w:bottom w:w="0" w:type="dxa"/>
          </w:tblCellMar>
        </w:tblPrEx>
        <w:trPr>
          <w:jc w:val="center"/>
        </w:trPr>
        <w:tc>
          <w:tcPr>
            <w:tcW w:w="1003" w:type="pct"/>
            <w:vAlign w:val="center"/>
          </w:tcPr>
          <w:p w:rsidR="00CD2A5A" w:rsidRDefault="00CD2A5A" w:rsidP="00A32998">
            <w:pPr>
              <w:pStyle w:val="TOC1"/>
            </w:pPr>
            <w:r>
              <w:t>Total</w:t>
            </w:r>
          </w:p>
        </w:tc>
        <w:tc>
          <w:tcPr>
            <w:tcW w:w="994" w:type="pct"/>
            <w:vAlign w:val="center"/>
          </w:tcPr>
          <w:p w:rsidR="00CD2A5A" w:rsidRDefault="00CD2A5A" w:rsidP="00A32998">
            <w:pPr>
              <w:pStyle w:val="TOC1"/>
            </w:pPr>
            <w:r>
              <w:fldChar w:fldCharType="begin"/>
            </w:r>
            <w:r>
              <w:instrText xml:space="preserve"> =SUM(ABOVE) </w:instrText>
            </w:r>
            <w:r>
              <w:fldChar w:fldCharType="separate"/>
            </w:r>
            <w:r>
              <w:rPr>
                <w:noProof/>
              </w:rPr>
              <w:t>244</w:t>
            </w:r>
            <w:r>
              <w:fldChar w:fldCharType="end"/>
            </w:r>
          </w:p>
        </w:tc>
        <w:tc>
          <w:tcPr>
            <w:tcW w:w="1006" w:type="pct"/>
            <w:gridSpan w:val="2"/>
            <w:vAlign w:val="center"/>
          </w:tcPr>
          <w:p w:rsidR="00CD2A5A" w:rsidRDefault="00CD2A5A" w:rsidP="00A32998">
            <w:pPr>
              <w:pStyle w:val="TOC1"/>
            </w:pPr>
            <w:r>
              <w:fldChar w:fldCharType="begin"/>
            </w:r>
            <w:r>
              <w:instrText xml:space="preserve"> =SUM(ABOVE) </w:instrText>
            </w:r>
            <w:r>
              <w:fldChar w:fldCharType="separate"/>
            </w:r>
            <w:r>
              <w:rPr>
                <w:noProof/>
              </w:rPr>
              <w:t>151</w:t>
            </w:r>
            <w:r>
              <w:fldChar w:fldCharType="end"/>
            </w:r>
          </w:p>
        </w:tc>
        <w:tc>
          <w:tcPr>
            <w:tcW w:w="1001" w:type="pct"/>
            <w:vAlign w:val="center"/>
          </w:tcPr>
          <w:p w:rsidR="00CD2A5A" w:rsidRDefault="00CD2A5A" w:rsidP="00A32998">
            <w:pPr>
              <w:pStyle w:val="TOC1"/>
            </w:pPr>
            <w:r>
              <w:fldChar w:fldCharType="begin"/>
            </w:r>
            <w:r>
              <w:instrText xml:space="preserve"> =SUM(ABOVE) </w:instrText>
            </w:r>
            <w:r>
              <w:fldChar w:fldCharType="separate"/>
            </w:r>
            <w:r>
              <w:rPr>
                <w:noProof/>
              </w:rPr>
              <w:t>348</w:t>
            </w:r>
            <w:r>
              <w:fldChar w:fldCharType="end"/>
            </w:r>
          </w:p>
        </w:tc>
        <w:tc>
          <w:tcPr>
            <w:tcW w:w="996" w:type="pct"/>
            <w:vAlign w:val="center"/>
          </w:tcPr>
          <w:p w:rsidR="00CD2A5A" w:rsidRDefault="00CD2A5A">
            <w:pPr>
              <w:spacing w:before="20" w:after="20"/>
              <w:ind w:right="712"/>
              <w:jc w:val="right"/>
              <w:rPr>
                <w:sz w:val="20"/>
                <w:szCs w:val="20"/>
                <w:lang w:val="es-SV"/>
              </w:rPr>
            </w:pPr>
            <w:r>
              <w:rPr>
                <w:sz w:val="20"/>
                <w:szCs w:val="20"/>
                <w:lang w:val="es-SV"/>
              </w:rPr>
              <w:fldChar w:fldCharType="begin"/>
            </w:r>
            <w:r>
              <w:rPr>
                <w:sz w:val="20"/>
                <w:szCs w:val="20"/>
                <w:lang w:val="es-SV"/>
              </w:rPr>
              <w:instrText xml:space="preserve"> =SUM(ABOVE) </w:instrText>
            </w:r>
            <w:r>
              <w:rPr>
                <w:sz w:val="20"/>
                <w:szCs w:val="20"/>
                <w:lang w:val="es-SV"/>
              </w:rPr>
              <w:fldChar w:fldCharType="separate"/>
            </w:r>
            <w:r>
              <w:rPr>
                <w:noProof/>
                <w:sz w:val="20"/>
                <w:szCs w:val="20"/>
                <w:lang w:val="es-SV"/>
              </w:rPr>
              <w:t>744</w:t>
            </w:r>
            <w:r>
              <w:rPr>
                <w:sz w:val="20"/>
                <w:szCs w:val="20"/>
                <w:lang w:val="es-SV"/>
              </w:rPr>
              <w:fldChar w:fldCharType="end"/>
            </w:r>
          </w:p>
        </w:tc>
      </w:tr>
    </w:tbl>
    <w:p w:rsidR="00CD2A5A" w:rsidRDefault="00CD2A5A">
      <w:pPr>
        <w:pStyle w:val="Source"/>
      </w:pPr>
      <w:r>
        <w:rPr>
          <w:i/>
        </w:rPr>
        <w:t>Source</w:t>
      </w:r>
      <w:r>
        <w:t>: ISDEMU</w:t>
      </w:r>
    </w:p>
    <w:p w:rsidR="00CD2A5A" w:rsidRDefault="00CD2A5A">
      <w:pPr>
        <w:pStyle w:val="Header"/>
        <w:numPr>
          <w:ilvl w:val="0"/>
          <w:numId w:val="3"/>
        </w:numPr>
        <w:tabs>
          <w:tab w:val="clear" w:pos="720"/>
          <w:tab w:val="clear" w:pos="4252"/>
        </w:tabs>
        <w:spacing w:after="240"/>
        <w:ind w:left="0" w:firstLine="0"/>
        <w:rPr>
          <w:lang w:val="en-US"/>
        </w:rPr>
      </w:pPr>
      <w:r>
        <w:rPr>
          <w:lang w:val="en-GB"/>
        </w:rPr>
        <w:t>See annex VIII for the number of domestic violence victims handled by ISDEMU, including children.</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ISDEMU also has a line of action on training and awareness for key officials for care and immediate action for victims of domestic violence, including children.</w:t>
      </w:r>
      <w:r>
        <w:rPr>
          <w:lang w:val="en-US"/>
        </w:rPr>
        <w:t xml:space="preserve"> </w:t>
      </w:r>
      <w:r>
        <w:rPr>
          <w:lang w:val="en-GB"/>
        </w:rPr>
        <w:t>National Civil Police officers have been given priority for taking part in these activities.</w:t>
      </w:r>
      <w:r>
        <w:rPr>
          <w:lang w:val="en-US"/>
        </w:rPr>
        <w:t xml:space="preserve"> </w:t>
      </w:r>
    </w:p>
    <w:p w:rsidR="00CD2A5A" w:rsidRDefault="00CD2A5A" w:rsidP="00CD2A5A">
      <w:pPr>
        <w:pStyle w:val="Figure"/>
        <w:rPr>
          <w:lang w:val="en-US"/>
        </w:rPr>
      </w:pPr>
      <w:r>
        <w:t>Figure 34</w:t>
      </w:r>
    </w:p>
    <w:p w:rsidR="00CD2A5A" w:rsidRDefault="00CD2A5A" w:rsidP="00CD2A5A">
      <w:pPr>
        <w:pStyle w:val="Figure"/>
        <w:rPr>
          <w:lang w:val="en-US"/>
        </w:rPr>
      </w:pPr>
      <w:r>
        <w:t>National Civil Police officers taking part in domestic violence training and awareness activities.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3"/>
        <w:gridCol w:w="1883"/>
        <w:gridCol w:w="1882"/>
        <w:gridCol w:w="1882"/>
        <w:gridCol w:w="1882"/>
      </w:tblGrid>
      <w:tr w:rsidR="00CD2A5A">
        <w:trPr>
          <w:trHeight w:val="255"/>
          <w:jc w:val="center"/>
        </w:trPr>
        <w:tc>
          <w:tcPr>
            <w:tcW w:w="1000" w:type="pct"/>
            <w:noWrap/>
            <w:vAlign w:val="center"/>
          </w:tcPr>
          <w:p w:rsidR="00CD2A5A" w:rsidRDefault="00CD2A5A">
            <w:pPr>
              <w:spacing w:before="40" w:after="40"/>
              <w:jc w:val="center"/>
              <w:rPr>
                <w:b/>
                <w:bCs/>
                <w:i/>
                <w:sz w:val="20"/>
                <w:szCs w:val="20"/>
                <w:lang w:val="es-SV"/>
              </w:rPr>
            </w:pPr>
            <w:r>
              <w:rPr>
                <w:b/>
                <w:bCs/>
                <w:i/>
                <w:sz w:val="20"/>
                <w:szCs w:val="20"/>
                <w:lang w:val="en-GB"/>
              </w:rPr>
              <w:t>Year</w:t>
            </w:r>
          </w:p>
        </w:tc>
        <w:tc>
          <w:tcPr>
            <w:tcW w:w="1000" w:type="pct"/>
            <w:noWrap/>
            <w:vAlign w:val="center"/>
          </w:tcPr>
          <w:p w:rsidR="00CD2A5A" w:rsidRDefault="00CD2A5A">
            <w:pPr>
              <w:spacing w:before="40" w:after="40"/>
              <w:jc w:val="center"/>
              <w:rPr>
                <w:b/>
                <w:bCs/>
                <w:i/>
                <w:sz w:val="20"/>
                <w:szCs w:val="20"/>
                <w:lang w:val="es-SV"/>
              </w:rPr>
            </w:pPr>
            <w:r>
              <w:rPr>
                <w:b/>
                <w:bCs/>
                <w:i/>
                <w:sz w:val="20"/>
                <w:szCs w:val="20"/>
                <w:lang w:val="en-GB"/>
              </w:rPr>
              <w:t>Number of activities</w:t>
            </w:r>
          </w:p>
        </w:tc>
        <w:tc>
          <w:tcPr>
            <w:tcW w:w="1000" w:type="pct"/>
            <w:noWrap/>
            <w:vAlign w:val="center"/>
          </w:tcPr>
          <w:p w:rsidR="00CD2A5A" w:rsidRDefault="00CD2A5A">
            <w:pPr>
              <w:spacing w:before="40" w:after="40"/>
              <w:jc w:val="center"/>
              <w:rPr>
                <w:b/>
                <w:bCs/>
                <w:i/>
                <w:sz w:val="20"/>
                <w:szCs w:val="20"/>
                <w:lang w:val="es-SV"/>
              </w:rPr>
            </w:pPr>
            <w:r>
              <w:rPr>
                <w:b/>
                <w:bCs/>
                <w:i/>
                <w:sz w:val="20"/>
                <w:szCs w:val="20"/>
                <w:lang w:val="en-GB"/>
              </w:rPr>
              <w:t>Female</w:t>
            </w:r>
          </w:p>
        </w:tc>
        <w:tc>
          <w:tcPr>
            <w:tcW w:w="1000" w:type="pct"/>
            <w:noWrap/>
            <w:vAlign w:val="center"/>
          </w:tcPr>
          <w:p w:rsidR="00CD2A5A" w:rsidRDefault="00CD2A5A">
            <w:pPr>
              <w:spacing w:before="40" w:after="40"/>
              <w:jc w:val="center"/>
              <w:rPr>
                <w:b/>
                <w:bCs/>
                <w:i/>
                <w:sz w:val="20"/>
                <w:szCs w:val="20"/>
                <w:lang w:val="es-SV"/>
              </w:rPr>
            </w:pPr>
            <w:r>
              <w:rPr>
                <w:b/>
                <w:bCs/>
                <w:i/>
                <w:sz w:val="20"/>
                <w:szCs w:val="20"/>
                <w:lang w:val="en-GB"/>
              </w:rPr>
              <w:t>Male</w:t>
            </w:r>
          </w:p>
        </w:tc>
        <w:tc>
          <w:tcPr>
            <w:tcW w:w="1000" w:type="pct"/>
            <w:noWrap/>
            <w:vAlign w:val="center"/>
          </w:tcPr>
          <w:p w:rsidR="00CD2A5A" w:rsidRDefault="00CD2A5A">
            <w:pPr>
              <w:spacing w:before="40" w:after="40"/>
              <w:jc w:val="center"/>
              <w:rPr>
                <w:b/>
                <w:bCs/>
                <w:i/>
                <w:sz w:val="20"/>
                <w:szCs w:val="20"/>
                <w:lang w:val="es-SV"/>
              </w:rPr>
            </w:pPr>
            <w:r>
              <w:rPr>
                <w:b/>
                <w:bCs/>
                <w:i/>
                <w:sz w:val="20"/>
                <w:szCs w:val="20"/>
                <w:lang w:val="en-GB"/>
              </w:rPr>
              <w:t>Total</w:t>
            </w:r>
          </w:p>
        </w:tc>
      </w:tr>
      <w:tr w:rsidR="00CD2A5A">
        <w:trPr>
          <w:trHeight w:val="255"/>
          <w:jc w:val="center"/>
        </w:trPr>
        <w:tc>
          <w:tcPr>
            <w:tcW w:w="1000" w:type="pct"/>
            <w:noWrap/>
            <w:vAlign w:val="center"/>
          </w:tcPr>
          <w:p w:rsidR="00CD2A5A" w:rsidRDefault="00CD2A5A">
            <w:pPr>
              <w:spacing w:before="40" w:after="40"/>
              <w:rPr>
                <w:sz w:val="20"/>
                <w:szCs w:val="20"/>
                <w:lang w:val="es-SV"/>
              </w:rPr>
            </w:pPr>
            <w:r>
              <w:rPr>
                <w:sz w:val="20"/>
                <w:szCs w:val="20"/>
                <w:lang w:val="en-GB"/>
              </w:rPr>
              <w:t>2004</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111</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3,654</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3,064</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6,718</w:t>
            </w:r>
          </w:p>
        </w:tc>
      </w:tr>
      <w:tr w:rsidR="00CD2A5A">
        <w:trPr>
          <w:trHeight w:val="255"/>
          <w:jc w:val="center"/>
        </w:trPr>
        <w:tc>
          <w:tcPr>
            <w:tcW w:w="1000" w:type="pct"/>
            <w:noWrap/>
            <w:vAlign w:val="center"/>
          </w:tcPr>
          <w:p w:rsidR="00CD2A5A" w:rsidRDefault="00CD2A5A">
            <w:pPr>
              <w:spacing w:before="40" w:after="40"/>
              <w:rPr>
                <w:sz w:val="20"/>
                <w:szCs w:val="20"/>
                <w:lang w:val="es-SV"/>
              </w:rPr>
            </w:pPr>
            <w:r>
              <w:rPr>
                <w:sz w:val="20"/>
                <w:szCs w:val="20"/>
                <w:lang w:val="en-GB"/>
              </w:rPr>
              <w:t>2005</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125</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2,481</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1,674</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4,155</w:t>
            </w:r>
          </w:p>
        </w:tc>
      </w:tr>
      <w:tr w:rsidR="00CD2A5A">
        <w:trPr>
          <w:trHeight w:val="255"/>
          <w:jc w:val="center"/>
        </w:trPr>
        <w:tc>
          <w:tcPr>
            <w:tcW w:w="1000" w:type="pct"/>
            <w:noWrap/>
            <w:vAlign w:val="center"/>
          </w:tcPr>
          <w:p w:rsidR="00CD2A5A" w:rsidRDefault="00CD2A5A">
            <w:pPr>
              <w:spacing w:before="40" w:after="40"/>
              <w:rPr>
                <w:sz w:val="20"/>
                <w:szCs w:val="20"/>
                <w:lang w:val="es-SV"/>
              </w:rPr>
            </w:pPr>
            <w:r>
              <w:rPr>
                <w:sz w:val="20"/>
                <w:szCs w:val="20"/>
                <w:lang w:val="en-GB"/>
              </w:rPr>
              <w:t>2006</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130</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2,346</w:t>
            </w:r>
          </w:p>
        </w:tc>
        <w:tc>
          <w:tcPr>
            <w:tcW w:w="1000" w:type="pct"/>
            <w:shd w:val="clear" w:color="FFFFFF" w:fill="FFFFFF"/>
            <w:noWrap/>
            <w:vAlign w:val="center"/>
          </w:tcPr>
          <w:p w:rsidR="00CD2A5A" w:rsidRDefault="00CD2A5A">
            <w:pPr>
              <w:spacing w:before="40" w:after="40"/>
              <w:ind w:right="789"/>
              <w:jc w:val="right"/>
              <w:rPr>
                <w:bCs/>
                <w:sz w:val="20"/>
                <w:szCs w:val="20"/>
                <w:lang w:val="es-SV"/>
              </w:rPr>
            </w:pPr>
            <w:r>
              <w:rPr>
                <w:bCs/>
                <w:sz w:val="20"/>
                <w:szCs w:val="20"/>
                <w:lang w:val="es-SV"/>
              </w:rPr>
              <w:t>1,660</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4,006</w:t>
            </w:r>
          </w:p>
        </w:tc>
      </w:tr>
      <w:tr w:rsidR="00CD2A5A">
        <w:trPr>
          <w:trHeight w:val="255"/>
          <w:jc w:val="center"/>
        </w:trPr>
        <w:tc>
          <w:tcPr>
            <w:tcW w:w="1000" w:type="pct"/>
            <w:noWrap/>
            <w:vAlign w:val="center"/>
          </w:tcPr>
          <w:p w:rsidR="00CD2A5A" w:rsidRDefault="00CD2A5A">
            <w:pPr>
              <w:spacing w:before="40" w:after="40"/>
              <w:rPr>
                <w:bCs/>
                <w:sz w:val="20"/>
                <w:szCs w:val="20"/>
                <w:lang w:val="es-SV"/>
              </w:rPr>
            </w:pPr>
            <w:r>
              <w:rPr>
                <w:bCs/>
                <w:sz w:val="20"/>
                <w:szCs w:val="20"/>
                <w:lang w:val="en-GB"/>
              </w:rPr>
              <w:t>Total</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366</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8,481</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6,398</w:t>
            </w:r>
          </w:p>
        </w:tc>
        <w:tc>
          <w:tcPr>
            <w:tcW w:w="1000" w:type="pct"/>
            <w:noWrap/>
            <w:vAlign w:val="center"/>
          </w:tcPr>
          <w:p w:rsidR="00CD2A5A" w:rsidRDefault="00CD2A5A">
            <w:pPr>
              <w:spacing w:before="40" w:after="40"/>
              <w:ind w:right="789"/>
              <w:jc w:val="right"/>
              <w:rPr>
                <w:bCs/>
                <w:sz w:val="20"/>
                <w:szCs w:val="20"/>
                <w:lang w:val="es-SV"/>
              </w:rPr>
            </w:pPr>
            <w:r>
              <w:rPr>
                <w:bCs/>
                <w:sz w:val="20"/>
                <w:szCs w:val="20"/>
                <w:lang w:val="es-SV"/>
              </w:rPr>
              <w:t>14,879</w:t>
            </w:r>
          </w:p>
        </w:tc>
      </w:tr>
    </w:tbl>
    <w:p w:rsidR="00CD2A5A" w:rsidRDefault="00CD2A5A">
      <w:pPr>
        <w:pStyle w:val="Source"/>
      </w:pPr>
      <w:r>
        <w:rPr>
          <w:i/>
        </w:rPr>
        <w:t>Source</w:t>
      </w:r>
      <w:r>
        <w:t>: ISDEMU</w:t>
      </w:r>
    </w:p>
    <w:p w:rsidR="00CD2A5A" w:rsidRDefault="00CD2A5A">
      <w:pPr>
        <w:pStyle w:val="Header"/>
        <w:numPr>
          <w:ilvl w:val="0"/>
          <w:numId w:val="3"/>
        </w:numPr>
        <w:tabs>
          <w:tab w:val="clear" w:pos="720"/>
          <w:tab w:val="clear" w:pos="4252"/>
        </w:tabs>
        <w:spacing w:after="240"/>
        <w:ind w:left="0" w:firstLine="0"/>
        <w:rPr>
          <w:lang w:val="en-US"/>
        </w:rPr>
      </w:pPr>
      <w:r>
        <w:rPr>
          <w:lang w:val="en-GB"/>
        </w:rPr>
        <w:t>Regarding internment of children and adolescents, the ISNA Act states that placing them in an institution or internment is an exceptional protection measure of last resort, enabling children to be placed in a shelter appropriate to their age, personality and gender, with the aim of carrying out studies, learning a craft or trade, receiving specialist care for their rehabilitation, always ensuring that they are fully protected.</w:t>
      </w:r>
      <w:r>
        <w:rPr>
          <w:lang w:val="en-US"/>
        </w:rPr>
        <w:t xml:space="preserve"> </w:t>
      </w:r>
      <w:r>
        <w:rPr>
          <w:lang w:val="en-GB"/>
        </w:rPr>
        <w:t>The fundamental criterion for deciding on the internment of a child for their care, protection or treatment, is a direct and immediate threat to their life and personal integrity.</w:t>
      </w:r>
    </w:p>
    <w:p w:rsidR="00CD2A5A" w:rsidRDefault="00CD2A5A">
      <w:pPr>
        <w:pStyle w:val="Header"/>
        <w:numPr>
          <w:ilvl w:val="0"/>
          <w:numId w:val="3"/>
        </w:numPr>
        <w:tabs>
          <w:tab w:val="clear" w:pos="720"/>
          <w:tab w:val="clear" w:pos="4252"/>
        </w:tabs>
        <w:spacing w:after="240"/>
        <w:ind w:left="0" w:firstLine="0"/>
        <w:rPr>
          <w:lang w:val="en-US"/>
        </w:rPr>
      </w:pPr>
      <w:r>
        <w:rPr>
          <w:lang w:val="en-GB"/>
        </w:rPr>
        <w:t>ISNA is the main institution responsible for sheltering children at risk, and for supervising private agencies authorized to carry out that function.</w:t>
      </w:r>
      <w:r>
        <w:rPr>
          <w:lang w:val="en-US"/>
        </w:rPr>
        <w:t xml:space="preserve"> </w:t>
      </w:r>
      <w:r>
        <w:rPr>
          <w:lang w:val="en-GB"/>
        </w:rPr>
        <w:t>To that end, it has internal procedures for periodic examination and supervision of internment conditions.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Having regard to the higher interests of interned children, ISNA has also established coordination mechanisms with the Office of the Public Prosecutor of the Republic, the Office of the Attorney-General of the Republic, the National Civil Police, family courts and Magistrates courts, to supervise internment conditions and facilitate the protection of children at risk.</w:t>
      </w:r>
      <w:r>
        <w:rPr>
          <w:lang w:val="en-US"/>
        </w:rPr>
        <w:t xml:space="preserve"> </w:t>
      </w:r>
      <w:r>
        <w:rPr>
          <w:lang w:val="en-GB"/>
        </w:rPr>
        <w:t>The Office of the National Counsel for the Defence of Human Rights, as a part of the Attorney General's Office, and as an independent State agency, also has constitutional and legal powers to supervise the human rights of children interned in public institutions.</w:t>
      </w:r>
    </w:p>
    <w:p w:rsidR="00CD2A5A" w:rsidRPr="008A5877" w:rsidRDefault="00CD2A5A">
      <w:pPr>
        <w:pStyle w:val="I"/>
        <w:rPr>
          <w:lang w:val="en-US"/>
        </w:rPr>
      </w:pPr>
      <w:bookmarkStart w:id="6" w:name="_Toc174156724"/>
      <w:r w:rsidRPr="008A5877">
        <w:rPr>
          <w:lang w:val="en-US"/>
        </w:rPr>
        <w:t xml:space="preserve">VI. </w:t>
      </w:r>
      <w:bookmarkEnd w:id="6"/>
      <w:r w:rsidRPr="008A5877">
        <w:rPr>
          <w:lang w:val="en-US"/>
        </w:rPr>
        <w:t xml:space="preserve"> Basic health and well-being</w:t>
      </w:r>
    </w:p>
    <w:p w:rsidR="00CD2A5A" w:rsidRDefault="00CD2A5A" w:rsidP="006228EF">
      <w:pPr>
        <w:pStyle w:val="A0"/>
        <w:rPr>
          <w:lang w:val="en-US"/>
        </w:rPr>
      </w:pPr>
      <w:r>
        <w:t>A.  Survival and development; nutrition</w:t>
      </w:r>
    </w:p>
    <w:p w:rsidR="00CD2A5A" w:rsidRDefault="00CD2A5A">
      <w:pPr>
        <w:numPr>
          <w:ilvl w:val="0"/>
          <w:numId w:val="3"/>
        </w:numPr>
        <w:tabs>
          <w:tab w:val="clear" w:pos="720"/>
        </w:tabs>
        <w:spacing w:after="240"/>
        <w:ind w:left="0" w:firstLine="0"/>
        <w:rPr>
          <w:lang w:val="en-US"/>
        </w:rPr>
      </w:pPr>
      <w:r>
        <w:rPr>
          <w:lang w:val="en-GB"/>
        </w:rPr>
        <w:t>Indicators of undernourishment in children aged under 5 show that El Salvador, over the past 15 years, has made considerable progress, reflecting a substantial improvement in the quality of children’s lives.</w:t>
      </w:r>
      <w:r>
        <w:rPr>
          <w:lang w:val="en-US"/>
        </w:rPr>
        <w:t xml:space="preserve"> </w:t>
      </w:r>
      <w:r>
        <w:rPr>
          <w:lang w:val="en-GB"/>
        </w:rPr>
        <w:t>However, these indicators differ considerably according to area of residence.</w:t>
      </w:r>
      <w:r>
        <w:rPr>
          <w:lang w:val="en-US"/>
        </w:rPr>
        <w:t xml:space="preserve"> </w:t>
      </w:r>
      <w:r>
        <w:rPr>
          <w:lang w:val="en-GB"/>
        </w:rPr>
        <w:t>The indicators show progress on solving the problem, as the rate of 11.2% in 1991 fell to 10.3% in 2003, a reduction of 0.9 points in 10 years, at an average rate of -0.09 points a year.</w:t>
      </w:r>
      <w:r>
        <w:rPr>
          <w:lang w:val="en-US"/>
        </w:rPr>
        <w:t xml:space="preserve"> </w:t>
      </w:r>
      <w:r>
        <w:rPr>
          <w:lang w:val="en-GB"/>
        </w:rPr>
        <w:t>If El Salvador maintains this most recent rate it may succeed in reducing the global rate of severe and moderate undernourishment to 7.5% by 2010 in accordance with 'A World Fit for Children' targets (PA-MANA), and to 5.6% in accordance with MDG 1.</w:t>
      </w:r>
      <w:r>
        <w:rPr>
          <w:lang w:val="en-US"/>
        </w:rPr>
        <w:t xml:space="preserve"> </w:t>
      </w:r>
    </w:p>
    <w:p w:rsidR="00CD2A5A" w:rsidRDefault="00CD2A5A" w:rsidP="00CD2A5A">
      <w:pPr>
        <w:pStyle w:val="Figure"/>
        <w:rPr>
          <w:lang w:val="en-US"/>
        </w:rPr>
      </w:pPr>
      <w:r>
        <w:t>Figure 35</w:t>
      </w:r>
    </w:p>
    <w:p w:rsidR="00CD2A5A" w:rsidRDefault="00CD2A5A" w:rsidP="00CD2A5A">
      <w:pPr>
        <w:pStyle w:val="Figure"/>
      </w:pPr>
      <w:r>
        <w:t>Trend of undernourishment in children aged &lt; 5, 1998-2003</w:t>
      </w:r>
    </w:p>
    <w:tbl>
      <w:tblPr>
        <w:tblW w:w="0" w:type="auto"/>
        <w:jc w:val="center"/>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5786"/>
      </w:tblGrid>
      <w:tr w:rsidR="00CD2A5A">
        <w:trPr>
          <w:jc w:val="center"/>
        </w:trPr>
        <w:tc>
          <w:tcPr>
            <w:tcW w:w="5784" w:type="dxa"/>
          </w:tcPr>
          <w:p w:rsidR="00CD2A5A" w:rsidRDefault="00CD2A5A">
            <w:pPr>
              <w:spacing w:after="240"/>
              <w:rPr>
                <w:b/>
                <w:bCs/>
                <w:sz w:val="18"/>
                <w:szCs w:val="18"/>
                <w:lang w:val="es-SV"/>
              </w:rPr>
            </w:pPr>
            <w:r>
              <w:rPr>
                <w:noProof/>
                <w:lang w:val="fr-CH" w:eastAsia="fr-CH"/>
              </w:rPr>
            </w:r>
            <w:r>
              <w:rPr>
                <w:lang w:val="es-SV"/>
              </w:rPr>
              <w:pict>
                <v:group id="_x0000_s1429" editas="canvas" style="width:278.4pt;height:187.35pt;mso-position-horizontal-relative:char;mso-position-vertical-relative:line" coordorigin=",441" coordsize="5568,3747">
                  <o:lock v:ext="edit" aspectratio="t"/>
                  <v:shape id="_x0000_s1430" type="#_x0000_t75" style="position:absolute;top:441;width:5568;height:3747" o:preferrelative="f">
                    <v:fill o:detectmouseclick="t"/>
                    <v:path o:extrusionok="t" o:connecttype="none"/>
                    <o:lock v:ext="edit" text="t"/>
                  </v:shape>
                  <v:group id="_x0000_s1431" style="position:absolute;left:678;top:862;width:4437;height:2540" coordorigin="678,862" coordsize="4437,2540">
                    <v:rect id="_x0000_s1432" style="position:absolute;left:678;top:862;width:27;height:2540" fillcolor="#3cc" stroked="f"/>
                    <v:rect id="_x0000_s1433" style="position:absolute;left:705;top:862;width:27;height:2540" fillcolor="#3cc" stroked="f"/>
                    <v:rect id="_x0000_s1434" style="position:absolute;left:732;top:862;width:36;height:2540" fillcolor="#34cccc" stroked="f"/>
                    <v:rect id="_x0000_s1435" style="position:absolute;left:768;top:862;width:27;height:2540" fillcolor="#34cccc" stroked="f"/>
                    <v:rect id="_x0000_s1436" style="position:absolute;left:795;top:862;width:27;height:2540" fillcolor="#35cccc" stroked="f"/>
                    <v:rect id="_x0000_s1437" style="position:absolute;left:822;top:862;width:27;height:2540" fillcolor="#36cccc" stroked="f"/>
                    <v:rect id="_x0000_s1438" style="position:absolute;left:849;top:862;width:28;height:2540" fillcolor="#36cccc" stroked="f"/>
                    <v:rect id="_x0000_s1439" style="position:absolute;left:877;top:862;width:36;height:2540" fillcolor="#37cccc" stroked="f"/>
                    <v:rect id="_x0000_s1440" style="position:absolute;left:913;top:862;width:27;height:2540" fillcolor="#38cccc" stroked="f"/>
                    <v:rect id="_x0000_s1441" style="position:absolute;left:940;top:862;width:27;height:2540" fillcolor="#39cccc" stroked="f"/>
                    <v:rect id="_x0000_s1442" style="position:absolute;left:967;top:862;width:27;height:2540" fillcolor="#3acdcd" stroked="f"/>
                    <v:rect id="_x0000_s1443" style="position:absolute;left:994;top:862;width:27;height:2540" fillcolor="#3bcdcd" stroked="f"/>
                    <v:rect id="_x0000_s1444" style="position:absolute;left:1021;top:862;width:27;height:2540" fillcolor="#3bcdcd" stroked="f"/>
                    <v:rect id="_x0000_s1445" style="position:absolute;left:1048;top:862;width:36;height:2540" fillcolor="#3ccdcd" stroked="f"/>
                    <v:rect id="_x0000_s1446" style="position:absolute;left:1084;top:862;width:28;height:2540" fillcolor="#3dcdcd" stroked="f"/>
                    <v:rect id="_x0000_s1447" style="position:absolute;left:1112;top:862;width:27;height:2540" fillcolor="#3ecdcd" stroked="f"/>
                    <v:rect id="_x0000_s1448" style="position:absolute;left:1139;top:862;width:27;height:2540" fillcolor="#3fcece" stroked="f"/>
                    <v:rect id="_x0000_s1449" style="position:absolute;left:1166;top:862;width:27;height:2540" fillcolor="#40cece" stroked="f"/>
                    <v:rect id="_x0000_s1450" style="position:absolute;left:1193;top:862;width:36;height:2540" fillcolor="#41cece" stroked="f"/>
                    <v:rect id="_x0000_s1451" style="position:absolute;left:1229;top:862;width:27;height:2540" fillcolor="#42cece" stroked="f"/>
                    <v:rect id="_x0000_s1452" style="position:absolute;left:1256;top:862;width:27;height:2540" fillcolor="#43cece" stroked="f"/>
                    <v:rect id="_x0000_s1453" style="position:absolute;left:1283;top:862;width:27;height:2540" fillcolor="#44cfcf" stroked="f"/>
                    <v:rect id="_x0000_s1454" style="position:absolute;left:1310;top:862;width:27;height:2540" fillcolor="#45cfcf" stroked="f"/>
                    <v:rect id="_x0000_s1455" style="position:absolute;left:1337;top:862;width:37;height:2540" fillcolor="#47cfcf" stroked="f"/>
                    <v:rect id="_x0000_s1456" style="position:absolute;left:1374;top:862;width:27;height:2540" fillcolor="#47cfcf" stroked="f"/>
                    <v:rect id="_x0000_s1457" style="position:absolute;left:1401;top:862;width:27;height:2540" fillcolor="#49cfcf" stroked="f"/>
                    <v:rect id="_x0000_s1458" style="position:absolute;left:1428;top:862;width:27;height:2540" fillcolor="#4ad0d0" stroked="f"/>
                    <v:rect id="_x0000_s1459" style="position:absolute;left:1455;top:862;width:27;height:2540" fillcolor="#4bd0d0" stroked="f"/>
                    <v:rect id="_x0000_s1460" style="position:absolute;left:1482;top:862;width:27;height:2540" fillcolor="#4cd0d0" stroked="f"/>
                    <v:rect id="_x0000_s1461" style="position:absolute;left:1509;top:862;width:36;height:2540" fillcolor="#4ed1d1" stroked="f"/>
                    <v:rect id="_x0000_s1462" style="position:absolute;left:1545;top:862;width:27;height:2540" fillcolor="#4fd1d1" stroked="f"/>
                    <v:rect id="_x0000_s1463" style="position:absolute;left:1572;top:862;width:28;height:2540" fillcolor="#50d1d1" stroked="f"/>
                    <v:rect id="_x0000_s1464" style="position:absolute;left:1600;top:862;width:27;height:2540" fillcolor="#52d2d2" stroked="f"/>
                    <v:rect id="_x0000_s1465" style="position:absolute;left:1627;top:862;width:27;height:2540" fillcolor="#53d2d2" stroked="f"/>
                    <v:rect id="_x0000_s1466" style="position:absolute;left:1654;top:862;width:36;height:2540" fillcolor="#54d2d2" stroked="f"/>
                    <v:rect id="_x0000_s1467" style="position:absolute;left:1690;top:862;width:27;height:2540" fillcolor="#56d3d3" stroked="f"/>
                    <v:rect id="_x0000_s1468" style="position:absolute;left:1717;top:862;width:27;height:2540" fillcolor="#57d3d3" stroked="f"/>
                    <v:rect id="_x0000_s1469" style="position:absolute;left:1744;top:862;width:27;height:2540" fillcolor="#58d3d3" stroked="f"/>
                    <v:rect id="_x0000_s1470" style="position:absolute;left:1771;top:862;width:27;height:2540" fillcolor="#5ad4d4" stroked="f"/>
                    <v:rect id="_x0000_s1471" style="position:absolute;left:1798;top:862;width:36;height:2540" fillcolor="#5bd4d4" stroked="f"/>
                    <v:rect id="_x0000_s1472" style="position:absolute;left:1834;top:862;width:28;height:2540" fillcolor="#5dd4d4" stroked="f"/>
                    <v:rect id="_x0000_s1473" style="position:absolute;left:1862;top:862;width:27;height:2540" fillcolor="#5ed4d4" stroked="f"/>
                    <v:rect id="_x0000_s1474" style="position:absolute;left:1889;top:862;width:27;height:2540" fillcolor="#5fd5d5" stroked="f"/>
                    <v:rect id="_x0000_s1475" style="position:absolute;left:1916;top:862;width:27;height:2540" fillcolor="#61d5d5" stroked="f"/>
                    <v:rect id="_x0000_s1476" style="position:absolute;left:1943;top:862;width:27;height:2540" fillcolor="#62d6d6" stroked="f"/>
                    <v:rect id="_x0000_s1477" style="position:absolute;left:1970;top:862;width:36;height:2540" fillcolor="#64d6d6" stroked="f"/>
                    <v:rect id="_x0000_s1478" style="position:absolute;left:2006;top:862;width:27;height:2540" fillcolor="#66d7d7" stroked="f"/>
                    <v:rect id="_x0000_s1479" style="position:absolute;left:2033;top:862;width:27;height:2540" fillcolor="#67d7d7" stroked="f"/>
                    <v:rect id="_x0000_s1480" style="position:absolute;left:2060;top:862;width:28;height:2540" fillcolor="#68d7d7" stroked="f"/>
                    <v:rect id="_x0000_s1481" style="position:absolute;left:2088;top:862;width:27;height:2540" fillcolor="#6ad8d8" stroked="f"/>
                    <v:rect id="_x0000_s1482" style="position:absolute;left:2115;top:862;width:36;height:2540" fillcolor="#6bd8d8" stroked="f"/>
                    <v:rect id="_x0000_s1483" style="position:absolute;left:2151;top:862;width:27;height:2540" fillcolor="#6dd9d9" stroked="f"/>
                    <v:rect id="_x0000_s1484" style="position:absolute;left:2178;top:862;width:27;height:2540" fillcolor="#6fd9d9" stroked="f"/>
                    <v:rect id="_x0000_s1485" style="position:absolute;left:2205;top:862;width:27;height:2540" fillcolor="#70dada" stroked="f"/>
                    <v:rect id="_x0000_s1486" style="position:absolute;left:2232;top:862;width:27;height:2540" fillcolor="#72dada" stroked="f"/>
                    <v:rect id="_x0000_s1487" style="position:absolute;left:2259;top:862;width:36;height:2540" fillcolor="#74dbdb" stroked="f"/>
                    <v:rect id="_x0000_s1488" style="position:absolute;left:2295;top:862;width:27;height:2540" fillcolor="#75dbdb" stroked="f"/>
                    <v:rect id="_x0000_s1489" style="position:absolute;left:2322;top:862;width:28;height:2540" fillcolor="#76dcdc" stroked="f"/>
                    <v:rect id="_x0000_s1490" style="position:absolute;left:2350;top:862;width:27;height:2540" fillcolor="#78dcdc" stroked="f"/>
                    <v:rect id="_x0000_s1491" style="position:absolute;left:2377;top:862;width:27;height:2540" fillcolor="#79dddd" stroked="f"/>
                    <v:rect id="_x0000_s1492" style="position:absolute;left:2404;top:862;width:27;height:2540" fillcolor="#7bdddd" stroked="f"/>
                    <v:rect id="_x0000_s1493" style="position:absolute;left:2431;top:862;width:36;height:2540" fillcolor="#7ddede" stroked="f"/>
                    <v:rect id="_x0000_s1494" style="position:absolute;left:2467;top:862;width:27;height:2540" fillcolor="#7edede" stroked="f"/>
                    <v:rect id="_x0000_s1495" style="position:absolute;left:2494;top:862;width:27;height:2540" fillcolor="#80dfdf" stroked="f"/>
                    <v:rect id="_x0000_s1496" style="position:absolute;left:2521;top:862;width:27;height:2540" fillcolor="#82e0e0" stroked="f"/>
                    <v:rect id="_x0000_s1497" style="position:absolute;left:2548;top:862;width:28;height:2540" fillcolor="#83e0e0" stroked="f"/>
                    <v:rect id="_x0000_s1498" style="position:absolute;left:2576;top:862;width:36;height:2540" fillcolor="#84e1e1" stroked="f"/>
                    <v:rect id="_x0000_s1499" style="position:absolute;left:2612;top:862;width:27;height:2540" fillcolor="#86e1e1" stroked="f"/>
                    <v:rect id="_x0000_s1500" style="position:absolute;left:2639;top:862;width:27;height:2540" fillcolor="#87e2e2" stroked="f"/>
                    <v:rect id="_x0000_s1501" style="position:absolute;left:2666;top:862;width:27;height:2540" fillcolor="#89e2e2" stroked="f"/>
                    <v:rect id="_x0000_s1502" style="position:absolute;left:2693;top:862;width:27;height:2540" fillcolor="#8be3e3" stroked="f"/>
                    <v:rect id="_x0000_s1503" style="position:absolute;left:2720;top:862;width:36;height:2540" fillcolor="#8ce3e3" stroked="f"/>
                    <v:rect id="_x0000_s1504" style="position:absolute;left:2756;top:862;width:27;height:2540" fillcolor="#8ee4e4" stroked="f"/>
                    <v:rect id="_x0000_s1505" style="position:absolute;left:2783;top:862;width:27;height:2540" fillcolor="#8fe5e5" stroked="f"/>
                    <v:rect id="_x0000_s1506" style="position:absolute;left:2810;top:862;width:28;height:2540" fillcolor="#90e5e5" stroked="f"/>
                    <v:rect id="_x0000_s1507" style="position:absolute;left:2838;top:862;width:27;height:2540" fillcolor="#92e6e6" stroked="f"/>
                    <v:rect id="_x0000_s1508" style="position:absolute;left:2865;top:862;width:36;height:2540" fillcolor="#94e6e6" stroked="f"/>
                    <v:rect id="_x0000_s1509" style="position:absolute;left:2901;top:862;width:27;height:2540" fillcolor="#95e7e7" stroked="f"/>
                    <v:rect id="_x0000_s1510" style="position:absolute;left:2928;top:862;width:27;height:2540" fillcolor="#96e7e7" stroked="f"/>
                    <v:rect id="_x0000_s1511" style="position:absolute;left:2955;top:862;width:27;height:2540" fillcolor="#98e8e8" stroked="f"/>
                    <v:rect id="_x0000_s1512" style="position:absolute;left:2982;top:862;width:27;height:2540" filled="f" fillcolor="#99e8e8" stroked="f"/>
                    <v:rect id="_x0000_s1513" style="position:absolute;left:3009;top:862;width:27;height:2540" fillcolor="#9ae9e9" stroked="f"/>
                    <v:rect id="_x0000_s1514" style="position:absolute;left:3036;top:862;width:37;height:2540" fillcolor="#9ceaea" stroked="f"/>
                    <v:rect id="_x0000_s1515" style="position:absolute;left:3073;top:862;width:27;height:2540" fillcolor="#9deaea" stroked="f"/>
                    <v:rect id="_x0000_s1516" style="position:absolute;left:3100;top:862;width:27;height:2540" fillcolor="#9febeb" stroked="f"/>
                    <v:rect id="_x0000_s1517" style="position:absolute;left:3127;top:862;width:27;height:2540" fillcolor="#a0ebeb" stroked="f"/>
                    <v:rect id="_x0000_s1518" style="position:absolute;left:3154;top:862;width:27;height:2540" fillcolor="#a1ebeb" stroked="f"/>
                    <v:rect id="_x0000_s1519" style="position:absolute;left:3181;top:862;width:36;height:2540" fillcolor="#a2ecec" stroked="f"/>
                    <v:rect id="_x0000_s1520" style="position:absolute;left:3217;top:862;width:27;height:2540" fillcolor="#a4eded" stroked="f"/>
                    <v:rect id="_x0000_s1521" style="position:absolute;left:3244;top:862;width:27;height:2540" fillcolor="#a5eded" stroked="f"/>
                    <v:rect id="_x0000_s1522" style="position:absolute;left:3271;top:862;width:27;height:2540" fillcolor="#a6eeee" stroked="f"/>
                    <v:rect id="_x0000_s1523" style="position:absolute;left:3298;top:862;width:28;height:2540" fillcolor="#a8eeee" stroked="f"/>
                    <v:rect id="_x0000_s1524" style="position:absolute;left:3326;top:862;width:36;height:2540" fillcolor="#a8efef" stroked="f"/>
                    <v:rect id="_x0000_s1525" style="position:absolute;left:3362;top:862;width:27;height:2540" fillcolor="#aaefef" stroked="f"/>
                    <v:rect id="_x0000_s1526" style="position:absolute;left:3389;top:862;width:27;height:2540" fillcolor="#abf0f0" stroked="f"/>
                    <v:rect id="_x0000_s1527" style="position:absolute;left:3416;top:862;width:27;height:2540" fillcolor="#acf0f0" stroked="f"/>
                    <v:rect id="_x0000_s1528" style="position:absolute;left:3443;top:862;width:27;height:2540" fillcolor="#adf1f1" stroked="f"/>
                    <v:rect id="_x0000_s1529" style="position:absolute;left:3470;top:862;width:27;height:2540" fillcolor="#aef1f1" stroked="f"/>
                    <v:rect id="_x0000_s1530" style="position:absolute;left:3497;top:862;width:36;height:2540" fillcolor="#aff1f1" stroked="f"/>
                    <v:rect id="_x0000_s1531" style="position:absolute;left:3533;top:862;width:28;height:2540" fillcolor="#b0f2f2" stroked="f"/>
                    <v:rect id="_x0000_s1532" style="position:absolute;left:3561;top:862;width:27;height:2540" fillcolor="#b1f2f2" stroked="f"/>
                    <v:rect id="_x0000_s1533" style="position:absolute;left:3588;top:862;width:27;height:2540" fillcolor="#b2f3f3" stroked="f"/>
                    <v:rect id="_x0000_s1534" style="position:absolute;left:3615;top:862;width:27;height:2540" fillcolor="#b3f3f3" stroked="f"/>
                    <v:rect id="_x0000_s1535" style="position:absolute;left:3642;top:862;width:36;height:2540" fillcolor="#b4f4f4" stroked="f"/>
                    <v:rect id="_x0000_s1536" style="position:absolute;left:3678;top:862;width:27;height:2540" fillcolor="#b5f4f4" stroked="f"/>
                    <v:rect id="_x0000_s1537" style="position:absolute;left:3705;top:862;width:27;height:2540" fillcolor="#b6f4f4" stroked="f"/>
                    <v:rect id="_x0000_s1538" style="position:absolute;left:3732;top:862;width:27;height:2540" fillcolor="#b7f5f5" stroked="f"/>
                    <v:rect id="_x0000_s1539" style="position:absolute;left:3759;top:862;width:27;height:2540" fillcolor="#b7f5f5" stroked="f"/>
                    <v:rect id="_x0000_s1540" style="position:absolute;left:3786;top:862;width:37;height:2540" fillcolor="#b8f6f6" stroked="f"/>
                    <v:rect id="_x0000_s1541" style="position:absolute;left:3823;top:862;width:27;height:2540" fillcolor="#b9f6f6" stroked="f"/>
                    <v:rect id="_x0000_s1542" style="position:absolute;left:3850;top:862;width:27;height:2540" fillcolor="#baf6f6" stroked="f"/>
                    <v:rect id="_x0000_s1543" style="position:absolute;left:3877;top:862;width:27;height:2540" fillcolor="#bbf7f7" stroked="f"/>
                    <v:rect id="_x0000_s1544" style="position:absolute;left:3904;top:862;width:27;height:2540" fillcolor="#bcf7f7" stroked="f"/>
                    <v:rect id="_x0000_s1545" style="position:absolute;left:3931;top:862;width:27;height:2540" fillcolor="#bcf7f7" stroked="f"/>
                    <v:rect id="_x0000_s1546" style="position:absolute;left:3958;top:862;width:36;height:2540" fillcolor="#bdf8f8" stroked="f"/>
                    <v:rect id="_x0000_s1547" style="position:absolute;left:3994;top:862;width:27;height:2540" fillcolor="#bef8f8" stroked="f"/>
                    <v:rect id="_x0000_s1548" style="position:absolute;left:4021;top:862;width:28;height:2540" fillcolor="#bef8f8" stroked="f"/>
                    <v:rect id="_x0000_s1549" style="position:absolute;left:4049;top:862;width:27;height:2540" fillcolor="#bff9f9" stroked="f"/>
                    <v:rect id="_x0000_s1550" style="position:absolute;left:4076;top:862;width:27;height:2540" fillcolor="#bff9f9" stroked="f"/>
                    <v:rect id="_x0000_s1551" style="position:absolute;left:4103;top:862;width:36;height:2540" fillcolor="#c0f9f9" stroked="f"/>
                    <v:rect id="_x0000_s1552" style="position:absolute;left:4139;top:862;width:27;height:2540" fillcolor="#c1f9f9" stroked="f"/>
                    <v:rect id="_x0000_s1553" style="position:absolute;left:4166;top:862;width:27;height:2540" fillcolor="#c1fafa" stroked="f"/>
                    <v:rect id="_x0000_s1554" style="position:absolute;left:4193;top:862;width:27;height:2540" fillcolor="#c2fafa" stroked="f"/>
                    <v:rect id="_x0000_s1555" style="position:absolute;left:4220;top:862;width:27;height:2540" fillcolor="#c2fafa" stroked="f"/>
                    <v:rect id="_x0000_s1556" style="position:absolute;left:4247;top:862;width:36;height:2540" fillcolor="#c3fafa" stroked="f"/>
                    <v:rect id="_x0000_s1557" style="position:absolute;left:4283;top:862;width:28;height:2540" fillcolor="#c3fbfb" stroked="f"/>
                    <v:rect id="_x0000_s1558" style="position:absolute;left:4311;top:862;width:27;height:2540" fillcolor="#c4fbfb" stroked="f"/>
                    <v:rect id="_x0000_s1559" style="position:absolute;left:4338;top:862;width:27;height:2540" fillcolor="#c4fbfb" stroked="f"/>
                    <v:rect id="_x0000_s1560" style="position:absolute;left:4365;top:862;width:27;height:2540" fillcolor="#c5fbfb" stroked="f"/>
                    <v:rect id="_x0000_s1561" style="position:absolute;left:4392;top:862;width:27;height:2540" fillcolor="#c5fbfb" stroked="f"/>
                    <v:rect id="_x0000_s1562" style="position:absolute;left:4419;top:862;width:36;height:2540" fillcolor="#c5fcfc" stroked="f"/>
                    <v:rect id="_x0000_s1563" style="position:absolute;left:4455;top:862;width:27;height:2540" fillcolor="#c6fcfc" stroked="f"/>
                    <v:rect id="_x0000_s1564" style="position:absolute;left:4482;top:862;width:27;height:2540" fillcolor="#c6fcfc" stroked="f"/>
                    <v:rect id="_x0000_s1565" style="position:absolute;left:4509;top:862;width:27;height:2540" fillcolor="#c7fcfc" stroked="f"/>
                    <v:rect id="_x0000_s1566" style="position:absolute;left:4536;top:862;width:28;height:2540" fillcolor="#c7fcfc" stroked="f"/>
                    <v:rect id="_x0000_s1567" style="position:absolute;left:4564;top:862;width:36;height:2540" fillcolor="#c7fdfd" stroked="f"/>
                    <v:rect id="_x0000_s1568" style="position:absolute;left:4600;top:862;width:27;height:2540" fillcolor="#c8fdfd" stroked="f"/>
                    <v:rect id="_x0000_s1569" style="position:absolute;left:4627;top:862;width:27;height:2540" fillcolor="#c8fdfd" stroked="f"/>
                    <v:rect id="_x0000_s1570" style="position:absolute;left:4654;top:862;width:27;height:2540" fillcolor="#c8fdfd" stroked="f"/>
                    <v:rect id="_x0000_s1571" style="position:absolute;left:4681;top:862;width:27;height:2540" fillcolor="#c9fdfd" stroked="f"/>
                    <v:rect id="_x0000_s1572" style="position:absolute;left:4708;top:862;width:36;height:2540" fillcolor="#c9fdfd" stroked="f"/>
                    <v:rect id="_x0000_s1573" style="position:absolute;left:4744;top:862;width:27;height:2540" fillcolor="#c9fdfd" stroked="f"/>
                    <v:rect id="_x0000_s1574" style="position:absolute;left:4771;top:862;width:28;height:2540" fillcolor="#c9fdfd" stroked="f"/>
                    <v:rect id="_x0000_s1575" style="position:absolute;left:4799;top:862;width:27;height:2540" fillcolor="#cafefe" stroked="f"/>
                    <v:rect id="_x0000_s1576" style="position:absolute;left:4826;top:862;width:27;height:2540" fillcolor="#cafefe" stroked="f"/>
                    <v:rect id="_x0000_s1577" style="position:absolute;left:4853;top:862;width:27;height:2540" fillcolor="#cafefe" stroked="f"/>
                    <v:rect id="_x0000_s1578" style="position:absolute;left:4880;top:862;width:36;height:2540" fillcolor="#cafefe" stroked="f"/>
                    <v:rect id="_x0000_s1579" style="position:absolute;left:4916;top:862;width:27;height:2540" fillcolor="#cbfefe" stroked="f"/>
                    <v:rect id="_x0000_s1580" style="position:absolute;left:4943;top:862;width:27;height:2540" fillcolor="#cbfefe" stroked="f"/>
                    <v:rect id="_x0000_s1581" style="position:absolute;left:4970;top:862;width:27;height:2540" fillcolor="#cbfefe" stroked="f"/>
                    <v:rect id="_x0000_s1582" style="position:absolute;left:4997;top:862;width:27;height:2540" fillcolor="#cbfefe" stroked="f"/>
                    <v:rect id="_x0000_s1583" style="position:absolute;left:5024;top:862;width:37;height:2540" fillcolor="#cbfefe" stroked="f"/>
                    <v:rect id="_x0000_s1584" style="position:absolute;left:5061;top:862;width:27;height:2540" fillcolor="#cbfefe" stroked="f"/>
                    <v:rect id="_x0000_s1585" style="position:absolute;left:5088;top:862;width:27;height:2540" fillcolor="#cff" stroked="f"/>
                  </v:group>
                  <v:rect id="_x0000_s1586" style="position:absolute;left:678;top:862;width:4437;height:2540" filled="f" stroked="f"/>
                  <v:line id="_x0000_s1587" style="position:absolute" from="678,3085" to="5115,3086" strokecolor="#969696" strokeweight="0"/>
                  <v:line id="_x0000_s1588" style="position:absolute" from="678,2767" to="5115,2768" strokecolor="#969696" strokeweight="0"/>
                  <v:line id="_x0000_s1589" style="position:absolute" from="678,2450" to="5115,2451" strokecolor="#969696" strokeweight="0"/>
                  <v:line id="_x0000_s1590" style="position:absolute" from="678,2132" to="5115,2133" strokecolor="#969696" strokeweight="0"/>
                  <v:line id="_x0000_s1591" style="position:absolute" from="678,1815" to="5115,1816" strokecolor="#969696" strokeweight="0"/>
                  <v:line id="_x0000_s1592" style="position:absolute" from="678,1497" to="5115,1498" strokecolor="#969696" strokeweight="0"/>
                  <v:line id="_x0000_s1593" style="position:absolute" from="678,1179" to="5115,1180" strokecolor="#969696" strokeweight="0"/>
                  <v:line id="_x0000_s1594" style="position:absolute" from="678,862" to="5115,863" strokecolor="#969696" strokeweight="0"/>
                  <v:rect id="_x0000_s1595" style="position:absolute;left:679;top:863;width:4437;height:2540" filled="f" strokeweight="0"/>
                  <v:line id="_x0000_s1596" style="position:absolute" from="678,862" to="679,3402" strokeweight="0"/>
                  <v:line id="_x0000_s1597" style="position:absolute" from="633,3402" to="678,3403" strokeweight="0"/>
                  <v:line id="_x0000_s1598" style="position:absolute" from="633,3085" to="678,3086" strokeweight="0"/>
                  <v:line id="_x0000_s1599" style="position:absolute" from="633,2767" to="678,2768" strokeweight="0"/>
                  <v:line id="_x0000_s1600" style="position:absolute" from="633,2450" to="678,2451" strokeweight="0"/>
                  <v:line id="_x0000_s1601" style="position:absolute" from="633,2132" to="678,2133" strokeweight="0"/>
                  <v:line id="_x0000_s1602" style="position:absolute" from="633,1815" to="678,1816" strokeweight="0"/>
                  <v:line id="_x0000_s1603" style="position:absolute" from="633,1497" to="678,1498" strokeweight="0"/>
                  <v:line id="_x0000_s1604" style="position:absolute" from="633,1179" to="678,1180" strokeweight="0"/>
                  <v:line id="_x0000_s1605" style="position:absolute" from="633,862" to="678,863" strokeweight="0"/>
                  <v:line id="_x0000_s1606" style="position:absolute" from="678,3402" to="5115,3403" strokeweight="0"/>
                  <v:line id="_x0000_s1607" style="position:absolute;flip:y" from="678,3402" to="679,3448" strokeweight="0"/>
                  <v:line id="_x0000_s1608" style="position:absolute;flip:y" from="1789,3402" to="1790,3448" strokeweight="0"/>
                  <v:line id="_x0000_s1609" style="position:absolute;flip:y" from="2901,3402" to="2902,3448" strokeweight="0"/>
                  <v:line id="_x0000_s1610" style="position:absolute;flip:y" from="4003,3402" to="4004,3448" strokeweight="0"/>
                  <v:line id="_x0000_s1611" style="position:absolute;flip:y" from="5115,3402" to="5116,3448" strokeweight="0"/>
                  <v:line id="_x0000_s1612" style="position:absolute" from="1229,2441" to="2341,2695" strokecolor="red" strokeweight=".00075mm">
                    <v:stroke endcap="round"/>
                  </v:line>
                  <v:line id="_x0000_s1613" style="position:absolute;flip:y" from="2341,2649" to="3452,2695" strokecolor="red" strokeweight=".00075mm">
                    <v:stroke endcap="round"/>
                  </v:line>
                  <v:line id="_x0000_s1614" style="position:absolute" from="3452,2649" to="4564,2749" strokecolor="red" strokeweight=".00075mm">
                    <v:stroke endcap="round"/>
                  </v:line>
                  <v:line id="_x0000_s1615" style="position:absolute" from="1229,1497" to="2341,1933" strokecolor="#339" strokeweight=".00075mm">
                    <v:stroke endcap="round"/>
                  </v:line>
                  <v:line id="_x0000_s1616" style="position:absolute;flip:y" from="2341,1923" to="3452,1933" strokecolor="#339" strokeweight=".00075mm">
                    <v:stroke endcap="round"/>
                  </v:line>
                  <v:line id="_x0000_s1617" style="position:absolute" from="3452,1923" to="4564,2205" strokecolor="#339" strokeweight=".00075mm">
                    <v:stroke endcap="round"/>
                  </v:line>
                  <v:line id="_x0000_s1618" style="position:absolute" from="1229,3248" to="2341,3312" strokecolor="green" strokeweight=".00075mm">
                    <v:stroke endcap="round"/>
                  </v:line>
                  <v:line id="_x0000_s1619" style="position:absolute" from="2341,3312" to="3452,3330" strokecolor="green" strokeweight=".00075mm">
                    <v:stroke endcap="round"/>
                  </v:line>
                  <v:line id="_x0000_s1620" style="position:absolute;flip:y" from="3452,3312" to="4564,3330" strokecolor="green" strokeweight=".00075mm">
                    <v:stroke endcap="round"/>
                  </v:line>
                  <v:shape id="_x0000_s1621" style="position:absolute;left:1184;top:2395;width:90;height:91" coordsize="90,91" path="m45,l90,91,,91,45,xe" fillcolor="red" strokecolor="red" strokeweight="0">
                    <v:path arrowok="t"/>
                  </v:shape>
                  <v:shape id="_x0000_s1622" style="position:absolute;left:2295;top:2649;width:91;height:91" coordsize="91,91" path="m46,l91,91,,91,46,xe" fillcolor="red" strokecolor="red" strokeweight="0">
                    <v:path arrowok="t"/>
                  </v:shape>
                  <v:shape id="_x0000_s1623" style="position:absolute;left:3407;top:2604;width:90;height:91" coordsize="90,91" path="m45,l90,91,,91,45,xe" fillcolor="red" strokecolor="red" strokeweight="0">
                    <v:path arrowok="t"/>
                  </v:shape>
                  <v:shape id="_x0000_s1624" style="position:absolute;left:4518;top:2704;width:91;height:90" coordsize="91,90" path="m46,l91,90,,90,46,xe" fillcolor="red" strokecolor="red" strokeweight="0">
                    <v:path arrowok="t"/>
                  </v:shape>
                  <v:shape id="_x0000_s1625" style="position:absolute;left:1184;top:1452;width:90;height:90" coordsize="90,90" path="m45,l90,90,,90,45,xe" fillcolor="#339" strokecolor="#339" strokeweight="0">
                    <v:path arrowok="t"/>
                  </v:shape>
                  <v:shape id="_x0000_s1626" style="position:absolute;left:2295;top:1887;width:91;height:91" coordsize="91,91" path="m46,l91,91,,91,46,xe" fillcolor="#339" strokecolor="#339" strokeweight="0">
                    <v:path arrowok="t"/>
                  </v:shape>
                  <v:shape id="_x0000_s1627" style="position:absolute;left:3407;top:1878;width:90;height:91" coordsize="90,91" path="m45,l90,91,,91,45,xe" fillcolor="#339" strokecolor="#339" strokeweight="0">
                    <v:path arrowok="t"/>
                  </v:shape>
                  <v:shape id="_x0000_s1628" style="position:absolute;left:4518;top:2159;width:91;height:91" coordsize="91,91" path="m46,l91,91,,91,46,xe" fillcolor="#339" strokecolor="#339" strokeweight="0">
                    <v:path arrowok="t"/>
                  </v:shape>
                  <v:shape id="_x0000_s1629" style="position:absolute;left:1184;top:3203;width:90;height:91" coordsize="90,91" path="m45,l90,91,,91,45,xe" fillcolor="green" strokecolor="green" strokeweight="0">
                    <v:path arrowok="t"/>
                  </v:shape>
                  <v:shape id="_x0000_s1630" style="position:absolute;left:2295;top:3266;width:91;height:91" coordsize="91,91" path="m46,l91,91,,91,46,xe" fillcolor="green" strokecolor="green" strokeweight="0">
                    <v:path arrowok="t"/>
                  </v:shape>
                  <v:shape id="_x0000_s1631" style="position:absolute;left:3407;top:3284;width:90;height:91" coordsize="90,91" path="m45,l90,91,,91,45,xe" fillcolor="green" strokecolor="green" strokeweight="0">
                    <v:path arrowok="t"/>
                  </v:shape>
                  <v:shape id="_x0000_s1632" style="position:absolute;left:4518;top:3266;width:91;height:91" coordsize="91,91" path="m46,l91,91,,91,46,xe" fillcolor="green" strokecolor="green" strokeweight="0">
                    <v:path arrowok="t"/>
                  </v:shape>
                  <v:rect id="_x0000_s1633" style="position:absolute;left:1084;top:2141;width:312;height:184" filled="f" stroked="f">
                    <v:textbox style="mso-next-textbox:#_x0000_s1633" inset="0,0,0,0">
                      <w:txbxContent>
                        <w:p w:rsidR="008A5877" w:rsidRDefault="008A5877">
                          <w:r>
                            <w:rPr>
                              <w:rFonts w:ascii="Arial" w:hAnsi="Arial" w:cs="Arial"/>
                              <w:b/>
                              <w:bCs/>
                              <w:color w:val="000000"/>
                              <w:sz w:val="16"/>
                              <w:szCs w:val="16"/>
                              <w:lang w:val="en-US"/>
                            </w:rPr>
                            <w:t>15,2</w:t>
                          </w:r>
                        </w:p>
                      </w:txbxContent>
                    </v:textbox>
                  </v:rect>
                  <v:rect id="_x0000_s1634" style="position:absolute;left:2196;top:2395;width:312;height:184" filled="f" stroked="f">
                    <v:textbox style="mso-next-textbox:#_x0000_s1634" inset="0,0,0,0">
                      <w:txbxContent>
                        <w:p w:rsidR="008A5877" w:rsidRDefault="008A5877">
                          <w:r>
                            <w:rPr>
                              <w:rFonts w:ascii="Arial" w:hAnsi="Arial" w:cs="Arial"/>
                              <w:b/>
                              <w:bCs/>
                              <w:color w:val="000000"/>
                              <w:sz w:val="16"/>
                              <w:szCs w:val="16"/>
                              <w:lang w:val="en-US"/>
                            </w:rPr>
                            <w:t>11,2</w:t>
                          </w:r>
                        </w:p>
                      </w:txbxContent>
                    </v:textbox>
                  </v:rect>
                  <v:rect id="_x0000_s1635" style="position:absolute;left:3307;top:2350;width:312;height:184" filled="f" stroked="f">
                    <v:textbox style="mso-next-textbox:#_x0000_s1635" inset="0,0,0,0">
                      <w:txbxContent>
                        <w:p w:rsidR="008A5877" w:rsidRDefault="008A5877">
                          <w:r>
                            <w:rPr>
                              <w:rFonts w:ascii="Arial" w:hAnsi="Arial" w:cs="Arial"/>
                              <w:b/>
                              <w:bCs/>
                              <w:color w:val="000000"/>
                              <w:sz w:val="16"/>
                              <w:szCs w:val="16"/>
                              <w:lang w:val="en-US"/>
                            </w:rPr>
                            <w:t>11,8</w:t>
                          </w:r>
                        </w:p>
                      </w:txbxContent>
                    </v:textbox>
                  </v:rect>
                  <v:rect id="_x0000_s1636" style="position:absolute;left:4419;top:2450;width:312;height:184" filled="f" stroked="f">
                    <v:textbox style="mso-next-textbox:#_x0000_s1636" inset="0,0,0,0">
                      <w:txbxContent>
                        <w:p w:rsidR="008A5877" w:rsidRDefault="008A5877">
                          <w:r>
                            <w:rPr>
                              <w:rFonts w:ascii="Arial" w:hAnsi="Arial" w:cs="Arial"/>
                              <w:b/>
                              <w:bCs/>
                              <w:color w:val="000000"/>
                              <w:sz w:val="16"/>
                              <w:szCs w:val="16"/>
                              <w:lang w:val="en-US"/>
                            </w:rPr>
                            <w:t>10,3</w:t>
                          </w:r>
                        </w:p>
                      </w:txbxContent>
                    </v:textbox>
                  </v:rect>
                  <v:rect id="_x0000_s1637" style="position:absolute;left:1084;top:1198;width:312;height:184" filled="f" stroked="f">
                    <v:textbox style="mso-next-textbox:#_x0000_s1637" inset="0,0,0,0">
                      <w:txbxContent>
                        <w:p w:rsidR="008A5877" w:rsidRDefault="008A5877">
                          <w:r>
                            <w:rPr>
                              <w:rFonts w:ascii="Arial" w:hAnsi="Arial" w:cs="Arial"/>
                              <w:b/>
                              <w:bCs/>
                              <w:color w:val="000000"/>
                              <w:sz w:val="16"/>
                              <w:szCs w:val="16"/>
                              <w:lang w:val="en-US"/>
                            </w:rPr>
                            <w:t>30,0</w:t>
                          </w:r>
                        </w:p>
                      </w:txbxContent>
                    </v:textbox>
                  </v:rect>
                  <v:rect id="_x0000_s1638" style="position:absolute;left:2196;top:1633;width:312;height:184" filled="f" stroked="f">
                    <v:textbox style="mso-next-textbox:#_x0000_s1638" inset="0,0,0,0">
                      <w:txbxContent>
                        <w:p w:rsidR="008A5877" w:rsidRDefault="008A5877">
                          <w:r>
                            <w:rPr>
                              <w:rFonts w:ascii="Arial" w:hAnsi="Arial" w:cs="Arial"/>
                              <w:b/>
                              <w:bCs/>
                              <w:color w:val="000000"/>
                              <w:sz w:val="16"/>
                              <w:szCs w:val="16"/>
                              <w:lang w:val="en-US"/>
                            </w:rPr>
                            <w:t>23,2</w:t>
                          </w:r>
                        </w:p>
                      </w:txbxContent>
                    </v:textbox>
                  </v:rect>
                  <v:rect id="_x0000_s1639" style="position:absolute;left:3307;top:1624;width:312;height:184" filled="f" stroked="f">
                    <v:textbox style="mso-next-textbox:#_x0000_s1639" inset="0,0,0,0">
                      <w:txbxContent>
                        <w:p w:rsidR="008A5877" w:rsidRDefault="008A5877">
                          <w:r>
                            <w:rPr>
                              <w:rFonts w:ascii="Arial" w:hAnsi="Arial" w:cs="Arial"/>
                              <w:b/>
                              <w:bCs/>
                              <w:color w:val="000000"/>
                              <w:sz w:val="16"/>
                              <w:szCs w:val="16"/>
                              <w:lang w:val="en-US"/>
                            </w:rPr>
                            <w:t>23,3</w:t>
                          </w:r>
                        </w:p>
                      </w:txbxContent>
                    </v:textbox>
                  </v:rect>
                  <v:rect id="_x0000_s1640" style="position:absolute;left:4419;top:1905;width:312;height:184" filled="f" stroked="f">
                    <v:textbox style="mso-next-textbox:#_x0000_s1640" inset="0,0,0,0">
                      <w:txbxContent>
                        <w:p w:rsidR="008A5877" w:rsidRDefault="008A5877">
                          <w:r>
                            <w:rPr>
                              <w:rFonts w:ascii="Arial" w:hAnsi="Arial" w:cs="Arial"/>
                              <w:b/>
                              <w:bCs/>
                              <w:color w:val="000000"/>
                              <w:sz w:val="16"/>
                              <w:szCs w:val="16"/>
                              <w:lang w:val="en-US"/>
                            </w:rPr>
                            <w:t>18,9</w:t>
                          </w:r>
                        </w:p>
                      </w:txbxContent>
                    </v:textbox>
                  </v:rect>
                  <v:rect id="_x0000_s1641" style="position:absolute;left:1130;top:2949;width:223;height:184" filled="f" stroked="f">
                    <v:textbox style="mso-next-textbox:#_x0000_s1641" inset="0,0,0,0">
                      <w:txbxContent>
                        <w:p w:rsidR="008A5877" w:rsidRDefault="008A5877">
                          <w:r>
                            <w:rPr>
                              <w:rFonts w:ascii="Arial" w:hAnsi="Arial" w:cs="Arial"/>
                              <w:b/>
                              <w:bCs/>
                              <w:color w:val="000000"/>
                              <w:sz w:val="16"/>
                              <w:szCs w:val="16"/>
                              <w:lang w:val="en-US"/>
                            </w:rPr>
                            <w:t>2,5</w:t>
                          </w:r>
                        </w:p>
                      </w:txbxContent>
                    </v:textbox>
                  </v:rect>
                  <v:rect id="_x0000_s1642" style="position:absolute;left:2241;top:3012;width:223;height:184" filled="f" stroked="f">
                    <v:textbox style="mso-next-textbox:#_x0000_s1642" inset="0,0,0,0">
                      <w:txbxContent>
                        <w:p w:rsidR="008A5877" w:rsidRDefault="008A5877">
                          <w:r>
                            <w:rPr>
                              <w:rFonts w:ascii="Arial" w:hAnsi="Arial" w:cs="Arial"/>
                              <w:b/>
                              <w:bCs/>
                              <w:color w:val="000000"/>
                              <w:sz w:val="16"/>
                              <w:szCs w:val="16"/>
                              <w:lang w:val="en-US"/>
                            </w:rPr>
                            <w:t>1,5</w:t>
                          </w:r>
                        </w:p>
                      </w:txbxContent>
                    </v:textbox>
                  </v:rect>
                  <v:rect id="_x0000_s1643" style="position:absolute;left:3353;top:3030;width:223;height:184" filled="f" stroked="f">
                    <v:textbox style="mso-next-textbox:#_x0000_s1643" inset="0,0,0,0">
                      <w:txbxContent>
                        <w:p w:rsidR="008A5877" w:rsidRDefault="008A5877">
                          <w:r>
                            <w:rPr>
                              <w:rFonts w:ascii="Arial" w:hAnsi="Arial" w:cs="Arial"/>
                              <w:b/>
                              <w:bCs/>
                              <w:color w:val="000000"/>
                              <w:sz w:val="16"/>
                              <w:szCs w:val="16"/>
                              <w:lang w:val="en-US"/>
                            </w:rPr>
                            <w:t>1,1</w:t>
                          </w:r>
                        </w:p>
                      </w:txbxContent>
                    </v:textbox>
                  </v:rect>
                  <v:rect id="_x0000_s1644" style="position:absolute;left:4464;top:3012;width:223;height:184" filled="f" stroked="f">
                    <v:textbox style="mso-next-textbox:#_x0000_s1644" inset="0,0,0,0">
                      <w:txbxContent>
                        <w:p w:rsidR="008A5877" w:rsidRDefault="008A5877">
                          <w:r>
                            <w:rPr>
                              <w:rFonts w:ascii="Arial" w:hAnsi="Arial" w:cs="Arial"/>
                              <w:b/>
                              <w:bCs/>
                              <w:color w:val="000000"/>
                              <w:sz w:val="16"/>
                              <w:szCs w:val="16"/>
                              <w:lang w:val="en-US"/>
                            </w:rPr>
                            <w:t>1,4</w:t>
                          </w:r>
                        </w:p>
                      </w:txbxContent>
                    </v:textbox>
                  </v:rect>
                  <v:rect id="_x0000_s1645" style="position:absolute;left:479;top:3321;width:89;height:184" filled="f" stroked="f">
                    <v:textbox style="mso-next-textbox:#_x0000_s1645" inset="0,0,0,0">
                      <w:txbxContent>
                        <w:p w:rsidR="008A5877" w:rsidRDefault="008A5877">
                          <w:r>
                            <w:rPr>
                              <w:rFonts w:ascii="Arial" w:hAnsi="Arial" w:cs="Arial"/>
                              <w:b/>
                              <w:bCs/>
                              <w:color w:val="000000"/>
                              <w:sz w:val="16"/>
                              <w:szCs w:val="16"/>
                              <w:lang w:val="en-US"/>
                            </w:rPr>
                            <w:t>0</w:t>
                          </w:r>
                        </w:p>
                      </w:txbxContent>
                    </v:textbox>
                  </v:rect>
                  <v:rect id="_x0000_s1646" style="position:absolute;left:479;top:3003;width:89;height:184" filled="f" stroked="f">
                    <v:textbox style="mso-next-textbox:#_x0000_s1646" inset="0,0,0,0">
                      <w:txbxContent>
                        <w:p w:rsidR="008A5877" w:rsidRDefault="008A5877">
                          <w:r>
                            <w:rPr>
                              <w:rFonts w:ascii="Arial" w:hAnsi="Arial" w:cs="Arial"/>
                              <w:b/>
                              <w:bCs/>
                              <w:color w:val="000000"/>
                              <w:sz w:val="16"/>
                              <w:szCs w:val="16"/>
                              <w:lang w:val="en-US"/>
                            </w:rPr>
                            <w:t>5</w:t>
                          </w:r>
                        </w:p>
                      </w:txbxContent>
                    </v:textbox>
                  </v:rect>
                  <v:rect id="_x0000_s1647" style="position:absolute;left:398;top:2686;width:178;height:184" filled="f" stroked="f">
                    <v:textbox style="mso-next-textbox:#_x0000_s1647" inset="0,0,0,0">
                      <w:txbxContent>
                        <w:p w:rsidR="008A5877" w:rsidRDefault="008A5877">
                          <w:r>
                            <w:rPr>
                              <w:rFonts w:ascii="Arial" w:hAnsi="Arial" w:cs="Arial"/>
                              <w:b/>
                              <w:bCs/>
                              <w:color w:val="000000"/>
                              <w:sz w:val="16"/>
                              <w:szCs w:val="16"/>
                              <w:lang w:val="en-US"/>
                            </w:rPr>
                            <w:t>10</w:t>
                          </w:r>
                        </w:p>
                      </w:txbxContent>
                    </v:textbox>
                  </v:rect>
                  <v:rect id="_x0000_s1648" style="position:absolute;left:398;top:2368;width:178;height:184" filled="f" stroked="f">
                    <v:textbox style="mso-next-textbox:#_x0000_s1648" inset="0,0,0,0">
                      <w:txbxContent>
                        <w:p w:rsidR="008A5877" w:rsidRDefault="008A5877">
                          <w:r>
                            <w:rPr>
                              <w:rFonts w:ascii="Arial" w:hAnsi="Arial" w:cs="Arial"/>
                              <w:b/>
                              <w:bCs/>
                              <w:color w:val="000000"/>
                              <w:sz w:val="16"/>
                              <w:szCs w:val="16"/>
                              <w:lang w:val="en-US"/>
                            </w:rPr>
                            <w:t>15</w:t>
                          </w:r>
                        </w:p>
                      </w:txbxContent>
                    </v:textbox>
                  </v:rect>
                  <v:rect id="_x0000_s1649" style="position:absolute;left:398;top:2051;width:178;height:184" filled="f" stroked="f">
                    <v:textbox style="mso-next-textbox:#_x0000_s1649" inset="0,0,0,0">
                      <w:txbxContent>
                        <w:p w:rsidR="008A5877" w:rsidRDefault="008A5877">
                          <w:r>
                            <w:rPr>
                              <w:rFonts w:ascii="Arial" w:hAnsi="Arial" w:cs="Arial"/>
                              <w:b/>
                              <w:bCs/>
                              <w:color w:val="000000"/>
                              <w:sz w:val="16"/>
                              <w:szCs w:val="16"/>
                              <w:lang w:val="en-US"/>
                            </w:rPr>
                            <w:t>20</w:t>
                          </w:r>
                        </w:p>
                      </w:txbxContent>
                    </v:textbox>
                  </v:rect>
                  <v:rect id="_x0000_s1650" style="position:absolute;left:398;top:1733;width:178;height:184" filled="f" stroked="f">
                    <v:textbox style="mso-next-textbox:#_x0000_s1650" inset="0,0,0,0">
                      <w:txbxContent>
                        <w:p w:rsidR="008A5877" w:rsidRDefault="008A5877">
                          <w:r>
                            <w:rPr>
                              <w:rFonts w:ascii="Arial" w:hAnsi="Arial" w:cs="Arial"/>
                              <w:b/>
                              <w:bCs/>
                              <w:color w:val="000000"/>
                              <w:sz w:val="16"/>
                              <w:szCs w:val="16"/>
                              <w:lang w:val="en-US"/>
                            </w:rPr>
                            <w:t>25</w:t>
                          </w:r>
                        </w:p>
                      </w:txbxContent>
                    </v:textbox>
                  </v:rect>
                  <v:rect id="_x0000_s1651" style="position:absolute;left:398;top:1415;width:178;height:184" filled="f" stroked="f">
                    <v:textbox style="mso-next-textbox:#_x0000_s1651" inset="0,0,0,0">
                      <w:txbxContent>
                        <w:p w:rsidR="008A5877" w:rsidRDefault="008A5877">
                          <w:r>
                            <w:rPr>
                              <w:rFonts w:ascii="Arial" w:hAnsi="Arial" w:cs="Arial"/>
                              <w:b/>
                              <w:bCs/>
                              <w:color w:val="000000"/>
                              <w:sz w:val="16"/>
                              <w:szCs w:val="16"/>
                              <w:lang w:val="en-US"/>
                            </w:rPr>
                            <w:t>30</w:t>
                          </w:r>
                        </w:p>
                      </w:txbxContent>
                    </v:textbox>
                  </v:rect>
                  <v:rect id="_x0000_s1652" style="position:absolute;left:398;top:1098;width:178;height:184" filled="f" stroked="f">
                    <v:textbox style="mso-next-textbox:#_x0000_s1652" inset="0,0,0,0">
                      <w:txbxContent>
                        <w:p w:rsidR="008A5877" w:rsidRDefault="008A5877">
                          <w:r>
                            <w:rPr>
                              <w:rFonts w:ascii="Arial" w:hAnsi="Arial" w:cs="Arial"/>
                              <w:b/>
                              <w:bCs/>
                              <w:color w:val="000000"/>
                              <w:sz w:val="16"/>
                              <w:szCs w:val="16"/>
                              <w:lang w:val="en-US"/>
                            </w:rPr>
                            <w:t>35</w:t>
                          </w:r>
                        </w:p>
                      </w:txbxContent>
                    </v:textbox>
                  </v:rect>
                  <v:rect id="_x0000_s1653" style="position:absolute;left:398;top:780;width:178;height:184" filled="f" stroked="f">
                    <v:textbox style="mso-next-textbox:#_x0000_s1653" inset="0,0,0,0">
                      <w:txbxContent>
                        <w:p w:rsidR="008A5877" w:rsidRDefault="008A5877">
                          <w:r>
                            <w:rPr>
                              <w:rFonts w:ascii="Arial" w:hAnsi="Arial" w:cs="Arial"/>
                              <w:b/>
                              <w:bCs/>
                              <w:color w:val="000000"/>
                              <w:sz w:val="16"/>
                              <w:szCs w:val="16"/>
                              <w:lang w:val="en-US"/>
                            </w:rPr>
                            <w:t>40</w:t>
                          </w:r>
                        </w:p>
                      </w:txbxContent>
                    </v:textbox>
                  </v:rect>
                  <v:rect id="_x0000_s1654" style="position:absolute;left:1066;top:3538;width:356;height:184" filled="f" stroked="f">
                    <v:textbox style="mso-next-textbox:#_x0000_s1654" inset="0,0,0,0">
                      <w:txbxContent>
                        <w:p w:rsidR="008A5877" w:rsidRDefault="008A5877">
                          <w:r>
                            <w:rPr>
                              <w:rFonts w:ascii="Arial" w:hAnsi="Arial" w:cs="Arial"/>
                              <w:b/>
                              <w:bCs/>
                              <w:color w:val="000000"/>
                              <w:sz w:val="16"/>
                              <w:szCs w:val="16"/>
                              <w:lang w:val="en-US"/>
                            </w:rPr>
                            <w:t>1988</w:t>
                          </w:r>
                        </w:p>
                      </w:txbxContent>
                    </v:textbox>
                  </v:rect>
                  <v:rect id="_x0000_s1655" style="position:absolute;left:2178;top:3538;width:356;height:184" filled="f" stroked="f">
                    <v:textbox style="mso-next-textbox:#_x0000_s1655" inset="0,0,0,0">
                      <w:txbxContent>
                        <w:p w:rsidR="008A5877" w:rsidRDefault="008A5877">
                          <w:r>
                            <w:rPr>
                              <w:rFonts w:ascii="Arial" w:hAnsi="Arial" w:cs="Arial"/>
                              <w:b/>
                              <w:bCs/>
                              <w:color w:val="000000"/>
                              <w:sz w:val="16"/>
                              <w:szCs w:val="16"/>
                              <w:lang w:val="en-US"/>
                            </w:rPr>
                            <w:t>1993</w:t>
                          </w:r>
                        </w:p>
                      </w:txbxContent>
                    </v:textbox>
                  </v:rect>
                  <v:rect id="_x0000_s1656" style="position:absolute;left:3289;top:3538;width:356;height:184" filled="f" stroked="f">
                    <v:textbox style="mso-next-textbox:#_x0000_s1656" inset="0,0,0,0">
                      <w:txbxContent>
                        <w:p w:rsidR="008A5877" w:rsidRDefault="008A5877">
                          <w:r>
                            <w:rPr>
                              <w:rFonts w:ascii="Arial" w:hAnsi="Arial" w:cs="Arial"/>
                              <w:b/>
                              <w:bCs/>
                              <w:color w:val="000000"/>
                              <w:sz w:val="16"/>
                              <w:szCs w:val="16"/>
                              <w:lang w:val="en-US"/>
                            </w:rPr>
                            <w:t>1998</w:t>
                          </w:r>
                        </w:p>
                      </w:txbxContent>
                    </v:textbox>
                  </v:rect>
                  <v:rect id="_x0000_s1657" style="position:absolute;left:4401;top:3538;width:356;height:184" filled="f" stroked="f">
                    <v:textbox style="mso-next-textbox:#_x0000_s1657" inset="0,0,0,0">
                      <w:txbxContent>
                        <w:p w:rsidR="008A5877" w:rsidRDefault="008A5877">
                          <w:r>
                            <w:rPr>
                              <w:rFonts w:ascii="Arial" w:hAnsi="Arial" w:cs="Arial"/>
                              <w:b/>
                              <w:bCs/>
                              <w:color w:val="000000"/>
                              <w:sz w:val="16"/>
                              <w:szCs w:val="16"/>
                              <w:lang w:val="en-US"/>
                            </w:rPr>
                            <w:t>2003</w:t>
                          </w:r>
                        </w:p>
                      </w:txbxContent>
                    </v:textbox>
                  </v:rect>
                  <v:rect id="_x0000_s1658" style="position:absolute;left:200;top:2058;width:143;height:184;rotation:359" filled="f" stroked="f">
                    <v:textbox style="mso-next-textbox:#_x0000_s1658" inset="0,0,0,0">
                      <w:txbxContent>
                        <w:p w:rsidR="008A5877" w:rsidRDefault="008A5877">
                          <w:r>
                            <w:rPr>
                              <w:rFonts w:ascii="Arial" w:hAnsi="Arial" w:cs="Arial"/>
                              <w:b/>
                              <w:bCs/>
                              <w:color w:val="000000"/>
                              <w:sz w:val="16"/>
                              <w:szCs w:val="16"/>
                              <w:lang w:val="en-US"/>
                            </w:rPr>
                            <w:t>%</w:t>
                          </w:r>
                        </w:p>
                      </w:txbxContent>
                    </v:textbox>
                  </v:rect>
                  <v:rect id="_x0000_s1659" style="position:absolute;left:1600;top:1231;width:818;height:184" filled="f" stroked="f">
                    <v:textbox style="mso-next-textbox:#_x0000_s1659" inset="0,0,0,0">
                      <w:txbxContent>
                        <w:p w:rsidR="008A5877" w:rsidRDefault="008A5877">
                          <w:r>
                            <w:rPr>
                              <w:rFonts w:ascii="Arial" w:hAnsi="Arial" w:cs="Arial"/>
                              <w:b/>
                              <w:bCs/>
                              <w:color w:val="000000"/>
                              <w:sz w:val="16"/>
                              <w:szCs w:val="16"/>
                              <w:lang w:val="es-SV"/>
                            </w:rPr>
                            <w:t>Height/age</w:t>
                          </w:r>
                        </w:p>
                      </w:txbxContent>
                    </v:textbox>
                  </v:rect>
                  <v:rect id="_x0000_s1662" style="position:absolute;left:1487;top:2184;width:854;height:184" filled="f" stroked="f">
                    <v:textbox style="mso-next-textbox:#_x0000_s1662" inset="0,0,0,0">
                      <w:txbxContent>
                        <w:p w:rsidR="008A5877" w:rsidRDefault="008A5877">
                          <w:r>
                            <w:rPr>
                              <w:rFonts w:ascii="Arial" w:hAnsi="Arial" w:cs="Arial"/>
                              <w:b/>
                              <w:bCs/>
                              <w:color w:val="000000"/>
                              <w:sz w:val="16"/>
                              <w:szCs w:val="16"/>
                              <w:lang w:val="es-SV"/>
                            </w:rPr>
                            <w:t>Weight/age</w:t>
                          </w:r>
                        </w:p>
                      </w:txbxContent>
                    </v:textbox>
                  </v:rect>
                  <v:rect id="_x0000_s1665" style="position:absolute;left:1381;top:2794;width:1005;height:184" filled="f" stroked="f">
                    <v:textbox style="mso-next-textbox:#_x0000_s1665" inset="0,0,0,0">
                      <w:txbxContent>
                        <w:p w:rsidR="008A5877" w:rsidRDefault="008A5877">
                          <w:r>
                            <w:rPr>
                              <w:rFonts w:ascii="Arial" w:hAnsi="Arial" w:cs="Arial"/>
                              <w:b/>
                              <w:bCs/>
                              <w:color w:val="000000"/>
                              <w:sz w:val="16"/>
                              <w:szCs w:val="16"/>
                              <w:lang w:val="es-SV"/>
                            </w:rPr>
                            <w:t>Weight/heigh</w:t>
                          </w:r>
                        </w:p>
                      </w:txbxContent>
                    </v:textbox>
                  </v:rect>
                  <w10:anchorlock/>
                </v:group>
              </w:pict>
            </w:r>
          </w:p>
        </w:tc>
      </w:tr>
    </w:tbl>
    <w:p w:rsidR="00CD2A5A" w:rsidRDefault="00CD2A5A">
      <w:pPr>
        <w:pStyle w:val="Header"/>
        <w:numPr>
          <w:ilvl w:val="0"/>
          <w:numId w:val="3"/>
        </w:numPr>
        <w:tabs>
          <w:tab w:val="clear" w:pos="720"/>
          <w:tab w:val="clear" w:pos="4252"/>
        </w:tabs>
        <w:spacing w:after="240"/>
        <w:ind w:left="0" w:firstLine="0"/>
        <w:rPr>
          <w:lang w:val="en-US"/>
        </w:rPr>
      </w:pPr>
      <w:r>
        <w:rPr>
          <w:lang w:val="en-GB"/>
        </w:rPr>
        <w:t>See annex IX for more information on undernourishment and anaemia.</w:t>
      </w:r>
    </w:p>
    <w:p w:rsidR="00CD2A5A" w:rsidRDefault="00CD2A5A">
      <w:pPr>
        <w:pStyle w:val="Header"/>
        <w:numPr>
          <w:ilvl w:val="0"/>
          <w:numId w:val="3"/>
        </w:numPr>
        <w:tabs>
          <w:tab w:val="clear" w:pos="720"/>
          <w:tab w:val="clear" w:pos="4252"/>
        </w:tabs>
        <w:spacing w:after="240"/>
        <w:ind w:left="0" w:firstLine="0"/>
        <w:rPr>
          <w:lang w:val="en-US"/>
        </w:rPr>
      </w:pPr>
      <w:r>
        <w:rPr>
          <w:lang w:val="en-GB"/>
        </w:rPr>
        <w:t>According to the height census in school children (2000), 80.5% of children aged 6 to 9 are not underheight.</w:t>
      </w:r>
      <w:r>
        <w:rPr>
          <w:lang w:val="en-US"/>
        </w:rPr>
        <w:t xml:space="preserve"> </w:t>
      </w:r>
      <w:r>
        <w:rPr>
          <w:lang w:val="en-GB"/>
        </w:rPr>
        <w:t>Among the small percentage that is underheight, the proportion is 2.3 times higher in rural areas than in urban areas.</w:t>
      </w:r>
      <w:r>
        <w:rPr>
          <w:lang w:val="en-US"/>
        </w:rPr>
        <w:t xml:space="preserve"> </w:t>
      </w:r>
    </w:p>
    <w:p w:rsidR="00CD2A5A" w:rsidRDefault="00CD2A5A" w:rsidP="00C9246A">
      <w:pPr>
        <w:pStyle w:val="Header"/>
        <w:numPr>
          <w:ilvl w:val="0"/>
          <w:numId w:val="3"/>
        </w:numPr>
        <w:tabs>
          <w:tab w:val="clear" w:pos="720"/>
          <w:tab w:val="clear" w:pos="4252"/>
        </w:tabs>
        <w:spacing w:after="240"/>
        <w:ind w:left="0" w:firstLine="0"/>
        <w:rPr>
          <w:lang w:val="en-US"/>
        </w:rPr>
      </w:pPr>
      <w:r>
        <w:rPr>
          <w:lang w:val="en-GB"/>
        </w:rPr>
        <w:t>The analysis at municipal level indicates that most children are of adequate height.</w:t>
      </w:r>
      <w:r>
        <w:rPr>
          <w:lang w:val="en-US"/>
        </w:rPr>
        <w:t xml:space="preserve"> </w:t>
      </w:r>
      <w:r>
        <w:rPr>
          <w:lang w:val="en-GB"/>
        </w:rPr>
        <w:t>However, of the country’s 262 municipalities, there are nine in which over 40% are underheight, namely San Fernando in Chalatenango (50.6%), Mercedes La Ceiba in Cuscatlán (40.82%), California in Usulután (44%), San Antonio del Mosco in San Miguel (46.64%), and in Morazán:</w:t>
      </w:r>
      <w:r>
        <w:rPr>
          <w:lang w:val="en-US"/>
        </w:rPr>
        <w:t xml:space="preserve"> </w:t>
      </w:r>
      <w:r>
        <w:rPr>
          <w:lang w:val="en-GB"/>
        </w:rPr>
        <w:t>Guatajiagua (40.3%), Arambala (41.3%), San Fernando (41.38%), Cacaotera (44.61%) and San Simón (47.48%).</w:t>
      </w:r>
      <w:r>
        <w:rPr>
          <w:lang w:val="en-US"/>
        </w:rPr>
        <w:t xml:space="preserve"> </w:t>
      </w:r>
      <w:r>
        <w:rPr>
          <w:lang w:val="en-GB"/>
        </w:rPr>
        <w:t>The goal for the coming years is to bring this municipal percentage into line with progress nationwide.</w:t>
      </w:r>
    </w:p>
    <w:p w:rsidR="00CD2A5A" w:rsidRDefault="00CD2A5A">
      <w:pPr>
        <w:pStyle w:val="Header"/>
        <w:numPr>
          <w:ilvl w:val="0"/>
          <w:numId w:val="3"/>
        </w:numPr>
        <w:tabs>
          <w:tab w:val="clear" w:pos="720"/>
          <w:tab w:val="clear" w:pos="4252"/>
        </w:tabs>
        <w:spacing w:after="240"/>
        <w:ind w:left="0" w:firstLine="0"/>
        <w:rPr>
          <w:lang w:val="en-US"/>
        </w:rPr>
      </w:pPr>
      <w:r>
        <w:rPr>
          <w:lang w:val="en-GB"/>
        </w:rPr>
        <w:t>Undernourishment results in or directly causes a high proportion of infant mortality.</w:t>
      </w:r>
      <w:r>
        <w:rPr>
          <w:lang w:val="en-US"/>
        </w:rPr>
        <w:t xml:space="preserve"> </w:t>
      </w:r>
      <w:r>
        <w:rPr>
          <w:lang w:val="en-GB"/>
        </w:rPr>
        <w:t>Nevertheless, El Salvador has succeeded in reducing the infant mortality rate for children from 0 to 11 months – i.e. the number of children dying under one year</w:t>
      </w:r>
      <w:r w:rsidR="00AD148D">
        <w:rPr>
          <w:lang w:val="en-GB"/>
        </w:rPr>
        <w:t xml:space="preserve"> old per 1,000 live births – to </w:t>
      </w:r>
      <w:r>
        <w:rPr>
          <w:lang w:val="en-GB"/>
        </w:rPr>
        <w:t>24. This half of the 2010 target for infant mortality (27.3) as that rate was achieved and exceeded over the period 1998-2002 at national level.</w:t>
      </w:r>
    </w:p>
    <w:p w:rsidR="00CD2A5A" w:rsidRDefault="00CD2A5A" w:rsidP="00CD2A5A">
      <w:pPr>
        <w:pStyle w:val="Figure"/>
        <w:rPr>
          <w:lang w:val="en-US"/>
        </w:rPr>
      </w:pPr>
      <w:r>
        <w:t>Figure 36</w:t>
      </w:r>
    </w:p>
    <w:p w:rsidR="00CD2A5A" w:rsidRDefault="00CD2A5A" w:rsidP="00CD2A5A">
      <w:pPr>
        <w:pStyle w:val="Figure"/>
        <w:rPr>
          <w:lang w:val="en-US"/>
        </w:rPr>
      </w:pPr>
      <w:r>
        <w:t>Goal:</w:t>
      </w:r>
      <w:r>
        <w:rPr>
          <w:lang w:val="en-US"/>
        </w:rPr>
        <w:t xml:space="preserve"> </w:t>
      </w:r>
      <w:r>
        <w:t>Reduce infant mortality (MDG 4)</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7922"/>
        <w:gridCol w:w="1003"/>
      </w:tblGrid>
      <w:tr w:rsidR="00CD2A5A">
        <w:trPr>
          <w:cantSplit/>
          <w:jc w:val="center"/>
        </w:trPr>
        <w:tc>
          <w:tcPr>
            <w:tcW w:w="487"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b/>
                <w:i/>
                <w:sz w:val="20"/>
                <w:szCs w:val="20"/>
                <w:lang w:val="en-US"/>
              </w:rPr>
            </w:pPr>
          </w:p>
        </w:tc>
        <w:tc>
          <w:tcPr>
            <w:tcW w:w="8925" w:type="dxa"/>
            <w:gridSpan w:val="2"/>
            <w:vAlign w:val="center"/>
          </w:tcPr>
          <w:p w:rsidR="00CD2A5A" w:rsidRDefault="00CD2A5A">
            <w:pPr>
              <w:autoSpaceDE w:val="0"/>
              <w:autoSpaceDN w:val="0"/>
              <w:adjustRightInd w:val="0"/>
              <w:spacing w:before="40" w:after="40"/>
              <w:rPr>
                <w:b/>
                <w:i/>
                <w:sz w:val="20"/>
                <w:szCs w:val="20"/>
                <w:lang w:val="en-US"/>
              </w:rPr>
            </w:pPr>
            <w:r>
              <w:rPr>
                <w:b/>
                <w:i/>
                <w:sz w:val="20"/>
                <w:szCs w:val="20"/>
                <w:u w:val="single"/>
                <w:lang w:val="en-GB"/>
              </w:rPr>
              <w:t>Infant mortality</w:t>
            </w:r>
            <w:r>
              <w:rPr>
                <w:b/>
                <w:i/>
                <w:sz w:val="20"/>
                <w:szCs w:val="20"/>
                <w:lang w:val="en-GB"/>
              </w:rPr>
              <w:t xml:space="preserve"> rate (0 to 11 months) – i.e. the number of children dying </w:t>
            </w:r>
            <w:r>
              <w:rPr>
                <w:b/>
                <w:i/>
                <w:sz w:val="20"/>
                <w:szCs w:val="20"/>
                <w:lang w:val="en-GB"/>
              </w:rPr>
              <w:br/>
              <w:t>under one year old per 1,000 live births –</w:t>
            </w:r>
          </w:p>
        </w:tc>
      </w:tr>
      <w:tr w:rsidR="00CD2A5A">
        <w:trPr>
          <w:cantSplit/>
          <w:jc w:val="center"/>
        </w:trPr>
        <w:tc>
          <w:tcPr>
            <w:tcW w:w="487" w:type="dxa"/>
            <w:vMerge/>
            <w:vAlign w:val="center"/>
          </w:tcPr>
          <w:p w:rsidR="00CD2A5A" w:rsidRDefault="00CD2A5A">
            <w:pPr>
              <w:autoSpaceDE w:val="0"/>
              <w:autoSpaceDN w:val="0"/>
              <w:adjustRightInd w:val="0"/>
              <w:spacing w:before="40" w:after="40"/>
              <w:rPr>
                <w:sz w:val="20"/>
                <w:szCs w:val="20"/>
                <w:lang w:val="en-US"/>
              </w:rPr>
            </w:pPr>
          </w:p>
        </w:tc>
        <w:tc>
          <w:tcPr>
            <w:tcW w:w="7922" w:type="dxa"/>
            <w:vAlign w:val="center"/>
          </w:tcPr>
          <w:p w:rsidR="00CD2A5A" w:rsidRDefault="00CD2A5A">
            <w:pPr>
              <w:keepNext/>
              <w:autoSpaceDE w:val="0"/>
              <w:autoSpaceDN w:val="0"/>
              <w:adjustRightInd w:val="0"/>
              <w:spacing w:before="40" w:after="40"/>
              <w:rPr>
                <w:sz w:val="20"/>
                <w:szCs w:val="20"/>
                <w:lang w:val="en-US"/>
              </w:rPr>
            </w:pPr>
            <w:r>
              <w:rPr>
                <w:sz w:val="20"/>
                <w:szCs w:val="20"/>
                <w:lang w:val="en-GB"/>
              </w:rPr>
              <w:t>TARGET:</w:t>
            </w:r>
            <w:r>
              <w:rPr>
                <w:sz w:val="20"/>
                <w:szCs w:val="20"/>
                <w:lang w:val="en-US"/>
              </w:rPr>
              <w:t xml:space="preserve"> </w:t>
            </w:r>
            <w:r>
              <w:rPr>
                <w:sz w:val="20"/>
                <w:szCs w:val="20"/>
                <w:lang w:val="en-GB"/>
              </w:rPr>
              <w:t>Reduce it by one third (2010) (PA-MANA A, 1, 36 (a))</w:t>
            </w:r>
          </w:p>
        </w:tc>
        <w:tc>
          <w:tcPr>
            <w:tcW w:w="1003" w:type="dxa"/>
            <w:vAlign w:val="center"/>
          </w:tcPr>
          <w:p w:rsidR="00CD2A5A" w:rsidRDefault="00CD2A5A">
            <w:pPr>
              <w:autoSpaceDE w:val="0"/>
              <w:autoSpaceDN w:val="0"/>
              <w:adjustRightInd w:val="0"/>
              <w:spacing w:before="40" w:after="40"/>
              <w:jc w:val="center"/>
              <w:rPr>
                <w:sz w:val="20"/>
                <w:szCs w:val="20"/>
              </w:rPr>
            </w:pPr>
            <w:r>
              <w:rPr>
                <w:sz w:val="20"/>
                <w:szCs w:val="20"/>
              </w:rPr>
              <w:t>27.3</w:t>
            </w:r>
          </w:p>
        </w:tc>
      </w:tr>
      <w:tr w:rsidR="00CD2A5A">
        <w:trPr>
          <w:cantSplit/>
          <w:jc w:val="center"/>
        </w:trPr>
        <w:tc>
          <w:tcPr>
            <w:tcW w:w="487" w:type="dxa"/>
            <w:vMerge/>
            <w:vAlign w:val="center"/>
          </w:tcPr>
          <w:p w:rsidR="00CD2A5A" w:rsidRDefault="00CD2A5A">
            <w:pPr>
              <w:autoSpaceDE w:val="0"/>
              <w:autoSpaceDN w:val="0"/>
              <w:adjustRightInd w:val="0"/>
              <w:spacing w:before="40" w:after="40"/>
              <w:rPr>
                <w:sz w:val="20"/>
                <w:szCs w:val="20"/>
              </w:rPr>
            </w:pPr>
          </w:p>
        </w:tc>
        <w:tc>
          <w:tcPr>
            <w:tcW w:w="7922" w:type="dxa"/>
            <w:vAlign w:val="center"/>
          </w:tcPr>
          <w:p w:rsidR="00CD2A5A" w:rsidRDefault="00CD2A5A">
            <w:pPr>
              <w:keepNext/>
              <w:autoSpaceDE w:val="0"/>
              <w:autoSpaceDN w:val="0"/>
              <w:adjustRightInd w:val="0"/>
              <w:spacing w:before="40" w:after="40"/>
              <w:rPr>
                <w:sz w:val="20"/>
                <w:szCs w:val="20"/>
                <w:lang w:val="en-US"/>
              </w:rPr>
            </w:pPr>
            <w:r>
              <w:rPr>
                <w:sz w:val="20"/>
                <w:szCs w:val="20"/>
                <w:lang w:val="en-GB"/>
              </w:rPr>
              <w:t>TARGET:</w:t>
            </w:r>
            <w:r>
              <w:rPr>
                <w:sz w:val="20"/>
                <w:szCs w:val="20"/>
                <w:lang w:val="en-US"/>
              </w:rPr>
              <w:t xml:space="preserve">  </w:t>
            </w:r>
            <w:r>
              <w:rPr>
                <w:sz w:val="20"/>
                <w:szCs w:val="20"/>
                <w:lang w:val="en-GB"/>
              </w:rPr>
              <w:t>Reduce it by two thirds (2015) (MDG 4)</w:t>
            </w:r>
          </w:p>
        </w:tc>
        <w:tc>
          <w:tcPr>
            <w:tcW w:w="1003" w:type="dxa"/>
            <w:vAlign w:val="center"/>
          </w:tcPr>
          <w:p w:rsidR="00CD2A5A" w:rsidRDefault="00CD2A5A">
            <w:pPr>
              <w:autoSpaceDE w:val="0"/>
              <w:autoSpaceDN w:val="0"/>
              <w:adjustRightInd w:val="0"/>
              <w:spacing w:before="40" w:after="40"/>
              <w:jc w:val="center"/>
              <w:rPr>
                <w:sz w:val="20"/>
                <w:szCs w:val="20"/>
              </w:rPr>
            </w:pPr>
            <w:r>
              <w:rPr>
                <w:sz w:val="20"/>
                <w:szCs w:val="20"/>
              </w:rPr>
              <w:t>13.7</w:t>
            </w:r>
          </w:p>
        </w:tc>
      </w:tr>
    </w:tbl>
    <w:p w:rsidR="00CD2A5A" w:rsidRDefault="00CD2A5A">
      <w:pPr>
        <w:pStyle w:val="Header"/>
        <w:tabs>
          <w:tab w:val="clear" w:pos="4252"/>
        </w:tabs>
        <w:spacing w:after="240"/>
      </w:pPr>
    </w:p>
    <w:p w:rsidR="00CD2A5A" w:rsidRDefault="00CD2A5A">
      <w:pPr>
        <w:pStyle w:val="Header"/>
        <w:numPr>
          <w:ilvl w:val="0"/>
          <w:numId w:val="3"/>
        </w:numPr>
        <w:tabs>
          <w:tab w:val="clear" w:pos="720"/>
          <w:tab w:val="clear" w:pos="4252"/>
        </w:tabs>
        <w:spacing w:after="240"/>
        <w:ind w:left="0" w:firstLine="0"/>
        <w:rPr>
          <w:lang w:val="en-US"/>
        </w:rPr>
      </w:pPr>
      <w:r>
        <w:rPr>
          <w:lang w:val="en-GB"/>
        </w:rPr>
        <w:t>For 2006 the Ministry of Public Health and Social Welfare reports a rate even lower than 12.75 per 1,000 live births.</w:t>
      </w:r>
      <w:r>
        <w:rPr>
          <w:lang w:val="en-US"/>
        </w:rPr>
        <w:t xml:space="preserve"> </w:t>
      </w:r>
      <w:r>
        <w:rPr>
          <w:lang w:val="en-GB"/>
        </w:rPr>
        <w:t>In this sense, the country has also achieved and exceeded the target of reducing this indicator by two thirds, so it is reasonable to forecast that the goal will be met in 2015.</w:t>
      </w:r>
    </w:p>
    <w:p w:rsidR="00CD2A5A" w:rsidRDefault="00CD2A5A" w:rsidP="00CD2A5A">
      <w:pPr>
        <w:pStyle w:val="Figure"/>
      </w:pPr>
      <w:r>
        <w:t>Figure 37</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7939"/>
        <w:gridCol w:w="985"/>
      </w:tblGrid>
      <w:tr w:rsidR="00CD2A5A">
        <w:trPr>
          <w:cantSplit/>
          <w:jc w:val="center"/>
        </w:trPr>
        <w:tc>
          <w:tcPr>
            <w:tcW w:w="488"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924" w:type="dxa"/>
            <w:gridSpan w:val="2"/>
            <w:vAlign w:val="center"/>
          </w:tcPr>
          <w:p w:rsidR="00CD2A5A" w:rsidRDefault="00CD2A5A">
            <w:pPr>
              <w:autoSpaceDE w:val="0"/>
              <w:autoSpaceDN w:val="0"/>
              <w:adjustRightInd w:val="0"/>
              <w:spacing w:before="40" w:after="40"/>
              <w:rPr>
                <w:b/>
                <w:i/>
                <w:sz w:val="20"/>
                <w:szCs w:val="20"/>
                <w:lang w:val="en-US"/>
              </w:rPr>
            </w:pPr>
            <w:r>
              <w:rPr>
                <w:b/>
                <w:i/>
                <w:sz w:val="20"/>
                <w:szCs w:val="20"/>
                <w:lang w:val="en-GB"/>
              </w:rPr>
              <w:t>Infant mortality rate (age 1 to 4) – i.e. the number of children dying aged between 1 and 4 per 1,000 live births –</w:t>
            </w:r>
            <w:r>
              <w:rPr>
                <w:b/>
                <w:i/>
                <w:sz w:val="20"/>
                <w:szCs w:val="20"/>
                <w:lang w:val="en-US"/>
              </w:rPr>
              <w:t xml:space="preserve"> </w:t>
            </w:r>
          </w:p>
        </w:tc>
      </w:tr>
      <w:tr w:rsidR="00CD2A5A">
        <w:trPr>
          <w:cantSplit/>
          <w:jc w:val="center"/>
        </w:trPr>
        <w:tc>
          <w:tcPr>
            <w:tcW w:w="488" w:type="dxa"/>
            <w:vMerge/>
            <w:vAlign w:val="center"/>
          </w:tcPr>
          <w:p w:rsidR="00CD2A5A" w:rsidRDefault="00CD2A5A">
            <w:pPr>
              <w:autoSpaceDE w:val="0"/>
              <w:autoSpaceDN w:val="0"/>
              <w:adjustRightInd w:val="0"/>
              <w:spacing w:before="40" w:after="40"/>
              <w:rPr>
                <w:sz w:val="20"/>
                <w:szCs w:val="20"/>
                <w:lang w:val="en-US"/>
              </w:rPr>
            </w:pPr>
          </w:p>
        </w:tc>
        <w:tc>
          <w:tcPr>
            <w:tcW w:w="7939" w:type="dxa"/>
            <w:vAlign w:val="center"/>
          </w:tcPr>
          <w:p w:rsidR="00CD2A5A" w:rsidRDefault="00CD2A5A">
            <w:pPr>
              <w:keepNext/>
              <w:autoSpaceDE w:val="0"/>
              <w:autoSpaceDN w:val="0"/>
              <w:adjustRightInd w:val="0"/>
              <w:spacing w:before="40" w:after="40"/>
              <w:rPr>
                <w:sz w:val="20"/>
                <w:szCs w:val="20"/>
                <w:lang w:val="en-US"/>
              </w:rPr>
            </w:pPr>
            <w:r>
              <w:rPr>
                <w:sz w:val="20"/>
                <w:szCs w:val="20"/>
                <w:lang w:val="en-GB"/>
              </w:rPr>
              <w:t>TARGET:</w:t>
            </w:r>
            <w:r>
              <w:rPr>
                <w:sz w:val="20"/>
                <w:szCs w:val="20"/>
                <w:lang w:val="en-US"/>
              </w:rPr>
              <w:t xml:space="preserve"> </w:t>
            </w:r>
            <w:r>
              <w:rPr>
                <w:sz w:val="20"/>
                <w:szCs w:val="20"/>
                <w:lang w:val="en-GB"/>
              </w:rPr>
              <w:t>Reduce it by one third (2010) (PA-MANA A, 1, 36 (a))</w:t>
            </w:r>
          </w:p>
        </w:tc>
        <w:tc>
          <w:tcPr>
            <w:tcW w:w="985" w:type="dxa"/>
            <w:vAlign w:val="center"/>
          </w:tcPr>
          <w:p w:rsidR="00CD2A5A" w:rsidRDefault="00CD2A5A">
            <w:pPr>
              <w:autoSpaceDE w:val="0"/>
              <w:autoSpaceDN w:val="0"/>
              <w:adjustRightInd w:val="0"/>
              <w:spacing w:before="40" w:after="40"/>
              <w:jc w:val="center"/>
              <w:rPr>
                <w:sz w:val="20"/>
                <w:szCs w:val="20"/>
              </w:rPr>
            </w:pPr>
            <w:r>
              <w:rPr>
                <w:sz w:val="20"/>
                <w:szCs w:val="20"/>
              </w:rPr>
              <w:t>8</w:t>
            </w:r>
          </w:p>
        </w:tc>
      </w:tr>
      <w:tr w:rsidR="00CD2A5A">
        <w:trPr>
          <w:cantSplit/>
          <w:jc w:val="center"/>
        </w:trPr>
        <w:tc>
          <w:tcPr>
            <w:tcW w:w="488" w:type="dxa"/>
            <w:vMerge/>
            <w:vAlign w:val="center"/>
          </w:tcPr>
          <w:p w:rsidR="00CD2A5A" w:rsidRDefault="00CD2A5A">
            <w:pPr>
              <w:autoSpaceDE w:val="0"/>
              <w:autoSpaceDN w:val="0"/>
              <w:adjustRightInd w:val="0"/>
              <w:spacing w:before="40" w:after="40"/>
              <w:rPr>
                <w:sz w:val="20"/>
                <w:szCs w:val="20"/>
              </w:rPr>
            </w:pPr>
          </w:p>
        </w:tc>
        <w:tc>
          <w:tcPr>
            <w:tcW w:w="7939" w:type="dxa"/>
            <w:vAlign w:val="center"/>
          </w:tcPr>
          <w:p w:rsidR="00CD2A5A" w:rsidRDefault="00CD2A5A">
            <w:pPr>
              <w:keepNext/>
              <w:autoSpaceDE w:val="0"/>
              <w:autoSpaceDN w:val="0"/>
              <w:adjustRightInd w:val="0"/>
              <w:spacing w:before="40" w:after="40"/>
              <w:rPr>
                <w:sz w:val="20"/>
                <w:szCs w:val="20"/>
                <w:lang w:val="en-US"/>
              </w:rPr>
            </w:pPr>
            <w:r>
              <w:rPr>
                <w:sz w:val="20"/>
                <w:szCs w:val="20"/>
                <w:lang w:val="en-GB"/>
              </w:rPr>
              <w:t>TARGET:</w:t>
            </w:r>
            <w:r>
              <w:rPr>
                <w:sz w:val="20"/>
                <w:szCs w:val="20"/>
                <w:lang w:val="en-US"/>
              </w:rPr>
              <w:t xml:space="preserve">  </w:t>
            </w:r>
            <w:r>
              <w:rPr>
                <w:sz w:val="20"/>
                <w:szCs w:val="20"/>
                <w:lang w:val="en-GB"/>
              </w:rPr>
              <w:t>Reduce it by two thirds (2015) (MDG 4)</w:t>
            </w:r>
          </w:p>
        </w:tc>
        <w:tc>
          <w:tcPr>
            <w:tcW w:w="985" w:type="dxa"/>
            <w:vAlign w:val="center"/>
          </w:tcPr>
          <w:p w:rsidR="00CD2A5A" w:rsidRDefault="00CD2A5A">
            <w:pPr>
              <w:autoSpaceDE w:val="0"/>
              <w:autoSpaceDN w:val="0"/>
              <w:adjustRightInd w:val="0"/>
              <w:spacing w:before="40" w:after="40"/>
              <w:jc w:val="center"/>
              <w:rPr>
                <w:sz w:val="20"/>
                <w:szCs w:val="20"/>
              </w:rPr>
            </w:pPr>
            <w:r>
              <w:rPr>
                <w:sz w:val="20"/>
                <w:szCs w:val="20"/>
              </w:rPr>
              <w:t>4</w:t>
            </w:r>
          </w:p>
        </w:tc>
      </w:tr>
    </w:tbl>
    <w:p w:rsidR="00CD2A5A" w:rsidRDefault="00CD2A5A">
      <w:pPr>
        <w:autoSpaceDE w:val="0"/>
        <w:autoSpaceDN w:val="0"/>
        <w:adjustRightInd w:val="0"/>
        <w:spacing w:after="240"/>
      </w:pPr>
    </w:p>
    <w:p w:rsidR="00CD2A5A" w:rsidRDefault="00CD2A5A">
      <w:pPr>
        <w:pStyle w:val="Header"/>
        <w:numPr>
          <w:ilvl w:val="0"/>
          <w:numId w:val="3"/>
        </w:numPr>
        <w:tabs>
          <w:tab w:val="clear" w:pos="720"/>
          <w:tab w:val="clear" w:pos="4252"/>
        </w:tabs>
        <w:spacing w:after="240"/>
        <w:ind w:left="0" w:firstLine="0"/>
        <w:rPr>
          <w:lang w:val="en-US"/>
        </w:rPr>
      </w:pPr>
      <w:r>
        <w:rPr>
          <w:lang w:val="en-GB"/>
        </w:rPr>
        <w:t>The 2010 child mortality target (8) was achieved and exceeded at national level during the period 1998-2002, with a rate of 6.</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Similarly, the 2015 target is very likely to be achieved.</w:t>
      </w:r>
    </w:p>
    <w:p w:rsidR="00CD2A5A" w:rsidRDefault="00CD2A5A">
      <w:pPr>
        <w:pStyle w:val="Header"/>
        <w:numPr>
          <w:ilvl w:val="0"/>
          <w:numId w:val="3"/>
        </w:numPr>
        <w:tabs>
          <w:tab w:val="clear" w:pos="720"/>
          <w:tab w:val="clear" w:pos="4252"/>
        </w:tabs>
        <w:spacing w:after="240"/>
        <w:ind w:left="0" w:firstLine="0"/>
        <w:rPr>
          <w:lang w:val="en-US"/>
        </w:rPr>
      </w:pPr>
      <w:r>
        <w:rPr>
          <w:lang w:val="en-GB"/>
        </w:rPr>
        <w:t>See annex X for the “Plus 5” Review of the Application of Commitments under the “World Fit for Children” Plan of Action (2002).</w:t>
      </w:r>
    </w:p>
    <w:p w:rsidR="00CD2A5A" w:rsidRDefault="00CD2A5A">
      <w:pPr>
        <w:pStyle w:val="Header"/>
        <w:numPr>
          <w:ilvl w:val="0"/>
          <w:numId w:val="3"/>
        </w:numPr>
        <w:tabs>
          <w:tab w:val="clear" w:pos="720"/>
          <w:tab w:val="clear" w:pos="4252"/>
        </w:tabs>
        <w:spacing w:after="240"/>
        <w:ind w:left="0" w:firstLine="0"/>
        <w:rPr>
          <w:lang w:val="en-US"/>
        </w:rPr>
      </w:pPr>
      <w:r>
        <w:rPr>
          <w:lang w:val="en-GB"/>
        </w:rPr>
        <w:t>Furthermore, 3.7% of children under five years old are overweight or obese.</w:t>
      </w:r>
      <w:r>
        <w:rPr>
          <w:lang w:val="en-US"/>
        </w:rPr>
        <w:t xml:space="preserve"> </w:t>
      </w:r>
      <w:r>
        <w:rPr>
          <w:lang w:val="en-GB"/>
        </w:rPr>
        <w:t>Overweight or obesity is more prevalent in children under two years old in households with a high socio-economic level.</w:t>
      </w:r>
      <w:r>
        <w:rPr>
          <w:lang w:val="en-US"/>
        </w:rPr>
        <w:t xml:space="preserve"> </w:t>
      </w:r>
      <w:r>
        <w:rPr>
          <w:lang w:val="en-GB"/>
        </w:rPr>
        <w:t>Overweight and obesity affect 54.2% of women of child-bearing age, 35.8% being overweight and 18.4% obese.</w:t>
      </w:r>
    </w:p>
    <w:p w:rsidR="00CD2A5A" w:rsidRDefault="00CD2A5A">
      <w:pPr>
        <w:pStyle w:val="Header"/>
        <w:numPr>
          <w:ilvl w:val="0"/>
          <w:numId w:val="3"/>
        </w:numPr>
        <w:tabs>
          <w:tab w:val="clear" w:pos="720"/>
          <w:tab w:val="clear" w:pos="4252"/>
        </w:tabs>
        <w:spacing w:after="240"/>
        <w:ind w:left="0" w:firstLine="0"/>
        <w:rPr>
          <w:lang w:val="en-US"/>
        </w:rPr>
      </w:pPr>
      <w:r>
        <w:rPr>
          <w:lang w:val="en-GB"/>
        </w:rPr>
        <w:t>According to FESAL, for the years 2002-2003, 80.2% of the nation’s children aged between 12 and 59 months were not amaemic, while 19.8% were.</w:t>
      </w:r>
      <w:r>
        <w:rPr>
          <w:lang w:val="en-US"/>
        </w:rPr>
        <w:t xml:space="preserve"> </w:t>
      </w:r>
      <w:r>
        <w:rPr>
          <w:lang w:val="en-GB"/>
        </w:rPr>
        <w:t>The prevalence of anaemia among children under five (12 to 59 months) means the proportion of children in that age range whose haemoglobin level indicates that they are suffering from anaemia according to the criteria of the Centers for Disease Control and Prevention of the United States of America (</w:t>
      </w:r>
      <w:r>
        <w:rPr>
          <w:i/>
          <w:iCs/>
          <w:lang w:val="en-GB"/>
        </w:rPr>
        <w:t>Morbility and Mortality Weekly Report</w:t>
      </w:r>
      <w:r>
        <w:rPr>
          <w:lang w:val="en-GB"/>
        </w:rPr>
        <w:t xml:space="preserve"> - MMWR).</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By geographical area at national level, prevalence of anaemia in children in rural areas is 23.1%, while in urban areas it has been reduced to 15.8%.</w:t>
      </w:r>
      <w:r>
        <w:rPr>
          <w:lang w:val="en-US"/>
        </w:rPr>
        <w:t xml:space="preserve">  </w:t>
      </w:r>
      <w:r>
        <w:rPr>
          <w:lang w:val="en-GB"/>
        </w:rPr>
        <w:t>The worst affected group is children aged 6 to 24 months, with prevalences of 40% in children aged 6 to 11 months.</w:t>
      </w:r>
      <w:r>
        <w:rPr>
          <w:lang w:val="en-US"/>
        </w:rPr>
        <w:t xml:space="preserve"> </w:t>
      </w:r>
      <w:r>
        <w:rPr>
          <w:lang w:val="en-GB"/>
        </w:rPr>
        <w:t>Nutritional anaemia, caused mainly by iron deficiency, is therefore still a public health and child development issue.</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El Salvador aims to reduce anaemia to 12.6% in line with PA-NAMA targets, i.e. a one-third reduction by 2010.</w:t>
      </w:r>
      <w:r>
        <w:rPr>
          <w:lang w:val="en-US"/>
        </w:rPr>
        <w:t xml:space="preserve"> </w:t>
      </w:r>
      <w:r>
        <w:rPr>
          <w:lang w:val="en-GB"/>
        </w:rPr>
        <w:t>If the pronounced downward trend is maintained, it is likely that the targets for 2010 and 2015 will be met.</w:t>
      </w:r>
    </w:p>
    <w:p w:rsidR="00CD2A5A" w:rsidRDefault="00CD2A5A" w:rsidP="00CD2A5A">
      <w:pPr>
        <w:pStyle w:val="Figure"/>
        <w:rPr>
          <w:lang w:val="en-US"/>
        </w:rPr>
      </w:pPr>
      <w:r>
        <w:t>Figure 38</w:t>
      </w:r>
    </w:p>
    <w:p w:rsidR="00CD2A5A" w:rsidRDefault="00CD2A5A" w:rsidP="00CD2A5A">
      <w:pPr>
        <w:pStyle w:val="Figure"/>
      </w:pPr>
      <w:r>
        <w:t>Prevalence of anaemia in children aged 6 to 59 months.</w:t>
      </w:r>
      <w:r>
        <w:rPr>
          <w:lang w:val="en-US"/>
        </w:rPr>
        <w:t xml:space="preserve"> </w:t>
      </w:r>
      <w:r>
        <w:t xml:space="preserve">National total. </w:t>
      </w:r>
    </w:p>
    <w:p w:rsidR="00CD2A5A" w:rsidRDefault="00CD2A5A" w:rsidP="00CD2A5A">
      <w:pPr>
        <w:pStyle w:val="Figure"/>
      </w:pPr>
      <w:r>
        <w:t>(FESAL 2002-2003)</w:t>
      </w:r>
    </w:p>
    <w:p w:rsidR="00CD2A5A" w:rsidRDefault="00CD2A5A">
      <w:pPr>
        <w:spacing w:after="240"/>
        <w:jc w:val="center"/>
        <w:rPr>
          <w:lang w:val="es-SV"/>
        </w:rPr>
      </w:pPr>
      <w:r>
        <w:rPr>
          <w:lang w:val="es-SV"/>
        </w:rPr>
        <w:object w:dxaOrig="5640" w:dyaOrig="4018">
          <v:shape id="_x0000_i1027" type="#_x0000_t75" style="width:282pt;height:201pt" o:ole="">
            <v:imagedata r:id="rId11" o:title=""/>
            <w10:bordertop type="single" width="4"/>
            <w10:borderleft type="single" width="4"/>
            <w10:borderbottom type="single" width="4"/>
            <w10:borderright type="single" width="4"/>
          </v:shape>
          <o:OLEObject Type="Embed" ProgID="MSGraph.Chart.8" ShapeID="_x0000_i1027" DrawAspect="Content" ObjectID="_1395858673" r:id="rId12">
            <o:FieldCodes>\s</o:FieldCodes>
          </o:OLEObject>
        </w:object>
      </w:r>
    </w:p>
    <w:p w:rsidR="00CD2A5A" w:rsidRDefault="00CD2A5A">
      <w:pPr>
        <w:pStyle w:val="Header"/>
        <w:numPr>
          <w:ilvl w:val="0"/>
          <w:numId w:val="3"/>
        </w:numPr>
        <w:tabs>
          <w:tab w:val="clear" w:pos="720"/>
          <w:tab w:val="clear" w:pos="4252"/>
        </w:tabs>
        <w:spacing w:after="240"/>
        <w:ind w:left="0" w:firstLine="0"/>
        <w:rPr>
          <w:lang w:val="en-US"/>
        </w:rPr>
      </w:pPr>
      <w:r>
        <w:rPr>
          <w:lang w:val="en-GB"/>
        </w:rPr>
        <w:t>Over the past five years the prevalence of anaemia (haemoglobin &lt; 11mg/dl)  in non-pregnant women is 8.8%, while 80.2% of women are not anaemic.</w:t>
      </w:r>
    </w:p>
    <w:p w:rsidR="00CD2A5A" w:rsidRDefault="00CD2A5A">
      <w:pPr>
        <w:pStyle w:val="Header"/>
        <w:numPr>
          <w:ilvl w:val="0"/>
          <w:numId w:val="3"/>
        </w:numPr>
        <w:tabs>
          <w:tab w:val="clear" w:pos="720"/>
          <w:tab w:val="clear" w:pos="4252"/>
        </w:tabs>
        <w:spacing w:after="240"/>
        <w:ind w:left="0" w:firstLine="0"/>
        <w:rPr>
          <w:lang w:val="en-US"/>
        </w:rPr>
      </w:pPr>
      <w:r>
        <w:rPr>
          <w:lang w:val="en-GB"/>
        </w:rPr>
        <w:t>Moreover, anaemia in pregnant women, especially in the last three months show a significant increase of 20.7% in relation to non-pregnant women.</w:t>
      </w:r>
      <w:r>
        <w:rPr>
          <w:lang w:val="en-US"/>
        </w:rPr>
        <w:t xml:space="preserve"> </w:t>
      </w:r>
      <w:r>
        <w:rPr>
          <w:lang w:val="en-GB"/>
        </w:rPr>
        <w:t>At the end of that period the prevalence of anaemia in pregnant women was 13.6%, compared with 86.4% of pregnant women who do not suffer from it.</w:t>
      </w:r>
    </w:p>
    <w:p w:rsidR="00CD2A5A" w:rsidRDefault="00CD2A5A" w:rsidP="00CD2A5A">
      <w:pPr>
        <w:pStyle w:val="Figure"/>
        <w:rPr>
          <w:lang w:val="en-US"/>
        </w:rPr>
      </w:pPr>
      <w:r>
        <w:t>Figure 39</w:t>
      </w:r>
    </w:p>
    <w:p w:rsidR="00CD2A5A" w:rsidRDefault="00CD2A5A" w:rsidP="00CD2A5A">
      <w:pPr>
        <w:pStyle w:val="Figure"/>
        <w:rPr>
          <w:lang w:val="es-SV"/>
        </w:rPr>
      </w:pPr>
      <w:r>
        <w:t>Prevalence of anaemia in pregnant women by trimester.</w:t>
      </w:r>
      <w:r>
        <w:rPr>
          <w:lang w:val="en-US"/>
        </w:rPr>
        <w:t xml:space="preserve"> </w:t>
      </w:r>
      <w:r>
        <w:t>National total.</w:t>
      </w:r>
      <w:r>
        <w:rPr>
          <w:lang w:val="es-SV"/>
        </w:rPr>
        <w:t xml:space="preserve"> </w:t>
      </w:r>
    </w:p>
    <w:p w:rsidR="00CD2A5A" w:rsidRDefault="00CD2A5A" w:rsidP="00CD2A5A">
      <w:pPr>
        <w:pStyle w:val="Figure"/>
        <w:rPr>
          <w:lang w:val="es-SV"/>
        </w:rPr>
      </w:pPr>
      <w:r>
        <w:t>(FESAL 2002-2003)</w:t>
      </w:r>
    </w:p>
    <w:p w:rsidR="00CD2A5A" w:rsidRDefault="00CD2A5A">
      <w:pPr>
        <w:spacing w:after="240"/>
        <w:jc w:val="center"/>
        <w:rPr>
          <w:lang w:val="es-SV"/>
        </w:rPr>
      </w:pPr>
      <w:r>
        <w:rPr>
          <w:lang w:val="es-SV"/>
        </w:rPr>
        <w:object w:dxaOrig="6610" w:dyaOrig="3840">
          <v:shape id="_x0000_i1028" type="#_x0000_t75" style="width:330.75pt;height:192pt" o:ole="">
            <v:imagedata r:id="rId13" o:title=""/>
            <w10:bordertop type="single" width="4"/>
            <w10:borderleft type="single" width="4"/>
            <w10:borderbottom type="single" width="4"/>
            <w10:borderright type="single" width="4"/>
          </v:shape>
          <o:OLEObject Type="Embed" ProgID="MSGraph.Chart.8" ShapeID="_x0000_i1028" DrawAspect="Content" ObjectID="_1395858674" r:id="rId14">
            <o:FieldCodes>\s</o:FieldCodes>
          </o:OLEObject>
        </w:object>
      </w:r>
    </w:p>
    <w:p w:rsidR="00CD2A5A" w:rsidRDefault="00CD2A5A">
      <w:pPr>
        <w:pStyle w:val="Header"/>
        <w:numPr>
          <w:ilvl w:val="0"/>
          <w:numId w:val="3"/>
        </w:numPr>
        <w:tabs>
          <w:tab w:val="clear" w:pos="720"/>
          <w:tab w:val="clear" w:pos="4252"/>
        </w:tabs>
        <w:spacing w:after="240"/>
        <w:ind w:left="0" w:firstLine="0"/>
        <w:rPr>
          <w:lang w:val="en-US"/>
        </w:rPr>
      </w:pPr>
      <w:r>
        <w:rPr>
          <w:lang w:val="en-GB"/>
        </w:rPr>
        <w:t>Despite progress made, control of this programme has a high priority as anaemia increases the risk of maternal mortality, delayed psycho-motor development in children, reduces their learning capacity and school performance, and reduces adults’ physical strength and productivity at work.</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s-SV"/>
        </w:rPr>
      </w:pPr>
      <w:r>
        <w:rPr>
          <w:lang w:val="en-GB"/>
        </w:rPr>
        <w:t>According to the latest height census (SCENTES/2000), four departments and 66 municipalities in the country have been identified as having a high percentage of undernourishment, located mainly in the rural areas of the country.</w:t>
      </w:r>
      <w:r>
        <w:rPr>
          <w:lang w:val="en-US"/>
        </w:rPr>
        <w:t xml:space="preserve"> </w:t>
      </w:r>
      <w:r>
        <w:rPr>
          <w:lang w:val="en-GB"/>
        </w:rPr>
        <w:t>It is important to prioritize the geographical area to begin action in these areas and concentrate efforts where they are most needed.</w:t>
      </w:r>
      <w:r>
        <w:rPr>
          <w:lang w:val="en-US"/>
        </w:rPr>
        <w:t xml:space="preserve"> </w:t>
      </w:r>
      <w:r>
        <w:rPr>
          <w:lang w:val="en-GB"/>
        </w:rPr>
        <w:t>See annex XI for the second school height census,</w:t>
      </w:r>
      <w:r>
        <w:rPr>
          <w:lang w:val="es-SV"/>
        </w:rPr>
        <w:t xml:space="preserve"> 2000.</w:t>
      </w:r>
    </w:p>
    <w:p w:rsidR="00CD2A5A" w:rsidRDefault="00CD2A5A">
      <w:pPr>
        <w:pStyle w:val="1"/>
        <w:numPr>
          <w:ilvl w:val="0"/>
          <w:numId w:val="3"/>
        </w:numPr>
        <w:tabs>
          <w:tab w:val="clear" w:pos="720"/>
        </w:tabs>
        <w:spacing w:after="240"/>
        <w:ind w:left="0" w:firstLine="0"/>
        <w:jc w:val="left"/>
        <w:rPr>
          <w:lang w:val="en-US"/>
        </w:rPr>
      </w:pPr>
      <w:r>
        <w:rPr>
          <w:lang w:val="en-GB"/>
        </w:rPr>
        <w:t>Exclusive breast-feeding is the best food for children during their first six months of life, and is the cornerstone of nutritional food security in the first two years, protects maternal health, and has financial repercussions for the home.</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 xml:space="preserve">Exclusive breast-feeding has increased by 8 percentage points in recent years, from 15.8% to 24%, though it is still low, as only 2 out of 10 children under six months are exclusively breastfed. Foods are introduced early, which means that if food and nutrition education </w:t>
      </w:r>
      <w:r>
        <w:rPr>
          <w:lang w:val="en-US"/>
        </w:rPr>
        <w:t>is</w:t>
      </w:r>
      <w:r>
        <w:rPr>
          <w:lang w:val="en-GB"/>
        </w:rPr>
        <w:t xml:space="preserve"> stepped up, mothers might not introduce other liquids that they still regard as necessary for their babies.</w:t>
      </w:r>
      <w:r>
        <w:rPr>
          <w:rStyle w:val="FootnoteReference"/>
          <w:lang w:val="en-GB"/>
        </w:rPr>
        <w:footnoteReference w:id="7"/>
      </w:r>
      <w:r>
        <w:rPr>
          <w:lang w:val="en-US"/>
        </w:rPr>
        <w:t xml:space="preserve"> </w:t>
      </w:r>
    </w:p>
    <w:p w:rsidR="00CD2A5A" w:rsidRPr="00C9246A" w:rsidRDefault="00CD2A5A" w:rsidP="00C9246A">
      <w:pPr>
        <w:pStyle w:val="Figure"/>
      </w:pPr>
      <w:r w:rsidRPr="00C9246A">
        <w:t>Figure 40</w:t>
      </w:r>
    </w:p>
    <w:p w:rsidR="00CD2A5A" w:rsidRPr="00C9246A" w:rsidRDefault="00CD2A5A" w:rsidP="00C9246A">
      <w:pPr>
        <w:pStyle w:val="Figure"/>
      </w:pPr>
      <w:r w:rsidRPr="00C9246A">
        <w:t>Prevalence of exclusive breast-feeding in children under nine months old.</w:t>
      </w:r>
    </w:p>
    <w:p w:rsidR="00CD2A5A" w:rsidRPr="00C9246A" w:rsidRDefault="00CD2A5A" w:rsidP="00C9246A">
      <w:pPr>
        <w:pStyle w:val="Figure"/>
      </w:pPr>
      <w:r w:rsidRPr="00C9246A">
        <w:t>National total. FESAL (2002-2003)</w:t>
      </w:r>
    </w:p>
    <w:p w:rsidR="00CD2A5A" w:rsidRDefault="00CD2A5A">
      <w:pPr>
        <w:spacing w:after="240"/>
        <w:jc w:val="center"/>
        <w:rPr>
          <w:lang w:val="pt-BR"/>
        </w:rPr>
      </w:pPr>
      <w:r>
        <w:rPr>
          <w:lang w:val="es-SV"/>
        </w:rPr>
        <w:object w:dxaOrig="7944" w:dyaOrig="4306">
          <v:shape id="_x0000_i1029" type="#_x0000_t75" style="width:397.5pt;height:215.25pt" o:ole="" o:preferrelative="f">
            <v:imagedata r:id="rId15" o:title=""/>
            <o:lock v:ext="edit" aspectratio="f"/>
          </v:shape>
          <o:OLEObject Type="Embed" ProgID="MSGraph.Chart.8" ShapeID="_x0000_i1029" DrawAspect="Content" ObjectID="_1395858675" r:id="rId16">
            <o:FieldCodes>\s</o:FieldCodes>
          </o:OLEObject>
        </w:object>
      </w:r>
    </w:p>
    <w:p w:rsidR="00CD2A5A" w:rsidRDefault="00CD2A5A">
      <w:pPr>
        <w:pStyle w:val="1"/>
        <w:numPr>
          <w:ilvl w:val="0"/>
          <w:numId w:val="3"/>
        </w:numPr>
        <w:tabs>
          <w:tab w:val="clear" w:pos="720"/>
        </w:tabs>
        <w:spacing w:after="240"/>
        <w:ind w:left="0" w:firstLine="0"/>
        <w:jc w:val="left"/>
        <w:rPr>
          <w:lang w:val="en-US"/>
        </w:rPr>
      </w:pPr>
      <w:r>
        <w:rPr>
          <w:lang w:val="en-GB"/>
        </w:rPr>
        <w:t>See annex XII for information on breast-feeding in El Salvador.</w:t>
      </w:r>
    </w:p>
    <w:p w:rsidR="00CD2A5A" w:rsidRDefault="00CD2A5A">
      <w:pPr>
        <w:pStyle w:val="1"/>
        <w:numPr>
          <w:ilvl w:val="0"/>
          <w:numId w:val="3"/>
        </w:numPr>
        <w:tabs>
          <w:tab w:val="clear" w:pos="720"/>
        </w:tabs>
        <w:spacing w:after="240"/>
        <w:ind w:left="0" w:firstLine="0"/>
        <w:jc w:val="left"/>
        <w:rPr>
          <w:lang w:val="en-US"/>
        </w:rPr>
      </w:pPr>
      <w:r>
        <w:rPr>
          <w:lang w:val="en-GB"/>
        </w:rPr>
        <w:t>For the years 2002–2003, 24% of children nationwide aged 0 to 5 months were exclusively breastfed.</w:t>
      </w:r>
      <w:r>
        <w:rPr>
          <w:rStyle w:val="FootnoteReference"/>
          <w:lang w:val="en-GB"/>
        </w:rPr>
        <w:footnoteReference w:id="8"/>
      </w:r>
      <w:r>
        <w:rPr>
          <w:lang w:val="en-US"/>
        </w:rPr>
        <w:t xml:space="preserve"> </w:t>
      </w:r>
      <w:r>
        <w:rPr>
          <w:lang w:val="en-GB"/>
        </w:rPr>
        <w:t>According to institutional records of the Ministry of Public Health and Social Welfare, for 2006, a total of 105,397 children under six months were exclusively breastfed, the department of San Salvador reporting the highest number of children (20,774).</w:t>
      </w:r>
      <w:r>
        <w:rPr>
          <w:rStyle w:val="FootnoteReference"/>
          <w:lang w:val="es-SV"/>
        </w:rPr>
        <w:footnoteReference w:id="9"/>
      </w:r>
    </w:p>
    <w:p w:rsidR="00CD2A5A" w:rsidRDefault="00CD2A5A">
      <w:pPr>
        <w:pStyle w:val="Header"/>
        <w:numPr>
          <w:ilvl w:val="0"/>
          <w:numId w:val="3"/>
        </w:numPr>
        <w:tabs>
          <w:tab w:val="clear" w:pos="720"/>
          <w:tab w:val="clear" w:pos="4252"/>
        </w:tabs>
        <w:spacing w:after="240"/>
        <w:ind w:left="0" w:firstLine="0"/>
        <w:rPr>
          <w:lang w:val="en-US"/>
        </w:rPr>
      </w:pPr>
      <w:r>
        <w:rPr>
          <w:lang w:val="en-GB"/>
        </w:rPr>
        <w:t>In 1988, 36% of Salvadoran children under 5 had low levels of serum retinol.</w:t>
      </w:r>
      <w:r>
        <w:rPr>
          <w:lang w:val="en-US"/>
        </w:rPr>
        <w:t xml:space="preserve"> </w:t>
      </w:r>
      <w:r>
        <w:rPr>
          <w:lang w:val="en-GB"/>
        </w:rPr>
        <w:t>Vitamin A deficiency is associated with infant mortality, especially neonatal.</w:t>
      </w:r>
      <w:r>
        <w:rPr>
          <w:lang w:val="en-US"/>
        </w:rPr>
        <w:t xml:space="preserve"> </w:t>
      </w:r>
      <w:r>
        <w:rPr>
          <w:lang w:val="en-GB"/>
        </w:rPr>
        <w:t>Vitamin A deficiency was a serious public health issue in El Salvador during the 1980s.</w:t>
      </w:r>
      <w:r>
        <w:rPr>
          <w:lang w:val="en-US"/>
        </w:rPr>
        <w:t xml:space="preserve"> </w:t>
      </w:r>
      <w:r>
        <w:rPr>
          <w:lang w:val="en-GB"/>
        </w:rPr>
        <w:t>The latest studies show that only 5% of children under 5 have levels below 10mg/dl.</w:t>
      </w:r>
      <w:r>
        <w:rPr>
          <w:lang w:val="en-US"/>
        </w:rPr>
        <w:t xml:space="preserve"> </w:t>
      </w:r>
      <w:r>
        <w:rPr>
          <w:lang w:val="en-GB"/>
        </w:rPr>
        <w:t>Successful implementation and maintaining strategies such as supplementation with megadoses of vitamin A, food fortification and nutritional education have minimzed the problem in El Salvador.</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In 1990 the national prevalence of endemic goitre in school children was 24.8%, with a higher proportion in rural areas.</w:t>
      </w:r>
      <w:r>
        <w:rPr>
          <w:lang w:val="en-US"/>
        </w:rPr>
        <w:t xml:space="preserve"> </w:t>
      </w:r>
      <w:r>
        <w:rPr>
          <w:lang w:val="en-GB"/>
        </w:rPr>
        <w:t>Recent studies of iodine levels in the urine of school children report that only 5.4% had levels below 10 micrograms per decilitre, the largest number of school children with this deficiency being in the departmento of La Unión (26.4%),</w:t>
      </w:r>
      <w:r>
        <w:rPr>
          <w:rStyle w:val="FootnoteReference"/>
          <w:lang w:val="en-GB"/>
        </w:rPr>
        <w:footnoteReference w:id="10"/>
      </w:r>
      <w:r>
        <w:rPr>
          <w:lang w:val="en-GB"/>
        </w:rPr>
        <w:t xml:space="preserve"> indicating that iodized salt is reaching most Salvadoran households.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Nutrition campaigns are aimed at improving the circumstances of persons, families and communities and ensuring proper physical and emotional development.</w:t>
      </w:r>
      <w:r>
        <w:rPr>
          <w:lang w:val="en-US"/>
        </w:rPr>
        <w:t xml:space="preserve"> </w:t>
      </w:r>
      <w:r>
        <w:rPr>
          <w:lang w:val="en-GB"/>
        </w:rPr>
        <w:t>To carry out nutrition campaigns, work was needed to intensify and focus a number of measures designed for the most vulnerable groups.</w:t>
      </w:r>
      <w:r>
        <w:rPr>
          <w:lang w:val="en-US"/>
        </w:rPr>
        <w:t xml:space="preserve"> </w:t>
      </w:r>
      <w:r>
        <w:rPr>
          <w:lang w:val="en-GB"/>
        </w:rPr>
        <w:t>Thus measures for early detection of child undernourishment were stepped up; but where it was found it was managed and treated appropriately and comprehensively.</w:t>
      </w:r>
      <w:r>
        <w:rPr>
          <w:lang w:val="en-US"/>
        </w:rPr>
        <w:t xml:space="preserve"> </w:t>
      </w:r>
      <w:r>
        <w:rPr>
          <w:lang w:val="en-GB"/>
        </w:rPr>
        <w:t>Monitoring and continuous assessment of the state of nutrition and its constraints have also been stepped up, thereby helping to meet the corresponding targets of the United Nations Millennium Development Goals.</w:t>
      </w:r>
    </w:p>
    <w:p w:rsidR="00CD2A5A" w:rsidRDefault="00CD2A5A">
      <w:pPr>
        <w:pStyle w:val="Header"/>
        <w:numPr>
          <w:ilvl w:val="0"/>
          <w:numId w:val="3"/>
        </w:numPr>
        <w:tabs>
          <w:tab w:val="clear" w:pos="720"/>
          <w:tab w:val="clear" w:pos="4252"/>
        </w:tabs>
        <w:spacing w:after="240"/>
        <w:ind w:left="0" w:firstLine="0"/>
        <w:rPr>
          <w:lang w:val="en-US"/>
        </w:rPr>
      </w:pPr>
      <w:r>
        <w:rPr>
          <w:lang w:val="en-GB"/>
        </w:rPr>
        <w:t>In this context, based on a diagnosis and an analysis of the activities and costs of current programmes, taking account of the priorities of more vulnerable groups and areas, we set out below the progress and achievements in nutrition.</w:t>
      </w:r>
      <w:r>
        <w:rPr>
          <w:lang w:val="en-US"/>
        </w:rPr>
        <w:t xml:space="preserve"> </w:t>
      </w:r>
      <w:r>
        <w:rPr>
          <w:lang w:val="en-GB"/>
        </w:rPr>
        <w:t>It must be acknowledged that progress has been satisfactory and sustained; however, there are still some deficits in this field so lines of action have been defined in nutrition, giving priority to reducing short- and medium- term nutritional problems.</w:t>
      </w:r>
    </w:p>
    <w:p w:rsidR="00CD2A5A" w:rsidRDefault="00CD2A5A">
      <w:pPr>
        <w:pStyle w:val="Header"/>
        <w:keepNext/>
        <w:numPr>
          <w:ilvl w:val="0"/>
          <w:numId w:val="3"/>
        </w:numPr>
        <w:tabs>
          <w:tab w:val="clear" w:pos="720"/>
          <w:tab w:val="clear" w:pos="4252"/>
        </w:tabs>
        <w:spacing w:after="240"/>
        <w:ind w:left="0" w:firstLine="0"/>
        <w:rPr>
          <w:vanish/>
          <w:lang w:val="en-US"/>
        </w:rPr>
      </w:pPr>
      <w:r>
        <w:rPr>
          <w:lang w:val="en-GB"/>
        </w:rPr>
        <w:t>With the aim of reducing nutritional risk and morbility and mortality during infancy and early childhood, and improving breast-feeding indicators, since 1992 the Ministry of Public Health and Social Welfare has been implementing the promotion, protection and support component for breast-feeding and food supplements, by means of the following indicators:</w:t>
      </w:r>
    </w:p>
    <w:p w:rsidR="00CD2A5A" w:rsidRDefault="00CD2A5A">
      <w:pPr>
        <w:pStyle w:val="BodyText"/>
        <w:widowControl/>
        <w:numPr>
          <w:ilvl w:val="1"/>
          <w:numId w:val="3"/>
        </w:numPr>
        <w:tabs>
          <w:tab w:val="clear" w:pos="1200"/>
        </w:tabs>
        <w:snapToGrid/>
        <w:spacing w:before="0" w:after="240"/>
        <w:ind w:left="0" w:firstLine="567"/>
        <w:jc w:val="left"/>
        <w:rPr>
          <w:sz w:val="24"/>
          <w:lang w:val="en-US"/>
        </w:rPr>
      </w:pPr>
      <w:r>
        <w:rPr>
          <w:sz w:val="24"/>
          <w:lang w:val="en-GB"/>
        </w:rPr>
        <w:t>Baby-Friendly Hospital Initiative (BFHI).</w:t>
      </w:r>
      <w:r>
        <w:rPr>
          <w:sz w:val="24"/>
          <w:lang w:val="en-US"/>
        </w:rPr>
        <w:t xml:space="preserve"> </w:t>
      </w:r>
      <w:r>
        <w:rPr>
          <w:sz w:val="24"/>
          <w:lang w:val="en-GB"/>
        </w:rPr>
        <w:t>This initiative takes as a reference the Innocenti Declaration, adopted at the 45</w:t>
      </w:r>
      <w:r>
        <w:rPr>
          <w:sz w:val="24"/>
          <w:vertAlign w:val="superscript"/>
          <w:lang w:val="en-GB"/>
        </w:rPr>
        <w:t>th</w:t>
      </w:r>
      <w:r>
        <w:rPr>
          <w:sz w:val="24"/>
          <w:lang w:val="en-GB"/>
        </w:rPr>
        <w:t xml:space="preserve"> World Health Assembly (1992).</w:t>
      </w:r>
      <w:r>
        <w:rPr>
          <w:sz w:val="24"/>
          <w:lang w:val="en-US"/>
        </w:rPr>
        <w:t xml:space="preserve"> </w:t>
      </w:r>
      <w:r>
        <w:rPr>
          <w:sz w:val="24"/>
          <w:lang w:val="en-GB"/>
        </w:rPr>
        <w:t>The BFHI aims to reverse hospital practices that interfere with the successful start of breast-feeding, from birth and maintaining exclusive breast-feeding until the sixth month of life.</w:t>
      </w:r>
      <w:r>
        <w:rPr>
          <w:sz w:val="24"/>
          <w:lang w:val="en-US"/>
        </w:rPr>
        <w:t xml:space="preserve"> </w:t>
      </w:r>
      <w:r>
        <w:rPr>
          <w:sz w:val="24"/>
          <w:lang w:val="en-GB"/>
        </w:rPr>
        <w:t>Of the country’s 30 hospitals, 23 are being upgraded and reaccredited, while five hospitals are being accredited.</w:t>
      </w:r>
    </w:p>
    <w:p w:rsidR="00CD2A5A" w:rsidRDefault="00CD2A5A">
      <w:pPr>
        <w:pStyle w:val="BodyText"/>
        <w:widowControl/>
        <w:numPr>
          <w:ilvl w:val="1"/>
          <w:numId w:val="3"/>
        </w:numPr>
        <w:tabs>
          <w:tab w:val="clear" w:pos="1200"/>
        </w:tabs>
        <w:snapToGrid/>
        <w:spacing w:before="0" w:after="240"/>
        <w:ind w:left="0" w:firstLine="567"/>
        <w:jc w:val="left"/>
        <w:rPr>
          <w:sz w:val="24"/>
          <w:lang w:val="en-US"/>
        </w:rPr>
      </w:pPr>
      <w:r>
        <w:rPr>
          <w:sz w:val="24"/>
          <w:lang w:val="en-GB"/>
        </w:rPr>
        <w:t>The women- and child-friendly health centres initiative (</w:t>
      </w:r>
      <w:r>
        <w:rPr>
          <w:caps/>
          <w:sz w:val="24"/>
          <w:lang w:val="en-GB"/>
        </w:rPr>
        <w:t>USANYM)</w:t>
      </w:r>
      <w:r>
        <w:rPr>
          <w:sz w:val="24"/>
          <w:lang w:val="en-GB"/>
        </w:rPr>
        <w:t>.</w:t>
      </w:r>
      <w:r>
        <w:rPr>
          <w:sz w:val="24"/>
          <w:lang w:val="en-US"/>
        </w:rPr>
        <w:t xml:space="preserve"> </w:t>
      </w:r>
      <w:r>
        <w:rPr>
          <w:sz w:val="24"/>
          <w:lang w:val="en-GB"/>
        </w:rPr>
        <w:t>The Ministry of Public Health and Social Welfare is promoting this initiative, made official in June 2004 and implemented in 367 health centres, with the objective of strengthening and expanding activities to protect, promote and support maternal nutrition for infants during gestation, breastfeeding and infancy and early childhood, through the first level of care, with a view to increasing exclusive breast-feeding up to six months of age and promoting appropriate introduction of other foods at that age, together with breast-feeding extending up to age two or beyond.</w:t>
      </w:r>
      <w:r>
        <w:rPr>
          <w:sz w:val="24"/>
          <w:lang w:val="en-US"/>
        </w:rPr>
        <w:t xml:space="preserve"> </w:t>
      </w:r>
      <w:r>
        <w:rPr>
          <w:sz w:val="24"/>
          <w:lang w:val="en-GB"/>
        </w:rPr>
        <w:t>At community level, some 2000 health promoters have been trained to put across the key messages of this practice, and volunteer counsellors have been trained, for which technical standards were prepared.</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At USANYM the Breast-Feeding and Food Supplements component is being implemented at local and community levels, and nutritional care is given to pregnant women and breast-feeding mothers.</w:t>
      </w:r>
      <w:r>
        <w:rPr>
          <w:lang w:val="en-US"/>
        </w:rPr>
        <w:t xml:space="preserve"> </w:t>
      </w:r>
      <w:r>
        <w:rPr>
          <w:lang w:val="en-GB"/>
        </w:rPr>
        <w:t>At the same time, other processes are being carried out to ensure that the initiatives are sustainable, such as:</w:t>
      </w:r>
    </w:p>
    <w:p w:rsidR="00CD2A5A" w:rsidRDefault="00CD2A5A">
      <w:pPr>
        <w:pStyle w:val="Header"/>
        <w:numPr>
          <w:ilvl w:val="1"/>
          <w:numId w:val="3"/>
        </w:numPr>
        <w:tabs>
          <w:tab w:val="clear" w:pos="1200"/>
          <w:tab w:val="clear" w:pos="4252"/>
        </w:tabs>
        <w:spacing w:after="240"/>
        <w:ind w:left="0" w:firstLine="567"/>
        <w:rPr>
          <w:lang w:val="en-US"/>
        </w:rPr>
      </w:pPr>
      <w:r>
        <w:rPr>
          <w:lang w:val="en-GB"/>
        </w:rPr>
        <w:t>Study of the Bill on the Promotion, Protection and Support for Breast-Feeding;</w:t>
      </w:r>
    </w:p>
    <w:p w:rsidR="00CD2A5A" w:rsidRDefault="00CD2A5A">
      <w:pPr>
        <w:pStyle w:val="Header"/>
        <w:numPr>
          <w:ilvl w:val="1"/>
          <w:numId w:val="3"/>
        </w:numPr>
        <w:tabs>
          <w:tab w:val="clear" w:pos="1200"/>
          <w:tab w:val="clear" w:pos="4252"/>
        </w:tabs>
        <w:spacing w:after="240"/>
        <w:ind w:left="0" w:firstLine="567"/>
        <w:rPr>
          <w:lang w:val="en-US"/>
        </w:rPr>
      </w:pPr>
      <w:r>
        <w:rPr>
          <w:lang w:val="en-GB"/>
        </w:rPr>
        <w:t>Study of the setting-up of the National Committee for Breast-Feeding and Food Supplements;</w:t>
      </w:r>
    </w:p>
    <w:p w:rsidR="00CD2A5A" w:rsidRDefault="00CD2A5A">
      <w:pPr>
        <w:pStyle w:val="Header"/>
        <w:numPr>
          <w:ilvl w:val="1"/>
          <w:numId w:val="3"/>
        </w:numPr>
        <w:tabs>
          <w:tab w:val="clear" w:pos="1200"/>
          <w:tab w:val="clear" w:pos="4252"/>
        </w:tabs>
        <w:spacing w:after="240"/>
        <w:ind w:left="0" w:firstLine="567"/>
        <w:rPr>
          <w:lang w:val="en-US"/>
        </w:rPr>
      </w:pPr>
      <w:r>
        <w:rPr>
          <w:lang w:val="en-GB"/>
        </w:rPr>
        <w:t>Conducting periodic (biannual) assessments on compliance with the Code on the marketing of breast-milk substitutes and sharing its results at national level;</w:t>
      </w:r>
    </w:p>
    <w:p w:rsidR="00CD2A5A" w:rsidRDefault="00CD2A5A">
      <w:pPr>
        <w:pStyle w:val="Header"/>
        <w:numPr>
          <w:ilvl w:val="1"/>
          <w:numId w:val="3"/>
        </w:numPr>
        <w:tabs>
          <w:tab w:val="clear" w:pos="1200"/>
          <w:tab w:val="clear" w:pos="4252"/>
        </w:tabs>
        <w:spacing w:after="240"/>
        <w:ind w:left="0" w:firstLine="567"/>
        <w:rPr>
          <w:lang w:val="en-US"/>
        </w:rPr>
      </w:pPr>
      <w:r>
        <w:rPr>
          <w:lang w:val="en-GB"/>
        </w:rPr>
        <w:t>Incorporation of a breast-feeding and baby-food component in the Strategy for Comprehensive Nutritional Care in the community (AIN-C), and in the Strategy for Comprehensive Care of Common Childhood Diseases (AEIPI), in health establishments and in the community, implemented by health promoters;</w:t>
      </w:r>
    </w:p>
    <w:p w:rsidR="00CD2A5A" w:rsidRDefault="00CD2A5A">
      <w:pPr>
        <w:pStyle w:val="Header"/>
        <w:numPr>
          <w:ilvl w:val="1"/>
          <w:numId w:val="3"/>
        </w:numPr>
        <w:tabs>
          <w:tab w:val="clear" w:pos="1200"/>
          <w:tab w:val="clear" w:pos="4252"/>
        </w:tabs>
        <w:spacing w:after="240"/>
        <w:ind w:left="0" w:firstLine="567"/>
        <w:rPr>
          <w:lang w:val="en-US"/>
        </w:rPr>
      </w:pPr>
      <w:r>
        <w:rPr>
          <w:lang w:val="en-GB"/>
        </w:rPr>
        <w:t>Implementation of a monitoring system in direct support of breast-feeding (MADLAC) in 23 Salvadoran hospitals with a maternity service;</w:t>
      </w:r>
    </w:p>
    <w:p w:rsidR="00CD2A5A" w:rsidRDefault="00CD2A5A">
      <w:pPr>
        <w:pStyle w:val="Header"/>
        <w:numPr>
          <w:ilvl w:val="1"/>
          <w:numId w:val="3"/>
        </w:numPr>
        <w:tabs>
          <w:tab w:val="clear" w:pos="1200"/>
          <w:tab w:val="clear" w:pos="4252"/>
        </w:tabs>
        <w:spacing w:after="240"/>
        <w:ind w:left="0" w:firstLine="567"/>
        <w:rPr>
          <w:lang w:val="es-SV"/>
        </w:rPr>
      </w:pPr>
      <w:r>
        <w:rPr>
          <w:lang w:val="en-GB"/>
        </w:rPr>
        <w:t>Strengthening the technical capability of health personnel.</w:t>
      </w:r>
      <w:r>
        <w:rPr>
          <w:lang w:val="en-US"/>
        </w:rPr>
        <w:t xml:space="preserve"> </w:t>
      </w:r>
      <w:r>
        <w:rPr>
          <w:lang w:val="en-GB"/>
        </w:rPr>
        <w:t>In 2005, 141 technical advisers were trained to implement the BFHI and USANYM initiatives.</w:t>
      </w:r>
      <w:r>
        <w:rPr>
          <w:lang w:val="en-US"/>
        </w:rPr>
        <w:t xml:space="preserve"> </w:t>
      </w:r>
      <w:r>
        <w:rPr>
          <w:lang w:val="en-GB"/>
        </w:rPr>
        <w:t>In 2006 the first national team of external assessors was certified, consisting of 35 professionals from the Ministry of Health, the Salvadoran Social Security Institute and NGOs (paediatricians, neonatologists, gynaecologists, doctors, nutritionists, nurses and educators), with the cooperation of UNICEF.</w:t>
      </w:r>
      <w:r>
        <w:rPr>
          <w:lang w:val="en-US"/>
        </w:rPr>
        <w:t xml:space="preserve"> </w:t>
      </w:r>
      <w:r>
        <w:rPr>
          <w:lang w:val="en-GB"/>
        </w:rPr>
        <w:t>All health establishments have health personnel who offer advice on breast-feeding.</w:t>
      </w:r>
      <w:r>
        <w:rPr>
          <w:lang w:val="en-US"/>
        </w:rPr>
        <w:t xml:space="preserve"> </w:t>
      </w:r>
      <w:r>
        <w:rPr>
          <w:lang w:val="en-GB"/>
        </w:rPr>
        <w:t>Nutrition teachers have also been included from the Universidad de El Salvador and the Universidad Evangélica de El Salvador;</w:t>
      </w:r>
    </w:p>
    <w:p w:rsidR="00CD2A5A" w:rsidRDefault="00CD2A5A">
      <w:pPr>
        <w:pStyle w:val="Header"/>
        <w:numPr>
          <w:ilvl w:val="1"/>
          <w:numId w:val="3"/>
        </w:numPr>
        <w:tabs>
          <w:tab w:val="clear" w:pos="1200"/>
          <w:tab w:val="clear" w:pos="4252"/>
        </w:tabs>
        <w:spacing w:after="240"/>
        <w:ind w:left="0" w:firstLine="567"/>
        <w:rPr>
          <w:lang w:val="en-US"/>
        </w:rPr>
      </w:pPr>
      <w:r>
        <w:rPr>
          <w:lang w:val="en-US"/>
        </w:rPr>
        <w:t>Dv</w:t>
      </w:r>
      <w:r>
        <w:rPr>
          <w:lang w:val="en-GB"/>
        </w:rPr>
        <w:t>Development of tools to monitor the initiatives (self-assessment of hospitals and health centres), and questionnaires and consolidated data of MADLAC information.</w:t>
      </w:r>
      <w:r>
        <w:rPr>
          <w:lang w:val="en-US"/>
        </w:rPr>
        <w:t xml:space="preserve"> </w:t>
      </w:r>
      <w:r>
        <w:rPr>
          <w:lang w:val="en-GB"/>
        </w:rPr>
        <w:t>The BFHI, encouraged by WHO/UNICEF worldwide, is being implemented using the ten steps to successful breast-feeding.</w:t>
      </w:r>
      <w:r>
        <w:rPr>
          <w:lang w:val="en-US"/>
        </w:rPr>
        <w:t xml:space="preserve"> </w:t>
      </w:r>
      <w:r>
        <w:rPr>
          <w:lang w:val="en-GB"/>
        </w:rPr>
        <w:t>Twenty-three hospitals with maternity services (i.e. 85% of the country’s hospitals) have been accredited and monitored as baby-friendly.</w:t>
      </w:r>
    </w:p>
    <w:p w:rsidR="00CD2A5A" w:rsidRDefault="00CD2A5A">
      <w:pPr>
        <w:pStyle w:val="Header"/>
        <w:numPr>
          <w:ilvl w:val="0"/>
          <w:numId w:val="3"/>
        </w:numPr>
        <w:tabs>
          <w:tab w:val="clear" w:pos="720"/>
          <w:tab w:val="clear" w:pos="4252"/>
        </w:tabs>
        <w:spacing w:after="240"/>
        <w:ind w:left="0" w:firstLine="0"/>
        <w:rPr>
          <w:lang w:val="en-US"/>
        </w:rPr>
      </w:pPr>
      <w:r>
        <w:rPr>
          <w:lang w:val="en-GB"/>
        </w:rPr>
        <w:t>As part of the approach for children’s nutritional prevention and protection, the promotion and monitoring of growth has been strengthened and sustained in both public establishments and the community, using weight/age, height/age and cephalic perimeter growth charts, interpreting the growth trend for boys and girls.</w:t>
      </w:r>
      <w:r>
        <w:rPr>
          <w:lang w:val="en-US"/>
        </w:rPr>
        <w:t xml:space="preserve"> </w:t>
      </w:r>
      <w:r>
        <w:rPr>
          <w:lang w:val="en-GB"/>
        </w:rPr>
        <w:t>This measure is being carried out in the 367 public establishments by health personnel and at community level by health promoters.</w:t>
      </w:r>
      <w:r>
        <w:rPr>
          <w:lang w:val="en-US"/>
        </w:rPr>
        <w:t xml:space="preserve"> </w:t>
      </w:r>
      <w:r>
        <w:rPr>
          <w:lang w:val="en-GB"/>
        </w:rPr>
        <w:t>To date there is a total of 1,900 health promoters and specific supervisors of trained promoters.</w:t>
      </w:r>
      <w:r>
        <w:rPr>
          <w:lang w:val="en-US"/>
        </w:rPr>
        <w:t xml:space="preserve"> </w:t>
      </w:r>
      <w:r>
        <w:rPr>
          <w:lang w:val="en-GB"/>
        </w:rPr>
        <w:t>Nutritional supervision is also carried out at community level, twice a year on all children under five in rural areas using the weight/age index.</w:t>
      </w:r>
      <w:r>
        <w:rPr>
          <w:lang w:val="en-US"/>
        </w:rPr>
        <w:t xml:space="preserve"> </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following strategies have been implemented for extending coverage:</w:t>
      </w:r>
    </w:p>
    <w:p w:rsidR="00CD2A5A" w:rsidRDefault="00CD2A5A">
      <w:pPr>
        <w:pStyle w:val="ListNumber5"/>
        <w:numPr>
          <w:ilvl w:val="1"/>
          <w:numId w:val="3"/>
        </w:numPr>
        <w:tabs>
          <w:tab w:val="clear" w:pos="1200"/>
          <w:tab w:val="clear" w:pos="1800"/>
        </w:tabs>
        <w:spacing w:after="240"/>
        <w:ind w:left="0" w:firstLine="567"/>
        <w:rPr>
          <w:sz w:val="24"/>
          <w:szCs w:val="24"/>
          <w:lang w:val="en-US"/>
        </w:rPr>
      </w:pPr>
      <w:r>
        <w:rPr>
          <w:sz w:val="24"/>
          <w:szCs w:val="24"/>
          <w:lang w:val="en-GB"/>
        </w:rPr>
        <w:t>Comprehensive Nutritional Care in the Community (AIN).</w:t>
      </w:r>
      <w:r>
        <w:rPr>
          <w:sz w:val="24"/>
          <w:szCs w:val="24"/>
          <w:lang w:val="en-US"/>
        </w:rPr>
        <w:t xml:space="preserve"> </w:t>
      </w:r>
      <w:r>
        <w:rPr>
          <w:sz w:val="24"/>
          <w:szCs w:val="24"/>
          <w:lang w:val="en-GB"/>
        </w:rPr>
        <w:t>This is a community strategy for promoting health and nutrition by monitoring weight gain in pregnant women, and children under two.</w:t>
      </w:r>
      <w:r>
        <w:rPr>
          <w:sz w:val="24"/>
          <w:szCs w:val="24"/>
          <w:lang w:val="en-US"/>
        </w:rPr>
        <w:t xml:space="preserve"> </w:t>
      </w:r>
      <w:r>
        <w:rPr>
          <w:sz w:val="24"/>
          <w:szCs w:val="24"/>
          <w:lang w:val="en-GB"/>
        </w:rPr>
        <w:t>The strategy fosters the promotion and development through community participation, and is carried out by volunteers, generally fathers or mothers.</w:t>
      </w:r>
      <w:r>
        <w:rPr>
          <w:sz w:val="24"/>
          <w:szCs w:val="24"/>
          <w:lang w:val="en-US"/>
        </w:rPr>
        <w:t xml:space="preserve"> </w:t>
      </w:r>
      <w:r>
        <w:rPr>
          <w:sz w:val="24"/>
          <w:szCs w:val="24"/>
          <w:lang w:val="en-GB"/>
        </w:rPr>
        <w:t>Besides monitoring growth and supervising maternal and infant health, the strategy provides nutritional education by means of nutritional advice by volunteer advisors.</w:t>
      </w:r>
      <w:r>
        <w:rPr>
          <w:sz w:val="24"/>
          <w:szCs w:val="24"/>
          <w:lang w:val="en-US"/>
        </w:rPr>
        <w:t xml:space="preserve"> </w:t>
      </w:r>
      <w:r>
        <w:rPr>
          <w:sz w:val="24"/>
          <w:szCs w:val="24"/>
          <w:lang w:val="en-GB"/>
        </w:rPr>
        <w:t>Since 2002, 1,120 households were covered in 150 municipalities, training 516 facilitators and 2,250 volunteer advisors.</w:t>
      </w:r>
      <w:r>
        <w:rPr>
          <w:sz w:val="24"/>
          <w:szCs w:val="24"/>
          <w:lang w:val="en-US"/>
        </w:rPr>
        <w:t xml:space="preserve"> </w:t>
      </w:r>
      <w:r>
        <w:rPr>
          <w:sz w:val="24"/>
          <w:szCs w:val="24"/>
          <w:lang w:val="en-GB"/>
        </w:rPr>
        <w:t>A total of 16,000 children and 3,000 pregnant women were handled with this strategy.</w:t>
      </w:r>
      <w:r>
        <w:rPr>
          <w:sz w:val="24"/>
          <w:szCs w:val="24"/>
          <w:lang w:val="en-US"/>
        </w:rPr>
        <w:t xml:space="preserve"> </w:t>
      </w:r>
      <w:r>
        <w:rPr>
          <w:sz w:val="24"/>
          <w:szCs w:val="24"/>
          <w:lang w:val="en-GB"/>
        </w:rPr>
        <w:t>The strategy was supported by a number of private and cooperation bodies such as INTERVIDA, Canadian Cooperation - Project SAGYS, CALMA, FUSAL, PLAN, USAID, Save the Children, Doctors of the World, among others;</w:t>
      </w:r>
      <w:r>
        <w:rPr>
          <w:sz w:val="24"/>
          <w:szCs w:val="24"/>
          <w:lang w:val="en-US"/>
        </w:rPr>
        <w:t xml:space="preserve"> </w:t>
      </w:r>
    </w:p>
    <w:p w:rsidR="00CD2A5A" w:rsidRDefault="00CD2A5A">
      <w:pPr>
        <w:pStyle w:val="ListNumber5"/>
        <w:numPr>
          <w:ilvl w:val="1"/>
          <w:numId w:val="3"/>
        </w:numPr>
        <w:tabs>
          <w:tab w:val="clear" w:pos="1200"/>
          <w:tab w:val="clear" w:pos="1800"/>
        </w:tabs>
        <w:spacing w:after="240"/>
        <w:ind w:left="0" w:firstLine="567"/>
        <w:rPr>
          <w:sz w:val="24"/>
          <w:szCs w:val="24"/>
          <w:lang w:val="en-US"/>
        </w:rPr>
      </w:pPr>
      <w:r>
        <w:rPr>
          <w:sz w:val="24"/>
          <w:szCs w:val="24"/>
          <w:lang w:val="en-GB"/>
        </w:rPr>
        <w:t>Comprehensive care in rural health and nutrition centres (CRSN).</w:t>
      </w:r>
      <w:r>
        <w:rPr>
          <w:sz w:val="24"/>
          <w:szCs w:val="24"/>
          <w:lang w:val="en-US"/>
        </w:rPr>
        <w:t xml:space="preserve"> </w:t>
      </w:r>
      <w:r>
        <w:rPr>
          <w:sz w:val="24"/>
          <w:szCs w:val="24"/>
          <w:lang w:val="en-GB"/>
        </w:rPr>
        <w:t>These centres provide primary health and nutrition care, stimulation of development and initial education for children aged two to five.</w:t>
      </w:r>
      <w:r>
        <w:rPr>
          <w:sz w:val="24"/>
          <w:szCs w:val="24"/>
          <w:lang w:val="en-US"/>
        </w:rPr>
        <w:t xml:space="preserve"> </w:t>
      </w:r>
      <w:r>
        <w:rPr>
          <w:sz w:val="24"/>
          <w:szCs w:val="24"/>
          <w:lang w:val="en-GB"/>
        </w:rPr>
        <w:t>There are 51 CRSNs located in marginal rural and urban areas of 34 municipalities.</w:t>
      </w:r>
      <w:r>
        <w:rPr>
          <w:sz w:val="24"/>
          <w:szCs w:val="24"/>
          <w:lang w:val="en-US"/>
        </w:rPr>
        <w:t xml:space="preserve"> </w:t>
      </w:r>
      <w:r>
        <w:rPr>
          <w:sz w:val="24"/>
          <w:szCs w:val="24"/>
          <w:lang w:val="en-GB"/>
        </w:rPr>
        <w:t>Some 63.9% of the centres are located in municipalities with a high prevalence of underheight children.</w:t>
      </w:r>
      <w:r>
        <w:rPr>
          <w:sz w:val="24"/>
          <w:szCs w:val="24"/>
          <w:lang w:val="en-US"/>
        </w:rPr>
        <w:t xml:space="preserve"> </w:t>
      </w:r>
      <w:r>
        <w:rPr>
          <w:sz w:val="24"/>
          <w:szCs w:val="24"/>
          <w:lang w:val="en-GB"/>
        </w:rPr>
        <w:t>The centres handle an average of 35 children, covering a total of 1,785 children aged 2 to 5, by means of 153 nutrition promoters.</w:t>
      </w:r>
      <w:r>
        <w:rPr>
          <w:sz w:val="24"/>
          <w:szCs w:val="24"/>
          <w:lang w:val="en-US"/>
        </w:rPr>
        <w:t xml:space="preserve"> </w:t>
      </w:r>
      <w:r>
        <w:rPr>
          <w:sz w:val="24"/>
          <w:szCs w:val="24"/>
          <w:lang w:val="en-GB"/>
        </w:rPr>
        <w:t>Activities are carried out to monitor and control physical growth, micronutrient supplementation (vitamin A, iron and zinc), delousing, vaccination, supplementary food (lunch and two snacks), oral health, nutritional health for parents, and initial education for children;</w:t>
      </w:r>
    </w:p>
    <w:p w:rsidR="00CD2A5A" w:rsidRDefault="00CD2A5A">
      <w:pPr>
        <w:pStyle w:val="ListNumber5"/>
        <w:numPr>
          <w:ilvl w:val="1"/>
          <w:numId w:val="3"/>
        </w:numPr>
        <w:tabs>
          <w:tab w:val="clear" w:pos="1200"/>
          <w:tab w:val="clear" w:pos="1800"/>
        </w:tabs>
        <w:spacing w:after="240"/>
        <w:ind w:left="0" w:firstLine="567"/>
        <w:rPr>
          <w:spacing w:val="-2"/>
          <w:sz w:val="24"/>
          <w:szCs w:val="24"/>
          <w:lang w:val="en-US"/>
        </w:rPr>
      </w:pPr>
      <w:r>
        <w:rPr>
          <w:spacing w:val="-2"/>
          <w:sz w:val="24"/>
          <w:szCs w:val="24"/>
          <w:lang w:val="en-GB"/>
        </w:rPr>
        <w:t>Nutritional care plan for children, pregnant women and breast-feeding mothers in priority municipalities.</w:t>
      </w:r>
      <w:r>
        <w:rPr>
          <w:spacing w:val="-2"/>
          <w:sz w:val="24"/>
          <w:szCs w:val="24"/>
          <w:lang w:val="en-US"/>
        </w:rPr>
        <w:t xml:space="preserve"> </w:t>
      </w:r>
      <w:r>
        <w:rPr>
          <w:spacing w:val="-2"/>
          <w:sz w:val="24"/>
          <w:szCs w:val="24"/>
          <w:lang w:val="en-GB"/>
        </w:rPr>
        <w:t>The Ministry of Public Health and Social Welfare, with the support of the Directorate of Food Welfare of the National Secretariat for the Family (SNF), and the World Food Programme, is implementing the nutritional care plan for mothers and children under five in 62 municipalities selected for a high prevalence of underheight children.</w:t>
      </w:r>
      <w:r>
        <w:rPr>
          <w:spacing w:val="-2"/>
          <w:sz w:val="24"/>
          <w:szCs w:val="24"/>
          <w:lang w:val="en-US"/>
        </w:rPr>
        <w:t xml:space="preserve"> </w:t>
      </w:r>
      <w:r>
        <w:rPr>
          <w:spacing w:val="-2"/>
          <w:sz w:val="24"/>
          <w:szCs w:val="24"/>
          <w:lang w:val="en-GB"/>
        </w:rPr>
        <w:t>Under the plan a food supplement was provided for an average of 53,000 direct beneficiaries, including 44,000 children under 5, and 9,000 pregnant women and breast-feeding mothers.</w:t>
      </w:r>
      <w:r>
        <w:rPr>
          <w:spacing w:val="-2"/>
          <w:sz w:val="24"/>
          <w:szCs w:val="24"/>
          <w:lang w:val="en-US"/>
        </w:rPr>
        <w:t xml:space="preserve"> </w:t>
      </w:r>
      <w:r>
        <w:rPr>
          <w:spacing w:val="-2"/>
          <w:sz w:val="24"/>
          <w:szCs w:val="24"/>
          <w:lang w:val="en-GB"/>
        </w:rPr>
        <w:t>The programme began in 2003 with 22 municipalities in Ahuachapán, Sonsonate and Santa Ana, departments selected on account of the coffee crisis.</w:t>
      </w:r>
      <w:r>
        <w:rPr>
          <w:spacing w:val="-2"/>
          <w:sz w:val="24"/>
          <w:szCs w:val="24"/>
          <w:lang w:val="en-US"/>
        </w:rPr>
        <w:t xml:space="preserve"> </w:t>
      </w:r>
      <w:r>
        <w:rPr>
          <w:spacing w:val="-2"/>
          <w:sz w:val="24"/>
          <w:szCs w:val="24"/>
          <w:lang w:val="en-GB"/>
        </w:rPr>
        <w:t>A budget of $3.1 million, funded by the World Food Programme (WFP), was allocated for food purchases.</w:t>
      </w:r>
      <w:r>
        <w:rPr>
          <w:spacing w:val="-2"/>
          <w:sz w:val="24"/>
          <w:szCs w:val="24"/>
          <w:lang w:val="en-US"/>
        </w:rPr>
        <w:t xml:space="preserve"> </w:t>
      </w:r>
      <w:r>
        <w:rPr>
          <w:spacing w:val="-2"/>
          <w:sz w:val="24"/>
          <w:szCs w:val="24"/>
          <w:lang w:val="en-GB"/>
        </w:rPr>
        <w:t>Since November 2005, this programme has been providing a monthly package of basic health and nutrition care and an individual food ration (rice, oil, beans and maize), food supplement for children and mothers (CSB/vitamin-enriched cereal), and advice on food and nutrition.</w:t>
      </w:r>
      <w:r>
        <w:rPr>
          <w:spacing w:val="-2"/>
          <w:sz w:val="24"/>
          <w:szCs w:val="24"/>
          <w:lang w:val="en-US"/>
        </w:rPr>
        <w:t xml:space="preserve"> </w:t>
      </w:r>
      <w:r>
        <w:rPr>
          <w:spacing w:val="-2"/>
          <w:sz w:val="24"/>
          <w:szCs w:val="24"/>
          <w:lang w:val="en-GB"/>
        </w:rPr>
        <w:t>An average of 475 metric tonnes of food are distributed each month.</w:t>
      </w:r>
    </w:p>
    <w:p w:rsidR="00CD2A5A" w:rsidRDefault="00CD2A5A">
      <w:pPr>
        <w:pStyle w:val="Header"/>
        <w:numPr>
          <w:ilvl w:val="0"/>
          <w:numId w:val="3"/>
        </w:numPr>
        <w:tabs>
          <w:tab w:val="clear" w:pos="720"/>
          <w:tab w:val="clear" w:pos="4252"/>
        </w:tabs>
        <w:spacing w:after="240"/>
        <w:ind w:left="0" w:firstLine="0"/>
        <w:rPr>
          <w:lang w:val="en-US"/>
        </w:rPr>
      </w:pPr>
      <w:r>
        <w:rPr>
          <w:lang w:val="en-GB"/>
        </w:rPr>
        <w:t>In the nutritional food education component, communication strategies, educational materials, guides and technical manuals were devised to support nutritional measures and programmes, including the following:</w:t>
      </w:r>
      <w:r>
        <w:rPr>
          <w:lang w:val="en-US"/>
        </w:rPr>
        <w:t xml:space="preserve"> </w:t>
      </w:r>
      <w:r>
        <w:rPr>
          <w:lang w:val="en-GB"/>
        </w:rPr>
        <w:t>Salvadoran family food guide; Preventing anaemia; Iodized salt; Vitamina A; Breast-feeding and food supplements; Diet during pregnancy; Diet guide for adolescents and women of child-bearing age; Advice leaflets on Comprehensive Nutrition Care (AIN) in the community; and provision of radio and television slots on health- and nutrition-related topics.</w:t>
      </w:r>
    </w:p>
    <w:p w:rsidR="00CD2A5A" w:rsidRDefault="00CD2A5A">
      <w:pPr>
        <w:pStyle w:val="Header"/>
        <w:numPr>
          <w:ilvl w:val="0"/>
          <w:numId w:val="3"/>
        </w:numPr>
        <w:tabs>
          <w:tab w:val="clear" w:pos="720"/>
          <w:tab w:val="clear" w:pos="4252"/>
        </w:tabs>
        <w:spacing w:after="240"/>
        <w:ind w:left="0" w:firstLine="0"/>
        <w:rPr>
          <w:lang w:val="en-US"/>
        </w:rPr>
      </w:pPr>
      <w:r>
        <w:rPr>
          <w:lang w:val="en-GB"/>
        </w:rPr>
        <w:t>The food fortification programmes are a nationwide initiative, as it is a responsibility of government, producers and consumers to ensure that they are maintained, and that they improve in quality and coverage for the benefit of the health of the Salvadoran population.</w:t>
      </w:r>
      <w:r>
        <w:rPr>
          <w:lang w:val="en-US"/>
        </w:rPr>
        <w:t xml:space="preserve"> </w:t>
      </w:r>
      <w:r>
        <w:rPr>
          <w:lang w:val="en-GB"/>
        </w:rPr>
        <w:t>These programmes include:</w:t>
      </w:r>
      <w:r>
        <w:rPr>
          <w:lang w:val="en-US"/>
        </w:rPr>
        <w:t xml:space="preserve"> </w:t>
      </w:r>
      <w:r>
        <w:rPr>
          <w:lang w:val="en-GB"/>
        </w:rPr>
        <w:t>s</w:t>
      </w:r>
      <w:r>
        <w:rPr>
          <w:bCs/>
          <w:lang w:val="en-GB"/>
        </w:rPr>
        <w:t>upplementation with micronutrients (v</w:t>
      </w:r>
      <w:r>
        <w:rPr>
          <w:lang w:val="en-GB"/>
        </w:rPr>
        <w:t>itamin A, iron plus folic acid and zinc).</w:t>
      </w:r>
      <w:r>
        <w:rPr>
          <w:lang w:val="en-US"/>
        </w:rPr>
        <w:t xml:space="preserve"> </w:t>
      </w:r>
      <w:r>
        <w:rPr>
          <w:lang w:val="en-GB"/>
        </w:rPr>
        <w:t>Vitamin A is supplied to four vulnerable population groups:</w:t>
      </w:r>
      <w:r>
        <w:rPr>
          <w:lang w:val="en-US"/>
        </w:rPr>
        <w:t xml:space="preserve"> </w:t>
      </w:r>
      <w:r>
        <w:rPr>
          <w:lang w:val="en-GB"/>
        </w:rPr>
        <w:t>babies under one year old, children aged 1 to 4, children aged 5 to 9 and nursing mothers.</w:t>
      </w:r>
      <w:r>
        <w:rPr>
          <w:lang w:val="en-US"/>
        </w:rPr>
        <w:t xml:space="preserve"> </w:t>
      </w:r>
      <w:r>
        <w:rPr>
          <w:lang w:val="en-GB"/>
        </w:rPr>
        <w:t>In 2005 the beneficiaries were 37,085 breast-feeding mothers.</w:t>
      </w:r>
      <w:r>
        <w:rPr>
          <w:lang w:val="en-US"/>
        </w:rPr>
        <w:t xml:space="preserve"> </w:t>
      </w:r>
      <w:r>
        <w:rPr>
          <w:lang w:val="en-GB"/>
        </w:rPr>
        <w:t>Iron supplements are given to six population groups:</w:t>
      </w:r>
      <w:r>
        <w:rPr>
          <w:lang w:val="en-US"/>
        </w:rPr>
        <w:t xml:space="preserve"> </w:t>
      </w:r>
      <w:r>
        <w:rPr>
          <w:lang w:val="en-GB"/>
        </w:rPr>
        <w:t>pregnant women aged 10 to 19, pregnant women aged 20 to 49, nursing mothers aged 10 to 19, nursing mothers aged 20-49, women of child-bearing age aged 10 to 19 and women of child-bearing age aged 20 to 49.</w:t>
      </w:r>
      <w:r>
        <w:rPr>
          <w:lang w:val="en-US"/>
        </w:rPr>
        <w:t xml:space="preserve"> </w:t>
      </w:r>
      <w:r>
        <w:rPr>
          <w:lang w:val="en-GB"/>
        </w:rPr>
        <w:t>In 2005, 427,745 women of child-bearing age benefited, i.e. 20% received iron supplements.</w:t>
      </w:r>
      <w:r>
        <w:rPr>
          <w:lang w:val="en-US"/>
        </w:rPr>
        <w:t xml:space="preserve"> </w:t>
      </w:r>
      <w:r>
        <w:rPr>
          <w:lang w:val="en-GB"/>
        </w:rPr>
        <w:t>Zinc supplements are given to a population group (children aged 1 to 4), with treatment of 60 ml a year and therapeutic doses to treat diarrhoea.</w:t>
      </w:r>
      <w:r>
        <w:rPr>
          <w:lang w:val="en-US"/>
        </w:rPr>
        <w:t xml:space="preserve"> </w:t>
      </w:r>
      <w:r>
        <w:rPr>
          <w:lang w:val="en-GB"/>
        </w:rPr>
        <w:t>Thirty-six per cent of the total population, or 251,472 beneficiaries, received this supplement in 2005.</w:t>
      </w:r>
      <w:r>
        <w:rPr>
          <w:lang w:val="en-US"/>
        </w:rPr>
        <w:t xml:space="preserve"> </w:t>
      </w:r>
      <w:r>
        <w:rPr>
          <w:lang w:val="en-GB"/>
        </w:rPr>
        <w:t>Iodized oil is administered in therapeutic doses to children diagnosed as deficient in iodine.</w:t>
      </w:r>
      <w:r>
        <w:rPr>
          <w:lang w:val="en-US"/>
        </w:rPr>
        <w:t xml:space="preserve"> </w:t>
      </w:r>
    </w:p>
    <w:p w:rsidR="00CD2A5A" w:rsidRDefault="00CD2A5A" w:rsidP="00CD2A5A">
      <w:pPr>
        <w:pStyle w:val="Figure"/>
        <w:spacing w:after="120"/>
        <w:rPr>
          <w:lang w:val="en-US"/>
        </w:rPr>
      </w:pPr>
      <w:r>
        <w:t>Figure 41</w:t>
      </w:r>
    </w:p>
    <w:p w:rsidR="00CD2A5A" w:rsidRDefault="00CD2A5A" w:rsidP="00CD2A5A">
      <w:pPr>
        <w:pStyle w:val="Figure"/>
        <w:spacing w:after="120"/>
        <w:rPr>
          <w:lang w:val="en-US"/>
        </w:rPr>
      </w:pPr>
      <w:r>
        <w:t>Estimated coverage of the supplementation programme</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63"/>
        <w:gridCol w:w="990"/>
        <w:gridCol w:w="883"/>
        <w:gridCol w:w="1099"/>
        <w:gridCol w:w="1028"/>
        <w:gridCol w:w="960"/>
        <w:gridCol w:w="1274"/>
        <w:gridCol w:w="1615"/>
      </w:tblGrid>
      <w:tr w:rsidR="00CD2A5A">
        <w:trPr>
          <w:jc w:val="center"/>
        </w:trPr>
        <w:tc>
          <w:tcPr>
            <w:tcW w:w="5000" w:type="pct"/>
            <w:gridSpan w:val="8"/>
            <w:vAlign w:val="center"/>
          </w:tcPr>
          <w:p w:rsidR="00CD2A5A" w:rsidRDefault="00CD2A5A" w:rsidP="00CD2A5A">
            <w:pPr>
              <w:keepNext/>
              <w:autoSpaceDE w:val="0"/>
              <w:autoSpaceDN w:val="0"/>
              <w:adjustRightInd w:val="0"/>
              <w:spacing w:before="40" w:after="40"/>
              <w:jc w:val="center"/>
              <w:rPr>
                <w:b/>
                <w:i/>
                <w:sz w:val="20"/>
                <w:szCs w:val="20"/>
                <w:lang w:val="es-SV"/>
              </w:rPr>
            </w:pPr>
            <w:r>
              <w:rPr>
                <w:b/>
                <w:i/>
                <w:sz w:val="20"/>
                <w:szCs w:val="20"/>
                <w:lang w:val="es-SV"/>
              </w:rPr>
              <w:t>Vitamin A</w:t>
            </w:r>
          </w:p>
        </w:tc>
      </w:tr>
      <w:tr w:rsidR="00CD2A5A" w:rsidTr="00CD2A5A">
        <w:trPr>
          <w:jc w:val="center"/>
        </w:trPr>
        <w:tc>
          <w:tcPr>
            <w:tcW w:w="830" w:type="pct"/>
            <w:vAlign w:val="center"/>
          </w:tcPr>
          <w:p w:rsidR="00CD2A5A" w:rsidRDefault="00CD2A5A" w:rsidP="00CD2A5A">
            <w:pPr>
              <w:keepNext/>
              <w:autoSpaceDE w:val="0"/>
              <w:autoSpaceDN w:val="0"/>
              <w:adjustRightInd w:val="0"/>
              <w:spacing w:before="40" w:after="40"/>
              <w:rPr>
                <w:b/>
                <w:i/>
                <w:sz w:val="20"/>
                <w:szCs w:val="20"/>
                <w:lang w:val="es-SV"/>
              </w:rPr>
            </w:pPr>
          </w:p>
        </w:tc>
        <w:tc>
          <w:tcPr>
            <w:tcW w:w="1579" w:type="pct"/>
            <w:gridSpan w:val="3"/>
            <w:vAlign w:val="center"/>
          </w:tcPr>
          <w:p w:rsidR="00CD2A5A" w:rsidRDefault="00CD2A5A" w:rsidP="00CD2A5A">
            <w:pPr>
              <w:keepNext/>
              <w:autoSpaceDE w:val="0"/>
              <w:autoSpaceDN w:val="0"/>
              <w:adjustRightInd w:val="0"/>
              <w:spacing w:before="40" w:after="40"/>
              <w:jc w:val="center"/>
              <w:rPr>
                <w:b/>
                <w:i/>
                <w:sz w:val="20"/>
                <w:szCs w:val="20"/>
                <w:lang w:val="es-SV"/>
              </w:rPr>
            </w:pPr>
            <w:r>
              <w:rPr>
                <w:b/>
                <w:i/>
                <w:sz w:val="20"/>
                <w:szCs w:val="20"/>
                <w:lang w:val="es-SV"/>
              </w:rPr>
              <w:t>Under 1 year old</w:t>
            </w:r>
          </w:p>
        </w:tc>
        <w:tc>
          <w:tcPr>
            <w:tcW w:w="1056" w:type="pct"/>
            <w:gridSpan w:val="2"/>
            <w:vAlign w:val="center"/>
          </w:tcPr>
          <w:p w:rsidR="00CD2A5A" w:rsidRDefault="00CD2A5A" w:rsidP="00CD2A5A">
            <w:pPr>
              <w:keepNext/>
              <w:autoSpaceDE w:val="0"/>
              <w:autoSpaceDN w:val="0"/>
              <w:adjustRightInd w:val="0"/>
              <w:spacing w:before="40" w:after="40"/>
              <w:jc w:val="center"/>
              <w:rPr>
                <w:b/>
                <w:i/>
                <w:sz w:val="20"/>
                <w:szCs w:val="20"/>
                <w:lang w:val="es-SV"/>
              </w:rPr>
            </w:pPr>
            <w:r>
              <w:rPr>
                <w:b/>
                <w:i/>
                <w:sz w:val="20"/>
                <w:szCs w:val="20"/>
                <w:lang w:val="es-SV"/>
              </w:rPr>
              <w:t>Aged 1 to 4</w:t>
            </w:r>
          </w:p>
        </w:tc>
        <w:tc>
          <w:tcPr>
            <w:tcW w:w="677" w:type="pct"/>
            <w:vAlign w:val="center"/>
          </w:tcPr>
          <w:p w:rsidR="00CD2A5A" w:rsidRDefault="00CD2A5A" w:rsidP="00CD2A5A">
            <w:pPr>
              <w:keepNext/>
              <w:autoSpaceDE w:val="0"/>
              <w:autoSpaceDN w:val="0"/>
              <w:adjustRightInd w:val="0"/>
              <w:spacing w:before="40" w:after="40"/>
              <w:jc w:val="center"/>
              <w:rPr>
                <w:b/>
                <w:i/>
                <w:sz w:val="20"/>
                <w:szCs w:val="20"/>
                <w:lang w:val="en-US"/>
              </w:rPr>
            </w:pPr>
            <w:r>
              <w:rPr>
                <w:b/>
                <w:i/>
                <w:sz w:val="20"/>
                <w:szCs w:val="20"/>
                <w:lang w:val="en-US"/>
              </w:rPr>
              <w:t>Aged 5 to 9</w:t>
            </w:r>
          </w:p>
        </w:tc>
        <w:tc>
          <w:tcPr>
            <w:tcW w:w="858" w:type="pct"/>
            <w:vAlign w:val="center"/>
          </w:tcPr>
          <w:p w:rsidR="00CD2A5A" w:rsidRDefault="00CD2A5A" w:rsidP="00CD2A5A">
            <w:pPr>
              <w:keepNext/>
              <w:autoSpaceDE w:val="0"/>
              <w:autoSpaceDN w:val="0"/>
              <w:adjustRightInd w:val="0"/>
              <w:spacing w:before="40" w:after="40"/>
              <w:jc w:val="center"/>
              <w:rPr>
                <w:b/>
                <w:i/>
                <w:sz w:val="20"/>
                <w:szCs w:val="20"/>
                <w:lang w:val="en-US"/>
              </w:rPr>
            </w:pPr>
            <w:r>
              <w:rPr>
                <w:b/>
                <w:i/>
                <w:sz w:val="20"/>
                <w:szCs w:val="20"/>
                <w:lang w:val="en-US"/>
              </w:rPr>
              <w:t>Nursing mothers</w:t>
            </w:r>
          </w:p>
        </w:tc>
      </w:tr>
      <w:tr w:rsidR="00CD2A5A" w:rsidTr="00CD2A5A">
        <w:trPr>
          <w:jc w:val="center"/>
        </w:trPr>
        <w:tc>
          <w:tcPr>
            <w:tcW w:w="830" w:type="pct"/>
            <w:vAlign w:val="center"/>
          </w:tcPr>
          <w:p w:rsidR="00CD2A5A" w:rsidRDefault="00CD2A5A" w:rsidP="00CD2A5A">
            <w:pPr>
              <w:keepNext/>
              <w:autoSpaceDE w:val="0"/>
              <w:autoSpaceDN w:val="0"/>
              <w:adjustRightInd w:val="0"/>
              <w:spacing w:before="40" w:after="40"/>
              <w:rPr>
                <w:b/>
                <w:i/>
                <w:sz w:val="20"/>
                <w:szCs w:val="20"/>
                <w:lang w:val="en-US"/>
              </w:rPr>
            </w:pPr>
            <w:r>
              <w:rPr>
                <w:b/>
                <w:i/>
                <w:sz w:val="20"/>
                <w:szCs w:val="20"/>
                <w:lang w:val="en-US"/>
              </w:rPr>
              <w:t>Dose</w:t>
            </w:r>
          </w:p>
        </w:tc>
        <w:tc>
          <w:tcPr>
            <w:tcW w:w="526" w:type="pct"/>
            <w:vAlign w:val="center"/>
          </w:tcPr>
          <w:p w:rsidR="00CD2A5A" w:rsidRDefault="00CD2A5A" w:rsidP="00CD2A5A">
            <w:pPr>
              <w:keepNext/>
              <w:autoSpaceDE w:val="0"/>
              <w:autoSpaceDN w:val="0"/>
              <w:adjustRightInd w:val="0"/>
              <w:spacing w:before="40" w:after="40"/>
              <w:rPr>
                <w:b/>
                <w:i/>
                <w:sz w:val="20"/>
                <w:szCs w:val="20"/>
                <w:lang w:val="en-US"/>
              </w:rPr>
            </w:pPr>
            <w:r>
              <w:rPr>
                <w:b/>
                <w:i/>
                <w:sz w:val="20"/>
                <w:szCs w:val="20"/>
                <w:lang w:val="en-US"/>
              </w:rPr>
              <w:t>1st</w:t>
            </w:r>
          </w:p>
        </w:tc>
        <w:tc>
          <w:tcPr>
            <w:tcW w:w="469" w:type="pct"/>
            <w:vAlign w:val="center"/>
          </w:tcPr>
          <w:p w:rsidR="00CD2A5A" w:rsidRDefault="00CD2A5A" w:rsidP="00CD2A5A">
            <w:pPr>
              <w:keepNext/>
              <w:autoSpaceDE w:val="0"/>
              <w:autoSpaceDN w:val="0"/>
              <w:adjustRightInd w:val="0"/>
              <w:spacing w:before="40" w:after="40"/>
              <w:rPr>
                <w:b/>
                <w:i/>
                <w:sz w:val="20"/>
                <w:szCs w:val="20"/>
                <w:lang w:val="en-US"/>
              </w:rPr>
            </w:pPr>
            <w:r>
              <w:rPr>
                <w:b/>
                <w:i/>
                <w:sz w:val="20"/>
                <w:szCs w:val="20"/>
                <w:lang w:val="en-US"/>
              </w:rPr>
              <w:t>2nd</w:t>
            </w:r>
          </w:p>
        </w:tc>
        <w:tc>
          <w:tcPr>
            <w:tcW w:w="584" w:type="pct"/>
            <w:vAlign w:val="center"/>
          </w:tcPr>
          <w:p w:rsidR="00CD2A5A" w:rsidRDefault="00CD2A5A" w:rsidP="00CD2A5A">
            <w:pPr>
              <w:keepNext/>
              <w:autoSpaceDE w:val="0"/>
              <w:autoSpaceDN w:val="0"/>
              <w:adjustRightInd w:val="0"/>
              <w:spacing w:before="40" w:after="40"/>
              <w:rPr>
                <w:b/>
                <w:i/>
                <w:sz w:val="20"/>
                <w:szCs w:val="20"/>
                <w:lang w:val="en-US"/>
              </w:rPr>
            </w:pPr>
            <w:r>
              <w:rPr>
                <w:b/>
                <w:i/>
                <w:sz w:val="20"/>
                <w:szCs w:val="20"/>
                <w:lang w:val="en-US"/>
              </w:rPr>
              <w:t>3rd</w:t>
            </w:r>
          </w:p>
        </w:tc>
        <w:tc>
          <w:tcPr>
            <w:tcW w:w="546" w:type="pct"/>
            <w:vAlign w:val="center"/>
          </w:tcPr>
          <w:p w:rsidR="00CD2A5A" w:rsidRDefault="00CD2A5A" w:rsidP="00CD2A5A">
            <w:pPr>
              <w:keepNext/>
              <w:autoSpaceDE w:val="0"/>
              <w:autoSpaceDN w:val="0"/>
              <w:adjustRightInd w:val="0"/>
              <w:spacing w:before="40" w:after="40"/>
              <w:jc w:val="center"/>
              <w:rPr>
                <w:b/>
                <w:i/>
                <w:sz w:val="20"/>
                <w:szCs w:val="20"/>
                <w:lang w:val="en-US"/>
              </w:rPr>
            </w:pPr>
            <w:r>
              <w:rPr>
                <w:b/>
                <w:i/>
                <w:sz w:val="20"/>
                <w:szCs w:val="20"/>
                <w:lang w:val="en-US"/>
              </w:rPr>
              <w:t>1st</w:t>
            </w:r>
          </w:p>
        </w:tc>
        <w:tc>
          <w:tcPr>
            <w:tcW w:w="510" w:type="pct"/>
            <w:vAlign w:val="center"/>
          </w:tcPr>
          <w:p w:rsidR="00CD2A5A" w:rsidRDefault="00CD2A5A" w:rsidP="00CD2A5A">
            <w:pPr>
              <w:keepNext/>
              <w:autoSpaceDE w:val="0"/>
              <w:autoSpaceDN w:val="0"/>
              <w:adjustRightInd w:val="0"/>
              <w:spacing w:before="40" w:after="40"/>
              <w:jc w:val="center"/>
              <w:rPr>
                <w:b/>
                <w:i/>
                <w:sz w:val="20"/>
                <w:szCs w:val="20"/>
                <w:lang w:val="en-US"/>
              </w:rPr>
            </w:pPr>
            <w:r>
              <w:rPr>
                <w:b/>
                <w:i/>
                <w:sz w:val="20"/>
                <w:szCs w:val="20"/>
                <w:lang w:val="en-US"/>
              </w:rPr>
              <w:t>2nd</w:t>
            </w:r>
          </w:p>
        </w:tc>
        <w:tc>
          <w:tcPr>
            <w:tcW w:w="677" w:type="pct"/>
            <w:vAlign w:val="center"/>
          </w:tcPr>
          <w:p w:rsidR="00CD2A5A" w:rsidRDefault="00CD2A5A" w:rsidP="00CD2A5A">
            <w:pPr>
              <w:keepNext/>
              <w:autoSpaceDE w:val="0"/>
              <w:autoSpaceDN w:val="0"/>
              <w:adjustRightInd w:val="0"/>
              <w:spacing w:before="40" w:after="40"/>
              <w:jc w:val="center"/>
              <w:rPr>
                <w:b/>
                <w:i/>
                <w:sz w:val="20"/>
                <w:szCs w:val="20"/>
                <w:lang w:val="en-US"/>
              </w:rPr>
            </w:pPr>
            <w:r>
              <w:rPr>
                <w:b/>
                <w:i/>
                <w:sz w:val="20"/>
                <w:szCs w:val="20"/>
                <w:lang w:val="en-US"/>
              </w:rPr>
              <w:t>Single dose</w:t>
            </w:r>
          </w:p>
        </w:tc>
        <w:tc>
          <w:tcPr>
            <w:tcW w:w="858" w:type="pct"/>
            <w:vAlign w:val="center"/>
          </w:tcPr>
          <w:p w:rsidR="00CD2A5A" w:rsidRDefault="00CD2A5A" w:rsidP="00CD2A5A">
            <w:pPr>
              <w:keepNext/>
              <w:autoSpaceDE w:val="0"/>
              <w:autoSpaceDN w:val="0"/>
              <w:adjustRightInd w:val="0"/>
              <w:spacing w:before="40" w:after="40"/>
              <w:jc w:val="center"/>
              <w:rPr>
                <w:b/>
                <w:i/>
                <w:sz w:val="20"/>
                <w:szCs w:val="20"/>
                <w:lang w:val="en-US"/>
              </w:rPr>
            </w:pPr>
            <w:r>
              <w:rPr>
                <w:b/>
                <w:i/>
                <w:sz w:val="20"/>
                <w:szCs w:val="20"/>
                <w:lang w:val="en-US"/>
              </w:rPr>
              <w:t>Single dose</w:t>
            </w:r>
          </w:p>
        </w:tc>
      </w:tr>
      <w:tr w:rsidR="00CD2A5A" w:rsidTr="00CD2A5A">
        <w:trPr>
          <w:jc w:val="center"/>
        </w:trPr>
        <w:tc>
          <w:tcPr>
            <w:tcW w:w="830" w:type="pct"/>
          </w:tcPr>
          <w:p w:rsidR="00CD2A5A" w:rsidRDefault="00CD2A5A" w:rsidP="00CD2A5A">
            <w:pPr>
              <w:keepNext/>
              <w:autoSpaceDE w:val="0"/>
              <w:autoSpaceDN w:val="0"/>
              <w:adjustRightInd w:val="0"/>
              <w:spacing w:before="40" w:after="40"/>
              <w:rPr>
                <w:sz w:val="20"/>
                <w:szCs w:val="20"/>
                <w:lang w:val="en-US"/>
              </w:rPr>
            </w:pPr>
            <w:r>
              <w:rPr>
                <w:sz w:val="20"/>
                <w:szCs w:val="20"/>
                <w:lang w:val="en-US"/>
              </w:rPr>
              <w:t>Beneficiaries</w:t>
            </w:r>
            <w:r>
              <w:rPr>
                <w:rStyle w:val="FootnoteReference"/>
                <w:sz w:val="20"/>
                <w:szCs w:val="20"/>
                <w:lang w:val="es-SV"/>
              </w:rPr>
              <w:footnoteReference w:id="11"/>
            </w:r>
          </w:p>
        </w:tc>
        <w:tc>
          <w:tcPr>
            <w:tcW w:w="526" w:type="pct"/>
          </w:tcPr>
          <w:p w:rsidR="00CD2A5A" w:rsidRDefault="00CD2A5A" w:rsidP="00CD2A5A">
            <w:pPr>
              <w:keepNext/>
              <w:autoSpaceDE w:val="0"/>
              <w:autoSpaceDN w:val="0"/>
              <w:adjustRightInd w:val="0"/>
              <w:spacing w:before="40" w:after="40"/>
              <w:ind w:right="61"/>
              <w:jc w:val="center"/>
              <w:rPr>
                <w:sz w:val="20"/>
                <w:szCs w:val="20"/>
                <w:lang w:val="en-US"/>
              </w:rPr>
            </w:pPr>
            <w:r>
              <w:rPr>
                <w:sz w:val="20"/>
                <w:szCs w:val="20"/>
                <w:lang w:val="en-US"/>
              </w:rPr>
              <w:t>81,440</w:t>
            </w:r>
          </w:p>
        </w:tc>
        <w:tc>
          <w:tcPr>
            <w:tcW w:w="469" w:type="pct"/>
          </w:tcPr>
          <w:p w:rsidR="00CD2A5A" w:rsidRDefault="00CD2A5A" w:rsidP="00CD2A5A">
            <w:pPr>
              <w:keepNext/>
              <w:autoSpaceDE w:val="0"/>
              <w:autoSpaceDN w:val="0"/>
              <w:adjustRightInd w:val="0"/>
              <w:spacing w:before="40" w:after="40"/>
              <w:ind w:right="61"/>
              <w:jc w:val="center"/>
              <w:rPr>
                <w:sz w:val="20"/>
                <w:szCs w:val="20"/>
                <w:lang w:val="en-US"/>
              </w:rPr>
            </w:pPr>
            <w:r>
              <w:rPr>
                <w:sz w:val="20"/>
                <w:szCs w:val="20"/>
                <w:lang w:val="en-US"/>
              </w:rPr>
              <w:t>60,359</w:t>
            </w:r>
          </w:p>
        </w:tc>
        <w:tc>
          <w:tcPr>
            <w:tcW w:w="584" w:type="pct"/>
          </w:tcPr>
          <w:p w:rsidR="00CD2A5A" w:rsidRDefault="00CD2A5A" w:rsidP="00CD2A5A">
            <w:pPr>
              <w:keepNext/>
              <w:autoSpaceDE w:val="0"/>
              <w:autoSpaceDN w:val="0"/>
              <w:adjustRightInd w:val="0"/>
              <w:spacing w:before="40" w:after="40"/>
              <w:ind w:right="61"/>
              <w:jc w:val="center"/>
              <w:rPr>
                <w:sz w:val="20"/>
                <w:szCs w:val="20"/>
                <w:lang w:val="en-US"/>
              </w:rPr>
            </w:pPr>
            <w:r>
              <w:rPr>
                <w:sz w:val="20"/>
                <w:szCs w:val="20"/>
                <w:lang w:val="en-US"/>
              </w:rPr>
              <w:t>45,862</w:t>
            </w:r>
          </w:p>
        </w:tc>
        <w:tc>
          <w:tcPr>
            <w:tcW w:w="546" w:type="pct"/>
          </w:tcPr>
          <w:p w:rsidR="00CD2A5A" w:rsidRDefault="00CD2A5A" w:rsidP="00CD2A5A">
            <w:pPr>
              <w:keepNext/>
              <w:autoSpaceDE w:val="0"/>
              <w:autoSpaceDN w:val="0"/>
              <w:adjustRightInd w:val="0"/>
              <w:spacing w:before="40" w:after="40"/>
              <w:ind w:right="61"/>
              <w:jc w:val="center"/>
              <w:rPr>
                <w:sz w:val="20"/>
                <w:szCs w:val="20"/>
                <w:lang w:val="en-US"/>
              </w:rPr>
            </w:pPr>
            <w:r>
              <w:rPr>
                <w:sz w:val="20"/>
                <w:szCs w:val="20"/>
                <w:lang w:val="en-US"/>
              </w:rPr>
              <w:t>121,313</w:t>
            </w:r>
          </w:p>
        </w:tc>
        <w:tc>
          <w:tcPr>
            <w:tcW w:w="510" w:type="pct"/>
          </w:tcPr>
          <w:p w:rsidR="00CD2A5A" w:rsidRDefault="00CD2A5A" w:rsidP="00CD2A5A">
            <w:pPr>
              <w:keepNext/>
              <w:autoSpaceDE w:val="0"/>
              <w:autoSpaceDN w:val="0"/>
              <w:adjustRightInd w:val="0"/>
              <w:spacing w:before="40" w:after="40"/>
              <w:ind w:right="61"/>
              <w:jc w:val="center"/>
              <w:rPr>
                <w:sz w:val="20"/>
                <w:szCs w:val="20"/>
                <w:lang w:val="en-US"/>
              </w:rPr>
            </w:pPr>
            <w:r>
              <w:rPr>
                <w:sz w:val="20"/>
                <w:szCs w:val="20"/>
                <w:lang w:val="en-US"/>
              </w:rPr>
              <w:t>109,735</w:t>
            </w:r>
          </w:p>
        </w:tc>
        <w:tc>
          <w:tcPr>
            <w:tcW w:w="677" w:type="pct"/>
          </w:tcPr>
          <w:p w:rsidR="00CD2A5A" w:rsidRDefault="00CD2A5A" w:rsidP="00CD2A5A">
            <w:pPr>
              <w:keepNext/>
              <w:autoSpaceDE w:val="0"/>
              <w:autoSpaceDN w:val="0"/>
              <w:adjustRightInd w:val="0"/>
              <w:spacing w:before="40" w:after="40"/>
              <w:ind w:right="61"/>
              <w:jc w:val="center"/>
              <w:rPr>
                <w:sz w:val="20"/>
                <w:szCs w:val="20"/>
                <w:lang w:val="en-US"/>
              </w:rPr>
            </w:pPr>
            <w:r>
              <w:rPr>
                <w:sz w:val="20"/>
                <w:szCs w:val="20"/>
                <w:lang w:val="en-US"/>
              </w:rPr>
              <w:t>103,783</w:t>
            </w:r>
          </w:p>
        </w:tc>
        <w:tc>
          <w:tcPr>
            <w:tcW w:w="858"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37,085</w:t>
            </w:r>
          </w:p>
        </w:tc>
      </w:tr>
      <w:tr w:rsidR="00CD2A5A" w:rsidTr="00CD2A5A">
        <w:trPr>
          <w:jc w:val="center"/>
        </w:trPr>
        <w:tc>
          <w:tcPr>
            <w:tcW w:w="830" w:type="pct"/>
          </w:tcPr>
          <w:p w:rsidR="00CD2A5A" w:rsidRDefault="00CD2A5A" w:rsidP="00CD2A5A">
            <w:pPr>
              <w:keepNext/>
              <w:autoSpaceDE w:val="0"/>
              <w:autoSpaceDN w:val="0"/>
              <w:adjustRightInd w:val="0"/>
              <w:spacing w:before="40" w:after="40"/>
              <w:rPr>
                <w:sz w:val="20"/>
                <w:szCs w:val="20"/>
                <w:lang w:val="es-SV"/>
              </w:rPr>
            </w:pPr>
            <w:r>
              <w:rPr>
                <w:sz w:val="20"/>
                <w:szCs w:val="20"/>
                <w:lang w:val="es-SV"/>
              </w:rPr>
              <w:t>Total population</w:t>
            </w:r>
            <w:r>
              <w:rPr>
                <w:rStyle w:val="FootnoteReference"/>
                <w:sz w:val="20"/>
                <w:szCs w:val="20"/>
                <w:lang w:val="es-SV"/>
              </w:rPr>
              <w:footnoteReference w:id="12"/>
            </w:r>
          </w:p>
        </w:tc>
        <w:tc>
          <w:tcPr>
            <w:tcW w:w="526"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95,768</w:t>
            </w:r>
          </w:p>
        </w:tc>
        <w:tc>
          <w:tcPr>
            <w:tcW w:w="469"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95,768</w:t>
            </w:r>
          </w:p>
        </w:tc>
        <w:tc>
          <w:tcPr>
            <w:tcW w:w="584"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95,768</w:t>
            </w:r>
          </w:p>
        </w:tc>
        <w:tc>
          <w:tcPr>
            <w:tcW w:w="546"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558,453</w:t>
            </w:r>
          </w:p>
        </w:tc>
        <w:tc>
          <w:tcPr>
            <w:tcW w:w="510"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558,453</w:t>
            </w:r>
          </w:p>
        </w:tc>
        <w:tc>
          <w:tcPr>
            <w:tcW w:w="677"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619,380</w:t>
            </w:r>
          </w:p>
        </w:tc>
        <w:tc>
          <w:tcPr>
            <w:tcW w:w="858" w:type="pct"/>
          </w:tcPr>
          <w:p w:rsidR="00CD2A5A" w:rsidRDefault="00CD2A5A" w:rsidP="00CD2A5A">
            <w:pPr>
              <w:keepNext/>
              <w:autoSpaceDE w:val="0"/>
              <w:autoSpaceDN w:val="0"/>
              <w:adjustRightInd w:val="0"/>
              <w:spacing w:before="40" w:after="40"/>
              <w:ind w:right="61"/>
              <w:jc w:val="center"/>
              <w:rPr>
                <w:sz w:val="20"/>
                <w:szCs w:val="20"/>
                <w:lang w:val="es-SV"/>
              </w:rPr>
            </w:pPr>
            <w:r>
              <w:rPr>
                <w:sz w:val="20"/>
                <w:szCs w:val="20"/>
                <w:lang w:val="es-SV"/>
              </w:rPr>
              <w:t>--**</w:t>
            </w:r>
          </w:p>
        </w:tc>
      </w:tr>
      <w:tr w:rsidR="00CD2A5A" w:rsidTr="00CD2A5A">
        <w:trPr>
          <w:jc w:val="center"/>
        </w:trPr>
        <w:tc>
          <w:tcPr>
            <w:tcW w:w="830" w:type="pct"/>
          </w:tcPr>
          <w:p w:rsidR="00CD2A5A" w:rsidRDefault="00CD2A5A">
            <w:pPr>
              <w:autoSpaceDE w:val="0"/>
              <w:autoSpaceDN w:val="0"/>
              <w:adjustRightInd w:val="0"/>
              <w:spacing w:before="40" w:after="40"/>
              <w:rPr>
                <w:sz w:val="20"/>
                <w:szCs w:val="20"/>
                <w:lang w:val="es-SV"/>
              </w:rPr>
            </w:pPr>
            <w:r>
              <w:rPr>
                <w:sz w:val="20"/>
                <w:szCs w:val="20"/>
                <w:lang w:val="es-SV"/>
              </w:rPr>
              <w:t>Estimated coverage</w:t>
            </w:r>
          </w:p>
        </w:tc>
        <w:tc>
          <w:tcPr>
            <w:tcW w:w="526"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85%</w:t>
            </w:r>
          </w:p>
        </w:tc>
        <w:tc>
          <w:tcPr>
            <w:tcW w:w="469"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63%</w:t>
            </w:r>
          </w:p>
        </w:tc>
        <w:tc>
          <w:tcPr>
            <w:tcW w:w="584"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48%</w:t>
            </w:r>
          </w:p>
        </w:tc>
        <w:tc>
          <w:tcPr>
            <w:tcW w:w="546"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22%</w:t>
            </w:r>
          </w:p>
        </w:tc>
        <w:tc>
          <w:tcPr>
            <w:tcW w:w="510"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20%</w:t>
            </w:r>
          </w:p>
        </w:tc>
        <w:tc>
          <w:tcPr>
            <w:tcW w:w="677"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16%</w:t>
            </w:r>
          </w:p>
        </w:tc>
        <w:tc>
          <w:tcPr>
            <w:tcW w:w="858"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w:t>
            </w:r>
          </w:p>
        </w:tc>
      </w:tr>
      <w:tr w:rsidR="00CD2A5A" w:rsidTr="00CD2A5A">
        <w:trPr>
          <w:jc w:val="center"/>
        </w:trPr>
        <w:tc>
          <w:tcPr>
            <w:tcW w:w="830" w:type="pct"/>
          </w:tcPr>
          <w:p w:rsidR="00CD2A5A" w:rsidRDefault="00CD2A5A">
            <w:pPr>
              <w:autoSpaceDE w:val="0"/>
              <w:autoSpaceDN w:val="0"/>
              <w:adjustRightInd w:val="0"/>
              <w:spacing w:before="40" w:after="40"/>
              <w:rPr>
                <w:sz w:val="20"/>
                <w:szCs w:val="20"/>
                <w:lang w:val="es-SV"/>
              </w:rPr>
            </w:pPr>
            <w:r>
              <w:rPr>
                <w:sz w:val="20"/>
                <w:szCs w:val="20"/>
                <w:lang w:val="es-SV"/>
              </w:rPr>
              <w:t>FESAL 02/3</w:t>
            </w:r>
          </w:p>
        </w:tc>
        <w:tc>
          <w:tcPr>
            <w:tcW w:w="526" w:type="pct"/>
          </w:tcPr>
          <w:p w:rsidR="00CD2A5A" w:rsidRDefault="00CD2A5A">
            <w:pPr>
              <w:autoSpaceDE w:val="0"/>
              <w:autoSpaceDN w:val="0"/>
              <w:adjustRightInd w:val="0"/>
              <w:spacing w:before="40" w:after="40"/>
              <w:ind w:right="61"/>
              <w:jc w:val="center"/>
              <w:rPr>
                <w:sz w:val="20"/>
                <w:szCs w:val="20"/>
                <w:lang w:val="es-SV"/>
              </w:rPr>
            </w:pPr>
          </w:p>
        </w:tc>
        <w:tc>
          <w:tcPr>
            <w:tcW w:w="469" w:type="pct"/>
          </w:tcPr>
          <w:p w:rsidR="00CD2A5A" w:rsidRDefault="00CD2A5A">
            <w:pPr>
              <w:autoSpaceDE w:val="0"/>
              <w:autoSpaceDN w:val="0"/>
              <w:adjustRightInd w:val="0"/>
              <w:spacing w:before="40" w:after="40"/>
              <w:ind w:right="61"/>
              <w:jc w:val="center"/>
              <w:rPr>
                <w:sz w:val="20"/>
                <w:szCs w:val="20"/>
                <w:lang w:val="es-SV"/>
              </w:rPr>
            </w:pPr>
          </w:p>
        </w:tc>
        <w:tc>
          <w:tcPr>
            <w:tcW w:w="584" w:type="pct"/>
          </w:tcPr>
          <w:p w:rsidR="00CD2A5A" w:rsidRDefault="00CD2A5A">
            <w:pPr>
              <w:autoSpaceDE w:val="0"/>
              <w:autoSpaceDN w:val="0"/>
              <w:adjustRightInd w:val="0"/>
              <w:spacing w:before="40" w:after="40"/>
              <w:ind w:right="61"/>
              <w:jc w:val="center"/>
              <w:rPr>
                <w:sz w:val="20"/>
                <w:szCs w:val="20"/>
                <w:lang w:val="es-SV"/>
              </w:rPr>
            </w:pPr>
          </w:p>
        </w:tc>
        <w:tc>
          <w:tcPr>
            <w:tcW w:w="546"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47.8%</w:t>
            </w:r>
            <w:r>
              <w:rPr>
                <w:rStyle w:val="FootnoteReference"/>
                <w:sz w:val="20"/>
                <w:szCs w:val="20"/>
                <w:lang w:val="es-SV"/>
              </w:rPr>
              <w:footnoteReference w:id="13"/>
            </w:r>
          </w:p>
        </w:tc>
        <w:tc>
          <w:tcPr>
            <w:tcW w:w="510" w:type="pct"/>
          </w:tcPr>
          <w:p w:rsidR="00CD2A5A" w:rsidRDefault="00CD2A5A">
            <w:pPr>
              <w:autoSpaceDE w:val="0"/>
              <w:autoSpaceDN w:val="0"/>
              <w:adjustRightInd w:val="0"/>
              <w:spacing w:before="40" w:after="40"/>
              <w:ind w:right="61"/>
              <w:jc w:val="center"/>
              <w:rPr>
                <w:sz w:val="20"/>
                <w:szCs w:val="20"/>
                <w:lang w:val="es-SV"/>
              </w:rPr>
            </w:pPr>
          </w:p>
        </w:tc>
        <w:tc>
          <w:tcPr>
            <w:tcW w:w="677" w:type="pct"/>
          </w:tcPr>
          <w:p w:rsidR="00CD2A5A" w:rsidRDefault="00CD2A5A">
            <w:pPr>
              <w:autoSpaceDE w:val="0"/>
              <w:autoSpaceDN w:val="0"/>
              <w:adjustRightInd w:val="0"/>
              <w:spacing w:before="40" w:after="40"/>
              <w:ind w:right="61"/>
              <w:jc w:val="center"/>
              <w:rPr>
                <w:sz w:val="20"/>
                <w:szCs w:val="20"/>
                <w:lang w:val="es-SV"/>
              </w:rPr>
            </w:pPr>
          </w:p>
        </w:tc>
        <w:tc>
          <w:tcPr>
            <w:tcW w:w="858" w:type="pct"/>
          </w:tcPr>
          <w:p w:rsidR="00CD2A5A" w:rsidRDefault="00CD2A5A">
            <w:pPr>
              <w:autoSpaceDE w:val="0"/>
              <w:autoSpaceDN w:val="0"/>
              <w:adjustRightInd w:val="0"/>
              <w:spacing w:before="40" w:after="40"/>
              <w:ind w:right="61"/>
              <w:jc w:val="center"/>
              <w:rPr>
                <w:sz w:val="20"/>
                <w:szCs w:val="20"/>
                <w:lang w:val="es-SV"/>
              </w:rPr>
            </w:pPr>
            <w:r>
              <w:rPr>
                <w:sz w:val="20"/>
                <w:szCs w:val="20"/>
                <w:lang w:val="es-SV"/>
              </w:rPr>
              <w:t>22.4%</w:t>
            </w:r>
            <w:r>
              <w:rPr>
                <w:rStyle w:val="FootnoteReference"/>
                <w:sz w:val="20"/>
                <w:szCs w:val="20"/>
                <w:lang w:val="es-SV"/>
              </w:rPr>
              <w:footnoteReference w:id="14"/>
            </w:r>
          </w:p>
        </w:tc>
      </w:tr>
    </w:tbl>
    <w:p w:rsidR="00CD2A5A" w:rsidRDefault="00CD2A5A">
      <w:pPr>
        <w:autoSpaceDE w:val="0"/>
        <w:autoSpaceDN w:val="0"/>
        <w:adjustRightInd w:val="0"/>
        <w:spacing w:after="240"/>
        <w:rPr>
          <w:lang w:val="es-SV"/>
        </w:rPr>
      </w:pPr>
    </w:p>
    <w:tbl>
      <w:tblPr>
        <w:tblW w:w="9412" w:type="dxa"/>
        <w:jc w:val="center"/>
        <w:tblLook w:val="00BF" w:firstRow="1" w:lastRow="0" w:firstColumn="1" w:lastColumn="0" w:noHBand="0" w:noVBand="0"/>
      </w:tblPr>
      <w:tblGrid>
        <w:gridCol w:w="1582"/>
        <w:gridCol w:w="1568"/>
        <w:gridCol w:w="1543"/>
        <w:gridCol w:w="1583"/>
        <w:gridCol w:w="1568"/>
        <w:gridCol w:w="1568"/>
      </w:tblGrid>
      <w:tr w:rsidR="00CD2A5A">
        <w:trPr>
          <w:jc w:val="center"/>
        </w:trPr>
        <w:tc>
          <w:tcPr>
            <w:tcW w:w="3190" w:type="dxa"/>
            <w:gridSpan w:val="2"/>
            <w:tcBorders>
              <w:top w:val="single" w:sz="4" w:space="0" w:color="auto"/>
              <w:left w:val="single" w:sz="4" w:space="0" w:color="auto"/>
              <w:bottom w:val="single" w:sz="4" w:space="0" w:color="auto"/>
              <w:right w:val="single" w:sz="4" w:space="0" w:color="auto"/>
            </w:tcBorders>
            <w:vAlign w:val="center"/>
          </w:tcPr>
          <w:p w:rsidR="00CD2A5A" w:rsidRDefault="00CD2A5A">
            <w:pPr>
              <w:keepNext/>
              <w:autoSpaceDE w:val="0"/>
              <w:autoSpaceDN w:val="0"/>
              <w:adjustRightInd w:val="0"/>
              <w:spacing w:before="40" w:after="40"/>
              <w:jc w:val="center"/>
              <w:rPr>
                <w:b/>
                <w:bCs/>
                <w:i/>
                <w:sz w:val="20"/>
                <w:szCs w:val="20"/>
                <w:lang w:val="es-SV"/>
              </w:rPr>
            </w:pPr>
            <w:r>
              <w:rPr>
                <w:b/>
                <w:bCs/>
                <w:i/>
                <w:sz w:val="20"/>
                <w:szCs w:val="20"/>
                <w:lang w:val="es-SV"/>
              </w:rPr>
              <w:t>ZINC: 60 ml bottle</w:t>
            </w:r>
          </w:p>
        </w:tc>
        <w:tc>
          <w:tcPr>
            <w:tcW w:w="1595" w:type="dxa"/>
            <w:tcBorders>
              <w:left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p>
        </w:tc>
        <w:tc>
          <w:tcPr>
            <w:tcW w:w="4785" w:type="dxa"/>
            <w:gridSpan w:val="3"/>
            <w:tcBorders>
              <w:top w:val="single" w:sz="4" w:space="0" w:color="auto"/>
              <w:left w:val="single" w:sz="4" w:space="0" w:color="auto"/>
              <w:bottom w:val="single" w:sz="4" w:space="0" w:color="auto"/>
              <w:right w:val="single" w:sz="4" w:space="0" w:color="auto"/>
            </w:tcBorders>
            <w:vAlign w:val="center"/>
          </w:tcPr>
          <w:p w:rsidR="00CD2A5A" w:rsidRDefault="00CD2A5A">
            <w:pPr>
              <w:keepNext/>
              <w:autoSpaceDE w:val="0"/>
              <w:autoSpaceDN w:val="0"/>
              <w:adjustRightInd w:val="0"/>
              <w:spacing w:before="40" w:after="40"/>
              <w:jc w:val="center"/>
              <w:rPr>
                <w:b/>
                <w:bCs/>
                <w:i/>
                <w:sz w:val="20"/>
                <w:szCs w:val="20"/>
                <w:lang w:val="en-US"/>
              </w:rPr>
            </w:pPr>
            <w:r>
              <w:rPr>
                <w:b/>
                <w:bCs/>
                <w:i/>
                <w:sz w:val="20"/>
                <w:szCs w:val="20"/>
                <w:lang w:val="en-US"/>
              </w:rPr>
              <w:t>IRON: 60 ml syrup bottle (25/1 ml)</w:t>
            </w:r>
          </w:p>
        </w:tc>
      </w:tr>
      <w:tr w:rsidR="00CD2A5A">
        <w:trPr>
          <w:jc w:val="center"/>
        </w:trPr>
        <w:tc>
          <w:tcPr>
            <w:tcW w:w="3190" w:type="dxa"/>
            <w:gridSpan w:val="2"/>
            <w:tcBorders>
              <w:top w:val="single" w:sz="4" w:space="0" w:color="auto"/>
              <w:left w:val="single" w:sz="4" w:space="0" w:color="auto"/>
              <w:bottom w:val="single" w:sz="4" w:space="0" w:color="auto"/>
              <w:right w:val="single" w:sz="4" w:space="0" w:color="auto"/>
            </w:tcBorders>
            <w:vAlign w:val="center"/>
          </w:tcPr>
          <w:p w:rsidR="00CD2A5A" w:rsidRDefault="00CD2A5A">
            <w:pPr>
              <w:autoSpaceDE w:val="0"/>
              <w:autoSpaceDN w:val="0"/>
              <w:adjustRightInd w:val="0"/>
              <w:spacing w:before="40" w:after="40"/>
              <w:jc w:val="center"/>
              <w:rPr>
                <w:b/>
                <w:bCs/>
                <w:i/>
                <w:sz w:val="20"/>
                <w:szCs w:val="20"/>
                <w:lang w:val="es-SV"/>
              </w:rPr>
            </w:pPr>
            <w:r>
              <w:rPr>
                <w:b/>
                <w:bCs/>
                <w:i/>
                <w:sz w:val="20"/>
                <w:szCs w:val="20"/>
                <w:lang w:val="es-SV"/>
              </w:rPr>
              <w:t>Aged 1 to 4</w:t>
            </w:r>
          </w:p>
        </w:tc>
        <w:tc>
          <w:tcPr>
            <w:tcW w:w="1595" w:type="dxa"/>
            <w:tcBorders>
              <w:left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p>
        </w:tc>
        <w:tc>
          <w:tcPr>
            <w:tcW w:w="1595" w:type="dxa"/>
            <w:tcBorders>
              <w:top w:val="single" w:sz="4" w:space="0" w:color="auto"/>
              <w:left w:val="single" w:sz="4" w:space="0" w:color="auto"/>
              <w:bottom w:val="single" w:sz="4" w:space="0" w:color="auto"/>
              <w:right w:val="single" w:sz="4" w:space="0" w:color="auto"/>
            </w:tcBorders>
            <w:vAlign w:val="center"/>
          </w:tcPr>
          <w:p w:rsidR="00CD2A5A" w:rsidRDefault="00CD2A5A">
            <w:pPr>
              <w:autoSpaceDE w:val="0"/>
              <w:autoSpaceDN w:val="0"/>
              <w:adjustRightInd w:val="0"/>
              <w:spacing w:before="40" w:after="40"/>
              <w:jc w:val="center"/>
              <w:rPr>
                <w:b/>
                <w:bCs/>
                <w:i/>
                <w:sz w:val="20"/>
                <w:szCs w:val="20"/>
                <w:lang w:val="es-SV"/>
              </w:rPr>
            </w:pPr>
            <w:r>
              <w:rPr>
                <w:b/>
                <w:bCs/>
                <w:i/>
                <w:sz w:val="20"/>
                <w:szCs w:val="20"/>
                <w:lang w:val="es-SV"/>
              </w:rPr>
              <w:t>6-11 months</w:t>
            </w:r>
          </w:p>
        </w:tc>
        <w:tc>
          <w:tcPr>
            <w:tcW w:w="1595" w:type="dxa"/>
            <w:tcBorders>
              <w:top w:val="single" w:sz="4" w:space="0" w:color="auto"/>
              <w:left w:val="single" w:sz="4" w:space="0" w:color="auto"/>
              <w:bottom w:val="single" w:sz="4" w:space="0" w:color="auto"/>
              <w:right w:val="single" w:sz="4" w:space="0" w:color="auto"/>
            </w:tcBorders>
            <w:vAlign w:val="center"/>
          </w:tcPr>
          <w:p w:rsidR="00CD2A5A" w:rsidRDefault="00CD2A5A">
            <w:pPr>
              <w:autoSpaceDE w:val="0"/>
              <w:autoSpaceDN w:val="0"/>
              <w:adjustRightInd w:val="0"/>
              <w:spacing w:before="40" w:after="40"/>
              <w:jc w:val="center"/>
              <w:rPr>
                <w:b/>
                <w:bCs/>
                <w:i/>
                <w:sz w:val="20"/>
                <w:szCs w:val="20"/>
                <w:lang w:val="es-SV"/>
              </w:rPr>
            </w:pPr>
            <w:r>
              <w:rPr>
                <w:b/>
                <w:bCs/>
                <w:i/>
                <w:sz w:val="20"/>
                <w:szCs w:val="20"/>
                <w:lang w:val="es-SV"/>
              </w:rPr>
              <w:t>1-4 years</w:t>
            </w:r>
          </w:p>
        </w:tc>
      </w:tr>
      <w:tr w:rsidR="00CD2A5A">
        <w:trPr>
          <w:jc w:val="center"/>
        </w:trPr>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bCs/>
                <w:sz w:val="20"/>
                <w:szCs w:val="20"/>
                <w:lang w:val="es-SV"/>
              </w:rPr>
            </w:pPr>
            <w:r>
              <w:rPr>
                <w:bCs/>
                <w:sz w:val="20"/>
                <w:szCs w:val="20"/>
                <w:lang w:val="es-SV"/>
              </w:rPr>
              <w:t>Single dose</w:t>
            </w:r>
          </w:p>
        </w:tc>
        <w:tc>
          <w:tcPr>
            <w:tcW w:w="1595" w:type="dxa"/>
            <w:tcBorders>
              <w:left w:val="single" w:sz="4" w:space="0" w:color="auto"/>
              <w:right w:val="single" w:sz="4" w:space="0" w:color="auto"/>
            </w:tcBorders>
          </w:tcPr>
          <w:p w:rsidR="00CD2A5A" w:rsidRDefault="00CD2A5A">
            <w:pPr>
              <w:autoSpaceDE w:val="0"/>
              <w:autoSpaceDN w:val="0"/>
              <w:adjustRightInd w:val="0"/>
              <w:spacing w:before="40" w:after="40"/>
              <w:rPr>
                <w:bCs/>
                <w:sz w:val="20"/>
                <w:szCs w:val="20"/>
                <w:lang w:val="es-SV"/>
              </w:rPr>
            </w:pP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Beneficiaries</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112,952</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340,529</w:t>
            </w:r>
          </w:p>
        </w:tc>
      </w:tr>
      <w:tr w:rsidR="00CD2A5A">
        <w:trPr>
          <w:jc w:val="center"/>
        </w:trPr>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Beneficiaries</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251,472</w:t>
            </w:r>
          </w:p>
        </w:tc>
        <w:tc>
          <w:tcPr>
            <w:tcW w:w="1595" w:type="dxa"/>
            <w:tcBorders>
              <w:left w:val="single" w:sz="4" w:space="0" w:color="auto"/>
              <w:right w:val="single" w:sz="4" w:space="0" w:color="auto"/>
            </w:tcBorders>
          </w:tcPr>
          <w:p w:rsidR="00CD2A5A" w:rsidRDefault="00CD2A5A">
            <w:pPr>
              <w:spacing w:before="40" w:after="40"/>
              <w:rPr>
                <w:sz w:val="20"/>
                <w:szCs w:val="20"/>
              </w:rPr>
            </w:pP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Total population</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558,453</w:t>
            </w:r>
          </w:p>
        </w:tc>
      </w:tr>
      <w:tr w:rsidR="00CD2A5A">
        <w:trPr>
          <w:jc w:val="center"/>
        </w:trPr>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Total population</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558,453</w:t>
            </w:r>
          </w:p>
        </w:tc>
        <w:tc>
          <w:tcPr>
            <w:tcW w:w="1595" w:type="dxa"/>
            <w:tcBorders>
              <w:left w:val="single" w:sz="4" w:space="0" w:color="auto"/>
              <w:right w:val="single" w:sz="4" w:space="0" w:color="auto"/>
            </w:tcBorders>
          </w:tcPr>
          <w:p w:rsidR="00CD2A5A" w:rsidRDefault="00CD2A5A">
            <w:pPr>
              <w:autoSpaceDE w:val="0"/>
              <w:autoSpaceDN w:val="0"/>
              <w:adjustRightInd w:val="0"/>
              <w:spacing w:before="40" w:after="40"/>
              <w:rPr>
                <w:bCs/>
                <w:sz w:val="20"/>
                <w:szCs w:val="20"/>
                <w:lang w:val="es-SV"/>
              </w:rPr>
            </w:pP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Coverage</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60.9%</w:t>
            </w:r>
          </w:p>
        </w:tc>
      </w:tr>
      <w:tr w:rsidR="00CD2A5A">
        <w:trPr>
          <w:jc w:val="center"/>
        </w:trPr>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Coverage</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45%</w:t>
            </w:r>
          </w:p>
        </w:tc>
        <w:tc>
          <w:tcPr>
            <w:tcW w:w="1595" w:type="dxa"/>
            <w:tcBorders>
              <w:left w:val="single" w:sz="4" w:space="0" w:color="auto"/>
              <w:right w:val="single" w:sz="4" w:space="0" w:color="auto"/>
            </w:tcBorders>
          </w:tcPr>
          <w:p w:rsidR="00CD2A5A" w:rsidRDefault="00CD2A5A">
            <w:pPr>
              <w:autoSpaceDE w:val="0"/>
              <w:autoSpaceDN w:val="0"/>
              <w:adjustRightInd w:val="0"/>
              <w:spacing w:before="40" w:after="40"/>
              <w:rPr>
                <w:bCs/>
                <w:sz w:val="20"/>
                <w:szCs w:val="20"/>
                <w:lang w:val="es-SV"/>
              </w:rPr>
            </w:pP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rPr>
                <w:sz w:val="20"/>
                <w:szCs w:val="20"/>
                <w:lang w:val="es-SV"/>
              </w:rPr>
            </w:pPr>
            <w:r>
              <w:rPr>
                <w:sz w:val="20"/>
                <w:szCs w:val="20"/>
                <w:lang w:val="es-SV"/>
              </w:rPr>
              <w:t>FESAL 02/3</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28.7%</w:t>
            </w:r>
          </w:p>
        </w:tc>
        <w:tc>
          <w:tcPr>
            <w:tcW w:w="1595" w:type="dxa"/>
            <w:tcBorders>
              <w:top w:val="single" w:sz="4" w:space="0" w:color="auto"/>
              <w:left w:val="single" w:sz="4" w:space="0" w:color="auto"/>
              <w:bottom w:val="single" w:sz="4" w:space="0" w:color="auto"/>
              <w:right w:val="single" w:sz="4" w:space="0" w:color="auto"/>
            </w:tcBorders>
          </w:tcPr>
          <w:p w:rsidR="00CD2A5A" w:rsidRDefault="00CD2A5A">
            <w:pPr>
              <w:autoSpaceDE w:val="0"/>
              <w:autoSpaceDN w:val="0"/>
              <w:adjustRightInd w:val="0"/>
              <w:spacing w:before="40" w:after="40"/>
              <w:jc w:val="center"/>
              <w:rPr>
                <w:bCs/>
                <w:sz w:val="20"/>
                <w:szCs w:val="20"/>
                <w:lang w:val="es-SV"/>
              </w:rPr>
            </w:pPr>
            <w:r>
              <w:rPr>
                <w:bCs/>
                <w:sz w:val="20"/>
                <w:szCs w:val="20"/>
                <w:lang w:val="es-SV"/>
              </w:rPr>
              <w:t>66.4%</w:t>
            </w:r>
          </w:p>
        </w:tc>
      </w:tr>
    </w:tbl>
    <w:p w:rsidR="00CD2A5A" w:rsidRDefault="00CD2A5A">
      <w:pPr>
        <w:autoSpaceDE w:val="0"/>
        <w:autoSpaceDN w:val="0"/>
        <w:adjustRightInd w:val="0"/>
        <w:spacing w:after="240"/>
        <w:rPr>
          <w:bCs/>
          <w:lang w:val="es-SV"/>
        </w:rPr>
      </w:pPr>
    </w:p>
    <w:p w:rsidR="00CD2A5A" w:rsidRDefault="00CD2A5A">
      <w:pPr>
        <w:pStyle w:val="Header"/>
        <w:keepNext/>
        <w:numPr>
          <w:ilvl w:val="0"/>
          <w:numId w:val="3"/>
        </w:numPr>
        <w:tabs>
          <w:tab w:val="clear" w:pos="720"/>
          <w:tab w:val="clear" w:pos="4252"/>
        </w:tabs>
        <w:spacing w:after="240"/>
        <w:ind w:left="0" w:firstLine="0"/>
        <w:rPr>
          <w:bCs/>
          <w:lang w:val="en-US"/>
        </w:rPr>
      </w:pPr>
      <w:r>
        <w:rPr>
          <w:bCs/>
          <w:lang w:val="en-GB"/>
        </w:rPr>
        <w:t>The supplementation programme implemented the following initiatives:</w:t>
      </w:r>
    </w:p>
    <w:p w:rsidR="00CD2A5A" w:rsidRDefault="00CD2A5A">
      <w:pPr>
        <w:numPr>
          <w:ilvl w:val="1"/>
          <w:numId w:val="10"/>
        </w:numPr>
        <w:tabs>
          <w:tab w:val="clear" w:pos="1080"/>
        </w:tabs>
        <w:spacing w:after="240"/>
        <w:ind w:left="0" w:firstLine="567"/>
        <w:rPr>
          <w:lang w:val="en-US"/>
        </w:rPr>
      </w:pPr>
      <w:r>
        <w:rPr>
          <w:lang w:val="en-GB"/>
        </w:rPr>
        <w:t>Fortification of salt with iodine.</w:t>
      </w:r>
      <w:r>
        <w:rPr>
          <w:lang w:val="en-US"/>
        </w:rPr>
        <w:t xml:space="preserve"> </w:t>
      </w:r>
      <w:r>
        <w:rPr>
          <w:lang w:val="en-GB"/>
        </w:rPr>
        <w:t>By law,</w:t>
      </w:r>
      <w:r>
        <w:rPr>
          <w:rStyle w:val="FootnoteReference"/>
          <w:lang w:val="en-GB"/>
        </w:rPr>
        <w:footnoteReference w:id="15"/>
      </w:r>
      <w:r>
        <w:rPr>
          <w:lang w:val="en-GB"/>
        </w:rPr>
        <w:t xml:space="preserve"> industrially produced and packaged salt must be fortified with iodine.</w:t>
      </w:r>
      <w:r>
        <w:rPr>
          <w:lang w:val="en-US"/>
        </w:rPr>
        <w:t xml:space="preserve"> </w:t>
      </w:r>
      <w:r>
        <w:rPr>
          <w:lang w:val="en-GB"/>
        </w:rPr>
        <w:t>This programme is implemented using administrative standards and procedures, and monitoring plans for pre-mixing, in salt packaging and production plants.</w:t>
      </w:r>
      <w:r>
        <w:rPr>
          <w:lang w:val="en-US"/>
        </w:rPr>
        <w:t xml:space="preserve"> </w:t>
      </w:r>
      <w:r>
        <w:rPr>
          <w:lang w:val="en-GB"/>
        </w:rPr>
        <w:t>Within the programme’s quality assurance system, food samples are analysed in households each year, with national representativity to corroborate that the level of fortification in households is in line with standards.</w:t>
      </w:r>
      <w:r>
        <w:rPr>
          <w:lang w:val="en-US"/>
        </w:rPr>
        <w:t xml:space="preserve"> </w:t>
      </w:r>
      <w:r>
        <w:rPr>
          <w:lang w:val="en-GB"/>
        </w:rPr>
        <w:t>Also, nationwide assessments of iodine excretion in the urine are conducted every four years on school children under 12 to establish the impact of iodized salt fortification.</w:t>
      </w:r>
      <w:r>
        <w:rPr>
          <w:lang w:val="en-US"/>
        </w:rPr>
        <w:t xml:space="preserve"> </w:t>
      </w:r>
      <w:r>
        <w:rPr>
          <w:lang w:val="en-GB"/>
        </w:rPr>
        <w:t>The variables investigated are:</w:t>
      </w:r>
      <w:r>
        <w:rPr>
          <w:lang w:val="en-US"/>
        </w:rPr>
        <w:t xml:space="preserve"> </w:t>
      </w:r>
      <w:r>
        <w:rPr>
          <w:lang w:val="en-GB"/>
        </w:rPr>
        <w:t>gender, age, origin, department, municipality, repeat of school year, salt brand, presence of iodine in salt</w:t>
      </w:r>
      <w:r>
        <w:rPr>
          <w:rStyle w:val="FootnoteReference"/>
          <w:lang w:val="en-GB"/>
        </w:rPr>
        <w:footnoteReference w:id="16"/>
      </w:r>
      <w:r>
        <w:rPr>
          <w:lang w:val="en-GB"/>
        </w:rPr>
        <w:t xml:space="preserve"> and iodine levels in urine;</w:t>
      </w:r>
      <w:r>
        <w:rPr>
          <w:rStyle w:val="FootnoteReference"/>
          <w:lang w:val="en-GB"/>
        </w:rPr>
        <w:footnoteReference w:id="17"/>
      </w:r>
    </w:p>
    <w:p w:rsidR="00CD2A5A" w:rsidRDefault="00CD2A5A">
      <w:pPr>
        <w:numPr>
          <w:ilvl w:val="1"/>
          <w:numId w:val="10"/>
        </w:numPr>
        <w:tabs>
          <w:tab w:val="clear" w:pos="1080"/>
        </w:tabs>
        <w:spacing w:after="240"/>
        <w:ind w:left="0" w:firstLine="567"/>
        <w:rPr>
          <w:lang w:val="en-US"/>
        </w:rPr>
      </w:pPr>
      <w:r>
        <w:rPr>
          <w:lang w:val="en-GB"/>
        </w:rPr>
        <w:t>The third study conducted in 2004 covered 87 schools, and a total of 1,280 urine samples were collected.</w:t>
      </w:r>
      <w:r>
        <w:rPr>
          <w:lang w:val="en-US"/>
        </w:rPr>
        <w:t xml:space="preserve"> </w:t>
      </w:r>
      <w:r>
        <w:rPr>
          <w:lang w:val="en-GB"/>
        </w:rPr>
        <w:t>The results reported that the population’s average level of iodine in their urine was 20 micrograms of I/dl, an increase in relation to the value reported in the studies conducted in 1996-97 and the year 2000.</w:t>
      </w:r>
      <w:r>
        <w:rPr>
          <w:lang w:val="en-US"/>
        </w:rPr>
        <w:t xml:space="preserve"> </w:t>
      </w:r>
      <w:r>
        <w:rPr>
          <w:lang w:val="en-GB"/>
        </w:rPr>
        <w:t>Levels for 94.6% of the school children in the study were at least 10 micrograms/dl, showing that the iodized salt programme has had an impact on the population and that school children consume iodine in their daily diet.</w:t>
      </w:r>
      <w:r>
        <w:rPr>
          <w:lang w:val="en-US"/>
        </w:rPr>
        <w:t xml:space="preserve"> </w:t>
      </w:r>
      <w:r>
        <w:rPr>
          <w:lang w:val="en-GB"/>
        </w:rPr>
        <w:t>Since 1995 the iodized salt programme has had a communication strategy which comprises a variety of educational and audiovisual materials, covering the mass media: radio, press and television;</w:t>
      </w:r>
    </w:p>
    <w:p w:rsidR="00CD2A5A" w:rsidRDefault="00CD2A5A">
      <w:pPr>
        <w:numPr>
          <w:ilvl w:val="1"/>
          <w:numId w:val="10"/>
        </w:numPr>
        <w:tabs>
          <w:tab w:val="clear" w:pos="1080"/>
        </w:tabs>
        <w:spacing w:after="240"/>
        <w:ind w:left="0" w:firstLine="567"/>
        <w:rPr>
          <w:lang w:val="en-US"/>
        </w:rPr>
      </w:pPr>
      <w:r>
        <w:rPr>
          <w:bCs/>
          <w:lang w:val="en-GB"/>
        </w:rPr>
        <w:t>Fortification of sugar with vitamina A.</w:t>
      </w:r>
      <w:r>
        <w:rPr>
          <w:rStyle w:val="FootnoteReference"/>
          <w:bCs/>
          <w:lang w:val="en-GB"/>
        </w:rPr>
        <w:footnoteReference w:id="18"/>
      </w:r>
      <w:r>
        <w:rPr>
          <w:bCs/>
          <w:lang w:val="en-US"/>
        </w:rPr>
        <w:t xml:space="preserve"> </w:t>
      </w:r>
      <w:r>
        <w:rPr>
          <w:bCs/>
          <w:lang w:val="en-GB"/>
        </w:rPr>
        <w:t>The programme began in 1990 thanks to support from the Japanese Government through the Ministry of Public Health and Social Welfare, and succeeded in fortifying some 2.5 million quintals of sugar for domestic consumption.</w:t>
      </w:r>
      <w:r>
        <w:rPr>
          <w:bCs/>
          <w:lang w:val="en-US"/>
        </w:rPr>
        <w:t xml:space="preserve"> </w:t>
      </w:r>
      <w:r>
        <w:rPr>
          <w:lang w:val="en-GB"/>
        </w:rPr>
        <w:t>The family health survey conducted in the country reports that vitamin A deficiency in the country had fallen to less than 5% in children under five.</w:t>
      </w:r>
      <w:r>
        <w:rPr>
          <w:lang w:val="en-US"/>
        </w:rPr>
        <w:t xml:space="preserve"> </w:t>
      </w:r>
      <w:r>
        <w:rPr>
          <w:lang w:val="en-GB"/>
        </w:rPr>
        <w:t>Since 1996 the programme of sugar fortified with vitamin A has had a communication strategy that promotes the importance of vitamin A;</w:t>
      </w:r>
    </w:p>
    <w:p w:rsidR="00CD2A5A" w:rsidRDefault="00CD2A5A">
      <w:pPr>
        <w:numPr>
          <w:ilvl w:val="1"/>
          <w:numId w:val="10"/>
        </w:numPr>
        <w:tabs>
          <w:tab w:val="clear" w:pos="1080"/>
        </w:tabs>
        <w:spacing w:after="240"/>
        <w:ind w:left="0" w:firstLine="567"/>
        <w:rPr>
          <w:lang w:val="en-US"/>
        </w:rPr>
      </w:pPr>
      <w:r>
        <w:rPr>
          <w:lang w:val="en-GB"/>
        </w:rPr>
        <w:t>Fortification of wheat flour with iron, folic acid and B-complex vitamins.</w:t>
      </w:r>
      <w:r>
        <w:rPr>
          <w:lang w:val="en-US"/>
        </w:rPr>
        <w:t xml:space="preserve"> </w:t>
      </w:r>
      <w:r>
        <w:rPr>
          <w:lang w:val="en-GB"/>
        </w:rPr>
        <w:t>Fortification of wheat flour was reactivated in the 1990s.</w:t>
      </w:r>
      <w:r>
        <w:rPr>
          <w:lang w:val="en-US"/>
        </w:rPr>
        <w:t xml:space="preserve"> </w:t>
      </w:r>
      <w:r>
        <w:rPr>
          <w:lang w:val="en-GB"/>
        </w:rPr>
        <w:t>While the wheat flour fortification programme has a good coverage, children under two and women of child-bearing age still suffer from anaemia.</w:t>
      </w:r>
      <w:r>
        <w:rPr>
          <w:lang w:val="en-US"/>
        </w:rPr>
        <w:t xml:space="preserve"> </w:t>
      </w:r>
      <w:r>
        <w:rPr>
          <w:lang w:val="en-GB"/>
        </w:rPr>
        <w:t>All flour fortified for consumption is subject to the monitoring programme in mills, shops or stores and homes to check the level of fortification.</w:t>
      </w:r>
      <w:r>
        <w:rPr>
          <w:lang w:val="en-US"/>
        </w:rPr>
        <w:t xml:space="preserve"> </w:t>
      </w:r>
      <w:r>
        <w:rPr>
          <w:lang w:val="en-GB"/>
        </w:rPr>
        <w:t>A communication strategy for preventing anaemia has been in place since 2003;</w:t>
      </w:r>
      <w:r>
        <w:rPr>
          <w:i/>
          <w:lang w:val="en-US"/>
        </w:rPr>
        <w:t xml:space="preserve"> </w:t>
      </w:r>
    </w:p>
    <w:p w:rsidR="00CD2A5A" w:rsidRDefault="00CD2A5A">
      <w:pPr>
        <w:numPr>
          <w:ilvl w:val="1"/>
          <w:numId w:val="10"/>
        </w:numPr>
        <w:tabs>
          <w:tab w:val="clear" w:pos="1080"/>
        </w:tabs>
        <w:spacing w:after="240"/>
        <w:ind w:left="0" w:firstLine="567"/>
        <w:rPr>
          <w:lang w:val="en-US"/>
        </w:rPr>
      </w:pPr>
      <w:r>
        <w:rPr>
          <w:bCs/>
          <w:lang w:val="en-GB"/>
        </w:rPr>
        <w:t>Fortification of processed corn flour with iron, folic acid and B-complex vitamins.</w:t>
      </w:r>
      <w:r>
        <w:rPr>
          <w:bCs/>
          <w:lang w:val="en-US"/>
        </w:rPr>
        <w:t xml:space="preserve"> </w:t>
      </w:r>
      <w:r>
        <w:rPr>
          <w:bCs/>
          <w:lang w:val="en-GB"/>
        </w:rPr>
        <w:t>In 2003 processed corn flour was successfully fortified with iron, folic acid and B-complex vitamins, such as niacin, thyamin and riboflavin,</w:t>
      </w:r>
      <w:r>
        <w:rPr>
          <w:rStyle w:val="FootnoteReference"/>
          <w:bCs/>
          <w:lang w:val="en-GB"/>
        </w:rPr>
        <w:footnoteReference w:id="19"/>
      </w:r>
      <w:r>
        <w:rPr>
          <w:bCs/>
          <w:lang w:val="en-GB"/>
        </w:rPr>
        <w:t xml:space="preserve"> as consumption is higher in the country.</w:t>
      </w:r>
      <w:r>
        <w:rPr>
          <w:bCs/>
          <w:lang w:val="en-US"/>
        </w:rPr>
        <w:t xml:space="preserve"> </w:t>
      </w:r>
      <w:r>
        <w:rPr>
          <w:bCs/>
          <w:lang w:val="en-GB"/>
        </w:rPr>
        <w:t>This measure follows those already implemented for combating anaemia in El Salvador; in this case, efforts have been made at community level to promote women’s rural agro-industries by setting up bakeries.</w:t>
      </w:r>
    </w:p>
    <w:p w:rsidR="00CD2A5A" w:rsidRDefault="00CD2A5A">
      <w:pPr>
        <w:pStyle w:val="Header"/>
        <w:numPr>
          <w:ilvl w:val="0"/>
          <w:numId w:val="3"/>
        </w:numPr>
        <w:tabs>
          <w:tab w:val="clear" w:pos="720"/>
          <w:tab w:val="clear" w:pos="4252"/>
        </w:tabs>
        <w:spacing w:after="240"/>
        <w:ind w:left="0" w:firstLine="0"/>
        <w:rPr>
          <w:lang w:val="en-US"/>
        </w:rPr>
      </w:pPr>
      <w:r>
        <w:rPr>
          <w:lang w:val="en-GB"/>
        </w:rPr>
        <w:t>To upgrade nutritional care for the population with nutritional complaints, technical documents have been drafted for handling patients who are hospitalized, and in some cases outpatients, such as the clinical care handbook for children with severe malnutrition in hospitals and the nutritional care handbook for handling persons living with HIV/AIDS.</w:t>
      </w:r>
    </w:p>
    <w:p w:rsidR="00CD2A5A" w:rsidRDefault="00CD2A5A" w:rsidP="006228EF">
      <w:pPr>
        <w:pStyle w:val="A0"/>
        <w:rPr>
          <w:lang w:val="es-SV"/>
        </w:rPr>
      </w:pPr>
      <w:r>
        <w:t>B.  Disabled children</w:t>
      </w:r>
    </w:p>
    <w:p w:rsidR="00CD2A5A" w:rsidRDefault="00CD2A5A">
      <w:pPr>
        <w:pStyle w:val="1"/>
        <w:numPr>
          <w:ilvl w:val="0"/>
          <w:numId w:val="3"/>
        </w:numPr>
        <w:tabs>
          <w:tab w:val="clear" w:pos="720"/>
        </w:tabs>
        <w:spacing w:after="240"/>
        <w:ind w:left="0" w:firstLine="0"/>
        <w:jc w:val="left"/>
        <w:rPr>
          <w:lang w:val="en-US"/>
        </w:rPr>
      </w:pPr>
      <w:r>
        <w:rPr>
          <w:lang w:val="en-GB"/>
        </w:rPr>
        <w:t>The issue of educational care for persons with diabilities or special educational needs is governed by the Constitution</w:t>
      </w:r>
      <w:r>
        <w:rPr>
          <w:rStyle w:val="FootnoteReference"/>
          <w:lang w:val="en-GB"/>
        </w:rPr>
        <w:footnoteReference w:id="20"/>
      </w:r>
      <w:r>
        <w:rPr>
          <w:lang w:val="en-GB"/>
        </w:rPr>
        <w:t xml:space="preserve"> and secondary legislation.</w:t>
      </w:r>
      <w:r>
        <w:rPr>
          <w:lang w:val="en-US"/>
        </w:rPr>
        <w:t xml:space="preserve"> </w:t>
      </w:r>
      <w:r>
        <w:rPr>
          <w:lang w:val="en-GB"/>
        </w:rPr>
        <w:t>The Constitution requires the State to organize the educational system and set up special educational institutions and services.</w:t>
      </w:r>
      <w:r>
        <w:rPr>
          <w:lang w:val="en-US"/>
        </w:rPr>
        <w:t xml:space="preserve"> </w:t>
      </w:r>
      <w:r>
        <w:rPr>
          <w:lang w:val="en-GB"/>
        </w:rPr>
        <w:t>It also states that citizens have the right and duty to receive nursery and elementary education, and provides that special education, like nursery and elementary education, is to be free of charge when provided by the State.</w:t>
      </w:r>
      <w:r>
        <w:rPr>
          <w:lang w:val="en-US"/>
        </w:rPr>
        <w:t xml:space="preserve"> </w:t>
      </w:r>
      <w:r>
        <w:rPr>
          <w:lang w:val="en-GB"/>
        </w:rPr>
        <w:t>The premises of the Constitution are expanded in the General Education Act,</w:t>
      </w:r>
      <w:r>
        <w:rPr>
          <w:rStyle w:val="FootnoteReference"/>
          <w:lang w:val="en-GB"/>
        </w:rPr>
        <w:footnoteReference w:id="21"/>
      </w:r>
      <w:r>
        <w:rPr>
          <w:lang w:val="en-GB"/>
        </w:rPr>
        <w:t xml:space="preserve"> and together they establish the objectives of special education the responsibilities of the Ministry of Education.</w:t>
      </w:r>
      <w:r>
        <w:rPr>
          <w:lang w:val="en-US"/>
        </w:rPr>
        <w:t xml:space="preserve"> </w:t>
      </w:r>
      <w:r>
        <w:rPr>
          <w:lang w:val="en-GB"/>
        </w:rPr>
        <w:t>Furthermore, El Salvador is a State party to the Convention on the Rights of Persons with Disabilities approved in March 2007 by the United Nations General Assembly.</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Also, in the year 2000 the Equal Opportunities for the Disabled Act was approved, with the National Council for Comprehensive Care of Disabled Persons (CONAIPD) as governing body for implementation.</w:t>
      </w:r>
      <w:r>
        <w:rPr>
          <w:lang w:val="en-US"/>
        </w:rPr>
        <w:t xml:space="preserve"> </w:t>
      </w:r>
      <w:r>
        <w:rPr>
          <w:lang w:val="en-GB"/>
        </w:rPr>
        <w:t>This body coordinates all the measures and endeavours to foster compliance with obligations regarding the rights of disabled children, checking and supervising the operation of the institutions working with that segment of the population.</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CONAIPD promotes programmes designed to raise society’s awareness of the rights of the disabled in general, working with the mass media on the proper image of disabled persons, by promoting the competition “A Better Press for the Disabled”, in which the press, radio and television take part in drafting media pieces or news items that can promote respect of the rights of this population group in various areas, such as education, timely prevention and detection, non-discrimination, sport and leisure.</w:t>
      </w:r>
      <w:r>
        <w:rPr>
          <w:lang w:val="en-US"/>
        </w:rPr>
        <w:t xml:space="preserve">  </w:t>
      </w:r>
      <w:r>
        <w:rPr>
          <w:lang w:val="en-GB"/>
        </w:rPr>
        <w:t>It thereby contributes to the general public awareness of social inclusion of disabled children, and the disabled population throughout its development.</w:t>
      </w:r>
      <w:r>
        <w:rPr>
          <w:lang w:val="en-US"/>
        </w:rPr>
        <w:t xml:space="preserve"> </w:t>
      </w:r>
      <w:r>
        <w:rPr>
          <w:lang w:val="en-GB"/>
        </w:rPr>
        <w:t>It also helps to publicize issues for preventing disabilities and proper care; activities include the science day “Progress on preventing blindness through timely diagnosis and treatment of retinopathy of prematurity”, that took place in February 2007 for doctors and authorities of the Ministry of Public Health and Social Welfare.</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CONAIPD infrastructure unit coordinates with local authorities, builders’ associations and the media, to promote compliance with accessibility regulations in architecture, urban development, transport and communications.</w:t>
      </w:r>
      <w:r>
        <w:rPr>
          <w:lang w:val="en-US"/>
        </w:rPr>
        <w:t xml:space="preserve"> </w:t>
      </w:r>
      <w:r>
        <w:rPr>
          <w:lang w:val="en-GB"/>
        </w:rPr>
        <w:t>The regulations lay down guidelines for all public and private buildings, including schools, setting out the technical details to enable barriers to be removed and give students with physical and sensory disabilities a properly adapted learning environment.</w:t>
      </w:r>
      <w:r>
        <w:rPr>
          <w:lang w:val="en-US"/>
        </w:rPr>
        <w:t xml:space="preserve"> </w:t>
      </w:r>
      <w:r>
        <w:rPr>
          <w:lang w:val="en-GB"/>
        </w:rPr>
        <w:t>The institution also promotes the right to education of disabled children and adolescents, in the family and to the general public, via the mass media.</w:t>
      </w:r>
      <w:r>
        <w:rPr>
          <w:lang w:val="en-US"/>
        </w:rPr>
        <w:t xml:space="preserve"> </w:t>
      </w:r>
      <w:r>
        <w:rPr>
          <w:lang w:val="en-GB"/>
        </w:rPr>
        <w:t>This programme involved Italian cooperation and the Ministry of Education to promote an inclusive education project, at the República de Haití school in Sonsonate, which is to be a model inclusion school to serve as an example to the whole country.</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In 2004 blind and visually impaired children were officially included in the regular education system from third grade.</w:t>
      </w:r>
      <w:r>
        <w:rPr>
          <w:lang w:val="en-US"/>
        </w:rPr>
        <w:t xml:space="preserve">  </w:t>
      </w:r>
      <w:r>
        <w:rPr>
          <w:lang w:val="en-GB"/>
        </w:rPr>
        <w:t>This success came about as a result of joint work in the inter-institutional committee on the process of reform to cater for the blind and visually impaired in education.</w:t>
      </w:r>
    </w:p>
    <w:p w:rsidR="00CD2A5A" w:rsidRDefault="00CD2A5A">
      <w:pPr>
        <w:pStyle w:val="Header"/>
        <w:numPr>
          <w:ilvl w:val="0"/>
          <w:numId w:val="3"/>
        </w:numPr>
        <w:tabs>
          <w:tab w:val="clear" w:pos="720"/>
          <w:tab w:val="clear" w:pos="4252"/>
        </w:tabs>
        <w:spacing w:after="240"/>
        <w:ind w:left="0" w:firstLine="0"/>
        <w:rPr>
          <w:lang w:val="en-US"/>
        </w:rPr>
      </w:pPr>
      <w:r>
        <w:rPr>
          <w:lang w:val="en-GB"/>
        </w:rPr>
        <w:t>Since 2004 CONAIPD has been running a contest in coordination with the Ministry of Education to promote inclusive education.</w:t>
      </w:r>
      <w:r>
        <w:rPr>
          <w:lang w:val="en-US"/>
        </w:rPr>
        <w:t xml:space="preserve"> </w:t>
      </w:r>
      <w:r>
        <w:rPr>
          <w:lang w:val="en-GB"/>
        </w:rPr>
        <w:t xml:space="preserve">It consists of a contest between normal public educational establishments with the aim of fostering creative teaching strategies in classrooms where there are children with disabilities, and a change of attitude in favour of inclusive education. </w:t>
      </w:r>
    </w:p>
    <w:p w:rsidR="00CD2A5A" w:rsidRDefault="00CD2A5A">
      <w:pPr>
        <w:keepNext/>
        <w:numPr>
          <w:ilvl w:val="0"/>
          <w:numId w:val="3"/>
        </w:numPr>
        <w:tabs>
          <w:tab w:val="clear" w:pos="720"/>
        </w:tabs>
        <w:spacing w:after="240"/>
        <w:ind w:left="0" w:firstLine="0"/>
        <w:rPr>
          <w:lang w:val="en-US"/>
        </w:rPr>
      </w:pPr>
      <w:r>
        <w:rPr>
          <w:lang w:val="en-GB"/>
        </w:rPr>
        <w:t>The Salvadoran Institute for the Rehabilitation of Invalids (ISRI)</w:t>
      </w:r>
      <w:r>
        <w:rPr>
          <w:rStyle w:val="FootnoteReference"/>
          <w:lang w:val="en-GB"/>
        </w:rPr>
        <w:footnoteReference w:id="22"/>
      </w:r>
      <w:r>
        <w:rPr>
          <w:lang w:val="en-GB"/>
        </w:rPr>
        <w:t xml:space="preserve"> is a specialist body providing care and rehabilitation services for users with physical and mental limitations, catering for disabled children in its centres.</w:t>
      </w:r>
      <w:r>
        <w:rPr>
          <w:lang w:val="en-US"/>
        </w:rPr>
        <w:t xml:space="preserve"> </w:t>
      </w:r>
      <w:r>
        <w:rPr>
          <w:lang w:val="en-GB"/>
        </w:rPr>
        <w:t>ISRI’s total budget has been increased over the reporting period as follows:</w:t>
      </w:r>
      <w:r>
        <w:rPr>
          <w:lang w:val="en-US"/>
        </w:rPr>
        <w:t xml:space="preserve"> </w:t>
      </w:r>
      <w:r>
        <w:rPr>
          <w:lang w:val="en-GB"/>
        </w:rPr>
        <w:t>2004: $11,746,760; 2005: $12,033,720; and 2006: $12,928,120.</w:t>
      </w:r>
      <w:r>
        <w:rPr>
          <w:lang w:val="en-US"/>
        </w:rPr>
        <w:t xml:space="preserve"> </w:t>
      </w:r>
      <w:r>
        <w:rPr>
          <w:lang w:val="en-GB"/>
        </w:rPr>
        <w:t>The budget allocated to the ISRI Care Centres for 2007 is as follows:</w:t>
      </w:r>
    </w:p>
    <w:p w:rsidR="00CD2A5A" w:rsidRDefault="00CD2A5A" w:rsidP="00CD2A5A">
      <w:pPr>
        <w:pStyle w:val="Figure"/>
        <w:rPr>
          <w:lang w:val="en-US"/>
        </w:rPr>
      </w:pPr>
      <w:r>
        <w:t>Figure 42</w:t>
      </w:r>
    </w:p>
    <w:p w:rsidR="00CD2A5A" w:rsidRDefault="00CD2A5A" w:rsidP="00CD2A5A">
      <w:pPr>
        <w:pStyle w:val="Figure"/>
        <w:rPr>
          <w:lang w:val="en-US"/>
        </w:rPr>
      </w:pPr>
      <w:r>
        <w:t>Salvadoran Institute For Rehabilitation Of Invalids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850"/>
        <w:gridCol w:w="1512"/>
        <w:gridCol w:w="1512"/>
        <w:gridCol w:w="1513"/>
        <w:gridCol w:w="1512"/>
        <w:gridCol w:w="1513"/>
      </w:tblGrid>
      <w:tr w:rsidR="00CD2A5A">
        <w:trPr>
          <w:jc w:val="center"/>
        </w:trPr>
        <w:tc>
          <w:tcPr>
            <w:tcW w:w="1850" w:type="dxa"/>
            <w:vAlign w:val="center"/>
          </w:tcPr>
          <w:p w:rsidR="00CD2A5A" w:rsidRDefault="00CD2A5A">
            <w:pPr>
              <w:spacing w:before="40" w:after="40"/>
              <w:jc w:val="center"/>
              <w:rPr>
                <w:b/>
                <w:i/>
                <w:sz w:val="20"/>
                <w:szCs w:val="20"/>
                <w:lang w:val="es-ES_tradnl"/>
              </w:rPr>
            </w:pPr>
            <w:r>
              <w:rPr>
                <w:b/>
                <w:i/>
                <w:sz w:val="20"/>
                <w:szCs w:val="20"/>
                <w:lang w:val="en-GB"/>
              </w:rPr>
              <w:t>Care centre</w:t>
            </w:r>
          </w:p>
        </w:tc>
        <w:tc>
          <w:tcPr>
            <w:tcW w:w="1512" w:type="dxa"/>
            <w:tcMar>
              <w:left w:w="0" w:type="dxa"/>
              <w:right w:w="0" w:type="dxa"/>
            </w:tcMar>
            <w:vAlign w:val="center"/>
          </w:tcPr>
          <w:p w:rsidR="00CD2A5A" w:rsidRDefault="00CD2A5A">
            <w:pPr>
              <w:spacing w:before="40" w:after="40"/>
              <w:jc w:val="center"/>
              <w:rPr>
                <w:b/>
                <w:i/>
                <w:sz w:val="20"/>
                <w:szCs w:val="20"/>
                <w:lang w:val="es-ES_tradnl"/>
              </w:rPr>
            </w:pPr>
            <w:r>
              <w:rPr>
                <w:b/>
                <w:i/>
                <w:sz w:val="20"/>
                <w:szCs w:val="20"/>
                <w:lang w:val="en-GB"/>
              </w:rPr>
              <w:t>Assets 2007</w:t>
            </w:r>
          </w:p>
        </w:tc>
        <w:tc>
          <w:tcPr>
            <w:tcW w:w="1512" w:type="dxa"/>
            <w:tcMar>
              <w:left w:w="0" w:type="dxa"/>
              <w:right w:w="0" w:type="dxa"/>
            </w:tcMar>
            <w:vAlign w:val="center"/>
          </w:tcPr>
          <w:p w:rsidR="00CD2A5A" w:rsidRDefault="00CD2A5A">
            <w:pPr>
              <w:spacing w:before="40" w:after="40"/>
              <w:jc w:val="center"/>
              <w:rPr>
                <w:b/>
                <w:i/>
                <w:sz w:val="20"/>
                <w:szCs w:val="20"/>
                <w:lang w:val="es-ES_tradnl"/>
              </w:rPr>
            </w:pPr>
            <w:r>
              <w:rPr>
                <w:b/>
                <w:i/>
                <w:sz w:val="20"/>
                <w:szCs w:val="20"/>
                <w:lang w:val="en-GB"/>
              </w:rPr>
              <w:t>Wages and salaries 2007</w:t>
            </w:r>
          </w:p>
        </w:tc>
        <w:tc>
          <w:tcPr>
            <w:tcW w:w="1513" w:type="dxa"/>
            <w:tcMar>
              <w:left w:w="0" w:type="dxa"/>
              <w:right w:w="0" w:type="dxa"/>
            </w:tcMar>
            <w:vAlign w:val="center"/>
          </w:tcPr>
          <w:p w:rsidR="00CD2A5A" w:rsidRDefault="00CD2A5A">
            <w:pPr>
              <w:spacing w:before="40" w:after="40"/>
              <w:jc w:val="center"/>
              <w:rPr>
                <w:b/>
                <w:i/>
                <w:sz w:val="20"/>
                <w:szCs w:val="20"/>
                <w:lang w:val="es-ES_tradnl"/>
              </w:rPr>
            </w:pPr>
            <w:r>
              <w:rPr>
                <w:b/>
                <w:i/>
                <w:sz w:val="20"/>
                <w:szCs w:val="20"/>
                <w:lang w:val="en-GB"/>
              </w:rPr>
              <w:t>Total general fund 2007</w:t>
            </w:r>
          </w:p>
        </w:tc>
        <w:tc>
          <w:tcPr>
            <w:tcW w:w="1512" w:type="dxa"/>
            <w:tcMar>
              <w:left w:w="0" w:type="dxa"/>
              <w:right w:w="0" w:type="dxa"/>
            </w:tcMar>
            <w:vAlign w:val="center"/>
          </w:tcPr>
          <w:p w:rsidR="00CD2A5A" w:rsidRDefault="00CD2A5A">
            <w:pPr>
              <w:spacing w:before="40" w:after="40"/>
              <w:jc w:val="center"/>
              <w:rPr>
                <w:b/>
                <w:i/>
                <w:sz w:val="20"/>
                <w:szCs w:val="20"/>
                <w:lang w:val="es-ES_tradnl"/>
              </w:rPr>
            </w:pPr>
            <w:r>
              <w:rPr>
                <w:b/>
                <w:i/>
                <w:sz w:val="20"/>
                <w:szCs w:val="20"/>
                <w:lang w:val="en-GB"/>
              </w:rPr>
              <w:t>Own resources 2007</w:t>
            </w:r>
          </w:p>
        </w:tc>
        <w:tc>
          <w:tcPr>
            <w:tcW w:w="1513" w:type="dxa"/>
            <w:tcMar>
              <w:left w:w="0" w:type="dxa"/>
              <w:right w:w="0" w:type="dxa"/>
            </w:tcMar>
            <w:vAlign w:val="center"/>
          </w:tcPr>
          <w:p w:rsidR="00CD2A5A" w:rsidRDefault="00CD2A5A">
            <w:pPr>
              <w:spacing w:before="40" w:after="40"/>
              <w:jc w:val="center"/>
              <w:rPr>
                <w:rStyle w:val="CharacterStyle1"/>
                <w:b/>
                <w:i/>
                <w:sz w:val="20"/>
                <w:szCs w:val="20"/>
                <w:lang w:val="es-ES_tradnl"/>
              </w:rPr>
            </w:pPr>
            <w:r>
              <w:rPr>
                <w:b/>
                <w:i/>
                <w:sz w:val="20"/>
                <w:szCs w:val="20"/>
                <w:lang w:val="en-GB"/>
              </w:rPr>
              <w:t>2007</w:t>
            </w:r>
          </w:p>
        </w:tc>
      </w:tr>
      <w:tr w:rsidR="00CD2A5A">
        <w:trPr>
          <w:jc w:val="center"/>
        </w:trPr>
        <w:tc>
          <w:tcPr>
            <w:tcW w:w="1850" w:type="dxa"/>
          </w:tcPr>
          <w:p w:rsidR="00CD2A5A" w:rsidRDefault="00CD2A5A">
            <w:pPr>
              <w:spacing w:before="40" w:after="40"/>
              <w:rPr>
                <w:rStyle w:val="CharacterStyle1"/>
                <w:sz w:val="20"/>
                <w:szCs w:val="20"/>
                <w:lang w:val="en-US"/>
              </w:rPr>
            </w:pPr>
            <w:r>
              <w:rPr>
                <w:sz w:val="20"/>
                <w:szCs w:val="20"/>
                <w:lang w:val="en-GB"/>
              </w:rPr>
              <w:t>Rehabilitation centre for the blind</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$44,505.00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$405,730.00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$450,235.00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$10,415.00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$460,650.00</w:t>
            </w:r>
          </w:p>
        </w:tc>
      </w:tr>
      <w:tr w:rsidR="00CD2A5A">
        <w:trPr>
          <w:jc w:val="center"/>
        </w:trPr>
        <w:tc>
          <w:tcPr>
            <w:tcW w:w="1850" w:type="dxa"/>
          </w:tcPr>
          <w:p w:rsidR="00CD2A5A" w:rsidRDefault="00CD2A5A">
            <w:pPr>
              <w:spacing w:before="40" w:after="40"/>
              <w:rPr>
                <w:rStyle w:val="CharacterStyle1"/>
                <w:sz w:val="20"/>
                <w:szCs w:val="20"/>
                <w:lang w:val="en-US"/>
              </w:rPr>
            </w:pPr>
            <w:r>
              <w:rPr>
                <w:sz w:val="20"/>
                <w:szCs w:val="20"/>
                <w:lang w:val="en-GB"/>
              </w:rPr>
              <w:t>Centre for the locomotor system</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$20,230.00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$879,750.00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$899,980.00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$148,340.00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$1,048,320.00</w:t>
            </w:r>
          </w:p>
        </w:tc>
      </w:tr>
      <w:tr w:rsidR="00CD2A5A">
        <w:trPr>
          <w:jc w:val="center"/>
        </w:trPr>
        <w:tc>
          <w:tcPr>
            <w:tcW w:w="1850" w:type="dxa"/>
          </w:tcPr>
          <w:p w:rsidR="00CD2A5A" w:rsidRDefault="00CD2A5A">
            <w:pPr>
              <w:spacing w:before="40" w:after="40"/>
              <w:rPr>
                <w:rStyle w:val="CharacterStyle1"/>
                <w:sz w:val="20"/>
                <w:szCs w:val="20"/>
                <w:lang w:val="es-ES_tradnl"/>
              </w:rPr>
            </w:pPr>
            <w:r>
              <w:rPr>
                <w:sz w:val="20"/>
                <w:szCs w:val="20"/>
                <w:lang w:val="en-GB"/>
              </w:rPr>
              <w:t>Hearing and language centre</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$2,885.00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$479,770.00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$482,655.00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$70,000.00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$552,655.00</w:t>
            </w:r>
          </w:p>
        </w:tc>
      </w:tr>
      <w:tr w:rsidR="00CD2A5A">
        <w:trPr>
          <w:jc w:val="center"/>
        </w:trPr>
        <w:tc>
          <w:tcPr>
            <w:tcW w:w="1850" w:type="dxa"/>
          </w:tcPr>
          <w:p w:rsidR="00CD2A5A" w:rsidRDefault="00CD2A5A">
            <w:pPr>
              <w:spacing w:before="40" w:after="40"/>
              <w:rPr>
                <w:rStyle w:val="CharacterStyle1"/>
                <w:sz w:val="20"/>
                <w:szCs w:val="20"/>
                <w:lang w:val="en-US"/>
              </w:rPr>
            </w:pPr>
            <w:r>
              <w:rPr>
                <w:sz w:val="20"/>
                <w:szCs w:val="20"/>
                <w:lang w:val="en-GB"/>
              </w:rPr>
              <w:t>Rehabilitation centre for children and adolescents</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$20,230.00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$911,410.00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$931,640.00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$91,995.00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$1,023,635.00</w:t>
            </w:r>
          </w:p>
        </w:tc>
      </w:tr>
      <w:tr w:rsidR="00CD2A5A">
        <w:trPr>
          <w:jc w:val="center"/>
        </w:trPr>
        <w:tc>
          <w:tcPr>
            <w:tcW w:w="1850" w:type="dxa"/>
          </w:tcPr>
          <w:p w:rsidR="00CD2A5A" w:rsidRDefault="00CD2A5A">
            <w:pPr>
              <w:spacing w:before="40" w:after="40"/>
              <w:rPr>
                <w:rStyle w:val="CharacterStyle1"/>
                <w:sz w:val="20"/>
                <w:szCs w:val="20"/>
                <w:lang w:val="es-ES_tradnl"/>
              </w:rPr>
            </w:pPr>
            <w:r>
              <w:rPr>
                <w:sz w:val="20"/>
                <w:szCs w:val="20"/>
                <w:lang w:val="en-GB"/>
              </w:rPr>
              <w:t xml:space="preserve">Western comprehensive rehabilitation centre </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$8,095.00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$490,075.00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$498,170.00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$57,370.00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$555,540.00</w:t>
            </w:r>
          </w:p>
        </w:tc>
      </w:tr>
      <w:tr w:rsidR="00CD2A5A">
        <w:trPr>
          <w:jc w:val="center"/>
        </w:trPr>
        <w:tc>
          <w:tcPr>
            <w:tcW w:w="1850" w:type="dxa"/>
          </w:tcPr>
          <w:p w:rsidR="00CD2A5A" w:rsidRDefault="00CD2A5A">
            <w:pPr>
              <w:spacing w:before="40" w:after="40"/>
              <w:rPr>
                <w:rStyle w:val="CharacterStyle1"/>
                <w:sz w:val="20"/>
                <w:szCs w:val="20"/>
                <w:lang w:val="es-ES_tradnl"/>
              </w:rPr>
            </w:pPr>
            <w:r>
              <w:rPr>
                <w:sz w:val="20"/>
                <w:szCs w:val="20"/>
                <w:lang w:val="en-GB"/>
              </w:rPr>
              <w:t xml:space="preserve">Eastern comprehensive rehabilitation centre </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$16,185.00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$478,620.00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$494,805.00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$64,930.00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$559,735.00</w:t>
            </w:r>
          </w:p>
        </w:tc>
      </w:tr>
      <w:tr w:rsidR="00CD2A5A">
        <w:trPr>
          <w:jc w:val="center"/>
        </w:trPr>
        <w:tc>
          <w:tcPr>
            <w:tcW w:w="1850" w:type="dxa"/>
          </w:tcPr>
          <w:p w:rsidR="00CD2A5A" w:rsidRDefault="00CD2A5A">
            <w:pPr>
              <w:spacing w:before="40" w:after="40"/>
              <w:rPr>
                <w:rStyle w:val="CharacterStyle1"/>
                <w:sz w:val="20"/>
                <w:szCs w:val="20"/>
                <w:lang w:val="es-ES_tradnl"/>
              </w:rPr>
            </w:pPr>
            <w:r>
              <w:rPr>
                <w:sz w:val="20"/>
                <w:szCs w:val="20"/>
                <w:lang w:val="en-GB"/>
              </w:rPr>
              <w:t>Professional rehabilitation centre</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$20,230.00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$292,760.00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$312,990.00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$14,030.00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$327,020.00</w:t>
            </w:r>
          </w:p>
        </w:tc>
      </w:tr>
      <w:tr w:rsidR="00CD2A5A">
        <w:trPr>
          <w:jc w:val="center"/>
        </w:trPr>
        <w:tc>
          <w:tcPr>
            <w:tcW w:w="1850" w:type="dxa"/>
          </w:tcPr>
          <w:p w:rsidR="00CD2A5A" w:rsidRDefault="00CD2A5A">
            <w:pPr>
              <w:spacing w:before="40" w:after="40"/>
              <w:rPr>
                <w:rStyle w:val="CharacterStyle1"/>
                <w:sz w:val="20"/>
                <w:szCs w:val="20"/>
                <w:lang w:val="es-ES_tradnl"/>
              </w:rPr>
            </w:pPr>
            <w:r>
              <w:rPr>
                <w:sz w:val="20"/>
                <w:szCs w:val="20"/>
                <w:lang w:val="en-GB"/>
              </w:rPr>
              <w:t>Outpatient consultation unit</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$25,440.00</w:t>
            </w:r>
          </w:p>
        </w:tc>
        <w:tc>
          <w:tcPr>
            <w:tcW w:w="1512" w:type="dxa"/>
            <w:tcMar>
              <w:left w:w="0" w:type="dxa"/>
              <w:right w:w="0" w:type="dxa"/>
            </w:tcMar>
          </w:tcPr>
          <w:p w:rsidR="00CD2A5A" w:rsidRDefault="00CD2A5A">
            <w:pPr>
              <w:spacing w:before="40" w:after="40"/>
              <w:ind w:right="243"/>
              <w:jc w:val="right"/>
              <w:rPr>
                <w:rStyle w:val="CharacterStyle1"/>
                <w:sz w:val="20"/>
                <w:szCs w:val="20"/>
                <w:lang w:val="es-ES_tradnl"/>
              </w:rPr>
            </w:pPr>
            <w:r>
              <w:rPr>
                <w:rStyle w:val="CharacterStyle1"/>
                <w:sz w:val="20"/>
                <w:szCs w:val="20"/>
                <w:lang w:val="es-ES_tradnl"/>
              </w:rPr>
              <w:t>$314,100.00</w:t>
            </w:r>
          </w:p>
        </w:tc>
        <w:tc>
          <w:tcPr>
            <w:tcW w:w="1513" w:type="dxa"/>
            <w:tcMar>
              <w:left w:w="0" w:type="dxa"/>
              <w:right w:w="0" w:type="dxa"/>
            </w:tcMar>
          </w:tcPr>
          <w:p w:rsidR="00CD2A5A" w:rsidRDefault="00CD2A5A">
            <w:pPr>
              <w:spacing w:before="40" w:after="40"/>
              <w:ind w:right="291"/>
              <w:jc w:val="right"/>
              <w:rPr>
                <w:rStyle w:val="CharacterStyle1"/>
                <w:sz w:val="20"/>
                <w:szCs w:val="20"/>
                <w:lang w:val="es-ES_tradnl"/>
              </w:rPr>
            </w:pPr>
            <w:r>
              <w:rPr>
                <w:rStyle w:val="CharacterStyle1"/>
                <w:sz w:val="20"/>
                <w:szCs w:val="20"/>
                <w:lang w:val="es-ES_tradnl"/>
              </w:rPr>
              <w:t>$339,540.00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$20,020.00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$359,560.00</w:t>
            </w:r>
          </w:p>
        </w:tc>
      </w:tr>
      <w:tr w:rsidR="00CD2A5A">
        <w:trPr>
          <w:jc w:val="center"/>
        </w:trPr>
        <w:tc>
          <w:tcPr>
            <w:tcW w:w="1850" w:type="dxa"/>
          </w:tcPr>
          <w:p w:rsidR="00CD2A5A" w:rsidRDefault="00CD2A5A">
            <w:pPr>
              <w:spacing w:before="40" w:after="40"/>
              <w:rPr>
                <w:rStyle w:val="CharacterStyle1"/>
                <w:sz w:val="20"/>
                <w:szCs w:val="20"/>
                <w:lang w:val="es-ES_tradnl"/>
              </w:rPr>
            </w:pPr>
            <w:r>
              <w:rPr>
                <w:sz w:val="20"/>
                <w:szCs w:val="20"/>
                <w:lang w:val="en-GB"/>
              </w:rPr>
              <w:t>Total, all centres</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$157,800.00</w:t>
            </w:r>
          </w:p>
        </w:tc>
        <w:tc>
          <w:tcPr>
            <w:tcW w:w="1512" w:type="dxa"/>
            <w:tcMar>
              <w:left w:w="0" w:type="dxa"/>
              <w:right w:w="0" w:type="dxa"/>
            </w:tcMar>
          </w:tcPr>
          <w:p w:rsidR="00CD2A5A" w:rsidRDefault="00CD2A5A">
            <w:pPr>
              <w:spacing w:before="40" w:after="40"/>
              <w:ind w:right="243"/>
              <w:jc w:val="right"/>
              <w:rPr>
                <w:sz w:val="20"/>
                <w:szCs w:val="20"/>
                <w:lang w:val="es-ES_tradnl"/>
              </w:rPr>
            </w:pPr>
            <w:r>
              <w:rPr>
                <w:sz w:val="20"/>
                <w:szCs w:val="20"/>
                <w:lang w:val="es-ES_tradnl"/>
              </w:rPr>
              <w:t>$4,252,215.00</w:t>
            </w:r>
          </w:p>
        </w:tc>
        <w:tc>
          <w:tcPr>
            <w:tcW w:w="1513" w:type="dxa"/>
            <w:tcMar>
              <w:left w:w="0" w:type="dxa"/>
              <w:right w:w="0" w:type="dxa"/>
            </w:tcMar>
          </w:tcPr>
          <w:p w:rsidR="00CD2A5A" w:rsidRDefault="00CD2A5A">
            <w:pPr>
              <w:spacing w:before="40" w:after="40"/>
              <w:ind w:right="291"/>
              <w:jc w:val="right"/>
              <w:rPr>
                <w:sz w:val="20"/>
                <w:szCs w:val="20"/>
                <w:lang w:val="es-ES_tradnl"/>
              </w:rPr>
            </w:pPr>
            <w:r>
              <w:rPr>
                <w:sz w:val="20"/>
                <w:szCs w:val="20"/>
                <w:lang w:val="es-ES_tradnl"/>
              </w:rPr>
              <w:t>$4,410,015.00</w:t>
            </w:r>
          </w:p>
        </w:tc>
        <w:tc>
          <w:tcPr>
            <w:tcW w:w="1512"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$477,100.00</w:t>
            </w:r>
          </w:p>
        </w:tc>
        <w:tc>
          <w:tcPr>
            <w:tcW w:w="1513" w:type="dxa"/>
            <w:tcMar>
              <w:left w:w="0" w:type="dxa"/>
              <w:right w:w="0" w:type="dxa"/>
            </w:tcMar>
          </w:tcPr>
          <w:p w:rsidR="00CD2A5A" w:rsidRDefault="00CD2A5A">
            <w:pPr>
              <w:spacing w:before="40" w:after="40"/>
              <w:ind w:right="244"/>
              <w:jc w:val="right"/>
              <w:rPr>
                <w:rStyle w:val="CharacterStyle1"/>
                <w:sz w:val="20"/>
                <w:szCs w:val="20"/>
                <w:lang w:val="es-ES_tradnl"/>
              </w:rPr>
            </w:pPr>
            <w:r>
              <w:rPr>
                <w:rStyle w:val="CharacterStyle1"/>
                <w:sz w:val="20"/>
                <w:szCs w:val="20"/>
                <w:lang w:val="es-ES_tradnl"/>
              </w:rPr>
              <w:t>$4,887,115.00</w:t>
            </w:r>
          </w:p>
        </w:tc>
      </w:tr>
    </w:tbl>
    <w:p w:rsidR="00CD2A5A" w:rsidRDefault="00CD2A5A">
      <w:pPr>
        <w:spacing w:after="240"/>
        <w:rPr>
          <w:lang w:val="es-SV"/>
        </w:rPr>
      </w:pPr>
    </w:p>
    <w:p w:rsidR="00CD2A5A" w:rsidRDefault="00CD2A5A">
      <w:pPr>
        <w:pStyle w:val="Header"/>
        <w:numPr>
          <w:ilvl w:val="0"/>
          <w:numId w:val="3"/>
        </w:numPr>
        <w:tabs>
          <w:tab w:val="clear" w:pos="720"/>
          <w:tab w:val="clear" w:pos="4252"/>
        </w:tabs>
        <w:spacing w:after="240"/>
        <w:ind w:left="0" w:firstLine="0"/>
        <w:rPr>
          <w:lang w:val="es-SV"/>
        </w:rPr>
      </w:pPr>
      <w:r>
        <w:rPr>
          <w:lang w:val="en-GB"/>
        </w:rPr>
        <w:t>The budget allocated to the care centres has been increased over the reporting period.</w:t>
      </w:r>
      <w:r>
        <w:rPr>
          <w:lang w:val="en-US"/>
        </w:rPr>
        <w:t xml:space="preserve"> </w:t>
      </w:r>
      <w:r>
        <w:rPr>
          <w:lang w:val="en-GB"/>
        </w:rPr>
        <w:t>See annex XIII in this respect.</w:t>
      </w:r>
    </w:p>
    <w:p w:rsidR="00CD2A5A" w:rsidRDefault="00CD2A5A">
      <w:pPr>
        <w:pStyle w:val="Header"/>
        <w:numPr>
          <w:ilvl w:val="0"/>
          <w:numId w:val="3"/>
        </w:numPr>
        <w:tabs>
          <w:tab w:val="clear" w:pos="720"/>
          <w:tab w:val="clear" w:pos="4252"/>
        </w:tabs>
        <w:spacing w:after="240"/>
        <w:ind w:left="0" w:firstLine="0"/>
        <w:rPr>
          <w:lang w:val="en-US"/>
        </w:rPr>
      </w:pPr>
      <w:r>
        <w:rPr>
          <w:lang w:val="en-GB"/>
        </w:rPr>
        <w:t>There is as yet no census in El Salvador of the precise number of children with disabilities, but the governing body for disabilities has started to take steps with a view to taking a census purely of disabilities.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s-SV"/>
        </w:rPr>
      </w:pPr>
      <w:r>
        <w:rPr>
          <w:lang w:val="en-GB"/>
        </w:rPr>
        <w:t>ISRI cares for children with disabilities that are physical (cerebral palsy), mental (mental retardation, Down syndrome, autism) and sensory (blindness and deafness).</w:t>
      </w:r>
      <w:r>
        <w:rPr>
          <w:lang w:val="en-US"/>
        </w:rPr>
        <w:t xml:space="preserve"> </w:t>
      </w:r>
      <w:r>
        <w:rPr>
          <w:lang w:val="en-GB"/>
        </w:rPr>
        <w:t>In the case of mental retardation, the children range from 0 to 30 years in age (chronological age).</w:t>
      </w:r>
      <w:r>
        <w:rPr>
          <w:lang w:val="en-US"/>
        </w:rPr>
        <w:t xml:space="preserve"> </w:t>
      </w:r>
      <w:r>
        <w:rPr>
          <w:lang w:val="en-GB"/>
        </w:rPr>
        <w:t>In 2006 it catered for 7,001 boys and 5,207 girls.</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ISRI provides services for disabled children in the various care centres.</w:t>
      </w:r>
      <w:r>
        <w:rPr>
          <w:lang w:val="en-US"/>
        </w:rPr>
        <w:t xml:space="preserve"> </w:t>
      </w:r>
      <w:r>
        <w:rPr>
          <w:lang w:val="en-GB"/>
        </w:rPr>
        <w:t>In the Eastern and Western Rehabilitation Centres, at the Rehabilitation Centre for Children and Adolescents</w:t>
      </w:r>
      <w:r w:rsidR="00621FC8">
        <w:rPr>
          <w:lang w:val="en-GB"/>
        </w:rPr>
        <w:br/>
      </w:r>
      <w:r>
        <w:rPr>
          <w:lang w:val="en-GB"/>
        </w:rPr>
        <w:t>(CRINA) and at the Centre for the Locomotor System, the population is treated according to the speciality of the professionals attending them, under the following programmes:</w:t>
      </w:r>
      <w:r>
        <w:rPr>
          <w:lang w:val="en-US"/>
        </w:rPr>
        <w:t xml:space="preserve"> </w:t>
      </w:r>
    </w:p>
    <w:p w:rsidR="00CD2A5A" w:rsidRDefault="00CD2A5A" w:rsidP="00CD2A5A">
      <w:pPr>
        <w:numPr>
          <w:ilvl w:val="0"/>
          <w:numId w:val="41"/>
        </w:numPr>
        <w:spacing w:after="200"/>
        <w:ind w:left="0" w:firstLine="567"/>
        <w:rPr>
          <w:lang w:val="en-US"/>
        </w:rPr>
      </w:pPr>
      <w:r>
        <w:rPr>
          <w:lang w:val="en-GB"/>
        </w:rPr>
        <w:t>Physical therapy:</w:t>
      </w:r>
      <w:r>
        <w:rPr>
          <w:lang w:val="en-US"/>
        </w:rPr>
        <w:t xml:space="preserve"> </w:t>
      </w:r>
      <w:r>
        <w:rPr>
          <w:lang w:val="en-GB"/>
        </w:rPr>
        <w:t>early stimulation, sensory motor programme, hydrotherapy, hypotherapy and preparation of adaptations;</w:t>
      </w:r>
    </w:p>
    <w:p w:rsidR="00CD2A5A" w:rsidRDefault="00CD2A5A" w:rsidP="00CD2A5A">
      <w:pPr>
        <w:numPr>
          <w:ilvl w:val="0"/>
          <w:numId w:val="41"/>
        </w:numPr>
        <w:spacing w:after="200"/>
        <w:ind w:left="0" w:firstLine="567"/>
        <w:rPr>
          <w:lang w:val="en-US"/>
        </w:rPr>
      </w:pPr>
      <w:r>
        <w:rPr>
          <w:lang w:val="en-GB"/>
        </w:rPr>
        <w:t>Occupacional therapy:</w:t>
      </w:r>
      <w:r>
        <w:rPr>
          <w:lang w:val="en-US"/>
        </w:rPr>
        <w:t xml:space="preserve"> </w:t>
      </w:r>
      <w:r>
        <w:rPr>
          <w:lang w:val="en-GB"/>
        </w:rPr>
        <w:t>sensory motor programme and preparation of adaptations;</w:t>
      </w:r>
    </w:p>
    <w:p w:rsidR="00CD2A5A" w:rsidRDefault="00CD2A5A" w:rsidP="00CD2A5A">
      <w:pPr>
        <w:numPr>
          <w:ilvl w:val="0"/>
          <w:numId w:val="41"/>
        </w:numPr>
        <w:spacing w:after="200"/>
        <w:ind w:left="0" w:firstLine="567"/>
        <w:rPr>
          <w:lang w:val="en-US"/>
        </w:rPr>
      </w:pPr>
      <w:r>
        <w:rPr>
          <w:lang w:val="en-GB"/>
        </w:rPr>
        <w:t>Language therapy:</w:t>
      </w:r>
      <w:r>
        <w:rPr>
          <w:lang w:val="en-US"/>
        </w:rPr>
        <w:t xml:space="preserve"> </w:t>
      </w:r>
      <w:r>
        <w:rPr>
          <w:lang w:val="en-GB"/>
        </w:rPr>
        <w:t>programme for developing motor skills (movements for articulation); language acquisition and development programme; articulation programme; aphasia programme; and alternative communication programme;</w:t>
      </w:r>
    </w:p>
    <w:p w:rsidR="00CD2A5A" w:rsidRDefault="00CD2A5A" w:rsidP="00CD2A5A">
      <w:pPr>
        <w:numPr>
          <w:ilvl w:val="0"/>
          <w:numId w:val="41"/>
        </w:numPr>
        <w:spacing w:after="200"/>
        <w:ind w:left="0" w:firstLine="567"/>
        <w:rPr>
          <w:lang w:val="en-US"/>
        </w:rPr>
      </w:pPr>
      <w:r>
        <w:rPr>
          <w:lang w:val="en-GB"/>
        </w:rPr>
        <w:t>Educational therapy:</w:t>
      </w:r>
      <w:r>
        <w:rPr>
          <w:lang w:val="en-US"/>
        </w:rPr>
        <w:t xml:space="preserve"> </w:t>
      </w:r>
      <w:r>
        <w:rPr>
          <w:lang w:val="en-GB"/>
        </w:rPr>
        <w:t>regular education programme; mature student programme; calculation and attention; verbal comprehension; and preparation;</w:t>
      </w:r>
    </w:p>
    <w:p w:rsidR="00CD2A5A" w:rsidRDefault="00CD2A5A" w:rsidP="00CD2A5A">
      <w:pPr>
        <w:numPr>
          <w:ilvl w:val="0"/>
          <w:numId w:val="41"/>
        </w:numPr>
        <w:spacing w:after="200"/>
        <w:ind w:left="0" w:firstLine="567"/>
        <w:rPr>
          <w:lang w:val="en-US"/>
        </w:rPr>
      </w:pPr>
      <w:r>
        <w:rPr>
          <w:lang w:val="en-GB"/>
        </w:rPr>
        <w:t>Special education programme:</w:t>
      </w:r>
      <w:r>
        <w:rPr>
          <w:lang w:val="en-US"/>
        </w:rPr>
        <w:t xml:space="preserve"> </w:t>
      </w:r>
      <w:r>
        <w:rPr>
          <w:lang w:val="en-GB"/>
        </w:rPr>
        <w:t>socialization; multisensory education; and everyday activities;</w:t>
      </w:r>
    </w:p>
    <w:p w:rsidR="00CD2A5A" w:rsidRDefault="00CD2A5A" w:rsidP="00CD2A5A">
      <w:pPr>
        <w:numPr>
          <w:ilvl w:val="0"/>
          <w:numId w:val="41"/>
        </w:numPr>
        <w:spacing w:after="200"/>
        <w:ind w:left="0" w:firstLine="567"/>
        <w:rPr>
          <w:lang w:val="en-US"/>
        </w:rPr>
      </w:pPr>
      <w:r>
        <w:rPr>
          <w:lang w:val="en-GB"/>
        </w:rPr>
        <w:t>Music therapy;</w:t>
      </w:r>
    </w:p>
    <w:p w:rsidR="00CD2A5A" w:rsidRDefault="00CD2A5A" w:rsidP="00CD2A5A">
      <w:pPr>
        <w:numPr>
          <w:ilvl w:val="0"/>
          <w:numId w:val="41"/>
        </w:numPr>
        <w:spacing w:after="200"/>
        <w:ind w:left="0" w:firstLine="567"/>
        <w:rPr>
          <w:lang w:val="en-US"/>
        </w:rPr>
      </w:pPr>
      <w:r>
        <w:rPr>
          <w:lang w:val="en-GB"/>
        </w:rPr>
        <w:t>Adaptative therapy;</w:t>
      </w:r>
      <w:r>
        <w:rPr>
          <w:lang w:val="en-US"/>
        </w:rPr>
        <w:t xml:space="preserve"> </w:t>
      </w:r>
    </w:p>
    <w:p w:rsidR="00CD2A5A" w:rsidRDefault="00CD2A5A" w:rsidP="00CD2A5A">
      <w:pPr>
        <w:numPr>
          <w:ilvl w:val="0"/>
          <w:numId w:val="41"/>
        </w:numPr>
        <w:spacing w:after="200"/>
        <w:ind w:left="0" w:firstLine="567"/>
        <w:rPr>
          <w:lang w:val="en-US"/>
        </w:rPr>
      </w:pPr>
      <w:r>
        <w:rPr>
          <w:lang w:val="en-GB"/>
        </w:rPr>
        <w:t>Support services;</w:t>
      </w:r>
    </w:p>
    <w:p w:rsidR="00CD2A5A" w:rsidRDefault="00CD2A5A" w:rsidP="00CD2A5A">
      <w:pPr>
        <w:numPr>
          <w:ilvl w:val="0"/>
          <w:numId w:val="41"/>
        </w:numPr>
        <w:spacing w:after="200"/>
        <w:ind w:left="0" w:firstLine="567"/>
        <w:rPr>
          <w:lang w:val="en-US"/>
        </w:rPr>
      </w:pPr>
      <w:r>
        <w:rPr>
          <w:lang w:val="en-GB"/>
        </w:rPr>
        <w:t>Psychology:</w:t>
      </w:r>
      <w:r>
        <w:rPr>
          <w:lang w:val="en-US"/>
        </w:rPr>
        <w:t xml:space="preserve"> </w:t>
      </w:r>
      <w:r>
        <w:rPr>
          <w:lang w:val="en-GB"/>
        </w:rPr>
        <w:t>psychological assessments; individual counselling for parents; individual psychotherapy for parents; parents’ school;</w:t>
      </w:r>
    </w:p>
    <w:p w:rsidR="00CD2A5A" w:rsidRDefault="00CD2A5A" w:rsidP="00CD2A5A">
      <w:pPr>
        <w:numPr>
          <w:ilvl w:val="0"/>
          <w:numId w:val="41"/>
        </w:numPr>
        <w:spacing w:after="200"/>
        <w:ind w:left="0" w:firstLine="567"/>
        <w:rPr>
          <w:lang w:val="en-US"/>
        </w:rPr>
      </w:pPr>
      <w:r>
        <w:rPr>
          <w:lang w:val="en-GB"/>
        </w:rPr>
        <w:t>Social work:</w:t>
      </w:r>
      <w:r>
        <w:rPr>
          <w:lang w:val="en-US"/>
        </w:rPr>
        <w:t xml:space="preserve"> </w:t>
      </w:r>
      <w:r>
        <w:rPr>
          <w:lang w:val="en-GB"/>
        </w:rPr>
        <w:t>education and instruction programme for family groups; and educational recreation visits;</w:t>
      </w:r>
    </w:p>
    <w:p w:rsidR="00CD2A5A" w:rsidRDefault="00CD2A5A">
      <w:pPr>
        <w:numPr>
          <w:ilvl w:val="0"/>
          <w:numId w:val="41"/>
        </w:numPr>
        <w:spacing w:after="240"/>
        <w:ind w:left="0" w:firstLine="567"/>
        <w:rPr>
          <w:lang w:val="en-US"/>
        </w:rPr>
      </w:pPr>
      <w:r>
        <w:rPr>
          <w:lang w:val="en-GB"/>
        </w:rPr>
        <w:t>Construction of special chairs at the Locomotor System Centre (CAL), Eastern Comprehensive Education Centre (CRIOR), and Western Comprehensive Education Centre (CRIO).</w:t>
      </w:r>
    </w:p>
    <w:p w:rsidR="00CD2A5A" w:rsidRDefault="00CD2A5A">
      <w:pPr>
        <w:pStyle w:val="Header"/>
        <w:numPr>
          <w:ilvl w:val="0"/>
          <w:numId w:val="3"/>
        </w:numPr>
        <w:tabs>
          <w:tab w:val="clear" w:pos="720"/>
          <w:tab w:val="clear" w:pos="4252"/>
        </w:tabs>
        <w:spacing w:after="240"/>
        <w:ind w:left="0" w:firstLine="0"/>
        <w:rPr>
          <w:lang w:val="en-US"/>
        </w:rPr>
      </w:pPr>
      <w:r>
        <w:rPr>
          <w:lang w:val="en-GB"/>
        </w:rPr>
        <w:t>The Locomotor System Centre (CAL) and the Hearing and Language Centre (CALE) cater for users with a variety of disabilities, whether neurological disorders, skeletal muscle, joint disorders or congenital deformities, or language and speech problems.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Eugenia de Dueñas Rehabilitation Centre for the Blind caters for blind and partially sighted users.</w:t>
      </w:r>
      <w:r>
        <w:rPr>
          <w:lang w:val="en-US"/>
        </w:rPr>
        <w:t xml:space="preserve"> </w:t>
      </w:r>
      <w:r>
        <w:rPr>
          <w:lang w:val="en-GB"/>
        </w:rPr>
        <w:t>The service provided covers a wide variety of measures in the functional rehabilitation process for children with visual impairment, whether congenital or acquired.</w:t>
      </w:r>
      <w:r>
        <w:rPr>
          <w:lang w:val="en-US"/>
        </w:rPr>
        <w:t xml:space="preserve"> </w:t>
      </w:r>
    </w:p>
    <w:p w:rsidR="00CD2A5A" w:rsidRDefault="00CD2A5A">
      <w:pPr>
        <w:keepNext/>
        <w:numPr>
          <w:ilvl w:val="0"/>
          <w:numId w:val="3"/>
        </w:numPr>
        <w:tabs>
          <w:tab w:val="clear" w:pos="720"/>
        </w:tabs>
        <w:spacing w:after="240"/>
        <w:ind w:left="0" w:firstLine="0"/>
        <w:rPr>
          <w:u w:val="single"/>
          <w:lang w:val="en-US"/>
        </w:rPr>
      </w:pPr>
      <w:r>
        <w:rPr>
          <w:lang w:val="en-GB"/>
        </w:rPr>
        <w:t>ISNA also accommodates and cares for 63 boys</w:t>
      </w:r>
      <w:r>
        <w:rPr>
          <w:rStyle w:val="FootnoteReference"/>
          <w:lang w:val="en-GB"/>
        </w:rPr>
        <w:footnoteReference w:id="23"/>
      </w:r>
      <w:r>
        <w:rPr>
          <w:lang w:val="en-GB"/>
        </w:rPr>
        <w:t xml:space="preserve"> and 46 girls</w:t>
      </w:r>
      <w:r>
        <w:rPr>
          <w:rStyle w:val="FootnoteReference"/>
          <w:lang w:val="en-GB"/>
        </w:rPr>
        <w:footnoteReference w:id="24"/>
      </w:r>
      <w:r>
        <w:rPr>
          <w:lang w:val="en-GB"/>
        </w:rPr>
        <w:t xml:space="preserve"> with disabilities.</w:t>
      </w:r>
      <w:r>
        <w:rPr>
          <w:lang w:val="en-US"/>
        </w:rPr>
        <w:t xml:space="preserve"> </w:t>
      </w:r>
      <w:r>
        <w:rPr>
          <w:lang w:val="en-GB"/>
        </w:rPr>
        <w:t>ISNA is running the following care programmes for disabled children:</w:t>
      </w:r>
    </w:p>
    <w:p w:rsidR="00CD2A5A" w:rsidRDefault="00CD2A5A">
      <w:pPr>
        <w:numPr>
          <w:ilvl w:val="1"/>
          <w:numId w:val="3"/>
        </w:numPr>
        <w:tabs>
          <w:tab w:val="clear" w:pos="1200"/>
        </w:tabs>
        <w:spacing w:after="200"/>
        <w:ind w:left="0" w:firstLine="567"/>
        <w:rPr>
          <w:lang w:val="en-US"/>
        </w:rPr>
      </w:pPr>
      <w:r>
        <w:rPr>
          <w:lang w:val="en-GB"/>
        </w:rPr>
        <w:t>Psycho-social care:</w:t>
      </w:r>
      <w:r>
        <w:rPr>
          <w:lang w:val="en-US"/>
        </w:rPr>
        <w:t xml:space="preserve"> </w:t>
      </w:r>
      <w:r>
        <w:rPr>
          <w:lang w:val="en-GB"/>
        </w:rPr>
        <w:t>social and psychological care, income assessment, case monitoring, home visits, individual and group work;</w:t>
      </w:r>
    </w:p>
    <w:p w:rsidR="00CD2A5A" w:rsidRDefault="00CD2A5A" w:rsidP="00CD2A5A">
      <w:pPr>
        <w:numPr>
          <w:ilvl w:val="1"/>
          <w:numId w:val="3"/>
        </w:numPr>
        <w:tabs>
          <w:tab w:val="clear" w:pos="1200"/>
        </w:tabs>
        <w:spacing w:after="200"/>
        <w:ind w:left="0" w:firstLine="567"/>
        <w:rPr>
          <w:lang w:val="en-US"/>
        </w:rPr>
      </w:pPr>
      <w:r>
        <w:rPr>
          <w:lang w:val="en-GB"/>
        </w:rPr>
        <w:t>School programme:</w:t>
      </w:r>
      <w:r>
        <w:rPr>
          <w:lang w:val="en-US"/>
        </w:rPr>
        <w:t xml:space="preserve"> </w:t>
      </w:r>
      <w:r>
        <w:rPr>
          <w:lang w:val="en-GB"/>
        </w:rPr>
        <w:t>The ISNA Special Education Centre currently has three teachers, one on the morning shift and two in the afternoon, and the study curriculum is based on the syllabuses established by the Ministry of Education.</w:t>
      </w:r>
      <w:r>
        <w:rPr>
          <w:lang w:val="en-US"/>
        </w:rPr>
        <w:t xml:space="preserve"> </w:t>
      </w:r>
      <w:r>
        <w:rPr>
          <w:lang w:val="en-GB"/>
        </w:rPr>
        <w:t>In addition, the benefiting children take part in Special Olympics in the athletics and swimming categories.</w:t>
      </w:r>
    </w:p>
    <w:p w:rsidR="00CD2A5A" w:rsidRDefault="00CD2A5A" w:rsidP="00CD2A5A">
      <w:pPr>
        <w:numPr>
          <w:ilvl w:val="1"/>
          <w:numId w:val="3"/>
        </w:numPr>
        <w:tabs>
          <w:tab w:val="clear" w:pos="1200"/>
        </w:tabs>
        <w:spacing w:after="200"/>
        <w:ind w:left="0" w:firstLine="567"/>
        <w:rPr>
          <w:lang w:val="en-US"/>
        </w:rPr>
      </w:pPr>
      <w:r>
        <w:rPr>
          <w:lang w:val="en-GB"/>
        </w:rPr>
        <w:t>Health programme:</w:t>
      </w:r>
      <w:r>
        <w:rPr>
          <w:lang w:val="en-US"/>
        </w:rPr>
        <w:t xml:space="preserve"> </w:t>
      </w:r>
      <w:r>
        <w:rPr>
          <w:lang w:val="en-GB"/>
        </w:rPr>
        <w:t>the centre receives support from the Ministry of Health with doctors from the San Martín Health Centre.</w:t>
      </w:r>
      <w:r>
        <w:rPr>
          <w:lang w:val="en-US"/>
        </w:rPr>
        <w:t xml:space="preserve"> </w:t>
      </w:r>
      <w:r>
        <w:rPr>
          <w:lang w:val="en-GB"/>
        </w:rPr>
        <w:t>A general practitioner comes twice a week, while a psychiatrist helps to monitor cases twice a week.</w:t>
      </w:r>
      <w:r>
        <w:rPr>
          <w:lang w:val="en-US"/>
        </w:rPr>
        <w:t xml:space="preserve"> </w:t>
      </w:r>
      <w:r>
        <w:rPr>
          <w:lang w:val="en-GB"/>
        </w:rPr>
        <w:t>Dental care is provided on Saturdays and Sundays at the San Martín Health Centre.</w:t>
      </w:r>
      <w:r>
        <w:rPr>
          <w:lang w:val="en-US"/>
        </w:rPr>
        <w:t xml:space="preserve"> </w:t>
      </w:r>
      <w:r>
        <w:rPr>
          <w:lang w:val="en-GB"/>
        </w:rPr>
        <w:t>The Special Education Centre has a floor nurse, who controls the dispensing of drugs and visits the various homes, attends to emergencies, coordinates with health centres, checks the drugs register and makes referrals to hospitals;</w:t>
      </w:r>
    </w:p>
    <w:p w:rsidR="00CD2A5A" w:rsidRDefault="00CD2A5A" w:rsidP="00CD2A5A">
      <w:pPr>
        <w:numPr>
          <w:ilvl w:val="1"/>
          <w:numId w:val="3"/>
        </w:numPr>
        <w:tabs>
          <w:tab w:val="clear" w:pos="1200"/>
        </w:tabs>
        <w:spacing w:after="200"/>
        <w:ind w:left="0" w:firstLine="567"/>
        <w:rPr>
          <w:lang w:val="en-US"/>
        </w:rPr>
      </w:pPr>
      <w:r>
        <w:rPr>
          <w:lang w:val="en-GB"/>
        </w:rPr>
        <w:t>Physiotherapy:</w:t>
      </w:r>
      <w:r>
        <w:rPr>
          <w:lang w:val="en-US"/>
        </w:rPr>
        <w:t xml:space="preserve"> </w:t>
      </w:r>
      <w:r>
        <w:rPr>
          <w:lang w:val="en-GB"/>
        </w:rPr>
        <w:t>The ISNA Special Education Centre has two physiotherapists; a gymnasium area for treatments; and a programme with continuous monitoring providing individual and group physiotherapy, coordinating physiotherapy activities with the Teletón Pro Rehabilitation Foundation (FUNTER), an agency providing technical support;</w:t>
      </w:r>
    </w:p>
    <w:p w:rsidR="00CD2A5A" w:rsidRDefault="00CD2A5A">
      <w:pPr>
        <w:numPr>
          <w:ilvl w:val="1"/>
          <w:numId w:val="3"/>
        </w:numPr>
        <w:tabs>
          <w:tab w:val="clear" w:pos="1200"/>
        </w:tabs>
        <w:spacing w:after="240"/>
        <w:ind w:left="0" w:firstLine="567"/>
        <w:rPr>
          <w:lang w:val="en-US"/>
        </w:rPr>
      </w:pPr>
      <w:r>
        <w:rPr>
          <w:lang w:val="en-GB"/>
        </w:rPr>
        <w:t>Workshops:</w:t>
      </w:r>
      <w:r>
        <w:rPr>
          <w:lang w:val="en-US"/>
        </w:rPr>
        <w:t xml:space="preserve"> </w:t>
      </w:r>
      <w:r>
        <w:rPr>
          <w:lang w:val="en-GB"/>
        </w:rPr>
        <w:t>the Centre has handicraft,</w:t>
      </w:r>
      <w:r>
        <w:rPr>
          <w:rStyle w:val="FootnoteReference"/>
          <w:lang w:val="en-GB"/>
        </w:rPr>
        <w:footnoteReference w:id="25"/>
      </w:r>
      <w:r>
        <w:rPr>
          <w:lang w:val="en-GB"/>
        </w:rPr>
        <w:t xml:space="preserve"> needlework</w:t>
      </w:r>
      <w:r>
        <w:rPr>
          <w:rStyle w:val="FootnoteReference"/>
          <w:lang w:val="en-GB"/>
        </w:rPr>
        <w:footnoteReference w:id="26"/>
      </w:r>
      <w:r>
        <w:rPr>
          <w:lang w:val="en-GB"/>
        </w:rPr>
        <w:t xml:space="preserve"> and baking workshops.</w:t>
      </w:r>
      <w:r>
        <w:rPr>
          <w:rStyle w:val="FootnoteReference"/>
          <w:lang w:val="es-SV"/>
        </w:rPr>
        <w:footnoteReference w:id="27"/>
      </w:r>
    </w:p>
    <w:p w:rsidR="00CD2A5A" w:rsidRDefault="00CD2A5A">
      <w:pPr>
        <w:pStyle w:val="Header"/>
        <w:numPr>
          <w:ilvl w:val="0"/>
          <w:numId w:val="3"/>
        </w:numPr>
        <w:tabs>
          <w:tab w:val="clear" w:pos="720"/>
          <w:tab w:val="clear" w:pos="4252"/>
        </w:tabs>
        <w:spacing w:after="240"/>
        <w:ind w:left="0" w:firstLine="0"/>
        <w:rPr>
          <w:lang w:val="en-US"/>
        </w:rPr>
      </w:pPr>
      <w:r>
        <w:rPr>
          <w:lang w:val="en-GB"/>
        </w:rPr>
        <w:t>The Fund for the Protection of those Maimed and Disabled as a result of Armed Conflict was set up to provide care to maimed and disabled ex-combattant Salvadorans of the Farabundo Martí National Liberation Front (FMLN) and the armed forces, and the families of those killed in action:</w:t>
      </w:r>
      <w:r>
        <w:rPr>
          <w:lang w:val="en-US"/>
        </w:rPr>
        <w:t xml:space="preserve"> </w:t>
      </w:r>
      <w:r>
        <w:rPr>
          <w:lang w:val="en-GB"/>
        </w:rPr>
        <w:t>disabled parents and children, older parents and children under 18, as well as children under 18 dependent on maimed and disabled persons supported by the fund.</w:t>
      </w:r>
      <w:r>
        <w:rPr>
          <w:lang w:val="en-US"/>
        </w:rPr>
        <w:t xml:space="preserve"> </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Services to which beneficiaries of the institution are entitled include the following:</w:t>
      </w:r>
      <w:r>
        <w:rPr>
          <w:lang w:val="en-US"/>
        </w:rPr>
        <w:t xml:space="preserve"> </w:t>
      </w:r>
    </w:p>
    <w:p w:rsidR="00CD2A5A" w:rsidRDefault="00CD2A5A" w:rsidP="00621FC8">
      <w:pPr>
        <w:spacing w:after="160"/>
        <w:ind w:firstLine="567"/>
        <w:rPr>
          <w:lang w:val="en-US"/>
        </w:rPr>
      </w:pPr>
      <w:r>
        <w:rPr>
          <w:lang w:val="en-GB"/>
        </w:rPr>
        <w:t>a)</w:t>
      </w:r>
      <w:r>
        <w:rPr>
          <w:lang w:val="en-GB"/>
        </w:rPr>
        <w:tab/>
        <w:t>Financial and additional benefits (pensions, compensation, travel allowances, funeral expenses and handover to surviving children);</w:t>
      </w:r>
    </w:p>
    <w:p w:rsidR="00CD2A5A" w:rsidRDefault="00CD2A5A" w:rsidP="00621FC8">
      <w:pPr>
        <w:spacing w:after="160"/>
        <w:ind w:firstLine="567"/>
        <w:rPr>
          <w:lang w:val="en-US"/>
        </w:rPr>
      </w:pPr>
      <w:r>
        <w:rPr>
          <w:lang w:val="en-GB"/>
        </w:rPr>
        <w:t>b)</w:t>
      </w:r>
      <w:r>
        <w:rPr>
          <w:lang w:val="en-GB"/>
        </w:rPr>
        <w:tab/>
        <w:t>Benefits in kind (prostheses, orthoses, drugs and other rehabilitation aids);</w:t>
      </w:r>
    </w:p>
    <w:p w:rsidR="00CD2A5A" w:rsidRDefault="00CD2A5A">
      <w:pPr>
        <w:spacing w:after="200"/>
        <w:ind w:firstLine="567"/>
        <w:rPr>
          <w:lang w:val="en-US"/>
        </w:rPr>
      </w:pPr>
      <w:r>
        <w:rPr>
          <w:lang w:val="en-GB"/>
        </w:rPr>
        <w:t>c)</w:t>
      </w:r>
      <w:r>
        <w:rPr>
          <w:lang w:val="en-GB"/>
        </w:rPr>
        <w:tab/>
        <w:t>Stays in medical, surgical, hospital, dental, laboratory and mental health services and reintegration into working and productive life.</w:t>
      </w:r>
      <w:r>
        <w:rPr>
          <w:lang w:val="en-US"/>
        </w:rPr>
        <w:t xml:space="preserve"> </w:t>
      </w:r>
    </w:p>
    <w:p w:rsidR="00621FC8" w:rsidRDefault="00621FC8">
      <w:pPr>
        <w:spacing w:after="200"/>
        <w:ind w:firstLine="567"/>
        <w:rPr>
          <w:lang w:val="en-US"/>
        </w:rPr>
      </w:pPr>
    </w:p>
    <w:p w:rsidR="00621FC8" w:rsidRDefault="00621FC8">
      <w:pPr>
        <w:spacing w:after="200"/>
        <w:ind w:firstLine="567"/>
        <w:rPr>
          <w:lang w:val="en-US"/>
        </w:rPr>
      </w:pPr>
    </w:p>
    <w:p w:rsidR="00621FC8" w:rsidRDefault="00621FC8">
      <w:pPr>
        <w:spacing w:after="200"/>
        <w:ind w:firstLine="567"/>
        <w:rPr>
          <w:lang w:val="en-US"/>
        </w:rPr>
      </w:pPr>
    </w:p>
    <w:p w:rsidR="00621FC8" w:rsidRDefault="00621FC8">
      <w:pPr>
        <w:spacing w:after="200"/>
        <w:ind w:firstLine="567"/>
        <w:rPr>
          <w:lang w:val="en-US"/>
        </w:rPr>
      </w:pPr>
    </w:p>
    <w:p w:rsidR="00621FC8" w:rsidRDefault="00621FC8">
      <w:pPr>
        <w:spacing w:after="200"/>
        <w:ind w:firstLine="567"/>
        <w:rPr>
          <w:lang w:val="en-US"/>
        </w:rPr>
      </w:pPr>
    </w:p>
    <w:p w:rsidR="00621FC8" w:rsidRDefault="00621FC8">
      <w:pPr>
        <w:spacing w:after="200"/>
        <w:ind w:firstLine="567"/>
        <w:rPr>
          <w:lang w:val="en-US"/>
        </w:rPr>
      </w:pP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Fund currently pays benefits to the following child population:</w:t>
      </w:r>
    </w:p>
    <w:p w:rsidR="00CD2A5A" w:rsidRDefault="00CD2A5A" w:rsidP="00CD2A5A">
      <w:pPr>
        <w:pStyle w:val="Figure"/>
        <w:spacing w:after="120"/>
        <w:rPr>
          <w:lang w:val="en-US"/>
        </w:rPr>
      </w:pPr>
      <w:r>
        <w:t>Figure 43</w:t>
      </w:r>
    </w:p>
    <w:p w:rsidR="00CD2A5A" w:rsidRDefault="00CD2A5A" w:rsidP="00CD2A5A">
      <w:pPr>
        <w:pStyle w:val="Figure"/>
        <w:spacing w:after="120"/>
        <w:rPr>
          <w:lang w:val="en-US"/>
        </w:rPr>
      </w:pPr>
      <w:r>
        <w:t xml:space="preserve">Child population receiving payments from the Fund for the Protection </w:t>
      </w:r>
      <w:r>
        <w:br/>
        <w:t>of those Maimed and Disabled as a Result of Armed Conflict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9"/>
        <w:gridCol w:w="1698"/>
        <w:gridCol w:w="1415"/>
      </w:tblGrid>
      <w:tr w:rsidR="00CD2A5A">
        <w:tblPrEx>
          <w:tblCellMar>
            <w:top w:w="0" w:type="dxa"/>
            <w:bottom w:w="0" w:type="dxa"/>
          </w:tblCellMar>
        </w:tblPrEx>
        <w:trPr>
          <w:jc w:val="center"/>
        </w:trPr>
        <w:tc>
          <w:tcPr>
            <w:tcW w:w="6010" w:type="dxa"/>
            <w:tcBorders>
              <w:top w:val="single" w:sz="6" w:space="0" w:color="auto"/>
              <w:left w:val="single" w:sz="2" w:space="0" w:color="auto"/>
            </w:tcBorders>
            <w:vAlign w:val="center"/>
          </w:tcPr>
          <w:p w:rsidR="00CD2A5A" w:rsidRDefault="00CD2A5A" w:rsidP="008A5877">
            <w:pPr>
              <w:spacing w:before="40" w:after="20"/>
              <w:jc w:val="center"/>
              <w:rPr>
                <w:b/>
                <w:i/>
                <w:sz w:val="20"/>
                <w:szCs w:val="20"/>
                <w:lang w:val="es-SV"/>
              </w:rPr>
            </w:pPr>
            <w:r>
              <w:rPr>
                <w:b/>
                <w:i/>
                <w:sz w:val="20"/>
                <w:szCs w:val="20"/>
                <w:lang w:val="en-GB"/>
              </w:rPr>
              <w:t>Type</w:t>
            </w:r>
          </w:p>
        </w:tc>
        <w:tc>
          <w:tcPr>
            <w:tcW w:w="1620" w:type="dxa"/>
            <w:tcBorders>
              <w:top w:val="single" w:sz="6" w:space="0" w:color="auto"/>
            </w:tcBorders>
            <w:vAlign w:val="center"/>
          </w:tcPr>
          <w:p w:rsidR="00CD2A5A" w:rsidRDefault="00CD2A5A" w:rsidP="008A5877">
            <w:pPr>
              <w:spacing w:before="40" w:after="20"/>
              <w:jc w:val="center"/>
              <w:rPr>
                <w:b/>
                <w:i/>
                <w:sz w:val="20"/>
                <w:szCs w:val="20"/>
                <w:lang w:val="es-SV"/>
              </w:rPr>
            </w:pPr>
            <w:r>
              <w:rPr>
                <w:b/>
                <w:i/>
                <w:sz w:val="20"/>
                <w:szCs w:val="20"/>
                <w:lang w:val="en-GB"/>
              </w:rPr>
              <w:t>Girls</w:t>
            </w:r>
          </w:p>
        </w:tc>
        <w:tc>
          <w:tcPr>
            <w:tcW w:w="1350" w:type="dxa"/>
            <w:tcBorders>
              <w:top w:val="single" w:sz="6" w:space="0" w:color="auto"/>
              <w:right w:val="single" w:sz="6" w:space="0" w:color="auto"/>
            </w:tcBorders>
            <w:vAlign w:val="center"/>
          </w:tcPr>
          <w:p w:rsidR="00CD2A5A" w:rsidRDefault="00CD2A5A" w:rsidP="008A5877">
            <w:pPr>
              <w:spacing w:before="40" w:after="20"/>
              <w:jc w:val="center"/>
              <w:rPr>
                <w:b/>
                <w:i/>
                <w:sz w:val="20"/>
                <w:szCs w:val="20"/>
                <w:lang w:val="es-SV"/>
              </w:rPr>
            </w:pPr>
            <w:r>
              <w:rPr>
                <w:b/>
                <w:i/>
                <w:sz w:val="20"/>
                <w:szCs w:val="20"/>
                <w:lang w:val="en-GB"/>
              </w:rPr>
              <w:t>Boys</w:t>
            </w:r>
          </w:p>
        </w:tc>
      </w:tr>
      <w:tr w:rsidR="00CD2A5A">
        <w:tblPrEx>
          <w:tblCellMar>
            <w:top w:w="0" w:type="dxa"/>
            <w:bottom w:w="0" w:type="dxa"/>
          </w:tblCellMar>
        </w:tblPrEx>
        <w:trPr>
          <w:jc w:val="center"/>
        </w:trPr>
        <w:tc>
          <w:tcPr>
            <w:tcW w:w="6010" w:type="dxa"/>
            <w:tcBorders>
              <w:left w:val="single" w:sz="2" w:space="0" w:color="auto"/>
            </w:tcBorders>
          </w:tcPr>
          <w:p w:rsidR="00CD2A5A" w:rsidRDefault="00CD2A5A" w:rsidP="008A5877">
            <w:pPr>
              <w:pStyle w:val="Heading6"/>
              <w:spacing w:before="40" w:after="20"/>
              <w:jc w:val="left"/>
              <w:rPr>
                <w:rFonts w:ascii="Times New Roman" w:hAnsi="Times New Roman" w:cs="Times New Roman"/>
                <w:b w:val="0"/>
                <w:bCs w:val="0"/>
                <w:sz w:val="20"/>
                <w:szCs w:val="20"/>
                <w:lang w:val="es-SV"/>
              </w:rPr>
            </w:pPr>
            <w:r>
              <w:rPr>
                <w:rFonts w:ascii="Times New Roman" w:hAnsi="Times New Roman" w:cs="Times New Roman"/>
                <w:b w:val="0"/>
                <w:bCs w:val="0"/>
                <w:sz w:val="20"/>
                <w:szCs w:val="20"/>
                <w:lang w:val="en-GB"/>
              </w:rPr>
              <w:t>Children with treated disability</w:t>
            </w:r>
          </w:p>
        </w:tc>
        <w:tc>
          <w:tcPr>
            <w:tcW w:w="1620" w:type="dxa"/>
            <w:vAlign w:val="center"/>
          </w:tcPr>
          <w:p w:rsidR="00CD2A5A" w:rsidRDefault="00CD2A5A" w:rsidP="008A5877">
            <w:pPr>
              <w:spacing w:before="40" w:after="20"/>
              <w:ind w:right="556"/>
              <w:jc w:val="right"/>
              <w:rPr>
                <w:sz w:val="20"/>
                <w:szCs w:val="20"/>
                <w:lang w:val="es-SV"/>
              </w:rPr>
            </w:pPr>
            <w:r>
              <w:rPr>
                <w:sz w:val="20"/>
                <w:szCs w:val="20"/>
                <w:lang w:val="es-SV"/>
              </w:rPr>
              <w:t>30</w:t>
            </w:r>
          </w:p>
        </w:tc>
        <w:tc>
          <w:tcPr>
            <w:tcW w:w="1350" w:type="dxa"/>
            <w:tcBorders>
              <w:right w:val="single" w:sz="6" w:space="0" w:color="auto"/>
            </w:tcBorders>
            <w:vAlign w:val="center"/>
          </w:tcPr>
          <w:p w:rsidR="00CD2A5A" w:rsidRDefault="00CD2A5A" w:rsidP="008A5877">
            <w:pPr>
              <w:spacing w:before="40" w:after="20"/>
              <w:ind w:right="556"/>
              <w:jc w:val="right"/>
              <w:rPr>
                <w:sz w:val="20"/>
                <w:szCs w:val="20"/>
                <w:lang w:val="es-SV"/>
              </w:rPr>
            </w:pPr>
            <w:r>
              <w:rPr>
                <w:sz w:val="20"/>
                <w:szCs w:val="20"/>
                <w:lang w:val="es-SV"/>
              </w:rPr>
              <w:t>71</w:t>
            </w:r>
          </w:p>
        </w:tc>
      </w:tr>
      <w:tr w:rsidR="00CD2A5A">
        <w:tblPrEx>
          <w:tblCellMar>
            <w:top w:w="0" w:type="dxa"/>
            <w:bottom w:w="0" w:type="dxa"/>
          </w:tblCellMar>
        </w:tblPrEx>
        <w:trPr>
          <w:jc w:val="center"/>
        </w:trPr>
        <w:tc>
          <w:tcPr>
            <w:tcW w:w="6010" w:type="dxa"/>
            <w:tcBorders>
              <w:left w:val="single" w:sz="2" w:space="0" w:color="auto"/>
            </w:tcBorders>
          </w:tcPr>
          <w:p w:rsidR="00CD2A5A" w:rsidRDefault="00CD2A5A" w:rsidP="008A5877">
            <w:pPr>
              <w:spacing w:before="40" w:after="20"/>
              <w:rPr>
                <w:sz w:val="20"/>
                <w:szCs w:val="20"/>
                <w:lang w:val="en-US"/>
              </w:rPr>
            </w:pPr>
            <w:r>
              <w:rPr>
                <w:sz w:val="20"/>
                <w:szCs w:val="20"/>
                <w:lang w:val="en-GB"/>
              </w:rPr>
              <w:t>Children of deceased disabled persons</w:t>
            </w:r>
          </w:p>
        </w:tc>
        <w:tc>
          <w:tcPr>
            <w:tcW w:w="1620" w:type="dxa"/>
            <w:vAlign w:val="center"/>
          </w:tcPr>
          <w:p w:rsidR="00CD2A5A" w:rsidRDefault="00CD2A5A" w:rsidP="008A5877">
            <w:pPr>
              <w:spacing w:before="40" w:after="20"/>
              <w:ind w:right="556"/>
              <w:jc w:val="right"/>
              <w:rPr>
                <w:sz w:val="20"/>
                <w:szCs w:val="20"/>
                <w:lang w:val="es-SV"/>
              </w:rPr>
            </w:pPr>
            <w:r>
              <w:rPr>
                <w:sz w:val="20"/>
                <w:szCs w:val="20"/>
                <w:lang w:val="es-SV"/>
              </w:rPr>
              <w:t>155</w:t>
            </w:r>
          </w:p>
        </w:tc>
        <w:tc>
          <w:tcPr>
            <w:tcW w:w="1350" w:type="dxa"/>
            <w:tcBorders>
              <w:right w:val="single" w:sz="6" w:space="0" w:color="auto"/>
            </w:tcBorders>
            <w:vAlign w:val="center"/>
          </w:tcPr>
          <w:p w:rsidR="00CD2A5A" w:rsidRDefault="00CD2A5A" w:rsidP="008A5877">
            <w:pPr>
              <w:spacing w:before="40" w:after="20"/>
              <w:ind w:right="556"/>
              <w:jc w:val="right"/>
              <w:rPr>
                <w:sz w:val="20"/>
                <w:szCs w:val="20"/>
                <w:lang w:val="es-SV"/>
              </w:rPr>
            </w:pPr>
            <w:r>
              <w:rPr>
                <w:sz w:val="20"/>
                <w:szCs w:val="20"/>
                <w:lang w:val="es-SV"/>
              </w:rPr>
              <w:t>183</w:t>
            </w:r>
          </w:p>
        </w:tc>
      </w:tr>
      <w:tr w:rsidR="00CD2A5A">
        <w:tblPrEx>
          <w:tblCellMar>
            <w:top w:w="0" w:type="dxa"/>
            <w:bottom w:w="0" w:type="dxa"/>
          </w:tblCellMar>
        </w:tblPrEx>
        <w:trPr>
          <w:jc w:val="center"/>
        </w:trPr>
        <w:tc>
          <w:tcPr>
            <w:tcW w:w="6010" w:type="dxa"/>
            <w:tcBorders>
              <w:left w:val="single" w:sz="2" w:space="0" w:color="auto"/>
            </w:tcBorders>
          </w:tcPr>
          <w:p w:rsidR="00CD2A5A" w:rsidRDefault="00CD2A5A" w:rsidP="008A5877">
            <w:pPr>
              <w:spacing w:before="40" w:after="20"/>
              <w:rPr>
                <w:sz w:val="20"/>
                <w:szCs w:val="20"/>
                <w:lang w:val="en-US"/>
              </w:rPr>
            </w:pPr>
            <w:r>
              <w:rPr>
                <w:sz w:val="20"/>
                <w:szCs w:val="20"/>
                <w:lang w:val="en-GB"/>
              </w:rPr>
              <w:t>Non-disabled minor children of deceased combattants</w:t>
            </w:r>
          </w:p>
        </w:tc>
        <w:tc>
          <w:tcPr>
            <w:tcW w:w="1620" w:type="dxa"/>
            <w:vAlign w:val="center"/>
          </w:tcPr>
          <w:p w:rsidR="00CD2A5A" w:rsidRDefault="00CD2A5A" w:rsidP="008A5877">
            <w:pPr>
              <w:spacing w:before="40" w:after="20"/>
              <w:ind w:right="556"/>
              <w:jc w:val="right"/>
              <w:rPr>
                <w:sz w:val="20"/>
                <w:szCs w:val="20"/>
                <w:lang w:val="es-SV"/>
              </w:rPr>
            </w:pPr>
            <w:r>
              <w:rPr>
                <w:sz w:val="20"/>
                <w:szCs w:val="20"/>
                <w:lang w:val="es-SV"/>
              </w:rPr>
              <w:t>151</w:t>
            </w:r>
          </w:p>
        </w:tc>
        <w:tc>
          <w:tcPr>
            <w:tcW w:w="1350" w:type="dxa"/>
            <w:tcBorders>
              <w:right w:val="single" w:sz="6" w:space="0" w:color="auto"/>
            </w:tcBorders>
            <w:vAlign w:val="center"/>
          </w:tcPr>
          <w:p w:rsidR="00CD2A5A" w:rsidRDefault="00CD2A5A" w:rsidP="008A5877">
            <w:pPr>
              <w:spacing w:before="40" w:after="20"/>
              <w:ind w:right="556"/>
              <w:jc w:val="right"/>
              <w:rPr>
                <w:sz w:val="20"/>
                <w:szCs w:val="20"/>
                <w:lang w:val="es-SV"/>
              </w:rPr>
            </w:pPr>
            <w:r>
              <w:rPr>
                <w:sz w:val="20"/>
                <w:szCs w:val="20"/>
                <w:lang w:val="es-SV"/>
              </w:rPr>
              <w:t>145</w:t>
            </w:r>
          </w:p>
        </w:tc>
      </w:tr>
      <w:tr w:rsidR="00CD2A5A">
        <w:tblPrEx>
          <w:tblCellMar>
            <w:top w:w="0" w:type="dxa"/>
            <w:bottom w:w="0" w:type="dxa"/>
          </w:tblCellMar>
        </w:tblPrEx>
        <w:trPr>
          <w:jc w:val="center"/>
        </w:trPr>
        <w:tc>
          <w:tcPr>
            <w:tcW w:w="6010" w:type="dxa"/>
            <w:tcBorders>
              <w:left w:val="single" w:sz="2" w:space="0" w:color="auto"/>
            </w:tcBorders>
          </w:tcPr>
          <w:p w:rsidR="00CD2A5A" w:rsidRDefault="00CD2A5A" w:rsidP="008A5877">
            <w:pPr>
              <w:spacing w:before="40" w:after="20"/>
              <w:rPr>
                <w:sz w:val="20"/>
                <w:szCs w:val="20"/>
                <w:lang w:val="en-US"/>
              </w:rPr>
            </w:pPr>
            <w:r>
              <w:rPr>
                <w:sz w:val="20"/>
                <w:szCs w:val="20"/>
                <w:lang w:val="en-GB"/>
              </w:rPr>
              <w:t>Disabled minor children of deceased combattants</w:t>
            </w:r>
          </w:p>
        </w:tc>
        <w:tc>
          <w:tcPr>
            <w:tcW w:w="1620" w:type="dxa"/>
            <w:vAlign w:val="center"/>
          </w:tcPr>
          <w:p w:rsidR="00CD2A5A" w:rsidRDefault="00CD2A5A" w:rsidP="008A5877">
            <w:pPr>
              <w:spacing w:before="40" w:after="20"/>
              <w:ind w:right="556"/>
              <w:jc w:val="right"/>
              <w:rPr>
                <w:sz w:val="20"/>
                <w:szCs w:val="20"/>
                <w:lang w:val="es-SV"/>
              </w:rPr>
            </w:pPr>
            <w:r>
              <w:rPr>
                <w:sz w:val="20"/>
                <w:szCs w:val="20"/>
                <w:lang w:val="es-SV"/>
              </w:rPr>
              <w:t>33</w:t>
            </w:r>
          </w:p>
        </w:tc>
        <w:tc>
          <w:tcPr>
            <w:tcW w:w="1350" w:type="dxa"/>
            <w:tcBorders>
              <w:right w:val="single" w:sz="6" w:space="0" w:color="auto"/>
            </w:tcBorders>
            <w:vAlign w:val="center"/>
          </w:tcPr>
          <w:p w:rsidR="00CD2A5A" w:rsidRDefault="00CD2A5A" w:rsidP="008A5877">
            <w:pPr>
              <w:spacing w:before="40" w:after="20"/>
              <w:ind w:right="556"/>
              <w:jc w:val="right"/>
              <w:rPr>
                <w:sz w:val="20"/>
                <w:szCs w:val="20"/>
                <w:lang w:val="es-SV"/>
              </w:rPr>
            </w:pPr>
            <w:r>
              <w:rPr>
                <w:sz w:val="20"/>
                <w:szCs w:val="20"/>
                <w:lang w:val="es-SV"/>
              </w:rPr>
              <w:t>50</w:t>
            </w:r>
          </w:p>
        </w:tc>
      </w:tr>
      <w:tr w:rsidR="00CD2A5A">
        <w:tblPrEx>
          <w:tblCellMar>
            <w:top w:w="0" w:type="dxa"/>
            <w:bottom w:w="0" w:type="dxa"/>
          </w:tblCellMar>
        </w:tblPrEx>
        <w:trPr>
          <w:jc w:val="center"/>
        </w:trPr>
        <w:tc>
          <w:tcPr>
            <w:tcW w:w="6010" w:type="dxa"/>
            <w:tcBorders>
              <w:left w:val="single" w:sz="2" w:space="0" w:color="auto"/>
              <w:bottom w:val="single" w:sz="6" w:space="0" w:color="auto"/>
            </w:tcBorders>
          </w:tcPr>
          <w:p w:rsidR="00CD2A5A" w:rsidRDefault="00CD2A5A" w:rsidP="008A5877">
            <w:pPr>
              <w:spacing w:before="40" w:after="20"/>
              <w:rPr>
                <w:sz w:val="20"/>
                <w:szCs w:val="20"/>
                <w:lang w:val="es-SV"/>
              </w:rPr>
            </w:pPr>
            <w:r>
              <w:rPr>
                <w:sz w:val="20"/>
                <w:szCs w:val="20"/>
                <w:lang w:val="en-GB"/>
              </w:rPr>
              <w:t>Total</w:t>
            </w:r>
          </w:p>
        </w:tc>
        <w:tc>
          <w:tcPr>
            <w:tcW w:w="1620" w:type="dxa"/>
            <w:tcBorders>
              <w:bottom w:val="single" w:sz="6" w:space="0" w:color="auto"/>
            </w:tcBorders>
            <w:vAlign w:val="center"/>
          </w:tcPr>
          <w:p w:rsidR="00CD2A5A" w:rsidRDefault="00CD2A5A" w:rsidP="008A5877">
            <w:pPr>
              <w:spacing w:before="40" w:after="20"/>
              <w:ind w:right="556"/>
              <w:jc w:val="right"/>
              <w:rPr>
                <w:sz w:val="20"/>
                <w:szCs w:val="20"/>
                <w:lang w:val="es-SV"/>
              </w:rPr>
            </w:pPr>
            <w:r>
              <w:rPr>
                <w:sz w:val="20"/>
                <w:szCs w:val="20"/>
                <w:lang w:val="es-SV"/>
              </w:rPr>
              <w:fldChar w:fldCharType="begin"/>
            </w:r>
            <w:r>
              <w:rPr>
                <w:sz w:val="20"/>
                <w:szCs w:val="20"/>
                <w:lang w:val="es-SV"/>
              </w:rPr>
              <w:instrText xml:space="preserve"> =SUM(ABOVE) </w:instrText>
            </w:r>
            <w:r>
              <w:rPr>
                <w:sz w:val="20"/>
                <w:szCs w:val="20"/>
                <w:lang w:val="es-SV"/>
              </w:rPr>
              <w:fldChar w:fldCharType="separate"/>
            </w:r>
            <w:r>
              <w:rPr>
                <w:noProof/>
                <w:sz w:val="20"/>
                <w:szCs w:val="20"/>
                <w:lang w:val="es-SV"/>
              </w:rPr>
              <w:t>369</w:t>
            </w:r>
            <w:r>
              <w:rPr>
                <w:sz w:val="20"/>
                <w:szCs w:val="20"/>
                <w:lang w:val="es-SV"/>
              </w:rPr>
              <w:fldChar w:fldCharType="end"/>
            </w:r>
          </w:p>
        </w:tc>
        <w:tc>
          <w:tcPr>
            <w:tcW w:w="1350" w:type="dxa"/>
            <w:tcBorders>
              <w:bottom w:val="single" w:sz="6" w:space="0" w:color="auto"/>
              <w:right w:val="single" w:sz="6" w:space="0" w:color="auto"/>
            </w:tcBorders>
            <w:vAlign w:val="center"/>
          </w:tcPr>
          <w:p w:rsidR="00CD2A5A" w:rsidRDefault="00CD2A5A" w:rsidP="008A5877">
            <w:pPr>
              <w:spacing w:before="40" w:after="20"/>
              <w:ind w:right="556"/>
              <w:jc w:val="right"/>
              <w:rPr>
                <w:sz w:val="20"/>
                <w:szCs w:val="20"/>
                <w:lang w:val="es-SV"/>
              </w:rPr>
            </w:pPr>
            <w:r>
              <w:rPr>
                <w:sz w:val="20"/>
                <w:szCs w:val="20"/>
                <w:lang w:val="es-SV"/>
              </w:rPr>
              <w:fldChar w:fldCharType="begin"/>
            </w:r>
            <w:r>
              <w:rPr>
                <w:sz w:val="20"/>
                <w:szCs w:val="20"/>
                <w:lang w:val="es-SV"/>
              </w:rPr>
              <w:instrText xml:space="preserve"> =SUM(ABOVE) </w:instrText>
            </w:r>
            <w:r>
              <w:rPr>
                <w:sz w:val="20"/>
                <w:szCs w:val="20"/>
                <w:lang w:val="es-SV"/>
              </w:rPr>
              <w:fldChar w:fldCharType="separate"/>
            </w:r>
            <w:r>
              <w:rPr>
                <w:noProof/>
                <w:sz w:val="20"/>
                <w:szCs w:val="20"/>
                <w:lang w:val="es-SV"/>
              </w:rPr>
              <w:t>449</w:t>
            </w:r>
            <w:r>
              <w:rPr>
                <w:sz w:val="20"/>
                <w:szCs w:val="20"/>
                <w:lang w:val="es-SV"/>
              </w:rPr>
              <w:fldChar w:fldCharType="end"/>
            </w:r>
          </w:p>
        </w:tc>
      </w:tr>
    </w:tbl>
    <w:p w:rsidR="00CD2A5A" w:rsidRDefault="00CD2A5A">
      <w:pPr>
        <w:pStyle w:val="Source"/>
        <w:rPr>
          <w:lang w:val="en-US"/>
        </w:rPr>
      </w:pPr>
      <w:r>
        <w:rPr>
          <w:i/>
        </w:rPr>
        <w:t>Source</w:t>
      </w:r>
      <w:r>
        <w:t>:</w:t>
      </w:r>
      <w:r>
        <w:rPr>
          <w:lang w:val="en-US"/>
        </w:rPr>
        <w:t xml:space="preserve"> </w:t>
      </w:r>
      <w:r>
        <w:t>Fund for the Protection of those Maimed and Disabled as a Result of Armed Conflict.</w:t>
      </w:r>
    </w:p>
    <w:p w:rsidR="00CD2A5A" w:rsidRDefault="00CD2A5A">
      <w:pPr>
        <w:pStyle w:val="Header"/>
        <w:numPr>
          <w:ilvl w:val="0"/>
          <w:numId w:val="3"/>
        </w:numPr>
        <w:tabs>
          <w:tab w:val="clear" w:pos="720"/>
          <w:tab w:val="clear" w:pos="4252"/>
        </w:tabs>
        <w:spacing w:after="240"/>
        <w:ind w:left="0" w:firstLine="0"/>
        <w:rPr>
          <w:bCs/>
          <w:lang w:val="en-US"/>
        </w:rPr>
      </w:pPr>
      <w:r>
        <w:rPr>
          <w:lang w:val="en-GB"/>
        </w:rPr>
        <w:t>The Fund for the Protection of those Maimed and Disabled as a Result of Armed Conflict caters not only for adults mained or disabled as a direct result of armed conflict, but also for children under 18 who lost their family support for the same reasons.</w:t>
      </w:r>
    </w:p>
    <w:p w:rsidR="00CD2A5A" w:rsidRDefault="00CD2A5A" w:rsidP="00621FC8">
      <w:pPr>
        <w:pStyle w:val="Figure"/>
        <w:spacing w:after="120"/>
      </w:pPr>
      <w:r>
        <w:t>Figure 44</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6"/>
        <w:gridCol w:w="2066"/>
      </w:tblGrid>
      <w:tr w:rsidR="00CD2A5A">
        <w:trPr>
          <w:jc w:val="center"/>
        </w:trPr>
        <w:tc>
          <w:tcPr>
            <w:tcW w:w="7346" w:type="dxa"/>
            <w:tcBorders>
              <w:top w:val="single" w:sz="6" w:space="0" w:color="auto"/>
              <w:left w:val="single" w:sz="2" w:space="0" w:color="auto"/>
            </w:tcBorders>
          </w:tcPr>
          <w:p w:rsidR="00CD2A5A" w:rsidRDefault="00CD2A5A" w:rsidP="008A5877">
            <w:pPr>
              <w:autoSpaceDE w:val="0"/>
              <w:autoSpaceDN w:val="0"/>
              <w:adjustRightInd w:val="0"/>
              <w:spacing w:before="40" w:after="20"/>
              <w:rPr>
                <w:sz w:val="20"/>
                <w:szCs w:val="20"/>
                <w:lang w:val="en-US"/>
              </w:rPr>
            </w:pPr>
            <w:r>
              <w:rPr>
                <w:sz w:val="20"/>
                <w:szCs w:val="20"/>
                <w:lang w:val="en-GB"/>
              </w:rPr>
              <w:t>Contribution of the Salvadoran Government from April 1995 to April 2006</w:t>
            </w:r>
          </w:p>
        </w:tc>
        <w:tc>
          <w:tcPr>
            <w:tcW w:w="2066" w:type="dxa"/>
            <w:tcBorders>
              <w:top w:val="single" w:sz="6" w:space="0" w:color="auto"/>
              <w:right w:val="single" w:sz="6" w:space="0" w:color="auto"/>
            </w:tcBorders>
          </w:tcPr>
          <w:p w:rsidR="00CD2A5A" w:rsidRDefault="00CD2A5A" w:rsidP="008A5877">
            <w:pPr>
              <w:autoSpaceDE w:val="0"/>
              <w:autoSpaceDN w:val="0"/>
              <w:adjustRightInd w:val="0"/>
              <w:spacing w:before="40" w:after="20"/>
              <w:ind w:right="373"/>
              <w:jc w:val="right"/>
              <w:rPr>
                <w:sz w:val="20"/>
                <w:szCs w:val="20"/>
              </w:rPr>
            </w:pPr>
            <w:r>
              <w:rPr>
                <w:b/>
                <w:bCs/>
                <w:sz w:val="20"/>
                <w:szCs w:val="20"/>
              </w:rPr>
              <w:t>158,085,541.93</w:t>
            </w:r>
          </w:p>
        </w:tc>
      </w:tr>
      <w:tr w:rsidR="00CD2A5A">
        <w:trPr>
          <w:jc w:val="center"/>
        </w:trPr>
        <w:tc>
          <w:tcPr>
            <w:tcW w:w="7346" w:type="dxa"/>
            <w:tcBorders>
              <w:left w:val="single" w:sz="2" w:space="0" w:color="auto"/>
            </w:tcBorders>
          </w:tcPr>
          <w:p w:rsidR="00CD2A5A" w:rsidRDefault="00CD2A5A" w:rsidP="008A5877">
            <w:pPr>
              <w:autoSpaceDE w:val="0"/>
              <w:autoSpaceDN w:val="0"/>
              <w:adjustRightInd w:val="0"/>
              <w:spacing w:before="40" w:after="20"/>
              <w:rPr>
                <w:sz w:val="20"/>
                <w:szCs w:val="20"/>
              </w:rPr>
            </w:pPr>
            <w:r>
              <w:rPr>
                <w:sz w:val="20"/>
                <w:szCs w:val="20"/>
                <w:lang w:val="en-GB"/>
              </w:rPr>
              <w:t>Institutional budget for 2006</w:t>
            </w:r>
          </w:p>
        </w:tc>
        <w:tc>
          <w:tcPr>
            <w:tcW w:w="2066" w:type="dxa"/>
            <w:tcBorders>
              <w:right w:val="single" w:sz="6" w:space="0" w:color="auto"/>
            </w:tcBorders>
          </w:tcPr>
          <w:p w:rsidR="00CD2A5A" w:rsidRDefault="00CD2A5A" w:rsidP="008A5877">
            <w:pPr>
              <w:autoSpaceDE w:val="0"/>
              <w:autoSpaceDN w:val="0"/>
              <w:adjustRightInd w:val="0"/>
              <w:spacing w:before="40" w:after="20"/>
              <w:ind w:right="373"/>
              <w:jc w:val="right"/>
              <w:rPr>
                <w:sz w:val="20"/>
                <w:szCs w:val="20"/>
              </w:rPr>
            </w:pPr>
            <w:r>
              <w:rPr>
                <w:b/>
                <w:bCs/>
                <w:sz w:val="20"/>
                <w:szCs w:val="20"/>
              </w:rPr>
              <w:t>14,479,350.00</w:t>
            </w:r>
          </w:p>
        </w:tc>
      </w:tr>
      <w:tr w:rsidR="00CD2A5A">
        <w:trPr>
          <w:jc w:val="center"/>
        </w:trPr>
        <w:tc>
          <w:tcPr>
            <w:tcW w:w="7346" w:type="dxa"/>
            <w:tcBorders>
              <w:left w:val="single" w:sz="2" w:space="0" w:color="auto"/>
              <w:bottom w:val="single" w:sz="6" w:space="0" w:color="auto"/>
            </w:tcBorders>
          </w:tcPr>
          <w:p w:rsidR="00CD2A5A" w:rsidRDefault="00CD2A5A" w:rsidP="008A5877">
            <w:pPr>
              <w:autoSpaceDE w:val="0"/>
              <w:autoSpaceDN w:val="0"/>
              <w:adjustRightInd w:val="0"/>
              <w:spacing w:before="40" w:after="20"/>
              <w:rPr>
                <w:sz w:val="20"/>
                <w:szCs w:val="20"/>
                <w:lang w:val="en-US"/>
              </w:rPr>
            </w:pPr>
            <w:r>
              <w:rPr>
                <w:sz w:val="20"/>
                <w:szCs w:val="20"/>
                <w:lang w:val="en-GB"/>
              </w:rPr>
              <w:t>Total population of beneficiaries from April 1995 to April 2006</w:t>
            </w:r>
          </w:p>
        </w:tc>
        <w:tc>
          <w:tcPr>
            <w:tcW w:w="2066" w:type="dxa"/>
            <w:tcBorders>
              <w:bottom w:val="single" w:sz="6" w:space="0" w:color="auto"/>
              <w:right w:val="single" w:sz="6" w:space="0" w:color="auto"/>
            </w:tcBorders>
          </w:tcPr>
          <w:p w:rsidR="00CD2A5A" w:rsidRDefault="00CD2A5A" w:rsidP="008A5877">
            <w:pPr>
              <w:autoSpaceDE w:val="0"/>
              <w:autoSpaceDN w:val="0"/>
              <w:adjustRightInd w:val="0"/>
              <w:spacing w:before="40" w:after="20"/>
              <w:ind w:right="373"/>
              <w:jc w:val="right"/>
              <w:rPr>
                <w:sz w:val="20"/>
                <w:szCs w:val="20"/>
              </w:rPr>
            </w:pPr>
            <w:r>
              <w:rPr>
                <w:b/>
                <w:bCs/>
                <w:sz w:val="20"/>
                <w:szCs w:val="20"/>
              </w:rPr>
              <w:t>30,577</w:t>
            </w:r>
          </w:p>
        </w:tc>
      </w:tr>
    </w:tbl>
    <w:p w:rsidR="00CD2A5A" w:rsidRDefault="00CD2A5A">
      <w:pPr>
        <w:autoSpaceDE w:val="0"/>
        <w:autoSpaceDN w:val="0"/>
        <w:adjustRightInd w:val="0"/>
        <w:spacing w:after="120"/>
        <w:rPr>
          <w:b/>
          <w:bCs/>
        </w:rPr>
      </w:pPr>
    </w:p>
    <w:p w:rsidR="00CD2A5A" w:rsidRDefault="00CD2A5A">
      <w:pPr>
        <w:pStyle w:val="Header"/>
        <w:keepNext/>
        <w:numPr>
          <w:ilvl w:val="0"/>
          <w:numId w:val="3"/>
        </w:numPr>
        <w:tabs>
          <w:tab w:val="clear" w:pos="720"/>
          <w:tab w:val="clear" w:pos="4252"/>
        </w:tabs>
        <w:spacing w:after="240"/>
        <w:ind w:left="0" w:firstLine="0"/>
        <w:rPr>
          <w:bCs/>
          <w:lang w:val="en-US"/>
        </w:rPr>
      </w:pPr>
      <w:r>
        <w:rPr>
          <w:bCs/>
          <w:lang w:val="en-GB"/>
        </w:rPr>
        <w:t>These beneficiaries include orphaned minors with the following breakdown:</w:t>
      </w:r>
    </w:p>
    <w:p w:rsidR="00CD2A5A" w:rsidRDefault="00CD2A5A" w:rsidP="008A5877">
      <w:pPr>
        <w:pStyle w:val="Figure"/>
        <w:spacing w:after="120"/>
      </w:pPr>
      <w:r>
        <w:t xml:space="preserve">Figure 45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2046"/>
      </w:tblGrid>
      <w:tr w:rsidR="00CD2A5A">
        <w:trPr>
          <w:jc w:val="center"/>
        </w:trPr>
        <w:tc>
          <w:tcPr>
            <w:tcW w:w="7128" w:type="dxa"/>
            <w:tcBorders>
              <w:top w:val="single" w:sz="6" w:space="0" w:color="auto"/>
              <w:left w:val="single" w:sz="2" w:space="0" w:color="auto"/>
              <w:bottom w:val="single" w:sz="6" w:space="0" w:color="auto"/>
            </w:tcBorders>
          </w:tcPr>
          <w:p w:rsidR="00CD2A5A" w:rsidRDefault="00CD2A5A">
            <w:pPr>
              <w:autoSpaceDE w:val="0"/>
              <w:autoSpaceDN w:val="0"/>
              <w:adjustRightInd w:val="0"/>
              <w:spacing w:before="40" w:after="40"/>
              <w:rPr>
                <w:sz w:val="20"/>
                <w:szCs w:val="20"/>
                <w:lang w:val="en-US"/>
              </w:rPr>
            </w:pPr>
            <w:r>
              <w:rPr>
                <w:sz w:val="20"/>
                <w:szCs w:val="20"/>
                <w:lang w:val="en-GB"/>
              </w:rPr>
              <w:t>Total orphaned minors cared for by the Fund</w:t>
            </w:r>
          </w:p>
        </w:tc>
        <w:tc>
          <w:tcPr>
            <w:tcW w:w="1980" w:type="dxa"/>
            <w:tcBorders>
              <w:top w:val="single" w:sz="6" w:space="0" w:color="auto"/>
              <w:bottom w:val="single" w:sz="6" w:space="0" w:color="auto"/>
              <w:right w:val="single" w:sz="6" w:space="0" w:color="auto"/>
            </w:tcBorders>
          </w:tcPr>
          <w:p w:rsidR="00CD2A5A" w:rsidRDefault="00CD2A5A">
            <w:pPr>
              <w:autoSpaceDE w:val="0"/>
              <w:autoSpaceDN w:val="0"/>
              <w:adjustRightInd w:val="0"/>
              <w:spacing w:before="40" w:after="40"/>
              <w:ind w:right="373"/>
              <w:jc w:val="right"/>
              <w:rPr>
                <w:sz w:val="20"/>
                <w:szCs w:val="20"/>
              </w:rPr>
            </w:pPr>
            <w:r>
              <w:rPr>
                <w:b/>
                <w:bCs/>
                <w:sz w:val="20"/>
                <w:szCs w:val="20"/>
              </w:rPr>
              <w:t>7,124</w:t>
            </w:r>
          </w:p>
        </w:tc>
      </w:tr>
    </w:tbl>
    <w:p w:rsidR="00CD2A5A" w:rsidRDefault="00CD2A5A" w:rsidP="008A5877">
      <w:pPr>
        <w:autoSpaceDE w:val="0"/>
        <w:autoSpaceDN w:val="0"/>
        <w:adjustRightInd w:val="0"/>
      </w:pPr>
    </w:p>
    <w:p w:rsidR="00CD2A5A" w:rsidRDefault="00CD2A5A" w:rsidP="008A5877">
      <w:pPr>
        <w:pStyle w:val="Figure"/>
        <w:spacing w:after="120"/>
      </w:pPr>
      <w:r>
        <w:t>Figure 46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3"/>
        <w:gridCol w:w="2049"/>
      </w:tblGrid>
      <w:tr w:rsidR="00CD2A5A">
        <w:trPr>
          <w:jc w:val="center"/>
        </w:trPr>
        <w:tc>
          <w:tcPr>
            <w:tcW w:w="7363" w:type="dxa"/>
            <w:tcBorders>
              <w:top w:val="single" w:sz="6" w:space="0" w:color="auto"/>
              <w:left w:val="single" w:sz="2" w:space="0" w:color="auto"/>
            </w:tcBorders>
          </w:tcPr>
          <w:p w:rsidR="00CD2A5A" w:rsidRDefault="00CD2A5A">
            <w:pPr>
              <w:autoSpaceDE w:val="0"/>
              <w:autoSpaceDN w:val="0"/>
              <w:adjustRightInd w:val="0"/>
              <w:spacing w:before="40" w:after="40"/>
              <w:rPr>
                <w:sz w:val="20"/>
                <w:szCs w:val="20"/>
                <w:lang w:val="en-US"/>
              </w:rPr>
            </w:pPr>
            <w:r>
              <w:rPr>
                <w:sz w:val="20"/>
                <w:szCs w:val="20"/>
                <w:lang w:val="en-GB"/>
              </w:rPr>
              <w:t>Minor children of deceased combattants</w:t>
            </w:r>
            <w:r>
              <w:rPr>
                <w:sz w:val="20"/>
                <w:szCs w:val="20"/>
                <w:lang w:val="en-US"/>
              </w:rPr>
              <w:t xml:space="preserve"> </w:t>
            </w:r>
          </w:p>
        </w:tc>
        <w:tc>
          <w:tcPr>
            <w:tcW w:w="2049" w:type="dxa"/>
            <w:tcBorders>
              <w:top w:val="single" w:sz="6" w:space="0" w:color="auto"/>
              <w:right w:val="single" w:sz="6" w:space="0" w:color="auto"/>
            </w:tcBorders>
          </w:tcPr>
          <w:p w:rsidR="00CD2A5A" w:rsidRDefault="00CD2A5A">
            <w:pPr>
              <w:autoSpaceDE w:val="0"/>
              <w:autoSpaceDN w:val="0"/>
              <w:adjustRightInd w:val="0"/>
              <w:spacing w:before="40" w:after="40"/>
              <w:ind w:right="373"/>
              <w:jc w:val="right"/>
              <w:rPr>
                <w:sz w:val="20"/>
                <w:szCs w:val="20"/>
              </w:rPr>
            </w:pPr>
            <w:r>
              <w:rPr>
                <w:b/>
                <w:bCs/>
                <w:sz w:val="20"/>
                <w:szCs w:val="20"/>
              </w:rPr>
              <w:t>6,783</w:t>
            </w:r>
          </w:p>
        </w:tc>
      </w:tr>
      <w:tr w:rsidR="00CD2A5A">
        <w:trPr>
          <w:jc w:val="center"/>
        </w:trPr>
        <w:tc>
          <w:tcPr>
            <w:tcW w:w="7363" w:type="dxa"/>
            <w:tcBorders>
              <w:left w:val="single" w:sz="2" w:space="0" w:color="auto"/>
            </w:tcBorders>
          </w:tcPr>
          <w:p w:rsidR="00CD2A5A" w:rsidRDefault="00CD2A5A">
            <w:pPr>
              <w:autoSpaceDE w:val="0"/>
              <w:autoSpaceDN w:val="0"/>
              <w:adjustRightInd w:val="0"/>
              <w:spacing w:before="40" w:after="40"/>
              <w:rPr>
                <w:sz w:val="20"/>
                <w:szCs w:val="20"/>
                <w:lang w:val="en-US"/>
              </w:rPr>
            </w:pPr>
            <w:r>
              <w:rPr>
                <w:sz w:val="20"/>
                <w:szCs w:val="20"/>
                <w:lang w:val="en-GB"/>
              </w:rPr>
              <w:t>Invalid children of deceased combattants</w:t>
            </w:r>
          </w:p>
        </w:tc>
        <w:tc>
          <w:tcPr>
            <w:tcW w:w="2049" w:type="dxa"/>
            <w:tcBorders>
              <w:right w:val="single" w:sz="6" w:space="0" w:color="auto"/>
            </w:tcBorders>
          </w:tcPr>
          <w:p w:rsidR="00CD2A5A" w:rsidRDefault="00CD2A5A">
            <w:pPr>
              <w:autoSpaceDE w:val="0"/>
              <w:autoSpaceDN w:val="0"/>
              <w:adjustRightInd w:val="0"/>
              <w:spacing w:before="40" w:after="40"/>
              <w:ind w:right="373"/>
              <w:jc w:val="right"/>
              <w:rPr>
                <w:sz w:val="20"/>
                <w:szCs w:val="20"/>
              </w:rPr>
            </w:pPr>
            <w:r>
              <w:rPr>
                <w:b/>
                <w:bCs/>
                <w:sz w:val="20"/>
                <w:szCs w:val="20"/>
              </w:rPr>
              <w:t>81</w:t>
            </w:r>
          </w:p>
        </w:tc>
      </w:tr>
      <w:tr w:rsidR="00CD2A5A">
        <w:trPr>
          <w:jc w:val="center"/>
        </w:trPr>
        <w:tc>
          <w:tcPr>
            <w:tcW w:w="7363" w:type="dxa"/>
            <w:tcBorders>
              <w:left w:val="single" w:sz="2" w:space="0" w:color="auto"/>
              <w:bottom w:val="single" w:sz="6" w:space="0" w:color="auto"/>
            </w:tcBorders>
          </w:tcPr>
          <w:p w:rsidR="00CD2A5A" w:rsidRDefault="00CD2A5A">
            <w:pPr>
              <w:autoSpaceDE w:val="0"/>
              <w:autoSpaceDN w:val="0"/>
              <w:adjustRightInd w:val="0"/>
              <w:spacing w:before="40" w:after="40"/>
              <w:rPr>
                <w:sz w:val="20"/>
                <w:szCs w:val="20"/>
                <w:lang w:val="en-US"/>
              </w:rPr>
            </w:pPr>
            <w:r>
              <w:rPr>
                <w:sz w:val="20"/>
                <w:szCs w:val="20"/>
                <w:lang w:val="en-GB"/>
              </w:rPr>
              <w:t>Children of maimed persons who died receiving benefits from the Fund</w:t>
            </w:r>
            <w:r>
              <w:rPr>
                <w:sz w:val="20"/>
                <w:szCs w:val="20"/>
                <w:lang w:val="en-US"/>
              </w:rPr>
              <w:t xml:space="preserve"> </w:t>
            </w:r>
          </w:p>
        </w:tc>
        <w:tc>
          <w:tcPr>
            <w:tcW w:w="2049" w:type="dxa"/>
            <w:tcBorders>
              <w:bottom w:val="single" w:sz="6" w:space="0" w:color="auto"/>
              <w:right w:val="single" w:sz="6" w:space="0" w:color="auto"/>
            </w:tcBorders>
          </w:tcPr>
          <w:p w:rsidR="00CD2A5A" w:rsidRDefault="00CD2A5A">
            <w:pPr>
              <w:autoSpaceDE w:val="0"/>
              <w:autoSpaceDN w:val="0"/>
              <w:adjustRightInd w:val="0"/>
              <w:spacing w:before="40" w:after="40"/>
              <w:ind w:right="373"/>
              <w:jc w:val="right"/>
              <w:rPr>
                <w:sz w:val="20"/>
                <w:szCs w:val="20"/>
              </w:rPr>
            </w:pPr>
            <w:r>
              <w:rPr>
                <w:b/>
                <w:bCs/>
                <w:sz w:val="20"/>
                <w:szCs w:val="20"/>
              </w:rPr>
              <w:t>260</w:t>
            </w:r>
          </w:p>
        </w:tc>
      </w:tr>
    </w:tbl>
    <w:p w:rsidR="00CD2A5A" w:rsidRDefault="00CD2A5A">
      <w:pPr>
        <w:spacing w:after="240"/>
      </w:pPr>
    </w:p>
    <w:p w:rsidR="00CD2A5A" w:rsidRDefault="00CD2A5A">
      <w:pPr>
        <w:pStyle w:val="Header"/>
        <w:numPr>
          <w:ilvl w:val="0"/>
          <w:numId w:val="3"/>
        </w:numPr>
        <w:tabs>
          <w:tab w:val="clear" w:pos="720"/>
          <w:tab w:val="clear" w:pos="4252"/>
        </w:tabs>
        <w:spacing w:after="240"/>
        <w:ind w:left="0" w:firstLine="0"/>
        <w:rPr>
          <w:lang w:val="en-US"/>
        </w:rPr>
      </w:pPr>
      <w:r>
        <w:rPr>
          <w:lang w:val="en-GB"/>
        </w:rPr>
        <w:t>The State’s efforts to care for disabled children are supplemented by private agencies that are supervised by the State.</w:t>
      </w:r>
      <w:r>
        <w:rPr>
          <w:lang w:val="en-US"/>
        </w:rPr>
        <w:t xml:space="preserve"> </w:t>
      </w:r>
    </w:p>
    <w:p w:rsidR="00CD2A5A" w:rsidRDefault="00CD2A5A" w:rsidP="008A5877">
      <w:pPr>
        <w:pStyle w:val="Figure"/>
        <w:spacing w:after="120"/>
        <w:rPr>
          <w:lang w:val="en-US"/>
        </w:rPr>
      </w:pPr>
      <w:r>
        <w:t>Figure 47</w:t>
      </w:r>
    </w:p>
    <w:p w:rsidR="00CD2A5A" w:rsidRDefault="00CD2A5A" w:rsidP="008A5877">
      <w:pPr>
        <w:pStyle w:val="Figure"/>
        <w:spacing w:after="120"/>
        <w:rPr>
          <w:lang w:val="en-US"/>
        </w:rPr>
      </w:pPr>
      <w:r>
        <w:t>Disabled children cared for by private agencies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42"/>
        <w:gridCol w:w="1085"/>
        <w:gridCol w:w="1085"/>
      </w:tblGrid>
      <w:tr w:rsidR="00CD2A5A">
        <w:tblPrEx>
          <w:tblCellMar>
            <w:top w:w="0" w:type="dxa"/>
            <w:bottom w:w="0" w:type="dxa"/>
          </w:tblCellMar>
        </w:tblPrEx>
        <w:trPr>
          <w:jc w:val="center"/>
        </w:trPr>
        <w:tc>
          <w:tcPr>
            <w:tcW w:w="6910" w:type="dxa"/>
            <w:tcBorders>
              <w:top w:val="single" w:sz="6" w:space="0" w:color="auto"/>
              <w:left w:val="single" w:sz="2" w:space="0" w:color="auto"/>
            </w:tcBorders>
            <w:vAlign w:val="center"/>
          </w:tcPr>
          <w:p w:rsidR="00CD2A5A" w:rsidRDefault="00CD2A5A">
            <w:pPr>
              <w:pStyle w:val="Heading6"/>
              <w:spacing w:before="40" w:after="40"/>
              <w:jc w:val="center"/>
              <w:rPr>
                <w:rFonts w:ascii="Times New Roman" w:hAnsi="Times New Roman" w:cs="Times New Roman"/>
                <w:i/>
                <w:sz w:val="20"/>
                <w:szCs w:val="20"/>
                <w:lang w:val="es-SV"/>
              </w:rPr>
            </w:pPr>
            <w:r>
              <w:rPr>
                <w:rFonts w:ascii="Times New Roman" w:hAnsi="Times New Roman" w:cs="Times New Roman"/>
                <w:i/>
                <w:sz w:val="20"/>
                <w:szCs w:val="20"/>
                <w:lang w:val="en-GB"/>
              </w:rPr>
              <w:t>Agency</w:t>
            </w:r>
          </w:p>
        </w:tc>
        <w:tc>
          <w:tcPr>
            <w:tcW w:w="1035" w:type="dxa"/>
            <w:tcBorders>
              <w:top w:val="single" w:sz="6" w:space="0" w:color="auto"/>
            </w:tcBorders>
            <w:vAlign w:val="center"/>
          </w:tcPr>
          <w:p w:rsidR="00CD2A5A" w:rsidRDefault="00CD2A5A">
            <w:pPr>
              <w:spacing w:before="40" w:after="40"/>
              <w:jc w:val="center"/>
              <w:rPr>
                <w:b/>
                <w:bCs/>
                <w:i/>
                <w:sz w:val="20"/>
                <w:szCs w:val="20"/>
                <w:lang w:val="es-SV"/>
              </w:rPr>
            </w:pPr>
            <w:r>
              <w:rPr>
                <w:b/>
                <w:bCs/>
                <w:i/>
                <w:sz w:val="20"/>
                <w:szCs w:val="20"/>
                <w:lang w:val="en-GB"/>
              </w:rPr>
              <w:t>Boys</w:t>
            </w:r>
          </w:p>
        </w:tc>
        <w:tc>
          <w:tcPr>
            <w:tcW w:w="1035" w:type="dxa"/>
            <w:tcBorders>
              <w:top w:val="single" w:sz="6" w:space="0" w:color="auto"/>
              <w:right w:val="single" w:sz="6" w:space="0" w:color="auto"/>
            </w:tcBorders>
            <w:vAlign w:val="center"/>
          </w:tcPr>
          <w:p w:rsidR="00CD2A5A" w:rsidRDefault="00CD2A5A">
            <w:pPr>
              <w:spacing w:before="40" w:after="40"/>
              <w:jc w:val="center"/>
              <w:rPr>
                <w:b/>
                <w:bCs/>
                <w:i/>
                <w:sz w:val="20"/>
                <w:szCs w:val="20"/>
                <w:lang w:val="es-SV"/>
              </w:rPr>
            </w:pPr>
            <w:r>
              <w:rPr>
                <w:b/>
                <w:bCs/>
                <w:i/>
                <w:sz w:val="20"/>
                <w:szCs w:val="20"/>
                <w:lang w:val="en-GB"/>
              </w:rPr>
              <w:t>Girls</w:t>
            </w:r>
          </w:p>
        </w:tc>
      </w:tr>
      <w:tr w:rsidR="00CD2A5A">
        <w:tblPrEx>
          <w:tblCellMar>
            <w:top w:w="0" w:type="dxa"/>
            <w:bottom w:w="0" w:type="dxa"/>
          </w:tblCellMar>
        </w:tblPrEx>
        <w:trPr>
          <w:jc w:val="center"/>
        </w:trPr>
        <w:tc>
          <w:tcPr>
            <w:tcW w:w="6910" w:type="dxa"/>
            <w:tcBorders>
              <w:left w:val="single" w:sz="2" w:space="0" w:color="auto"/>
            </w:tcBorders>
          </w:tcPr>
          <w:p w:rsidR="00CD2A5A" w:rsidRDefault="00CD2A5A">
            <w:pPr>
              <w:spacing w:before="40" w:after="40"/>
              <w:rPr>
                <w:bCs/>
                <w:sz w:val="20"/>
                <w:szCs w:val="20"/>
                <w:lang w:val="es-SV"/>
              </w:rPr>
            </w:pPr>
            <w:r>
              <w:rPr>
                <w:bCs/>
                <w:sz w:val="20"/>
                <w:szCs w:val="20"/>
                <w:lang w:val="en-GB"/>
              </w:rPr>
              <w:t>El Progreso Vocational Training Centre</w:t>
            </w:r>
          </w:p>
        </w:tc>
        <w:tc>
          <w:tcPr>
            <w:tcW w:w="1035" w:type="dxa"/>
            <w:vAlign w:val="center"/>
          </w:tcPr>
          <w:p w:rsidR="00CD2A5A" w:rsidRDefault="00CD2A5A">
            <w:pPr>
              <w:spacing w:before="40" w:after="40"/>
              <w:ind w:right="227"/>
              <w:jc w:val="right"/>
              <w:rPr>
                <w:sz w:val="20"/>
                <w:szCs w:val="20"/>
                <w:lang w:val="es-SV"/>
              </w:rPr>
            </w:pPr>
            <w:r>
              <w:rPr>
                <w:sz w:val="20"/>
                <w:szCs w:val="20"/>
                <w:lang w:val="es-SV"/>
              </w:rPr>
              <w:t>30</w:t>
            </w:r>
          </w:p>
        </w:tc>
        <w:tc>
          <w:tcPr>
            <w:tcW w:w="1035" w:type="dxa"/>
            <w:tcBorders>
              <w:right w:val="single" w:sz="6" w:space="0" w:color="auto"/>
            </w:tcBorders>
            <w:vAlign w:val="center"/>
          </w:tcPr>
          <w:p w:rsidR="00CD2A5A" w:rsidRDefault="00CD2A5A">
            <w:pPr>
              <w:spacing w:before="40" w:after="40"/>
              <w:ind w:right="227"/>
              <w:jc w:val="right"/>
              <w:rPr>
                <w:sz w:val="20"/>
                <w:szCs w:val="20"/>
                <w:lang w:val="es-SV"/>
              </w:rPr>
            </w:pPr>
            <w:r>
              <w:rPr>
                <w:sz w:val="20"/>
                <w:szCs w:val="20"/>
                <w:lang w:val="es-SV"/>
              </w:rPr>
              <w:t>7</w:t>
            </w:r>
          </w:p>
        </w:tc>
      </w:tr>
      <w:tr w:rsidR="00CD2A5A">
        <w:tblPrEx>
          <w:tblCellMar>
            <w:top w:w="0" w:type="dxa"/>
            <w:bottom w:w="0" w:type="dxa"/>
          </w:tblCellMar>
        </w:tblPrEx>
        <w:trPr>
          <w:jc w:val="center"/>
        </w:trPr>
        <w:tc>
          <w:tcPr>
            <w:tcW w:w="6910" w:type="dxa"/>
            <w:tcBorders>
              <w:left w:val="single" w:sz="2" w:space="0" w:color="auto"/>
            </w:tcBorders>
          </w:tcPr>
          <w:p w:rsidR="00CD2A5A" w:rsidRDefault="00CD2A5A">
            <w:pPr>
              <w:spacing w:before="40" w:after="40"/>
              <w:rPr>
                <w:bCs/>
                <w:sz w:val="20"/>
                <w:szCs w:val="20"/>
                <w:lang w:val="en-US"/>
              </w:rPr>
            </w:pPr>
            <w:r>
              <w:rPr>
                <w:bCs/>
                <w:sz w:val="20"/>
                <w:szCs w:val="20"/>
                <w:lang w:val="en-GB"/>
              </w:rPr>
              <w:t>Faraway Special Friends Club Foundation</w:t>
            </w:r>
            <w:r>
              <w:rPr>
                <w:bCs/>
                <w:sz w:val="20"/>
                <w:szCs w:val="20"/>
                <w:lang w:val="en-US"/>
              </w:rPr>
              <w:t xml:space="preserve"> </w:t>
            </w:r>
          </w:p>
        </w:tc>
        <w:tc>
          <w:tcPr>
            <w:tcW w:w="1035" w:type="dxa"/>
            <w:vAlign w:val="center"/>
          </w:tcPr>
          <w:p w:rsidR="00CD2A5A" w:rsidRDefault="00CD2A5A">
            <w:pPr>
              <w:spacing w:before="40" w:after="40"/>
              <w:ind w:right="227"/>
              <w:jc w:val="right"/>
              <w:rPr>
                <w:sz w:val="20"/>
                <w:szCs w:val="20"/>
                <w:lang w:val="es-SV"/>
              </w:rPr>
            </w:pPr>
            <w:r>
              <w:rPr>
                <w:sz w:val="20"/>
                <w:szCs w:val="20"/>
                <w:lang w:val="es-SV"/>
              </w:rPr>
              <w:t>55</w:t>
            </w:r>
          </w:p>
        </w:tc>
        <w:tc>
          <w:tcPr>
            <w:tcW w:w="1035" w:type="dxa"/>
            <w:tcBorders>
              <w:right w:val="single" w:sz="6" w:space="0" w:color="auto"/>
            </w:tcBorders>
            <w:vAlign w:val="center"/>
          </w:tcPr>
          <w:p w:rsidR="00CD2A5A" w:rsidRDefault="00CD2A5A">
            <w:pPr>
              <w:spacing w:before="40" w:after="40"/>
              <w:ind w:right="227"/>
              <w:jc w:val="right"/>
              <w:rPr>
                <w:sz w:val="20"/>
                <w:szCs w:val="20"/>
                <w:lang w:val="es-SV"/>
              </w:rPr>
            </w:pPr>
            <w:r>
              <w:rPr>
                <w:sz w:val="20"/>
                <w:szCs w:val="20"/>
                <w:lang w:val="es-SV"/>
              </w:rPr>
              <w:t>62</w:t>
            </w:r>
          </w:p>
        </w:tc>
      </w:tr>
      <w:tr w:rsidR="00CD2A5A">
        <w:tblPrEx>
          <w:tblCellMar>
            <w:top w:w="0" w:type="dxa"/>
            <w:bottom w:w="0" w:type="dxa"/>
          </w:tblCellMar>
        </w:tblPrEx>
        <w:trPr>
          <w:jc w:val="center"/>
        </w:trPr>
        <w:tc>
          <w:tcPr>
            <w:tcW w:w="6910" w:type="dxa"/>
            <w:tcBorders>
              <w:left w:val="single" w:sz="2" w:space="0" w:color="auto"/>
            </w:tcBorders>
          </w:tcPr>
          <w:p w:rsidR="00CD2A5A" w:rsidRDefault="00CD2A5A">
            <w:pPr>
              <w:spacing w:before="40" w:after="40"/>
              <w:rPr>
                <w:bCs/>
                <w:sz w:val="20"/>
                <w:szCs w:val="20"/>
                <w:lang w:val="en-US"/>
              </w:rPr>
            </w:pPr>
            <w:r>
              <w:rPr>
                <w:bCs/>
                <w:sz w:val="20"/>
                <w:szCs w:val="20"/>
                <w:lang w:val="en-GB"/>
              </w:rPr>
              <w:t>Salvadoran Association of Friends and Parents of Exceptional Down Children</w:t>
            </w:r>
            <w:r>
              <w:rPr>
                <w:bCs/>
                <w:sz w:val="20"/>
                <w:szCs w:val="20"/>
                <w:lang w:val="en-US"/>
              </w:rPr>
              <w:t xml:space="preserve"> </w:t>
            </w:r>
          </w:p>
        </w:tc>
        <w:tc>
          <w:tcPr>
            <w:tcW w:w="1035" w:type="dxa"/>
            <w:vAlign w:val="center"/>
          </w:tcPr>
          <w:p w:rsidR="00CD2A5A" w:rsidRDefault="00CD2A5A">
            <w:pPr>
              <w:spacing w:before="40" w:after="40"/>
              <w:ind w:right="227"/>
              <w:jc w:val="right"/>
              <w:rPr>
                <w:sz w:val="20"/>
                <w:szCs w:val="20"/>
                <w:lang w:val="es-SV"/>
              </w:rPr>
            </w:pPr>
            <w:r>
              <w:rPr>
                <w:sz w:val="20"/>
                <w:szCs w:val="20"/>
                <w:lang w:val="es-SV"/>
              </w:rPr>
              <w:t>37</w:t>
            </w:r>
          </w:p>
        </w:tc>
        <w:tc>
          <w:tcPr>
            <w:tcW w:w="1035" w:type="dxa"/>
            <w:tcBorders>
              <w:right w:val="single" w:sz="6" w:space="0" w:color="auto"/>
            </w:tcBorders>
            <w:vAlign w:val="center"/>
          </w:tcPr>
          <w:p w:rsidR="00CD2A5A" w:rsidRDefault="00CD2A5A">
            <w:pPr>
              <w:spacing w:before="40" w:after="40"/>
              <w:ind w:right="227"/>
              <w:jc w:val="right"/>
              <w:rPr>
                <w:sz w:val="20"/>
                <w:szCs w:val="20"/>
                <w:lang w:val="es-SV"/>
              </w:rPr>
            </w:pPr>
            <w:r>
              <w:rPr>
                <w:sz w:val="20"/>
                <w:szCs w:val="20"/>
                <w:lang w:val="es-SV"/>
              </w:rPr>
              <w:t>7</w:t>
            </w:r>
          </w:p>
        </w:tc>
      </w:tr>
      <w:tr w:rsidR="00CD2A5A">
        <w:tblPrEx>
          <w:tblCellMar>
            <w:top w:w="0" w:type="dxa"/>
            <w:bottom w:w="0" w:type="dxa"/>
          </w:tblCellMar>
        </w:tblPrEx>
        <w:trPr>
          <w:jc w:val="center"/>
        </w:trPr>
        <w:tc>
          <w:tcPr>
            <w:tcW w:w="6910" w:type="dxa"/>
            <w:tcBorders>
              <w:left w:val="single" w:sz="2" w:space="0" w:color="auto"/>
            </w:tcBorders>
          </w:tcPr>
          <w:p w:rsidR="00CD2A5A" w:rsidRDefault="00CD2A5A">
            <w:pPr>
              <w:spacing w:before="40" w:after="40"/>
              <w:rPr>
                <w:bCs/>
                <w:sz w:val="20"/>
                <w:szCs w:val="20"/>
                <w:lang w:val="en-US"/>
              </w:rPr>
            </w:pPr>
            <w:r>
              <w:rPr>
                <w:bCs/>
                <w:sz w:val="20"/>
                <w:szCs w:val="20"/>
                <w:lang w:val="en-GB"/>
              </w:rPr>
              <w:t>Abandoned Disabled Children’s Home.</w:t>
            </w:r>
            <w:r>
              <w:rPr>
                <w:bCs/>
                <w:sz w:val="20"/>
                <w:szCs w:val="20"/>
                <w:lang w:val="en-US"/>
              </w:rPr>
              <w:t xml:space="preserve"> </w:t>
            </w:r>
            <w:r>
              <w:rPr>
                <w:bCs/>
                <w:sz w:val="20"/>
                <w:szCs w:val="20"/>
                <w:lang w:val="en-GB"/>
              </w:rPr>
              <w:t>Hermano Pedro Foundation</w:t>
            </w:r>
          </w:p>
        </w:tc>
        <w:tc>
          <w:tcPr>
            <w:tcW w:w="1035" w:type="dxa"/>
            <w:vAlign w:val="center"/>
          </w:tcPr>
          <w:p w:rsidR="00CD2A5A" w:rsidRDefault="00CD2A5A">
            <w:pPr>
              <w:spacing w:before="40" w:after="40"/>
              <w:ind w:right="227"/>
              <w:jc w:val="right"/>
              <w:rPr>
                <w:sz w:val="20"/>
                <w:szCs w:val="20"/>
                <w:lang w:val="es-SV"/>
              </w:rPr>
            </w:pPr>
            <w:r>
              <w:rPr>
                <w:sz w:val="20"/>
                <w:szCs w:val="20"/>
                <w:lang w:val="es-SV"/>
              </w:rPr>
              <w:t>67</w:t>
            </w:r>
          </w:p>
        </w:tc>
        <w:tc>
          <w:tcPr>
            <w:tcW w:w="1035" w:type="dxa"/>
            <w:tcBorders>
              <w:right w:val="single" w:sz="6" w:space="0" w:color="auto"/>
            </w:tcBorders>
            <w:vAlign w:val="center"/>
          </w:tcPr>
          <w:p w:rsidR="00CD2A5A" w:rsidRDefault="00CD2A5A">
            <w:pPr>
              <w:spacing w:before="40" w:after="40"/>
              <w:ind w:right="227"/>
              <w:jc w:val="right"/>
              <w:rPr>
                <w:sz w:val="20"/>
                <w:szCs w:val="20"/>
                <w:lang w:val="es-SV"/>
              </w:rPr>
            </w:pPr>
            <w:r>
              <w:rPr>
                <w:sz w:val="20"/>
                <w:szCs w:val="20"/>
                <w:lang w:val="es-SV"/>
              </w:rPr>
              <w:t>73</w:t>
            </w:r>
          </w:p>
        </w:tc>
      </w:tr>
      <w:tr w:rsidR="00CD2A5A">
        <w:tblPrEx>
          <w:tblCellMar>
            <w:top w:w="0" w:type="dxa"/>
            <w:bottom w:w="0" w:type="dxa"/>
          </w:tblCellMar>
        </w:tblPrEx>
        <w:trPr>
          <w:jc w:val="center"/>
        </w:trPr>
        <w:tc>
          <w:tcPr>
            <w:tcW w:w="6910" w:type="dxa"/>
            <w:tcBorders>
              <w:left w:val="single" w:sz="2" w:space="0" w:color="auto"/>
              <w:bottom w:val="single" w:sz="6" w:space="0" w:color="auto"/>
            </w:tcBorders>
          </w:tcPr>
          <w:p w:rsidR="00CD2A5A" w:rsidRDefault="00CD2A5A">
            <w:pPr>
              <w:spacing w:before="40" w:after="40"/>
              <w:rPr>
                <w:sz w:val="20"/>
                <w:szCs w:val="20"/>
                <w:lang w:val="es-SV"/>
              </w:rPr>
            </w:pPr>
            <w:r>
              <w:rPr>
                <w:sz w:val="20"/>
                <w:szCs w:val="20"/>
                <w:lang w:val="en-GB"/>
              </w:rPr>
              <w:t>Total</w:t>
            </w:r>
          </w:p>
        </w:tc>
        <w:tc>
          <w:tcPr>
            <w:tcW w:w="1035" w:type="dxa"/>
            <w:tcBorders>
              <w:bottom w:val="single" w:sz="6" w:space="0" w:color="auto"/>
            </w:tcBorders>
            <w:vAlign w:val="center"/>
          </w:tcPr>
          <w:p w:rsidR="00CD2A5A" w:rsidRDefault="00CD2A5A">
            <w:pPr>
              <w:spacing w:before="40" w:after="40"/>
              <w:ind w:right="227"/>
              <w:jc w:val="right"/>
              <w:rPr>
                <w:sz w:val="20"/>
                <w:szCs w:val="20"/>
                <w:lang w:val="es-SV"/>
              </w:rPr>
            </w:pPr>
            <w:r>
              <w:rPr>
                <w:sz w:val="20"/>
                <w:szCs w:val="20"/>
                <w:lang w:val="es-SV"/>
              </w:rPr>
              <w:fldChar w:fldCharType="begin"/>
            </w:r>
            <w:r>
              <w:rPr>
                <w:sz w:val="20"/>
                <w:szCs w:val="20"/>
                <w:lang w:val="es-SV"/>
              </w:rPr>
              <w:instrText xml:space="preserve"> =SUM(ABOVE) </w:instrText>
            </w:r>
            <w:r>
              <w:rPr>
                <w:sz w:val="20"/>
                <w:szCs w:val="20"/>
                <w:lang w:val="es-SV"/>
              </w:rPr>
              <w:fldChar w:fldCharType="separate"/>
            </w:r>
            <w:r>
              <w:rPr>
                <w:noProof/>
                <w:sz w:val="20"/>
                <w:szCs w:val="20"/>
                <w:lang w:val="es-SV"/>
              </w:rPr>
              <w:t>189</w:t>
            </w:r>
            <w:r>
              <w:rPr>
                <w:sz w:val="20"/>
                <w:szCs w:val="20"/>
                <w:lang w:val="es-SV"/>
              </w:rPr>
              <w:fldChar w:fldCharType="end"/>
            </w:r>
          </w:p>
        </w:tc>
        <w:tc>
          <w:tcPr>
            <w:tcW w:w="1035" w:type="dxa"/>
            <w:tcBorders>
              <w:bottom w:val="single" w:sz="6" w:space="0" w:color="auto"/>
              <w:right w:val="single" w:sz="6" w:space="0" w:color="auto"/>
            </w:tcBorders>
            <w:vAlign w:val="center"/>
          </w:tcPr>
          <w:p w:rsidR="00CD2A5A" w:rsidRDefault="00CD2A5A">
            <w:pPr>
              <w:spacing w:before="40" w:after="40"/>
              <w:ind w:right="227"/>
              <w:jc w:val="right"/>
              <w:rPr>
                <w:sz w:val="20"/>
                <w:szCs w:val="20"/>
                <w:lang w:val="es-SV"/>
              </w:rPr>
            </w:pPr>
            <w:r>
              <w:rPr>
                <w:sz w:val="20"/>
                <w:szCs w:val="20"/>
                <w:lang w:val="es-SV"/>
              </w:rPr>
              <w:fldChar w:fldCharType="begin"/>
            </w:r>
            <w:r>
              <w:rPr>
                <w:sz w:val="20"/>
                <w:szCs w:val="20"/>
                <w:lang w:val="es-SV"/>
              </w:rPr>
              <w:instrText xml:space="preserve"> =SUM(ABOVE) </w:instrText>
            </w:r>
            <w:r>
              <w:rPr>
                <w:sz w:val="20"/>
                <w:szCs w:val="20"/>
                <w:lang w:val="es-SV"/>
              </w:rPr>
              <w:fldChar w:fldCharType="separate"/>
            </w:r>
            <w:r>
              <w:rPr>
                <w:noProof/>
                <w:sz w:val="20"/>
                <w:szCs w:val="20"/>
                <w:lang w:val="es-SV"/>
              </w:rPr>
              <w:t>149</w:t>
            </w:r>
            <w:r>
              <w:rPr>
                <w:sz w:val="20"/>
                <w:szCs w:val="20"/>
                <w:lang w:val="es-SV"/>
              </w:rPr>
              <w:fldChar w:fldCharType="end"/>
            </w:r>
          </w:p>
        </w:tc>
      </w:tr>
    </w:tbl>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following are noteworthy among the programmes being implemented by private agencies:</w:t>
      </w:r>
    </w:p>
    <w:p w:rsidR="00CD2A5A" w:rsidRDefault="00CD2A5A">
      <w:pPr>
        <w:numPr>
          <w:ilvl w:val="0"/>
          <w:numId w:val="4"/>
        </w:numPr>
        <w:tabs>
          <w:tab w:val="clear" w:pos="360"/>
        </w:tabs>
        <w:spacing w:after="240"/>
        <w:ind w:left="0" w:firstLine="567"/>
        <w:rPr>
          <w:lang w:val="en-US"/>
        </w:rPr>
      </w:pPr>
      <w:r>
        <w:rPr>
          <w:lang w:val="en-GB"/>
        </w:rPr>
        <w:t>El Progreso Vocational Training Centre.</w:t>
      </w:r>
      <w:r>
        <w:rPr>
          <w:lang w:val="en-US"/>
        </w:rPr>
        <w:t xml:space="preserve"> </w:t>
      </w:r>
      <w:r>
        <w:rPr>
          <w:lang w:val="en-GB"/>
        </w:rPr>
        <w:t>Cares for persons with mental retardation and Down syndrome, with a chronological age between five and forty years.</w:t>
      </w:r>
      <w:r>
        <w:rPr>
          <w:lang w:val="en-US"/>
        </w:rPr>
        <w:t xml:space="preserve">  </w:t>
      </w:r>
      <w:r>
        <w:rPr>
          <w:lang w:val="en-GB"/>
        </w:rPr>
        <w:t>It was set up and is administered by the Association of Parents of Mentally Retraded Persons, and carries out the following activities:</w:t>
      </w:r>
      <w:r>
        <w:rPr>
          <w:lang w:val="en-US"/>
        </w:rPr>
        <w:t xml:space="preserve"> </w:t>
      </w:r>
      <w:r>
        <w:rPr>
          <w:lang w:val="en-GB"/>
        </w:rPr>
        <w:t>vocational training under the protected workshop system; recreational-educational activities; support for the parents and other family members of disabled children; specialist care for disabled children while the parents are at work; promotion of non-discrimination in families, community participation, inclusion in the community, and accesiblity in public transport and communications;</w:t>
      </w:r>
    </w:p>
    <w:p w:rsidR="00CD2A5A" w:rsidRDefault="00CD2A5A">
      <w:pPr>
        <w:numPr>
          <w:ilvl w:val="0"/>
          <w:numId w:val="4"/>
        </w:numPr>
        <w:tabs>
          <w:tab w:val="clear" w:pos="360"/>
        </w:tabs>
        <w:spacing w:after="240"/>
        <w:ind w:left="0" w:firstLine="567"/>
        <w:rPr>
          <w:lang w:val="en-US"/>
        </w:rPr>
      </w:pPr>
      <w:r>
        <w:rPr>
          <w:bCs/>
          <w:lang w:val="es-ES_tradnl"/>
        </w:rPr>
        <w:t>Roberto Callejas Montalvo Cerebral Palsy Home.</w:t>
      </w:r>
      <w:r>
        <w:rPr>
          <w:bCs/>
          <w:lang w:val="es-SV"/>
        </w:rPr>
        <w:t xml:space="preserve"> </w:t>
      </w:r>
      <w:r>
        <w:rPr>
          <w:bCs/>
          <w:lang w:val="en-GB"/>
        </w:rPr>
        <w:t xml:space="preserve">It offers day-care activities for children, adolescents and adults with cerebral palsy </w:t>
      </w:r>
      <w:r>
        <w:rPr>
          <w:lang w:val="en-GB"/>
        </w:rPr>
        <w:t>and other physical disabilities.</w:t>
      </w:r>
      <w:r>
        <w:rPr>
          <w:lang w:val="en-US"/>
        </w:rPr>
        <w:t xml:space="preserve"> </w:t>
      </w:r>
      <w:r>
        <w:rPr>
          <w:lang w:val="en-GB"/>
        </w:rPr>
        <w:t>This home carries out artistic, manual and craft and industrial production activities; it promotes educational interaction and awareness with the family; and implements the Basic Community Rehabilitation Programme in the Municipality of Santo Tomás, where it raises awareness in the community and promotes early detection and care for disabilities.</w:t>
      </w:r>
    </w:p>
    <w:p w:rsidR="00CD2A5A" w:rsidRDefault="00CD2A5A">
      <w:pPr>
        <w:numPr>
          <w:ilvl w:val="0"/>
          <w:numId w:val="4"/>
        </w:numPr>
        <w:tabs>
          <w:tab w:val="clear" w:pos="360"/>
        </w:tabs>
        <w:spacing w:after="240"/>
        <w:ind w:left="0" w:firstLine="567"/>
        <w:rPr>
          <w:lang w:val="en-US"/>
        </w:rPr>
      </w:pPr>
      <w:r>
        <w:rPr>
          <w:bCs/>
          <w:lang w:val="en-GB"/>
        </w:rPr>
        <w:t>The Hellen Keller Foundation.</w:t>
      </w:r>
      <w:r>
        <w:rPr>
          <w:bCs/>
          <w:lang w:val="en-US"/>
        </w:rPr>
        <w:t xml:space="preserve"> </w:t>
      </w:r>
      <w:r>
        <w:rPr>
          <w:lang w:val="en-GB"/>
        </w:rPr>
        <w:t>Provides services for training deaf children and adolescents in numeracy; it offers literacy for the deaf and children suffering from Down Syndrome and promotes the educational support classroom;</w:t>
      </w:r>
      <w:r>
        <w:rPr>
          <w:lang w:val="en-US"/>
        </w:rPr>
        <w:t xml:space="preserve"> </w:t>
      </w:r>
    </w:p>
    <w:p w:rsidR="00CD2A5A" w:rsidRDefault="00CD2A5A">
      <w:pPr>
        <w:numPr>
          <w:ilvl w:val="0"/>
          <w:numId w:val="4"/>
        </w:numPr>
        <w:tabs>
          <w:tab w:val="clear" w:pos="360"/>
        </w:tabs>
        <w:spacing w:after="240"/>
        <w:ind w:left="0" w:firstLine="567"/>
        <w:rPr>
          <w:lang w:val="en-US"/>
        </w:rPr>
      </w:pPr>
      <w:r>
        <w:rPr>
          <w:bCs/>
          <w:lang w:val="en-GB"/>
        </w:rPr>
        <w:t>Faraway Special Friends Club Foundation</w:t>
      </w:r>
      <w:r>
        <w:rPr>
          <w:bCs/>
          <w:lang w:val="en-US"/>
        </w:rPr>
        <w:t xml:space="preserve"> </w:t>
      </w:r>
      <w:r>
        <w:rPr>
          <w:bCs/>
          <w:lang w:val="en-GB"/>
        </w:rPr>
        <w:t>Handles mental retardation and physical and sensory disabilities in persons varying in chronological age from 4 to 35 years.</w:t>
      </w:r>
      <w:r>
        <w:rPr>
          <w:lang w:val="en-US"/>
        </w:rPr>
        <w:t xml:space="preserve"> </w:t>
      </w:r>
      <w:r>
        <w:rPr>
          <w:lang w:val="en-GB"/>
        </w:rPr>
        <w:t>It runs a sheltered workshop for manual activities in fabric and wood, clay and painting; it runs a distance-learning programme, with material support from the Ministry of Education (MINED); and promotes and monitors educational integration of children;</w:t>
      </w:r>
    </w:p>
    <w:p w:rsidR="00CD2A5A" w:rsidRDefault="00CD2A5A">
      <w:pPr>
        <w:numPr>
          <w:ilvl w:val="0"/>
          <w:numId w:val="4"/>
        </w:numPr>
        <w:tabs>
          <w:tab w:val="clear" w:pos="360"/>
        </w:tabs>
        <w:spacing w:after="240"/>
        <w:ind w:left="0" w:firstLine="567"/>
        <w:rPr>
          <w:lang w:val="en-US"/>
        </w:rPr>
      </w:pPr>
      <w:r>
        <w:rPr>
          <w:bCs/>
          <w:lang w:val="en-GB"/>
        </w:rPr>
        <w:t>Salvadoran Association of Friends and Parents of Exceptional Down Children</w:t>
      </w:r>
      <w:r>
        <w:rPr>
          <w:bCs/>
          <w:lang w:val="en-US"/>
        </w:rPr>
        <w:t xml:space="preserve"> </w:t>
      </w:r>
      <w:r>
        <w:rPr>
          <w:bCs/>
          <w:lang w:val="en-GB"/>
        </w:rPr>
        <w:t xml:space="preserve">The Association provides educational services for </w:t>
      </w:r>
      <w:r>
        <w:rPr>
          <w:lang w:val="en-GB"/>
        </w:rPr>
        <w:t>nursery school</w:t>
      </w:r>
      <w:r>
        <w:rPr>
          <w:bCs/>
          <w:lang w:val="en-GB"/>
        </w:rPr>
        <w:t xml:space="preserve"> and first grade for </w:t>
      </w:r>
      <w:r>
        <w:rPr>
          <w:lang w:val="en-GB"/>
        </w:rPr>
        <w:t>children and adolescents</w:t>
      </w:r>
      <w:r>
        <w:rPr>
          <w:bCs/>
          <w:lang w:val="en-GB"/>
        </w:rPr>
        <w:t xml:space="preserve"> with Down Syndrome. It provides backup for everyday life activities, psychomotor activities, manual skills workshops, language therapy, sport, dance, and has the support of a nutritionist;</w:t>
      </w:r>
    </w:p>
    <w:p w:rsidR="00CD2A5A" w:rsidRDefault="00CD2A5A">
      <w:pPr>
        <w:numPr>
          <w:ilvl w:val="0"/>
          <w:numId w:val="4"/>
        </w:numPr>
        <w:tabs>
          <w:tab w:val="clear" w:pos="360"/>
        </w:tabs>
        <w:spacing w:after="240"/>
        <w:ind w:left="0" w:firstLine="567"/>
        <w:rPr>
          <w:bCs/>
          <w:lang w:val="en-US"/>
        </w:rPr>
      </w:pPr>
      <w:r>
        <w:rPr>
          <w:bCs/>
          <w:lang w:val="en-GB"/>
        </w:rPr>
        <w:t>Hermano Pedro Foundation Home for Abandoned Disabled Children.</w:t>
      </w:r>
      <w:r>
        <w:rPr>
          <w:bCs/>
          <w:lang w:val="en-US"/>
        </w:rPr>
        <w:t xml:space="preserve"> </w:t>
      </w:r>
      <w:r>
        <w:rPr>
          <w:bCs/>
          <w:lang w:val="en-GB"/>
        </w:rPr>
        <w:t>It provides basic health care and rehabilitation for children with various disabilities in some areas.</w:t>
      </w:r>
      <w:r>
        <w:rPr>
          <w:bCs/>
          <w:lang w:val="en-US"/>
        </w:rPr>
        <w:t xml:space="preserve"> </w:t>
      </w:r>
      <w:r>
        <w:rPr>
          <w:bCs/>
          <w:lang w:val="en-GB"/>
        </w:rPr>
        <w:t>It cares for persons of chronological age 0 to 47 with cerebral palsy, mental retardation, autism and hydrocephalus.</w:t>
      </w:r>
      <w:r>
        <w:rPr>
          <w:bCs/>
          <w:lang w:val="en-US"/>
        </w:rPr>
        <w:t xml:space="preserve">  </w:t>
      </w:r>
    </w:p>
    <w:p w:rsidR="00CD2A5A" w:rsidRDefault="00CD2A5A">
      <w:pPr>
        <w:pStyle w:val="Header"/>
        <w:numPr>
          <w:ilvl w:val="0"/>
          <w:numId w:val="3"/>
        </w:numPr>
        <w:tabs>
          <w:tab w:val="clear" w:pos="720"/>
          <w:tab w:val="clear" w:pos="4252"/>
        </w:tabs>
        <w:spacing w:after="240"/>
        <w:ind w:left="0" w:firstLine="0"/>
        <w:rPr>
          <w:bCs/>
          <w:lang w:val="en-US"/>
        </w:rPr>
      </w:pPr>
      <w:r>
        <w:rPr>
          <w:bCs/>
          <w:lang w:val="en-GB"/>
        </w:rPr>
        <w:t>In addition, from 2004 to 2006 the Fundación Teletón Pro- Rehabilitación  (FUNTER) cared for 4,678 children.</w:t>
      </w:r>
    </w:p>
    <w:p w:rsidR="00CD2A5A" w:rsidRDefault="00CD2A5A">
      <w:pPr>
        <w:pStyle w:val="BodyText"/>
        <w:widowControl/>
        <w:numPr>
          <w:ilvl w:val="0"/>
          <w:numId w:val="3"/>
        </w:numPr>
        <w:tabs>
          <w:tab w:val="clear" w:pos="720"/>
        </w:tabs>
        <w:snapToGrid/>
        <w:spacing w:before="0" w:after="240"/>
        <w:ind w:left="0" w:firstLine="0"/>
        <w:jc w:val="left"/>
        <w:rPr>
          <w:sz w:val="24"/>
          <w:lang w:val="en-US"/>
        </w:rPr>
      </w:pPr>
      <w:r>
        <w:rPr>
          <w:sz w:val="24"/>
          <w:lang w:val="en-GB"/>
        </w:rPr>
        <w:t>The Equal Opportunties for the Disabled Act</w:t>
      </w:r>
      <w:r>
        <w:rPr>
          <w:rStyle w:val="FootnoteReference"/>
          <w:lang w:val="en-GB"/>
        </w:rPr>
        <w:footnoteReference w:id="28"/>
      </w:r>
      <w:r>
        <w:rPr>
          <w:sz w:val="24"/>
          <w:lang w:val="en-GB"/>
        </w:rPr>
        <w:t xml:space="preserve"> offers education for persons with special educational needs, from the perspective of their right to an education based on an appropriate methodology that facilitates their learning, a right that encompasses their training and working and professional rehabilitation, to be cared for by appropriate staff for their comprehensive rehabilitation and to have access to the system of scholarships.</w:t>
      </w:r>
    </w:p>
    <w:p w:rsidR="00CD2A5A" w:rsidRDefault="00CD2A5A">
      <w:pPr>
        <w:pStyle w:val="BodyText"/>
        <w:widowControl/>
        <w:numPr>
          <w:ilvl w:val="0"/>
          <w:numId w:val="3"/>
        </w:numPr>
        <w:tabs>
          <w:tab w:val="clear" w:pos="720"/>
        </w:tabs>
        <w:snapToGrid/>
        <w:spacing w:before="0" w:after="240"/>
        <w:ind w:left="0" w:firstLine="0"/>
        <w:jc w:val="left"/>
        <w:rPr>
          <w:sz w:val="24"/>
          <w:lang w:val="en-US"/>
        </w:rPr>
      </w:pPr>
      <w:r>
        <w:rPr>
          <w:sz w:val="24"/>
          <w:lang w:val="en-GB"/>
        </w:rPr>
        <w:t>The Act refers to the State’s obligation to recognize the principles of equal educational opportunities for all disabled persons, and to ensure that their education is integrated into the main system.</w:t>
      </w:r>
      <w:r>
        <w:rPr>
          <w:sz w:val="24"/>
          <w:lang w:val="en-US"/>
        </w:rPr>
        <w:t xml:space="preserve"> </w:t>
      </w:r>
      <w:r>
        <w:rPr>
          <w:sz w:val="24"/>
          <w:lang w:val="en-GB"/>
        </w:rPr>
        <w:t>The Act also allows for the possibility of the persons mentioned being integrated into the regular education system and requires educational establishments to have appropriate support services and accessibility.</w:t>
      </w:r>
      <w:r>
        <w:rPr>
          <w:rStyle w:val="FootnoteReference"/>
          <w:lang w:val="es-SV"/>
        </w:rPr>
        <w:footnoteReference w:id="29"/>
      </w:r>
      <w:r>
        <w:rPr>
          <w:sz w:val="24"/>
          <w:lang w:val="en-US"/>
        </w:rPr>
        <w:t xml:space="preserve"> </w:t>
      </w:r>
      <w:r>
        <w:rPr>
          <w:sz w:val="24"/>
          <w:lang w:val="en-GB"/>
        </w:rPr>
        <w:t>The Act also covers State responsibility for fostering training of human resources to cater for demand for special education, also providing for persons with special educational needs to access centres with appropriate resources.</w:t>
      </w:r>
      <w:r>
        <w:rPr>
          <w:sz w:val="24"/>
          <w:lang w:val="en-US"/>
        </w:rPr>
        <w:t xml:space="preserve"> </w:t>
      </w:r>
      <w:r>
        <w:rPr>
          <w:sz w:val="24"/>
          <w:lang w:val="en-GB"/>
        </w:rPr>
        <w:t>It provides a legal guarantee of the right of parents or heads of family to take part in the organization and assessment of educational services for persons with special educational needs.</w:t>
      </w:r>
    </w:p>
    <w:p w:rsidR="00CD2A5A" w:rsidRDefault="00CD2A5A">
      <w:pPr>
        <w:pStyle w:val="BodyText"/>
        <w:widowControl/>
        <w:numPr>
          <w:ilvl w:val="0"/>
          <w:numId w:val="3"/>
        </w:numPr>
        <w:tabs>
          <w:tab w:val="clear" w:pos="720"/>
        </w:tabs>
        <w:snapToGrid/>
        <w:spacing w:before="0" w:after="240"/>
        <w:ind w:left="0" w:firstLine="0"/>
        <w:jc w:val="left"/>
        <w:rPr>
          <w:sz w:val="24"/>
          <w:lang w:val="en-US"/>
        </w:rPr>
      </w:pPr>
      <w:r>
        <w:rPr>
          <w:sz w:val="24"/>
          <w:lang w:val="en-GB"/>
        </w:rPr>
        <w:t>The implementing regulation for the Equal Opportunties for the Disabled Act</w:t>
      </w:r>
      <w:r>
        <w:rPr>
          <w:rStyle w:val="FootnoteReference"/>
          <w:lang w:val="en-GB"/>
        </w:rPr>
        <w:footnoteReference w:id="30"/>
      </w:r>
      <w:r>
        <w:rPr>
          <w:sz w:val="24"/>
          <w:lang w:val="en-GB"/>
        </w:rPr>
        <w:t xml:space="preserve"> approaches the subject based on the “equal opportunities” concept and the responsibility of the Ministry of Education for compliance</w:t>
      </w:r>
      <w:r>
        <w:rPr>
          <w:sz w:val="24"/>
          <w:lang w:val="en-US"/>
        </w:rPr>
        <w:t xml:space="preserve"> </w:t>
      </w:r>
      <w:r>
        <w:rPr>
          <w:sz w:val="24"/>
          <w:lang w:val="en-GB"/>
        </w:rPr>
        <w:t>(article 34).</w:t>
      </w:r>
      <w:r>
        <w:rPr>
          <w:sz w:val="24"/>
          <w:lang w:val="en-US"/>
        </w:rPr>
        <w:t xml:space="preserve"> </w:t>
      </w:r>
    </w:p>
    <w:p w:rsidR="00CD2A5A" w:rsidRDefault="00CD2A5A">
      <w:pPr>
        <w:pStyle w:val="BodyText"/>
        <w:widowControl/>
        <w:numPr>
          <w:ilvl w:val="0"/>
          <w:numId w:val="3"/>
        </w:numPr>
        <w:tabs>
          <w:tab w:val="clear" w:pos="720"/>
        </w:tabs>
        <w:snapToGrid/>
        <w:spacing w:before="0" w:after="240"/>
        <w:ind w:left="0" w:firstLine="0"/>
        <w:jc w:val="left"/>
        <w:rPr>
          <w:sz w:val="24"/>
          <w:lang w:val="en-US"/>
        </w:rPr>
      </w:pPr>
      <w:r>
        <w:rPr>
          <w:sz w:val="24"/>
          <w:lang w:val="en-GB"/>
        </w:rPr>
        <w:t>The regulation sets out the basic measures that MINED must promote in the following areas:</w:t>
      </w:r>
      <w:r>
        <w:rPr>
          <w:sz w:val="24"/>
          <w:lang w:val="en-US"/>
        </w:rPr>
        <w:t xml:space="preserve"> </w:t>
      </w:r>
      <w:r>
        <w:rPr>
          <w:sz w:val="24"/>
          <w:lang w:val="en-GB"/>
        </w:rPr>
        <w:t>increasing coverage, setting a minimum target of one integration school per municipality; adapting curricula and classrooms for special education; providing information on special educational needs; training, coaching and retraining of teaching staff; provision of appropriate teaching resources, technology and support for special education; guaranteeing access to the formal education system (including university) for persons with special educational needs; and guaranteeing the right of disabled persons to access the national educational grants system.</w:t>
      </w:r>
    </w:p>
    <w:p w:rsidR="00CD2A5A" w:rsidRDefault="00CD2A5A">
      <w:pPr>
        <w:pStyle w:val="Header"/>
        <w:numPr>
          <w:ilvl w:val="0"/>
          <w:numId w:val="3"/>
        </w:numPr>
        <w:tabs>
          <w:tab w:val="clear" w:pos="720"/>
          <w:tab w:val="clear" w:pos="4252"/>
        </w:tabs>
        <w:spacing w:after="240"/>
        <w:ind w:left="0" w:firstLine="0"/>
        <w:rPr>
          <w:lang w:val="en-US"/>
        </w:rPr>
      </w:pPr>
      <w:r>
        <w:rPr>
          <w:lang w:val="en-GB"/>
        </w:rPr>
        <w:t>Article 36 of the Regulation sets out the strategies that the Ministry of Education must promote in special education regarding diversity, education integration, specialist services and awareness.</w:t>
      </w:r>
      <w:r>
        <w:rPr>
          <w:lang w:val="en-US"/>
        </w:rPr>
        <w:t xml:space="preserve"> </w:t>
      </w:r>
      <w:r>
        <w:rPr>
          <w:lang w:val="en-GB"/>
        </w:rPr>
        <w:t>The article stresses MINED’s responsibility for providing support services, training teaching staff and supplying materials and equipment for special education.</w:t>
      </w:r>
    </w:p>
    <w:p w:rsidR="00CD2A5A" w:rsidRDefault="00CD2A5A">
      <w:pPr>
        <w:numPr>
          <w:ilvl w:val="0"/>
          <w:numId w:val="3"/>
        </w:numPr>
        <w:tabs>
          <w:tab w:val="clear" w:pos="720"/>
        </w:tabs>
        <w:spacing w:after="240"/>
        <w:ind w:left="0" w:firstLine="0"/>
        <w:rPr>
          <w:lang w:val="en-US"/>
        </w:rPr>
      </w:pPr>
      <w:r>
        <w:rPr>
          <w:lang w:val="en-GB"/>
        </w:rPr>
        <w:t>Article 37 highlights the need for any educational programme for persons with special educational needs to involve institutions, teachers, the education community, parents or heads of family and society in general.</w:t>
      </w:r>
      <w:r>
        <w:rPr>
          <w:lang w:val="en-US"/>
        </w:rPr>
        <w:t xml:space="preserve"> </w:t>
      </w:r>
      <w:r>
        <w:rPr>
          <w:lang w:val="en-GB"/>
        </w:rPr>
        <w:t>The article lays emphasis on ensuring that parents or guardians of disabled children take part in School Councils.</w:t>
      </w:r>
    </w:p>
    <w:p w:rsidR="00CD2A5A" w:rsidRDefault="00CD2A5A">
      <w:pPr>
        <w:numPr>
          <w:ilvl w:val="0"/>
          <w:numId w:val="3"/>
        </w:numPr>
        <w:tabs>
          <w:tab w:val="clear" w:pos="720"/>
        </w:tabs>
        <w:spacing w:after="240"/>
        <w:ind w:left="0" w:firstLine="0"/>
        <w:rPr>
          <w:lang w:val="en-US"/>
        </w:rPr>
      </w:pPr>
      <w:r>
        <w:rPr>
          <w:lang w:val="en-GB"/>
        </w:rPr>
        <w:t>In order to put this whole legal framework in place, MINED has implemented measures through the National Education Plan 2021 in line with the political measures laid down for the education sector in the equal opportunities policy for disabled persons.</w:t>
      </w:r>
      <w:r>
        <w:rPr>
          <w:lang w:val="en-US"/>
        </w:rPr>
        <w:t xml:space="preserve"> </w:t>
      </w:r>
      <w:r>
        <w:rPr>
          <w:lang w:val="en-GB"/>
        </w:rPr>
        <w:t>For instance, there are Educational Support Classrooms which offer psychoeducational support for students with specific learning difficulties and support for the process of integrating disabled students.</w:t>
      </w:r>
      <w:r>
        <w:rPr>
          <w:lang w:val="en-US"/>
        </w:rPr>
        <w:t xml:space="preserve"> </w:t>
      </w:r>
      <w:r>
        <w:rPr>
          <w:lang w:val="en-GB"/>
        </w:rPr>
        <w:t>They are located in urban and rural areas of the countries, based on demand from the school.</w:t>
      </w:r>
      <w:r>
        <w:rPr>
          <w:lang w:val="en-US"/>
        </w:rPr>
        <w:t xml:space="preserve"> </w:t>
      </w:r>
      <w:r>
        <w:rPr>
          <w:lang w:val="en-GB"/>
        </w:rPr>
        <w:t>There are 563 educational support classrooms, 163 in rural areas, serving a total of 25,810 students in rural areas with special educational needs, whether or not associated with a disability.</w:t>
      </w:r>
    </w:p>
    <w:p w:rsidR="00CD2A5A" w:rsidRDefault="00CD2A5A">
      <w:pPr>
        <w:numPr>
          <w:ilvl w:val="0"/>
          <w:numId w:val="3"/>
        </w:numPr>
        <w:tabs>
          <w:tab w:val="clear" w:pos="720"/>
        </w:tabs>
        <w:spacing w:after="240"/>
        <w:ind w:left="0" w:firstLine="0"/>
        <w:rPr>
          <w:bCs/>
          <w:lang w:val="en-US"/>
        </w:rPr>
      </w:pPr>
      <w:r>
        <w:rPr>
          <w:bCs/>
          <w:lang w:val="en-GB"/>
        </w:rPr>
        <w:t>Integration Schools are regular educational establishments which, after undergoing a process of awareness-raising, training and technical assistance, include disabled students in the school classrooms, where they take part in all the activities organized by the educational establishment.</w:t>
      </w:r>
      <w:r>
        <w:rPr>
          <w:bCs/>
          <w:lang w:val="en-US"/>
        </w:rPr>
        <w:t xml:space="preserve"> </w:t>
      </w:r>
      <w:r>
        <w:rPr>
          <w:lang w:val="en-GB"/>
        </w:rPr>
        <w:t>There are 550 Integration Schools nationwide; 103 of them in rural areas.</w:t>
      </w:r>
      <w:r>
        <w:rPr>
          <w:lang w:val="en-US"/>
        </w:rPr>
        <w:t xml:space="preserve"> </w:t>
      </w:r>
    </w:p>
    <w:p w:rsidR="00CD2A5A" w:rsidRDefault="00CD2A5A">
      <w:pPr>
        <w:numPr>
          <w:ilvl w:val="0"/>
          <w:numId w:val="3"/>
        </w:numPr>
        <w:tabs>
          <w:tab w:val="clear" w:pos="720"/>
        </w:tabs>
        <w:spacing w:after="240"/>
        <w:ind w:left="0" w:firstLine="0"/>
        <w:rPr>
          <w:bCs/>
          <w:lang w:val="en-US"/>
        </w:rPr>
      </w:pPr>
      <w:r>
        <w:rPr>
          <w:bCs/>
          <w:lang w:val="en-GB"/>
        </w:rPr>
        <w:t>The State has special education schools, which are educational establishments catering for the moderately or severely mentally disabled population.</w:t>
      </w:r>
      <w:r>
        <w:rPr>
          <w:bCs/>
          <w:lang w:val="en-US"/>
        </w:rPr>
        <w:t xml:space="preserve"> </w:t>
      </w:r>
      <w:r>
        <w:rPr>
          <w:bCs/>
          <w:lang w:val="en-GB"/>
        </w:rPr>
        <w:t xml:space="preserve">Although they are located in urban areas, students come from both urban and rural backgrounds; there is a heading in the funds transferred to the school for supporting the transport of students from rural areas. </w:t>
      </w:r>
    </w:p>
    <w:p w:rsidR="00CD2A5A" w:rsidRDefault="00CD2A5A" w:rsidP="00CD2A5A">
      <w:pPr>
        <w:pStyle w:val="Figure"/>
        <w:rPr>
          <w:lang w:val="en-US"/>
        </w:rPr>
      </w:pPr>
      <w:r>
        <w:t>Figure 48</w:t>
      </w:r>
    </w:p>
    <w:p w:rsidR="00CD2A5A" w:rsidRDefault="00CD2A5A" w:rsidP="00CD2A5A">
      <w:pPr>
        <w:pStyle w:val="Figure"/>
        <w:rPr>
          <w:lang w:val="en-US"/>
        </w:rPr>
      </w:pPr>
      <w:r>
        <w:t>Children at special public schools by department and type of disability</w:t>
      </w:r>
    </w:p>
    <w:tbl>
      <w:tblPr>
        <w:tblW w:w="5000" w:type="pct"/>
        <w:jc w:val="center"/>
        <w:tblLayout w:type="fixed"/>
        <w:tblCellMar>
          <w:left w:w="70" w:type="dxa"/>
          <w:right w:w="70" w:type="dxa"/>
        </w:tblCellMar>
        <w:tblLook w:val="0000" w:firstRow="0" w:lastRow="0" w:firstColumn="0" w:lastColumn="0" w:noHBand="0" w:noVBand="0"/>
      </w:tblPr>
      <w:tblGrid>
        <w:gridCol w:w="1297"/>
        <w:gridCol w:w="793"/>
        <w:gridCol w:w="1131"/>
        <w:gridCol w:w="791"/>
        <w:gridCol w:w="1162"/>
        <w:gridCol w:w="942"/>
        <w:gridCol w:w="883"/>
        <w:gridCol w:w="923"/>
        <w:gridCol w:w="883"/>
        <w:gridCol w:w="747"/>
      </w:tblGrid>
      <w:tr w:rsidR="00CD2A5A">
        <w:trPr>
          <w:trHeight w:val="1020"/>
          <w:jc w:val="center"/>
        </w:trPr>
        <w:tc>
          <w:tcPr>
            <w:tcW w:w="679" w:type="pct"/>
            <w:tcBorders>
              <w:top w:val="single" w:sz="4" w:space="0" w:color="auto"/>
              <w:left w:val="single" w:sz="2" w:space="0" w:color="auto"/>
              <w:bottom w:val="single" w:sz="4" w:space="0" w:color="auto"/>
              <w:right w:val="single" w:sz="4" w:space="0" w:color="auto"/>
            </w:tcBorders>
            <w:noWrap/>
            <w:vAlign w:val="center"/>
          </w:tcPr>
          <w:p w:rsidR="00CD2A5A" w:rsidRDefault="00CD2A5A">
            <w:pPr>
              <w:spacing w:before="40" w:after="40"/>
              <w:jc w:val="center"/>
              <w:rPr>
                <w:b/>
                <w:i/>
                <w:sz w:val="20"/>
                <w:szCs w:val="20"/>
                <w:lang w:val="es-SV"/>
              </w:rPr>
            </w:pPr>
            <w:r>
              <w:rPr>
                <w:b/>
                <w:i/>
                <w:sz w:val="20"/>
                <w:szCs w:val="20"/>
                <w:lang w:val="en-GB"/>
              </w:rPr>
              <w:t>Department</w:t>
            </w:r>
          </w:p>
        </w:tc>
        <w:tc>
          <w:tcPr>
            <w:tcW w:w="415"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Blind</w:t>
            </w:r>
          </w:p>
        </w:tc>
        <w:tc>
          <w:tcPr>
            <w:tcW w:w="59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n-US"/>
              </w:rPr>
            </w:pPr>
            <w:r>
              <w:rPr>
                <w:b/>
                <w:i/>
                <w:sz w:val="20"/>
                <w:szCs w:val="20"/>
                <w:lang w:val="en-GB"/>
              </w:rPr>
              <w:t>Visually impaired</w:t>
            </w:r>
            <w:r>
              <w:rPr>
                <w:b/>
                <w:i/>
                <w:sz w:val="20"/>
                <w:szCs w:val="20"/>
                <w:lang w:val="en-GB"/>
              </w:rPr>
              <w:br/>
              <w:t>(non-functional residual vision)</w:t>
            </w:r>
          </w:p>
        </w:tc>
        <w:tc>
          <w:tcPr>
            <w:tcW w:w="414"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Deaf</w:t>
            </w:r>
          </w:p>
        </w:tc>
        <w:tc>
          <w:tcPr>
            <w:tcW w:w="608"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Hearing impairment</w:t>
            </w:r>
          </w:p>
        </w:tc>
        <w:tc>
          <w:tcPr>
            <w:tcW w:w="493"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Down syndrome</w:t>
            </w:r>
          </w:p>
        </w:tc>
        <w:tc>
          <w:tcPr>
            <w:tcW w:w="46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Mentally retarded</w:t>
            </w:r>
          </w:p>
        </w:tc>
        <w:tc>
          <w:tcPr>
            <w:tcW w:w="483"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Motor problems</w:t>
            </w:r>
          </w:p>
        </w:tc>
        <w:tc>
          <w:tcPr>
            <w:tcW w:w="46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lang w:val="es-SV"/>
              </w:rPr>
            </w:pPr>
            <w:r>
              <w:rPr>
                <w:b/>
                <w:i/>
                <w:sz w:val="20"/>
                <w:szCs w:val="20"/>
                <w:lang w:val="en-GB"/>
              </w:rPr>
              <w:t>Missing limbs</w:t>
            </w:r>
          </w:p>
        </w:tc>
        <w:tc>
          <w:tcPr>
            <w:tcW w:w="391" w:type="pct"/>
            <w:tcBorders>
              <w:top w:val="single" w:sz="4" w:space="0" w:color="auto"/>
              <w:left w:val="nil"/>
              <w:bottom w:val="single" w:sz="4" w:space="0" w:color="auto"/>
              <w:right w:val="single" w:sz="6" w:space="0" w:color="auto"/>
            </w:tcBorders>
            <w:noWrap/>
            <w:vAlign w:val="center"/>
          </w:tcPr>
          <w:p w:rsidR="00CD2A5A" w:rsidRDefault="00CD2A5A">
            <w:pPr>
              <w:spacing w:before="40" w:after="40"/>
              <w:jc w:val="center"/>
              <w:rPr>
                <w:b/>
                <w:i/>
                <w:sz w:val="20"/>
                <w:szCs w:val="20"/>
                <w:lang w:val="es-SV"/>
              </w:rPr>
            </w:pPr>
            <w:r>
              <w:rPr>
                <w:b/>
                <w:i/>
                <w:sz w:val="20"/>
                <w:szCs w:val="20"/>
                <w:lang w:val="en-GB"/>
              </w:rPr>
              <w:t>Total</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Ahuachapán</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14</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388</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111</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45</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64</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102</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20</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746</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Santa Ana</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16</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574</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50</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45</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14</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117</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214</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21</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1,051</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Sonsonate</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13</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368</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123</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47</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12</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93</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142</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22</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820</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Chalatenango</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14</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470</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51</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16</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10</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116</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117</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14</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808</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La Libertad</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44</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551</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110</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41</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15</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119</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184</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22</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1,086</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San Salvador</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101</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1,466</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333</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114</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51</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777</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507</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63</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3,412</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Cuscatlán</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6</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246</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32</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19</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10</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59</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79</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17</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468</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La Paz</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22</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360</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71</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30</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10</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69</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154</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24</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740</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Cabañas</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11</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165</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33</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6</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9</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42</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56</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6</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328</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San Vicente</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5</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241</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38</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8</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10</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67</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83</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14</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466</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Usulután</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8</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295</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100</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30</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31</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192</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184</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18</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858</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San Miguel</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13</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442</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123</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34</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18</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124</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189</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27</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970</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Morazán</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9</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203</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47</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13</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16</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107</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64</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8</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467</w:t>
            </w:r>
          </w:p>
        </w:tc>
      </w:tr>
      <w:tr w:rsidR="00CD2A5A">
        <w:trPr>
          <w:trHeight w:val="255"/>
          <w:jc w:val="center"/>
        </w:trPr>
        <w:tc>
          <w:tcPr>
            <w:tcW w:w="679" w:type="pct"/>
            <w:tcBorders>
              <w:top w:val="nil"/>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La Unión</w:t>
            </w:r>
          </w:p>
        </w:tc>
        <w:tc>
          <w:tcPr>
            <w:tcW w:w="415" w:type="pct"/>
            <w:tcBorders>
              <w:top w:val="nil"/>
              <w:left w:val="nil"/>
              <w:bottom w:val="single" w:sz="4"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9</w:t>
            </w:r>
          </w:p>
        </w:tc>
        <w:tc>
          <w:tcPr>
            <w:tcW w:w="59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213</w:t>
            </w:r>
          </w:p>
        </w:tc>
        <w:tc>
          <w:tcPr>
            <w:tcW w:w="414" w:type="pct"/>
            <w:tcBorders>
              <w:top w:val="nil"/>
              <w:left w:val="nil"/>
              <w:bottom w:val="single" w:sz="4"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35</w:t>
            </w:r>
          </w:p>
        </w:tc>
        <w:tc>
          <w:tcPr>
            <w:tcW w:w="608" w:type="pct"/>
            <w:tcBorders>
              <w:top w:val="nil"/>
              <w:left w:val="nil"/>
              <w:bottom w:val="single" w:sz="4"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8</w:t>
            </w:r>
          </w:p>
        </w:tc>
        <w:tc>
          <w:tcPr>
            <w:tcW w:w="49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11</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81</w:t>
            </w:r>
          </w:p>
        </w:tc>
        <w:tc>
          <w:tcPr>
            <w:tcW w:w="483"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85</w:t>
            </w:r>
          </w:p>
        </w:tc>
        <w:tc>
          <w:tcPr>
            <w:tcW w:w="462" w:type="pct"/>
            <w:tcBorders>
              <w:top w:val="nil"/>
              <w:left w:val="nil"/>
              <w:bottom w:val="single" w:sz="4"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12</w:t>
            </w:r>
          </w:p>
        </w:tc>
        <w:tc>
          <w:tcPr>
            <w:tcW w:w="391" w:type="pct"/>
            <w:tcBorders>
              <w:top w:val="nil"/>
              <w:left w:val="nil"/>
              <w:bottom w:val="single" w:sz="4"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454</w:t>
            </w:r>
          </w:p>
        </w:tc>
      </w:tr>
      <w:tr w:rsidR="00CD2A5A">
        <w:trPr>
          <w:trHeight w:val="255"/>
          <w:jc w:val="center"/>
        </w:trPr>
        <w:tc>
          <w:tcPr>
            <w:tcW w:w="679" w:type="pct"/>
            <w:tcBorders>
              <w:top w:val="nil"/>
              <w:left w:val="single" w:sz="2" w:space="0" w:color="auto"/>
              <w:bottom w:val="single" w:sz="6" w:space="0" w:color="auto"/>
              <w:right w:val="single" w:sz="4" w:space="0" w:color="auto"/>
            </w:tcBorders>
            <w:noWrap/>
            <w:vAlign w:val="bottom"/>
          </w:tcPr>
          <w:p w:rsidR="00CD2A5A" w:rsidRDefault="00CD2A5A">
            <w:pPr>
              <w:spacing w:before="40" w:after="40"/>
              <w:rPr>
                <w:sz w:val="20"/>
                <w:szCs w:val="20"/>
                <w:lang w:val="es-SV"/>
              </w:rPr>
            </w:pPr>
            <w:r>
              <w:rPr>
                <w:sz w:val="20"/>
                <w:szCs w:val="20"/>
                <w:lang w:val="es-SV"/>
              </w:rPr>
              <w:t>Total</w:t>
            </w:r>
          </w:p>
        </w:tc>
        <w:tc>
          <w:tcPr>
            <w:tcW w:w="415" w:type="pct"/>
            <w:tcBorders>
              <w:top w:val="nil"/>
              <w:left w:val="nil"/>
              <w:bottom w:val="single" w:sz="6" w:space="0" w:color="auto"/>
              <w:right w:val="single" w:sz="4" w:space="0" w:color="auto"/>
            </w:tcBorders>
            <w:noWrap/>
            <w:vAlign w:val="bottom"/>
          </w:tcPr>
          <w:p w:rsidR="00CD2A5A" w:rsidRDefault="00CD2A5A">
            <w:pPr>
              <w:spacing w:before="40" w:after="40"/>
              <w:ind w:right="113"/>
              <w:rPr>
                <w:sz w:val="20"/>
                <w:szCs w:val="20"/>
                <w:lang w:val="es-SV"/>
              </w:rPr>
            </w:pPr>
            <w:r>
              <w:rPr>
                <w:sz w:val="20"/>
                <w:szCs w:val="20"/>
                <w:lang w:val="es-SV"/>
              </w:rPr>
              <w:t>285</w:t>
            </w:r>
          </w:p>
        </w:tc>
        <w:tc>
          <w:tcPr>
            <w:tcW w:w="592" w:type="pct"/>
            <w:tcBorders>
              <w:top w:val="nil"/>
              <w:left w:val="nil"/>
              <w:bottom w:val="single" w:sz="6"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5,982</w:t>
            </w:r>
          </w:p>
        </w:tc>
        <w:tc>
          <w:tcPr>
            <w:tcW w:w="414" w:type="pct"/>
            <w:tcBorders>
              <w:top w:val="nil"/>
              <w:left w:val="nil"/>
              <w:bottom w:val="single" w:sz="6" w:space="0" w:color="auto"/>
              <w:right w:val="single" w:sz="4" w:space="0" w:color="auto"/>
            </w:tcBorders>
            <w:noWrap/>
            <w:vAlign w:val="bottom"/>
          </w:tcPr>
          <w:p w:rsidR="00CD2A5A" w:rsidRDefault="00CD2A5A">
            <w:pPr>
              <w:spacing w:before="40" w:after="40"/>
              <w:jc w:val="right"/>
              <w:rPr>
                <w:sz w:val="20"/>
                <w:szCs w:val="20"/>
                <w:lang w:val="es-SV"/>
              </w:rPr>
            </w:pPr>
            <w:r>
              <w:rPr>
                <w:sz w:val="20"/>
                <w:szCs w:val="20"/>
                <w:lang w:val="es-SV"/>
              </w:rPr>
              <w:t>1,257</w:t>
            </w:r>
          </w:p>
        </w:tc>
        <w:tc>
          <w:tcPr>
            <w:tcW w:w="608" w:type="pct"/>
            <w:tcBorders>
              <w:top w:val="nil"/>
              <w:left w:val="nil"/>
              <w:bottom w:val="single" w:sz="6" w:space="0" w:color="auto"/>
              <w:right w:val="single" w:sz="4" w:space="0" w:color="auto"/>
            </w:tcBorders>
            <w:noWrap/>
            <w:vAlign w:val="bottom"/>
          </w:tcPr>
          <w:p w:rsidR="00CD2A5A" w:rsidRDefault="00CD2A5A">
            <w:pPr>
              <w:spacing w:before="40" w:after="40"/>
              <w:ind w:right="202"/>
              <w:jc w:val="right"/>
              <w:rPr>
                <w:sz w:val="20"/>
                <w:szCs w:val="20"/>
                <w:lang w:val="es-SV"/>
              </w:rPr>
            </w:pPr>
            <w:r>
              <w:rPr>
                <w:sz w:val="20"/>
                <w:szCs w:val="20"/>
                <w:lang w:val="es-SV"/>
              </w:rPr>
              <w:t>456</w:t>
            </w:r>
          </w:p>
        </w:tc>
        <w:tc>
          <w:tcPr>
            <w:tcW w:w="493" w:type="pct"/>
            <w:tcBorders>
              <w:top w:val="nil"/>
              <w:left w:val="nil"/>
              <w:bottom w:val="single" w:sz="6"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219</w:t>
            </w:r>
          </w:p>
        </w:tc>
        <w:tc>
          <w:tcPr>
            <w:tcW w:w="462" w:type="pct"/>
            <w:tcBorders>
              <w:top w:val="nil"/>
              <w:left w:val="nil"/>
              <w:bottom w:val="single" w:sz="6"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2,027</w:t>
            </w:r>
          </w:p>
        </w:tc>
        <w:tc>
          <w:tcPr>
            <w:tcW w:w="483" w:type="pct"/>
            <w:tcBorders>
              <w:top w:val="nil"/>
              <w:left w:val="nil"/>
              <w:bottom w:val="single" w:sz="6"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2,160</w:t>
            </w:r>
          </w:p>
        </w:tc>
        <w:tc>
          <w:tcPr>
            <w:tcW w:w="462" w:type="pct"/>
            <w:tcBorders>
              <w:top w:val="nil"/>
              <w:left w:val="nil"/>
              <w:bottom w:val="single" w:sz="6" w:space="0" w:color="auto"/>
              <w:right w:val="single" w:sz="4" w:space="0" w:color="auto"/>
            </w:tcBorders>
            <w:noWrap/>
            <w:vAlign w:val="bottom"/>
          </w:tcPr>
          <w:p w:rsidR="00CD2A5A" w:rsidRDefault="00CD2A5A">
            <w:pPr>
              <w:spacing w:before="40" w:after="40"/>
              <w:ind w:right="113"/>
              <w:jc w:val="right"/>
              <w:rPr>
                <w:sz w:val="20"/>
                <w:szCs w:val="20"/>
                <w:lang w:val="es-SV"/>
              </w:rPr>
            </w:pPr>
            <w:r>
              <w:rPr>
                <w:sz w:val="20"/>
                <w:szCs w:val="20"/>
                <w:lang w:val="es-SV"/>
              </w:rPr>
              <w:t>288</w:t>
            </w:r>
          </w:p>
        </w:tc>
        <w:tc>
          <w:tcPr>
            <w:tcW w:w="391" w:type="pct"/>
            <w:tcBorders>
              <w:top w:val="nil"/>
              <w:left w:val="nil"/>
              <w:bottom w:val="single" w:sz="6" w:space="0" w:color="auto"/>
              <w:right w:val="single" w:sz="6" w:space="0" w:color="auto"/>
            </w:tcBorders>
            <w:noWrap/>
            <w:vAlign w:val="bottom"/>
          </w:tcPr>
          <w:p w:rsidR="00CD2A5A" w:rsidRDefault="00CD2A5A">
            <w:pPr>
              <w:spacing w:before="40" w:after="40"/>
              <w:jc w:val="right"/>
              <w:rPr>
                <w:sz w:val="20"/>
                <w:szCs w:val="20"/>
                <w:lang w:val="es-SV"/>
              </w:rPr>
            </w:pPr>
            <w:r>
              <w:rPr>
                <w:sz w:val="20"/>
                <w:szCs w:val="20"/>
                <w:lang w:val="es-SV"/>
              </w:rPr>
              <w:t>12,674</w:t>
            </w:r>
          </w:p>
        </w:tc>
      </w:tr>
    </w:tbl>
    <w:p w:rsidR="00CD2A5A" w:rsidRDefault="00CD2A5A">
      <w:pPr>
        <w:pStyle w:val="Source"/>
      </w:pPr>
      <w:r>
        <w:rPr>
          <w:i/>
        </w:rPr>
        <w:t>Source</w:t>
      </w:r>
      <w:r>
        <w:t>: Enrolment census 2006. MINED</w:t>
      </w:r>
    </w:p>
    <w:p w:rsidR="00CD2A5A" w:rsidRDefault="00CD2A5A">
      <w:pPr>
        <w:numPr>
          <w:ilvl w:val="0"/>
          <w:numId w:val="3"/>
        </w:numPr>
        <w:tabs>
          <w:tab w:val="clear" w:pos="720"/>
        </w:tabs>
        <w:spacing w:after="240"/>
        <w:ind w:left="0" w:firstLine="0"/>
        <w:rPr>
          <w:lang w:val="en-US"/>
        </w:rPr>
      </w:pPr>
      <w:r>
        <w:rPr>
          <w:lang w:val="en-GB"/>
        </w:rPr>
        <w:t>Special education has been offered for more than 60 years in El Salvador.</w:t>
      </w:r>
      <w:r>
        <w:rPr>
          <w:lang w:val="en-US"/>
        </w:rPr>
        <w:t xml:space="preserve"> </w:t>
      </w:r>
      <w:r>
        <w:rPr>
          <w:lang w:val="en-GB"/>
        </w:rPr>
        <w:t>Educational for the disabled has generally been a major challenge, not only for reasons related to the educational environment but also mainly on account of factors linked to the country’s social and cultural environment, notably the following:</w:t>
      </w:r>
      <w:r>
        <w:rPr>
          <w:lang w:val="en-US"/>
        </w:rPr>
        <w:t xml:space="preserve"> </w:t>
      </w:r>
      <w:r>
        <w:rPr>
          <w:lang w:val="en-GB"/>
        </w:rPr>
        <w:t>failure to identify disability at an early stage; social myths about disability; low expectations of the disabled population; scattered demand for educational services, making it difficult to open specialist services; and a general lack of knowledge about disability in society.</w:t>
      </w:r>
      <w:r>
        <w:rPr>
          <w:lang w:val="en-US"/>
        </w:rPr>
        <w:t xml:space="preserve"> </w:t>
      </w:r>
      <w:r>
        <w:rPr>
          <w:lang w:val="en-GB"/>
        </w:rPr>
        <w:t>These reasons have made it harder to tackle the situation, mainly in rural areas; however, efforts are being made to provide the disabled population with educational services in both regular schools and specialist services, as required.</w:t>
      </w:r>
    </w:p>
    <w:p w:rsidR="00CD2A5A" w:rsidRDefault="00CD2A5A">
      <w:pPr>
        <w:pStyle w:val="Header"/>
        <w:numPr>
          <w:ilvl w:val="0"/>
          <w:numId w:val="3"/>
        </w:numPr>
        <w:tabs>
          <w:tab w:val="clear" w:pos="720"/>
          <w:tab w:val="clear" w:pos="4252"/>
        </w:tabs>
        <w:spacing w:after="240"/>
        <w:ind w:left="0" w:firstLine="0"/>
        <w:rPr>
          <w:spacing w:val="-2"/>
          <w:lang w:val="en-US"/>
        </w:rPr>
      </w:pPr>
      <w:r>
        <w:rPr>
          <w:spacing w:val="-2"/>
          <w:lang w:val="en-GB"/>
        </w:rPr>
        <w:t>The plans implemented by MINED for caring for disabled children also include measures to support teachers in catering effectively for persons with special educational needs.</w:t>
      </w:r>
      <w:r>
        <w:rPr>
          <w:spacing w:val="-2"/>
          <w:lang w:val="en-US"/>
        </w:rPr>
        <w:t xml:space="preserve"> </w:t>
      </w:r>
      <w:r>
        <w:rPr>
          <w:spacing w:val="-2"/>
          <w:lang w:val="en-GB"/>
        </w:rPr>
        <w:t>MINED has devised and given courses for school teachers specializing in caring for children who are deaf or blind or suffer from mental retardation, and devised Catering for Diversity Modules for regular teachers.</w:t>
      </w:r>
      <w:r>
        <w:rPr>
          <w:spacing w:val="-2"/>
          <w:lang w:val="en-US"/>
        </w:rPr>
        <w:t xml:space="preserve"> </w:t>
      </w:r>
      <w:r>
        <w:rPr>
          <w:spacing w:val="-2"/>
          <w:lang w:val="en-GB"/>
        </w:rPr>
        <w:t>Efforts have also been made to increase the provision of support and teaching materials for the visually impaired, for example by providing:</w:t>
      </w:r>
      <w:r>
        <w:rPr>
          <w:spacing w:val="-2"/>
          <w:lang w:val="en-US"/>
        </w:rPr>
        <w:t xml:space="preserve"> </w:t>
      </w:r>
      <w:r>
        <w:rPr>
          <w:spacing w:val="-2"/>
          <w:lang w:val="en-GB"/>
        </w:rPr>
        <w:t>specialist school and classroom libraries for 30 special education schools and five schools for the deaf; basic specialist material for 152 blind students catered for by various means in the system; Perkins machines for the blind for 10 rural educational establishments; and flexible education offers to ensure access for hearing-impaired and blind students to literacy clubs for the deaf and the blind; distance learning and proficiency exams.</w:t>
      </w:r>
      <w:r>
        <w:rPr>
          <w:spacing w:val="-2"/>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policy and regulations for special educational needs were drafted with four strategic lines in mind:</w:t>
      </w:r>
      <w:r>
        <w:rPr>
          <w:lang w:val="en-US"/>
        </w:rPr>
        <w:t xml:space="preserve"> </w:t>
      </w:r>
      <w:r>
        <w:rPr>
          <w:lang w:val="en-GB"/>
        </w:rPr>
        <w:t>administrative organization, provision of educational services, professional care for special educational needs, and participation and awareness-raising.</w:t>
      </w:r>
      <w:r>
        <w:rPr>
          <w:lang w:val="en-US"/>
        </w:rPr>
        <w:t xml:space="preserve"> </w:t>
      </w:r>
      <w:r>
        <w:rPr>
          <w:lang w:val="en-GB"/>
        </w:rPr>
        <w:t>These strategic lines aim to stimulate the national education system by determining responsibilities at central, departmental and local levels; diversifying the provision of educational services; promoting ongoing training of the professionals involved, and guiding, promoting and publicizing the schooling process of disabled students.</w:t>
      </w:r>
      <w:r>
        <w:rPr>
          <w:lang w:val="en-US"/>
        </w:rPr>
        <w:t xml:space="preserve"> </w:t>
      </w:r>
      <w:r>
        <w:rPr>
          <w:lang w:val="en-GB"/>
        </w:rPr>
        <w:t>It is important to stress the leading role of regular educational establishments and the guiding role of special education schools.</w:t>
      </w:r>
    </w:p>
    <w:p w:rsidR="00CD2A5A" w:rsidRDefault="00CD2A5A">
      <w:pPr>
        <w:numPr>
          <w:ilvl w:val="0"/>
          <w:numId w:val="3"/>
        </w:numPr>
        <w:tabs>
          <w:tab w:val="clear" w:pos="720"/>
        </w:tabs>
        <w:spacing w:after="240"/>
        <w:ind w:left="0" w:firstLine="0"/>
        <w:rPr>
          <w:spacing w:val="-2"/>
          <w:lang w:val="en-US"/>
        </w:rPr>
      </w:pPr>
      <w:r>
        <w:rPr>
          <w:spacing w:val="-2"/>
          <w:lang w:val="en-GB"/>
        </w:rPr>
        <w:t>The structure of the MINED Special Education Unit was redesigned in order to broaden the scope of action when catering for the education of disabled students from central level.</w:t>
      </w:r>
      <w:r>
        <w:rPr>
          <w:spacing w:val="-2"/>
          <w:lang w:val="en-US"/>
        </w:rPr>
        <w:t xml:space="preserve"> </w:t>
      </w:r>
      <w:r>
        <w:rPr>
          <w:spacing w:val="-2"/>
          <w:lang w:val="en-GB"/>
        </w:rPr>
        <w:t>In this new context the Department for Special Educational Needs was set up, with two levels of coordination:</w:t>
      </w:r>
      <w:r>
        <w:rPr>
          <w:spacing w:val="-2"/>
          <w:lang w:val="en-US"/>
        </w:rPr>
        <w:t xml:space="preserve"> </w:t>
      </w:r>
      <w:r>
        <w:rPr>
          <w:spacing w:val="-2"/>
          <w:lang w:val="en-GB"/>
        </w:rPr>
        <w:t>support for students and guidance and resources for diversity.</w:t>
      </w:r>
      <w:r>
        <w:rPr>
          <w:spacing w:val="-2"/>
          <w:lang w:val="en-US"/>
        </w:rPr>
        <w:t xml:space="preserve"> </w:t>
      </w:r>
      <w:r>
        <w:rPr>
          <w:spacing w:val="-2"/>
          <w:lang w:val="en-GB"/>
        </w:rPr>
        <w:t>Both levels aim to ensure that the approach for catering for diversity can permeate throughout the entire education system.</w:t>
      </w:r>
    </w:p>
    <w:p w:rsidR="00CD2A5A" w:rsidRDefault="00CD2A5A">
      <w:pPr>
        <w:numPr>
          <w:ilvl w:val="0"/>
          <w:numId w:val="3"/>
        </w:numPr>
        <w:tabs>
          <w:tab w:val="clear" w:pos="720"/>
        </w:tabs>
        <w:spacing w:after="240"/>
        <w:ind w:left="0" w:firstLine="0"/>
        <w:rPr>
          <w:lang w:val="en-US"/>
        </w:rPr>
      </w:pPr>
      <w:r>
        <w:rPr>
          <w:lang w:val="en-GB"/>
        </w:rPr>
        <w:t xml:space="preserve">In particular, Student Support Coordination is the body responsible for designing, implementing and providing specialist curricular and teaching support resources, to guarantee access to the curriculum for students with special educational needs, with or without disabilities or outstanding skills, in the regular education system. </w:t>
      </w:r>
      <w:r>
        <w:rPr>
          <w:lang w:val="en-US"/>
        </w:rPr>
        <w:t xml:space="preserve"> </w:t>
      </w:r>
      <w:r>
        <w:rPr>
          <w:lang w:val="en-GB"/>
        </w:rPr>
        <w:t>Meanwhile, Guidance and Resources for Diversity Coordination is responsible for devising educational strategies and resources to offer guidance to teachers on educational responses for catering for diversity and to parents of students undergoing prevention and assessment processes.</w:t>
      </w:r>
      <w:r>
        <w:rPr>
          <w:lang w:val="en-US"/>
        </w:rPr>
        <w:t xml:space="preserve"> </w:t>
      </w:r>
      <w:r>
        <w:rPr>
          <w:lang w:val="en-GB"/>
        </w:rPr>
        <w:t>The preliminary data obtained from the Enrolment Census 2006 reveal more than 12,000 disabled children in the various facilities offered by the system:</w:t>
      </w:r>
      <w:r>
        <w:rPr>
          <w:lang w:val="en-US"/>
        </w:rPr>
        <w:t xml:space="preserve"> </w:t>
      </w:r>
      <w:r>
        <w:rPr>
          <w:lang w:val="en-GB"/>
        </w:rPr>
        <w:t>special education schools, regular schools, literacy clubs for the deaf and the blind, distance learning, being served and supported in the regular educational establishments that they are attending.</w:t>
      </w:r>
    </w:p>
    <w:p w:rsidR="00CD2A5A" w:rsidRDefault="00CD2A5A">
      <w:pPr>
        <w:pStyle w:val="Header"/>
        <w:numPr>
          <w:ilvl w:val="0"/>
          <w:numId w:val="3"/>
        </w:numPr>
        <w:tabs>
          <w:tab w:val="clear" w:pos="720"/>
          <w:tab w:val="clear" w:pos="4252"/>
        </w:tabs>
        <w:spacing w:after="240"/>
        <w:ind w:left="0" w:firstLine="0"/>
        <w:rPr>
          <w:lang w:val="en-US"/>
        </w:rPr>
      </w:pPr>
      <w:r>
        <w:rPr>
          <w:lang w:val="en-GB"/>
        </w:rPr>
        <w:t>Regarding teacher training, under the “skilled and motivated teachers” educational policy of the Department of Professional Teacher Development of the Ministry of Education, four specialist courses for the level of elementary education are being run in the fields of mental retardation, hearing impairment, learning difficulties and emotional problems.</w:t>
      </w:r>
      <w:r>
        <w:rPr>
          <w:lang w:val="en-US"/>
        </w:rPr>
        <w:t xml:space="preserve"> </w:t>
      </w:r>
      <w:r>
        <w:rPr>
          <w:lang w:val="en-GB"/>
        </w:rPr>
        <w:t>Furthermore, the Department is taking part in the revision of the language and mathematics modules for the network of institutions in the Comprendo programme, with a view to ensuring that they incorporate an approach catering for diversity.</w:t>
      </w:r>
    </w:p>
    <w:p w:rsidR="00CD2A5A" w:rsidRDefault="00CD2A5A">
      <w:pPr>
        <w:pStyle w:val="Header"/>
        <w:numPr>
          <w:ilvl w:val="0"/>
          <w:numId w:val="3"/>
        </w:numPr>
        <w:tabs>
          <w:tab w:val="clear" w:pos="720"/>
          <w:tab w:val="clear" w:pos="4252"/>
        </w:tabs>
        <w:spacing w:after="240"/>
        <w:ind w:left="0" w:firstLine="0"/>
        <w:rPr>
          <w:lang w:val="en-US"/>
        </w:rPr>
      </w:pPr>
      <w:r>
        <w:rPr>
          <w:lang w:val="en-GB"/>
        </w:rPr>
        <w:t>The redisign of regulatory tools for the various areas of care for disabled children is at a very advanced stage.</w:t>
      </w:r>
      <w:r>
        <w:rPr>
          <w:lang w:val="en-US"/>
        </w:rPr>
        <w:t xml:space="preserve"> </w:t>
      </w:r>
      <w:r>
        <w:rPr>
          <w:lang w:val="en-GB"/>
        </w:rPr>
        <w:t>The tools – all known as manuals – involved in the updating process are:</w:t>
      </w:r>
      <w:r>
        <w:rPr>
          <w:lang w:val="en-US"/>
        </w:rPr>
        <w:t xml:space="preserve"> </w:t>
      </w:r>
      <w:r>
        <w:rPr>
          <w:lang w:val="en-GB"/>
        </w:rPr>
        <w:t>the educational psychology service, service for the deaf, education support classroom and special education school.</w:t>
      </w:r>
    </w:p>
    <w:p w:rsidR="00CD2A5A" w:rsidRDefault="00CD2A5A">
      <w:pPr>
        <w:pStyle w:val="Header"/>
        <w:numPr>
          <w:ilvl w:val="0"/>
          <w:numId w:val="3"/>
        </w:numPr>
        <w:tabs>
          <w:tab w:val="clear" w:pos="720"/>
          <w:tab w:val="clear" w:pos="4252"/>
        </w:tabs>
        <w:spacing w:after="240"/>
        <w:ind w:left="0" w:firstLine="0"/>
        <w:rPr>
          <w:lang w:val="en-US"/>
        </w:rPr>
      </w:pPr>
      <w:r>
        <w:rPr>
          <w:lang w:val="en-GB"/>
        </w:rPr>
        <w:t>All the measures described above are covered by the Presidential Equality for All programme, a part of the National Education Plan 2021, which aims to guarantee education for students with special educational needs, with or without disabilities.</w:t>
      </w:r>
    </w:p>
    <w:p w:rsidR="00CD2A5A" w:rsidRDefault="00CD2A5A" w:rsidP="006228EF">
      <w:pPr>
        <w:pStyle w:val="A0"/>
        <w:rPr>
          <w:lang w:val="en-US"/>
        </w:rPr>
      </w:pPr>
      <w:r>
        <w:t>C.  Health and health services</w:t>
      </w:r>
    </w:p>
    <w:p w:rsidR="00CD2A5A" w:rsidRDefault="00CD2A5A">
      <w:pPr>
        <w:pStyle w:val="Header"/>
        <w:numPr>
          <w:ilvl w:val="0"/>
          <w:numId w:val="3"/>
        </w:numPr>
        <w:tabs>
          <w:tab w:val="clear" w:pos="720"/>
          <w:tab w:val="clear" w:pos="4252"/>
        </w:tabs>
        <w:spacing w:after="240"/>
        <w:ind w:left="0" w:firstLine="0"/>
        <w:rPr>
          <w:lang w:val="en-US"/>
        </w:rPr>
      </w:pPr>
      <w:r>
        <w:rPr>
          <w:lang w:val="en-GB"/>
        </w:rPr>
        <w:t>Furthermore, health care for children is still a priority for the State of El Salvador and it contiues to earmark funds for it, as the following table shows.</w:t>
      </w:r>
    </w:p>
    <w:p w:rsidR="00CD2A5A" w:rsidRDefault="00CD2A5A" w:rsidP="00C9246A">
      <w:pPr>
        <w:pStyle w:val="Figure"/>
        <w:spacing w:after="120"/>
        <w:rPr>
          <w:lang w:val="en-US"/>
        </w:rPr>
      </w:pPr>
      <w:r>
        <w:t>Figure 49</w:t>
      </w:r>
    </w:p>
    <w:p w:rsidR="00CD2A5A" w:rsidRDefault="00CD2A5A" w:rsidP="00C9246A">
      <w:pPr>
        <w:pStyle w:val="Figure"/>
        <w:spacing w:after="120"/>
      </w:pPr>
      <w:r>
        <w:t>Department of health service planning</w:t>
      </w:r>
    </w:p>
    <w:p w:rsidR="00CD2A5A" w:rsidRDefault="00CD2A5A" w:rsidP="00C9246A">
      <w:pPr>
        <w:pStyle w:val="Figure"/>
        <w:spacing w:after="120"/>
      </w:pPr>
      <w:r>
        <w:t>Health information unit</w:t>
      </w:r>
    </w:p>
    <w:p w:rsidR="00CD2A5A" w:rsidRDefault="00CD2A5A" w:rsidP="00C9246A">
      <w:pPr>
        <w:pStyle w:val="Figure"/>
        <w:spacing w:after="120"/>
      </w:pPr>
      <w:r>
        <w:t>Cost of child care, 2004, 2005, 2006</w:t>
      </w:r>
    </w:p>
    <w:p w:rsidR="00CD2A5A" w:rsidRDefault="00CD2A5A" w:rsidP="00C9246A">
      <w:pPr>
        <w:pStyle w:val="Figure"/>
        <w:spacing w:after="120"/>
      </w:pPr>
      <w:r>
        <w:t>Dollars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BF" w:firstRow="1" w:lastRow="0" w:firstColumn="1" w:lastColumn="0" w:noHBand="0" w:noVBand="0"/>
      </w:tblPr>
      <w:tblGrid>
        <w:gridCol w:w="505"/>
        <w:gridCol w:w="934"/>
        <w:gridCol w:w="527"/>
        <w:gridCol w:w="1092"/>
        <w:gridCol w:w="680"/>
        <w:gridCol w:w="1062"/>
        <w:gridCol w:w="1062"/>
        <w:gridCol w:w="678"/>
        <w:gridCol w:w="1062"/>
        <w:gridCol w:w="1146"/>
        <w:gridCol w:w="664"/>
      </w:tblGrid>
      <w:tr w:rsidR="00CD2A5A">
        <w:trPr>
          <w:jc w:val="center"/>
        </w:trPr>
        <w:tc>
          <w:tcPr>
            <w:tcW w:w="1986" w:type="pct"/>
            <w:gridSpan w:val="5"/>
            <w:tcBorders>
              <w:top w:val="single" w:sz="6" w:space="0" w:color="auto"/>
              <w:left w:val="single" w:sz="2" w:space="0" w:color="auto"/>
            </w:tcBorders>
            <w:vAlign w:val="center"/>
          </w:tcPr>
          <w:p w:rsidR="00CD2A5A" w:rsidRDefault="00CD2A5A">
            <w:pPr>
              <w:spacing w:before="40" w:after="40"/>
              <w:jc w:val="center"/>
              <w:rPr>
                <w:b/>
                <w:bCs/>
                <w:i/>
                <w:iCs/>
                <w:sz w:val="16"/>
                <w:szCs w:val="20"/>
                <w:lang w:val="en-GB"/>
              </w:rPr>
            </w:pPr>
            <w:r>
              <w:rPr>
                <w:b/>
                <w:bCs/>
                <w:i/>
                <w:iCs/>
                <w:sz w:val="16"/>
                <w:szCs w:val="20"/>
                <w:lang w:val="en-GB"/>
              </w:rPr>
              <w:t>Costs of hospital child care</w:t>
            </w:r>
          </w:p>
        </w:tc>
        <w:tc>
          <w:tcPr>
            <w:tcW w:w="3014" w:type="pct"/>
            <w:gridSpan w:val="6"/>
            <w:tcBorders>
              <w:top w:val="single" w:sz="6" w:space="0" w:color="auto"/>
              <w:right w:val="single" w:sz="6" w:space="0" w:color="auto"/>
            </w:tcBorders>
            <w:vAlign w:val="center"/>
          </w:tcPr>
          <w:p w:rsidR="00CD2A5A" w:rsidRDefault="00CD2A5A">
            <w:pPr>
              <w:spacing w:before="40" w:after="40"/>
              <w:jc w:val="center"/>
              <w:rPr>
                <w:b/>
                <w:bCs/>
                <w:i/>
                <w:iCs/>
                <w:sz w:val="16"/>
                <w:szCs w:val="20"/>
                <w:lang w:val="en-GB"/>
              </w:rPr>
            </w:pPr>
            <w:r>
              <w:rPr>
                <w:b/>
                <w:bCs/>
                <w:i/>
                <w:iCs/>
                <w:sz w:val="16"/>
                <w:szCs w:val="20"/>
                <w:lang w:val="en-GB"/>
              </w:rPr>
              <w:t>Costs of primary-level child care</w:t>
            </w:r>
          </w:p>
        </w:tc>
      </w:tr>
      <w:tr w:rsidR="00CD2A5A">
        <w:trPr>
          <w:cantSplit/>
          <w:jc w:val="center"/>
        </w:trPr>
        <w:tc>
          <w:tcPr>
            <w:tcW w:w="269" w:type="pct"/>
            <w:vMerge w:val="restart"/>
            <w:tcBorders>
              <w:left w:val="single" w:sz="2" w:space="0" w:color="auto"/>
            </w:tcBorders>
          </w:tcPr>
          <w:p w:rsidR="00CD2A5A" w:rsidRDefault="00CD2A5A">
            <w:pPr>
              <w:spacing w:before="40" w:after="40"/>
              <w:rPr>
                <w:b/>
                <w:bCs/>
                <w:i/>
                <w:iCs/>
                <w:sz w:val="16"/>
                <w:szCs w:val="20"/>
                <w:lang w:val="en-GB"/>
              </w:rPr>
            </w:pPr>
            <w:r>
              <w:rPr>
                <w:b/>
                <w:bCs/>
                <w:i/>
                <w:iCs/>
                <w:sz w:val="16"/>
                <w:szCs w:val="20"/>
                <w:lang w:val="en-GB"/>
              </w:rPr>
              <w:t>Year</w:t>
            </w:r>
          </w:p>
        </w:tc>
        <w:tc>
          <w:tcPr>
            <w:tcW w:w="776" w:type="pct"/>
            <w:gridSpan w:val="2"/>
            <w:vAlign w:val="center"/>
          </w:tcPr>
          <w:p w:rsidR="00CD2A5A" w:rsidRDefault="00CD2A5A">
            <w:pPr>
              <w:spacing w:before="40" w:after="40"/>
              <w:jc w:val="center"/>
              <w:rPr>
                <w:b/>
                <w:bCs/>
                <w:i/>
                <w:iCs/>
                <w:sz w:val="16"/>
                <w:szCs w:val="20"/>
                <w:lang w:val="en-GB"/>
              </w:rPr>
            </w:pPr>
            <w:r>
              <w:rPr>
                <w:b/>
                <w:bCs/>
                <w:i/>
                <w:iCs/>
                <w:sz w:val="16"/>
                <w:szCs w:val="20"/>
                <w:lang w:val="en-GB"/>
              </w:rPr>
              <w:t>Child check-ups</w:t>
            </w:r>
          </w:p>
        </w:tc>
        <w:tc>
          <w:tcPr>
            <w:tcW w:w="941" w:type="pct"/>
            <w:gridSpan w:val="2"/>
            <w:vAlign w:val="center"/>
          </w:tcPr>
          <w:p w:rsidR="00CD2A5A" w:rsidRDefault="00CD2A5A">
            <w:pPr>
              <w:spacing w:before="40" w:after="40"/>
              <w:jc w:val="center"/>
              <w:rPr>
                <w:b/>
                <w:bCs/>
                <w:i/>
                <w:iCs/>
                <w:sz w:val="16"/>
                <w:szCs w:val="20"/>
                <w:lang w:val="en-GB"/>
              </w:rPr>
            </w:pPr>
            <w:r>
              <w:rPr>
                <w:b/>
                <w:bCs/>
                <w:i/>
                <w:iCs/>
                <w:sz w:val="16"/>
                <w:szCs w:val="20"/>
                <w:lang w:val="en-GB"/>
              </w:rPr>
              <w:t>Child morbidity</w:t>
            </w:r>
          </w:p>
        </w:tc>
        <w:tc>
          <w:tcPr>
            <w:tcW w:w="1488" w:type="pct"/>
            <w:gridSpan w:val="3"/>
            <w:vAlign w:val="center"/>
          </w:tcPr>
          <w:p w:rsidR="00CD2A5A" w:rsidRDefault="00CD2A5A">
            <w:pPr>
              <w:spacing w:before="40" w:after="40"/>
              <w:jc w:val="center"/>
              <w:rPr>
                <w:b/>
                <w:bCs/>
                <w:i/>
                <w:iCs/>
                <w:sz w:val="16"/>
                <w:szCs w:val="20"/>
                <w:lang w:val="en-GB"/>
              </w:rPr>
            </w:pPr>
            <w:r>
              <w:rPr>
                <w:b/>
                <w:bCs/>
                <w:i/>
                <w:iCs/>
                <w:sz w:val="16"/>
                <w:szCs w:val="20"/>
                <w:lang w:val="en-GB"/>
              </w:rPr>
              <w:t>Child check-ups</w:t>
            </w:r>
          </w:p>
        </w:tc>
        <w:tc>
          <w:tcPr>
            <w:tcW w:w="1526" w:type="pct"/>
            <w:gridSpan w:val="3"/>
            <w:tcBorders>
              <w:right w:val="single" w:sz="6" w:space="0" w:color="auto"/>
            </w:tcBorders>
            <w:vAlign w:val="center"/>
          </w:tcPr>
          <w:p w:rsidR="00CD2A5A" w:rsidRDefault="00CD2A5A">
            <w:pPr>
              <w:spacing w:before="40" w:after="40"/>
              <w:jc w:val="center"/>
              <w:rPr>
                <w:b/>
                <w:bCs/>
                <w:i/>
                <w:iCs/>
                <w:sz w:val="16"/>
                <w:szCs w:val="20"/>
                <w:lang w:val="en-GB"/>
              </w:rPr>
            </w:pPr>
            <w:r>
              <w:rPr>
                <w:b/>
                <w:bCs/>
                <w:i/>
                <w:iCs/>
                <w:sz w:val="16"/>
                <w:szCs w:val="20"/>
                <w:lang w:val="en-GB"/>
              </w:rPr>
              <w:t>Child morbidity</w:t>
            </w:r>
          </w:p>
        </w:tc>
      </w:tr>
      <w:tr w:rsidR="00CD2A5A">
        <w:trPr>
          <w:cantSplit/>
          <w:jc w:val="center"/>
        </w:trPr>
        <w:tc>
          <w:tcPr>
            <w:tcW w:w="269" w:type="pct"/>
            <w:vMerge/>
            <w:tcBorders>
              <w:left w:val="single" w:sz="2" w:space="0" w:color="auto"/>
            </w:tcBorders>
          </w:tcPr>
          <w:p w:rsidR="00CD2A5A" w:rsidRDefault="00CD2A5A">
            <w:pPr>
              <w:spacing w:before="40" w:after="40"/>
              <w:rPr>
                <w:b/>
                <w:bCs/>
                <w:i/>
                <w:iCs/>
                <w:sz w:val="16"/>
                <w:szCs w:val="20"/>
                <w:lang w:val="en-GB"/>
              </w:rPr>
            </w:pPr>
          </w:p>
        </w:tc>
        <w:tc>
          <w:tcPr>
            <w:tcW w:w="496" w:type="pct"/>
            <w:vAlign w:val="center"/>
          </w:tcPr>
          <w:p w:rsidR="00CD2A5A" w:rsidRDefault="00CD2A5A">
            <w:pPr>
              <w:spacing w:before="40" w:after="40"/>
              <w:jc w:val="center"/>
              <w:rPr>
                <w:b/>
                <w:bCs/>
                <w:i/>
                <w:iCs/>
                <w:sz w:val="16"/>
                <w:szCs w:val="20"/>
                <w:lang w:val="en-GB"/>
              </w:rPr>
            </w:pPr>
            <w:r>
              <w:rPr>
                <w:b/>
                <w:bCs/>
                <w:i/>
                <w:iCs/>
                <w:sz w:val="16"/>
                <w:szCs w:val="20"/>
                <w:lang w:val="en-GB"/>
              </w:rPr>
              <w:t>Production</w:t>
            </w:r>
          </w:p>
        </w:tc>
        <w:tc>
          <w:tcPr>
            <w:tcW w:w="280" w:type="pct"/>
            <w:vAlign w:val="center"/>
          </w:tcPr>
          <w:p w:rsidR="00CD2A5A" w:rsidRDefault="00CD2A5A">
            <w:pPr>
              <w:spacing w:before="40" w:after="40"/>
              <w:jc w:val="center"/>
              <w:rPr>
                <w:b/>
                <w:bCs/>
                <w:i/>
                <w:iCs/>
                <w:sz w:val="16"/>
                <w:szCs w:val="20"/>
                <w:lang w:val="en-GB"/>
              </w:rPr>
            </w:pPr>
            <w:r>
              <w:rPr>
                <w:b/>
                <w:bCs/>
                <w:i/>
                <w:iCs/>
                <w:sz w:val="16"/>
                <w:szCs w:val="20"/>
                <w:lang w:val="en-GB"/>
              </w:rPr>
              <w:t>Unit cost</w:t>
            </w:r>
          </w:p>
        </w:tc>
        <w:tc>
          <w:tcPr>
            <w:tcW w:w="580" w:type="pct"/>
            <w:vAlign w:val="center"/>
          </w:tcPr>
          <w:p w:rsidR="00CD2A5A" w:rsidRDefault="00CD2A5A">
            <w:pPr>
              <w:spacing w:before="40" w:after="40"/>
              <w:jc w:val="center"/>
              <w:rPr>
                <w:b/>
                <w:bCs/>
                <w:i/>
                <w:iCs/>
                <w:sz w:val="16"/>
                <w:szCs w:val="20"/>
                <w:lang w:val="en-GB"/>
              </w:rPr>
            </w:pPr>
            <w:r>
              <w:rPr>
                <w:b/>
                <w:bCs/>
                <w:i/>
                <w:iCs/>
                <w:sz w:val="16"/>
                <w:szCs w:val="20"/>
                <w:lang w:val="en-GB"/>
              </w:rPr>
              <w:t>Production</w:t>
            </w:r>
          </w:p>
        </w:tc>
        <w:tc>
          <w:tcPr>
            <w:tcW w:w="361" w:type="pct"/>
            <w:vAlign w:val="center"/>
          </w:tcPr>
          <w:p w:rsidR="00CD2A5A" w:rsidRDefault="00CD2A5A">
            <w:pPr>
              <w:spacing w:before="40" w:after="40"/>
              <w:jc w:val="center"/>
              <w:rPr>
                <w:b/>
                <w:bCs/>
                <w:i/>
                <w:iCs/>
                <w:sz w:val="16"/>
                <w:szCs w:val="20"/>
                <w:lang w:val="en-GB"/>
              </w:rPr>
            </w:pPr>
            <w:r>
              <w:rPr>
                <w:b/>
                <w:bCs/>
                <w:i/>
                <w:iCs/>
                <w:sz w:val="16"/>
                <w:szCs w:val="20"/>
                <w:lang w:val="en-GB"/>
              </w:rPr>
              <w:t>Unit cost</w:t>
            </w:r>
          </w:p>
        </w:tc>
        <w:tc>
          <w:tcPr>
            <w:tcW w:w="564" w:type="pct"/>
            <w:vAlign w:val="center"/>
          </w:tcPr>
          <w:p w:rsidR="00CD2A5A" w:rsidRDefault="00CD2A5A">
            <w:pPr>
              <w:spacing w:before="40" w:after="40"/>
              <w:jc w:val="center"/>
              <w:rPr>
                <w:b/>
                <w:bCs/>
                <w:i/>
                <w:iCs/>
                <w:sz w:val="16"/>
                <w:szCs w:val="20"/>
                <w:lang w:val="en-GB"/>
              </w:rPr>
            </w:pPr>
            <w:r>
              <w:rPr>
                <w:b/>
                <w:bCs/>
                <w:i/>
                <w:iCs/>
                <w:sz w:val="16"/>
                <w:szCs w:val="20"/>
                <w:lang w:val="en-GB"/>
              </w:rPr>
              <w:t>Production</w:t>
            </w:r>
          </w:p>
        </w:tc>
        <w:tc>
          <w:tcPr>
            <w:tcW w:w="564" w:type="pct"/>
            <w:vAlign w:val="center"/>
          </w:tcPr>
          <w:p w:rsidR="00CD2A5A" w:rsidRDefault="00CD2A5A">
            <w:pPr>
              <w:spacing w:before="40" w:after="40"/>
              <w:jc w:val="center"/>
              <w:rPr>
                <w:b/>
                <w:bCs/>
                <w:i/>
                <w:iCs/>
                <w:sz w:val="16"/>
                <w:szCs w:val="20"/>
                <w:lang w:val="en-GB"/>
              </w:rPr>
            </w:pPr>
            <w:r>
              <w:rPr>
                <w:b/>
                <w:bCs/>
                <w:i/>
                <w:iCs/>
                <w:sz w:val="16"/>
                <w:szCs w:val="20"/>
                <w:lang w:val="en-GB"/>
              </w:rPr>
              <w:t>Total cost</w:t>
            </w:r>
          </w:p>
        </w:tc>
        <w:tc>
          <w:tcPr>
            <w:tcW w:w="360" w:type="pct"/>
            <w:vAlign w:val="center"/>
          </w:tcPr>
          <w:p w:rsidR="00CD2A5A" w:rsidRDefault="00CD2A5A">
            <w:pPr>
              <w:spacing w:before="40" w:after="40"/>
              <w:jc w:val="center"/>
              <w:rPr>
                <w:b/>
                <w:bCs/>
                <w:i/>
                <w:iCs/>
                <w:sz w:val="16"/>
                <w:szCs w:val="20"/>
                <w:lang w:val="en-GB"/>
              </w:rPr>
            </w:pPr>
            <w:r>
              <w:rPr>
                <w:b/>
                <w:bCs/>
                <w:i/>
                <w:iCs/>
                <w:sz w:val="16"/>
                <w:szCs w:val="20"/>
                <w:lang w:val="en-GB"/>
              </w:rPr>
              <w:t>Unit cost</w:t>
            </w:r>
          </w:p>
        </w:tc>
        <w:tc>
          <w:tcPr>
            <w:tcW w:w="564" w:type="pct"/>
            <w:vAlign w:val="center"/>
          </w:tcPr>
          <w:p w:rsidR="00CD2A5A" w:rsidRDefault="00CD2A5A">
            <w:pPr>
              <w:spacing w:before="40" w:after="40"/>
              <w:jc w:val="center"/>
              <w:rPr>
                <w:b/>
                <w:bCs/>
                <w:i/>
                <w:iCs/>
                <w:sz w:val="16"/>
                <w:szCs w:val="20"/>
                <w:lang w:val="en-GB"/>
              </w:rPr>
            </w:pPr>
            <w:r>
              <w:rPr>
                <w:b/>
                <w:bCs/>
                <w:i/>
                <w:iCs/>
                <w:sz w:val="16"/>
                <w:szCs w:val="20"/>
                <w:lang w:val="en-GB"/>
              </w:rPr>
              <w:t>Production</w:t>
            </w:r>
          </w:p>
        </w:tc>
        <w:tc>
          <w:tcPr>
            <w:tcW w:w="609" w:type="pct"/>
            <w:vAlign w:val="center"/>
          </w:tcPr>
          <w:p w:rsidR="00CD2A5A" w:rsidRDefault="00CD2A5A">
            <w:pPr>
              <w:spacing w:before="40" w:after="40"/>
              <w:jc w:val="center"/>
              <w:rPr>
                <w:b/>
                <w:bCs/>
                <w:i/>
                <w:iCs/>
                <w:sz w:val="16"/>
                <w:szCs w:val="20"/>
                <w:lang w:val="en-GB"/>
              </w:rPr>
            </w:pPr>
            <w:r>
              <w:rPr>
                <w:b/>
                <w:bCs/>
                <w:i/>
                <w:iCs/>
                <w:sz w:val="16"/>
                <w:szCs w:val="20"/>
                <w:lang w:val="en-GB"/>
              </w:rPr>
              <w:t>Total cost</w:t>
            </w:r>
          </w:p>
        </w:tc>
        <w:tc>
          <w:tcPr>
            <w:tcW w:w="353" w:type="pct"/>
            <w:tcBorders>
              <w:right w:val="single" w:sz="6" w:space="0" w:color="auto"/>
            </w:tcBorders>
            <w:vAlign w:val="center"/>
          </w:tcPr>
          <w:p w:rsidR="00CD2A5A" w:rsidRDefault="00CD2A5A">
            <w:pPr>
              <w:spacing w:before="40" w:after="40"/>
              <w:jc w:val="center"/>
              <w:rPr>
                <w:b/>
                <w:bCs/>
                <w:i/>
                <w:iCs/>
                <w:sz w:val="16"/>
                <w:szCs w:val="20"/>
                <w:lang w:val="en-GB"/>
              </w:rPr>
            </w:pPr>
            <w:r>
              <w:rPr>
                <w:b/>
                <w:bCs/>
                <w:i/>
                <w:iCs/>
                <w:sz w:val="16"/>
                <w:szCs w:val="20"/>
                <w:lang w:val="en-GB"/>
              </w:rPr>
              <w:t>Unit cost</w:t>
            </w:r>
          </w:p>
        </w:tc>
      </w:tr>
      <w:tr w:rsidR="00CD2A5A">
        <w:trPr>
          <w:jc w:val="center"/>
        </w:trPr>
        <w:tc>
          <w:tcPr>
            <w:tcW w:w="269" w:type="pct"/>
            <w:tcBorders>
              <w:left w:val="single" w:sz="2" w:space="0" w:color="auto"/>
            </w:tcBorders>
            <w:tcMar>
              <w:left w:w="28" w:type="dxa"/>
              <w:right w:w="28" w:type="dxa"/>
            </w:tcMar>
          </w:tcPr>
          <w:p w:rsidR="00CD2A5A" w:rsidRDefault="00CD2A5A">
            <w:pPr>
              <w:spacing w:before="40" w:after="40"/>
              <w:rPr>
                <w:sz w:val="16"/>
                <w:szCs w:val="20"/>
                <w:lang w:val="en-GB"/>
              </w:rPr>
            </w:pPr>
            <w:r>
              <w:rPr>
                <w:sz w:val="16"/>
                <w:szCs w:val="20"/>
                <w:lang w:val="en-GB"/>
              </w:rPr>
              <w:t>2004</w:t>
            </w:r>
          </w:p>
        </w:tc>
        <w:tc>
          <w:tcPr>
            <w:tcW w:w="496"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208,486.00</w:t>
            </w:r>
          </w:p>
        </w:tc>
        <w:tc>
          <w:tcPr>
            <w:tcW w:w="280"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14.80</w:t>
            </w:r>
          </w:p>
        </w:tc>
        <w:tc>
          <w:tcPr>
            <w:tcW w:w="580"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2,217,023.00</w:t>
            </w:r>
          </w:p>
        </w:tc>
        <w:tc>
          <w:tcPr>
            <w:tcW w:w="361"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15.40</w:t>
            </w:r>
          </w:p>
        </w:tc>
        <w:tc>
          <w:tcPr>
            <w:tcW w:w="564" w:type="pct"/>
            <w:vAlign w:val="center"/>
          </w:tcPr>
          <w:p w:rsidR="00CD2A5A" w:rsidRDefault="00CD2A5A">
            <w:pPr>
              <w:pStyle w:val="Style1"/>
              <w:adjustRightInd/>
              <w:spacing w:before="40" w:after="40"/>
              <w:jc w:val="center"/>
              <w:rPr>
                <w:bCs/>
                <w:spacing w:val="2"/>
                <w:sz w:val="16"/>
              </w:rPr>
            </w:pPr>
            <w:r>
              <w:rPr>
                <w:bCs/>
                <w:spacing w:val="2"/>
                <w:sz w:val="16"/>
              </w:rPr>
              <w:t>1,133,296.25</w:t>
            </w:r>
          </w:p>
        </w:tc>
        <w:tc>
          <w:tcPr>
            <w:tcW w:w="564" w:type="pct"/>
            <w:vAlign w:val="center"/>
          </w:tcPr>
          <w:p w:rsidR="00CD2A5A" w:rsidRDefault="00CD2A5A">
            <w:pPr>
              <w:pStyle w:val="Style1"/>
              <w:adjustRightInd/>
              <w:spacing w:before="40" w:after="40"/>
              <w:jc w:val="center"/>
              <w:rPr>
                <w:bCs/>
                <w:spacing w:val="2"/>
                <w:sz w:val="16"/>
              </w:rPr>
            </w:pPr>
            <w:r>
              <w:rPr>
                <w:bCs/>
                <w:spacing w:val="2"/>
                <w:sz w:val="16"/>
              </w:rPr>
              <w:t>4,576,183.23</w:t>
            </w:r>
          </w:p>
        </w:tc>
        <w:tc>
          <w:tcPr>
            <w:tcW w:w="360" w:type="pct"/>
            <w:vAlign w:val="center"/>
          </w:tcPr>
          <w:p w:rsidR="00CD2A5A" w:rsidRDefault="00CD2A5A">
            <w:pPr>
              <w:pStyle w:val="Style1"/>
              <w:adjustRightInd/>
              <w:spacing w:before="40" w:after="40"/>
              <w:jc w:val="center"/>
              <w:rPr>
                <w:bCs/>
                <w:spacing w:val="2"/>
                <w:sz w:val="16"/>
              </w:rPr>
            </w:pPr>
            <w:r>
              <w:rPr>
                <w:bCs/>
                <w:spacing w:val="2"/>
                <w:sz w:val="16"/>
              </w:rPr>
              <w:t>4.30</w:t>
            </w:r>
          </w:p>
        </w:tc>
        <w:tc>
          <w:tcPr>
            <w:tcW w:w="564" w:type="pct"/>
            <w:vAlign w:val="center"/>
          </w:tcPr>
          <w:p w:rsidR="00CD2A5A" w:rsidRDefault="00CD2A5A">
            <w:pPr>
              <w:pStyle w:val="Style1"/>
              <w:adjustRightInd/>
              <w:spacing w:before="40" w:after="40"/>
              <w:jc w:val="center"/>
              <w:rPr>
                <w:bCs/>
                <w:spacing w:val="2"/>
                <w:sz w:val="16"/>
              </w:rPr>
            </w:pPr>
            <w:r>
              <w:rPr>
                <w:bCs/>
                <w:spacing w:val="2"/>
                <w:sz w:val="16"/>
              </w:rPr>
              <w:t>2,080,574.36</w:t>
            </w:r>
          </w:p>
        </w:tc>
        <w:tc>
          <w:tcPr>
            <w:tcW w:w="609" w:type="pct"/>
            <w:vAlign w:val="center"/>
          </w:tcPr>
          <w:p w:rsidR="00CD2A5A" w:rsidRDefault="00CD2A5A">
            <w:pPr>
              <w:pStyle w:val="Style1"/>
              <w:adjustRightInd/>
              <w:spacing w:before="40" w:after="40"/>
              <w:jc w:val="center"/>
              <w:rPr>
                <w:bCs/>
                <w:spacing w:val="2"/>
                <w:sz w:val="16"/>
              </w:rPr>
            </w:pPr>
            <w:r>
              <w:rPr>
                <w:bCs/>
                <w:spacing w:val="2"/>
                <w:sz w:val="16"/>
              </w:rPr>
              <w:t>9,709,485.21</w:t>
            </w:r>
          </w:p>
        </w:tc>
        <w:tc>
          <w:tcPr>
            <w:tcW w:w="353" w:type="pct"/>
            <w:tcBorders>
              <w:right w:val="single" w:sz="6" w:space="0" w:color="auto"/>
            </w:tcBorders>
            <w:vAlign w:val="center"/>
          </w:tcPr>
          <w:p w:rsidR="00CD2A5A" w:rsidRDefault="00CD2A5A">
            <w:pPr>
              <w:pStyle w:val="Style1"/>
              <w:adjustRightInd/>
              <w:spacing w:before="40" w:after="40"/>
              <w:jc w:val="center"/>
              <w:rPr>
                <w:bCs/>
                <w:spacing w:val="2"/>
                <w:sz w:val="16"/>
              </w:rPr>
            </w:pPr>
            <w:r>
              <w:rPr>
                <w:bCs/>
                <w:spacing w:val="2"/>
                <w:sz w:val="16"/>
              </w:rPr>
              <w:t>4.64</w:t>
            </w:r>
          </w:p>
        </w:tc>
      </w:tr>
      <w:tr w:rsidR="00CD2A5A">
        <w:trPr>
          <w:jc w:val="center"/>
        </w:trPr>
        <w:tc>
          <w:tcPr>
            <w:tcW w:w="269" w:type="pct"/>
            <w:tcBorders>
              <w:left w:val="single" w:sz="2" w:space="0" w:color="auto"/>
            </w:tcBorders>
            <w:tcMar>
              <w:left w:w="28" w:type="dxa"/>
              <w:right w:w="28" w:type="dxa"/>
            </w:tcMar>
          </w:tcPr>
          <w:p w:rsidR="00CD2A5A" w:rsidRDefault="00CD2A5A">
            <w:pPr>
              <w:spacing w:before="40" w:after="40"/>
              <w:rPr>
                <w:sz w:val="16"/>
                <w:szCs w:val="20"/>
                <w:lang w:val="en-GB"/>
              </w:rPr>
            </w:pPr>
            <w:r>
              <w:rPr>
                <w:sz w:val="16"/>
                <w:szCs w:val="20"/>
                <w:lang w:val="en-GB"/>
              </w:rPr>
              <w:t>2005</w:t>
            </w:r>
          </w:p>
        </w:tc>
        <w:tc>
          <w:tcPr>
            <w:tcW w:w="496"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155,627.00</w:t>
            </w:r>
          </w:p>
        </w:tc>
        <w:tc>
          <w:tcPr>
            <w:tcW w:w="280"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14.56</w:t>
            </w:r>
          </w:p>
        </w:tc>
        <w:tc>
          <w:tcPr>
            <w:tcW w:w="580"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2,255,782.00</w:t>
            </w:r>
          </w:p>
        </w:tc>
        <w:tc>
          <w:tcPr>
            <w:tcW w:w="361" w:type="pct"/>
            <w:tcMar>
              <w:left w:w="28" w:type="dxa"/>
              <w:right w:w="28" w:type="dxa"/>
            </w:tcMar>
            <w:vAlign w:val="center"/>
          </w:tcPr>
          <w:p w:rsidR="00CD2A5A" w:rsidRDefault="00CD2A5A">
            <w:pPr>
              <w:pStyle w:val="Style1"/>
              <w:adjustRightInd/>
              <w:spacing w:before="40" w:after="40"/>
              <w:jc w:val="center"/>
              <w:rPr>
                <w:bCs/>
                <w:spacing w:val="2"/>
                <w:sz w:val="16"/>
              </w:rPr>
            </w:pPr>
            <w:r>
              <w:rPr>
                <w:bCs/>
                <w:spacing w:val="2"/>
                <w:sz w:val="16"/>
              </w:rPr>
              <w:t>17.24</w:t>
            </w:r>
          </w:p>
        </w:tc>
        <w:tc>
          <w:tcPr>
            <w:tcW w:w="564" w:type="pct"/>
            <w:vAlign w:val="center"/>
          </w:tcPr>
          <w:p w:rsidR="00CD2A5A" w:rsidRDefault="00CD2A5A">
            <w:pPr>
              <w:pStyle w:val="Style1"/>
              <w:adjustRightInd/>
              <w:spacing w:before="40" w:after="40"/>
              <w:jc w:val="center"/>
              <w:rPr>
                <w:bCs/>
                <w:spacing w:val="2"/>
                <w:sz w:val="16"/>
              </w:rPr>
            </w:pPr>
            <w:r>
              <w:rPr>
                <w:bCs/>
                <w:spacing w:val="2"/>
                <w:sz w:val="16"/>
              </w:rPr>
              <w:t>1,064,602.14</w:t>
            </w:r>
          </w:p>
        </w:tc>
        <w:tc>
          <w:tcPr>
            <w:tcW w:w="564" w:type="pct"/>
            <w:vAlign w:val="center"/>
          </w:tcPr>
          <w:p w:rsidR="00CD2A5A" w:rsidRDefault="00CD2A5A">
            <w:pPr>
              <w:pStyle w:val="Style1"/>
              <w:adjustRightInd/>
              <w:spacing w:before="40" w:after="40"/>
              <w:jc w:val="center"/>
              <w:rPr>
                <w:bCs/>
                <w:spacing w:val="2"/>
                <w:sz w:val="16"/>
              </w:rPr>
            </w:pPr>
            <w:r>
              <w:rPr>
                <w:bCs/>
                <w:spacing w:val="2"/>
                <w:sz w:val="16"/>
              </w:rPr>
              <w:t>6,123,168.19</w:t>
            </w:r>
          </w:p>
        </w:tc>
        <w:tc>
          <w:tcPr>
            <w:tcW w:w="360" w:type="pct"/>
            <w:vAlign w:val="center"/>
          </w:tcPr>
          <w:p w:rsidR="00CD2A5A" w:rsidRDefault="00CD2A5A">
            <w:pPr>
              <w:pStyle w:val="Style1"/>
              <w:adjustRightInd/>
              <w:spacing w:before="40" w:after="40"/>
              <w:jc w:val="center"/>
              <w:rPr>
                <w:bCs/>
                <w:spacing w:val="2"/>
                <w:sz w:val="16"/>
              </w:rPr>
            </w:pPr>
            <w:r>
              <w:rPr>
                <w:bCs/>
                <w:spacing w:val="2"/>
                <w:sz w:val="16"/>
              </w:rPr>
              <w:t>5.98</w:t>
            </w:r>
          </w:p>
        </w:tc>
        <w:tc>
          <w:tcPr>
            <w:tcW w:w="564" w:type="pct"/>
            <w:vAlign w:val="center"/>
          </w:tcPr>
          <w:p w:rsidR="00CD2A5A" w:rsidRDefault="00CD2A5A">
            <w:pPr>
              <w:pStyle w:val="Style1"/>
              <w:adjustRightInd/>
              <w:spacing w:before="40" w:after="40"/>
              <w:jc w:val="center"/>
              <w:rPr>
                <w:bCs/>
                <w:spacing w:val="2"/>
                <w:sz w:val="16"/>
              </w:rPr>
            </w:pPr>
            <w:r>
              <w:rPr>
                <w:bCs/>
                <w:spacing w:val="2"/>
                <w:sz w:val="16"/>
              </w:rPr>
              <w:t>2,029,929.94</w:t>
            </w:r>
          </w:p>
        </w:tc>
        <w:tc>
          <w:tcPr>
            <w:tcW w:w="609" w:type="pct"/>
            <w:vAlign w:val="center"/>
          </w:tcPr>
          <w:p w:rsidR="00CD2A5A" w:rsidRDefault="00CD2A5A">
            <w:pPr>
              <w:pStyle w:val="Style1"/>
              <w:adjustRightInd/>
              <w:spacing w:before="40" w:after="40"/>
              <w:jc w:val="center"/>
              <w:rPr>
                <w:bCs/>
                <w:spacing w:val="2"/>
                <w:sz w:val="16"/>
              </w:rPr>
            </w:pPr>
            <w:r>
              <w:rPr>
                <w:bCs/>
                <w:spacing w:val="2"/>
                <w:sz w:val="16"/>
              </w:rPr>
              <w:t>12,005,318.17</w:t>
            </w:r>
          </w:p>
        </w:tc>
        <w:tc>
          <w:tcPr>
            <w:tcW w:w="353" w:type="pct"/>
            <w:tcBorders>
              <w:right w:val="single" w:sz="6" w:space="0" w:color="auto"/>
            </w:tcBorders>
            <w:vAlign w:val="center"/>
          </w:tcPr>
          <w:p w:rsidR="00CD2A5A" w:rsidRDefault="00CD2A5A">
            <w:pPr>
              <w:pStyle w:val="Style1"/>
              <w:adjustRightInd/>
              <w:spacing w:before="40" w:after="40"/>
              <w:jc w:val="center"/>
              <w:rPr>
                <w:bCs/>
                <w:spacing w:val="2"/>
                <w:sz w:val="16"/>
              </w:rPr>
            </w:pPr>
            <w:r>
              <w:rPr>
                <w:bCs/>
                <w:spacing w:val="2"/>
                <w:sz w:val="16"/>
              </w:rPr>
              <w:t>5.43</w:t>
            </w:r>
          </w:p>
        </w:tc>
      </w:tr>
      <w:tr w:rsidR="00CD2A5A">
        <w:trPr>
          <w:jc w:val="center"/>
        </w:trPr>
        <w:tc>
          <w:tcPr>
            <w:tcW w:w="269" w:type="pct"/>
            <w:tcBorders>
              <w:left w:val="single" w:sz="2" w:space="0" w:color="auto"/>
            </w:tcBorders>
            <w:tcMar>
              <w:left w:w="28" w:type="dxa"/>
              <w:right w:w="28" w:type="dxa"/>
            </w:tcMar>
          </w:tcPr>
          <w:p w:rsidR="00CD2A5A" w:rsidRDefault="00CD2A5A">
            <w:pPr>
              <w:spacing w:before="40" w:after="40"/>
              <w:rPr>
                <w:sz w:val="16"/>
                <w:szCs w:val="20"/>
                <w:lang w:val="en-GB"/>
              </w:rPr>
            </w:pPr>
            <w:r>
              <w:rPr>
                <w:sz w:val="16"/>
                <w:szCs w:val="20"/>
                <w:lang w:val="en-GB"/>
              </w:rPr>
              <w:t>2006</w:t>
            </w:r>
          </w:p>
        </w:tc>
        <w:tc>
          <w:tcPr>
            <w:tcW w:w="1717" w:type="pct"/>
            <w:gridSpan w:val="4"/>
            <w:tcMar>
              <w:left w:w="28" w:type="dxa"/>
              <w:right w:w="28" w:type="dxa"/>
            </w:tcMar>
          </w:tcPr>
          <w:p w:rsidR="00CD2A5A" w:rsidRDefault="00CD2A5A">
            <w:pPr>
              <w:spacing w:before="40" w:after="40"/>
              <w:rPr>
                <w:sz w:val="16"/>
                <w:szCs w:val="20"/>
                <w:lang w:val="en-GB"/>
              </w:rPr>
            </w:pPr>
            <w:r>
              <w:rPr>
                <w:sz w:val="16"/>
                <w:szCs w:val="20"/>
                <w:lang w:val="en-GB"/>
              </w:rPr>
              <w:t>Scrubbed data not yet available</w:t>
            </w:r>
          </w:p>
        </w:tc>
        <w:tc>
          <w:tcPr>
            <w:tcW w:w="564" w:type="pct"/>
            <w:vAlign w:val="center"/>
          </w:tcPr>
          <w:p w:rsidR="00CD2A5A" w:rsidRDefault="00CD2A5A">
            <w:pPr>
              <w:pStyle w:val="Header"/>
              <w:tabs>
                <w:tab w:val="clear" w:pos="4252"/>
              </w:tabs>
              <w:spacing w:before="40" w:after="40"/>
              <w:jc w:val="center"/>
              <w:rPr>
                <w:bCs/>
                <w:spacing w:val="2"/>
                <w:sz w:val="16"/>
                <w:szCs w:val="20"/>
              </w:rPr>
            </w:pPr>
            <w:r>
              <w:rPr>
                <w:bCs/>
                <w:spacing w:val="2"/>
                <w:sz w:val="16"/>
                <w:szCs w:val="20"/>
              </w:rPr>
              <w:t>1,070,643.05</w:t>
            </w:r>
          </w:p>
        </w:tc>
        <w:tc>
          <w:tcPr>
            <w:tcW w:w="564" w:type="pct"/>
            <w:vAlign w:val="center"/>
          </w:tcPr>
          <w:p w:rsidR="00CD2A5A" w:rsidRDefault="00CD2A5A">
            <w:pPr>
              <w:pStyle w:val="Header"/>
              <w:tabs>
                <w:tab w:val="clear" w:pos="4252"/>
              </w:tabs>
              <w:spacing w:before="40" w:after="40"/>
              <w:jc w:val="center"/>
              <w:rPr>
                <w:bCs/>
                <w:spacing w:val="2"/>
                <w:sz w:val="16"/>
                <w:szCs w:val="20"/>
              </w:rPr>
            </w:pPr>
            <w:r>
              <w:rPr>
                <w:bCs/>
                <w:spacing w:val="2"/>
                <w:sz w:val="16"/>
                <w:szCs w:val="20"/>
              </w:rPr>
              <w:t>5,343,550.75</w:t>
            </w:r>
          </w:p>
        </w:tc>
        <w:tc>
          <w:tcPr>
            <w:tcW w:w="360" w:type="pct"/>
            <w:vAlign w:val="center"/>
          </w:tcPr>
          <w:p w:rsidR="00CD2A5A" w:rsidRDefault="00CD2A5A">
            <w:pPr>
              <w:pStyle w:val="Header"/>
              <w:tabs>
                <w:tab w:val="clear" w:pos="4252"/>
              </w:tabs>
              <w:spacing w:before="40" w:after="40"/>
              <w:jc w:val="center"/>
              <w:rPr>
                <w:bCs/>
                <w:spacing w:val="2"/>
                <w:sz w:val="16"/>
                <w:szCs w:val="20"/>
              </w:rPr>
            </w:pPr>
            <w:r>
              <w:rPr>
                <w:bCs/>
                <w:spacing w:val="2"/>
                <w:sz w:val="16"/>
                <w:szCs w:val="20"/>
              </w:rPr>
              <w:t>4.99</w:t>
            </w:r>
          </w:p>
        </w:tc>
        <w:tc>
          <w:tcPr>
            <w:tcW w:w="564" w:type="pct"/>
            <w:vAlign w:val="center"/>
          </w:tcPr>
          <w:p w:rsidR="00CD2A5A" w:rsidRDefault="00CD2A5A">
            <w:pPr>
              <w:pStyle w:val="Header"/>
              <w:tabs>
                <w:tab w:val="clear" w:pos="4252"/>
              </w:tabs>
              <w:spacing w:before="40" w:after="40"/>
              <w:jc w:val="center"/>
              <w:rPr>
                <w:bCs/>
                <w:spacing w:val="2"/>
                <w:sz w:val="16"/>
                <w:szCs w:val="20"/>
              </w:rPr>
            </w:pPr>
            <w:r>
              <w:rPr>
                <w:bCs/>
                <w:spacing w:val="2"/>
                <w:sz w:val="16"/>
                <w:szCs w:val="20"/>
              </w:rPr>
              <w:t>2,037,613.71</w:t>
            </w:r>
          </w:p>
        </w:tc>
        <w:tc>
          <w:tcPr>
            <w:tcW w:w="609" w:type="pct"/>
            <w:vAlign w:val="center"/>
          </w:tcPr>
          <w:p w:rsidR="00CD2A5A" w:rsidRDefault="00CD2A5A">
            <w:pPr>
              <w:pStyle w:val="Header"/>
              <w:tabs>
                <w:tab w:val="clear" w:pos="4252"/>
              </w:tabs>
              <w:spacing w:before="40" w:after="40"/>
              <w:jc w:val="center"/>
              <w:rPr>
                <w:bCs/>
                <w:spacing w:val="2"/>
                <w:sz w:val="16"/>
                <w:szCs w:val="20"/>
              </w:rPr>
            </w:pPr>
            <w:r>
              <w:rPr>
                <w:bCs/>
                <w:spacing w:val="2"/>
                <w:sz w:val="16"/>
                <w:szCs w:val="20"/>
              </w:rPr>
              <w:t>10,070,190.69</w:t>
            </w:r>
          </w:p>
        </w:tc>
        <w:tc>
          <w:tcPr>
            <w:tcW w:w="353" w:type="pct"/>
            <w:tcBorders>
              <w:right w:val="single" w:sz="6" w:space="0" w:color="auto"/>
            </w:tcBorders>
            <w:vAlign w:val="center"/>
          </w:tcPr>
          <w:p w:rsidR="00CD2A5A" w:rsidRDefault="00CD2A5A">
            <w:pPr>
              <w:pStyle w:val="Header"/>
              <w:tabs>
                <w:tab w:val="clear" w:pos="4252"/>
              </w:tabs>
              <w:spacing w:before="40" w:after="40"/>
              <w:jc w:val="center"/>
              <w:rPr>
                <w:bCs/>
                <w:spacing w:val="2"/>
                <w:sz w:val="16"/>
                <w:szCs w:val="20"/>
              </w:rPr>
            </w:pPr>
            <w:r>
              <w:rPr>
                <w:bCs/>
                <w:spacing w:val="2"/>
                <w:sz w:val="16"/>
                <w:szCs w:val="20"/>
              </w:rPr>
              <w:t>4.94</w:t>
            </w:r>
          </w:p>
        </w:tc>
      </w:tr>
    </w:tbl>
    <w:p w:rsidR="00CD2A5A" w:rsidRDefault="00CD2A5A">
      <w:pPr>
        <w:pStyle w:val="Source"/>
        <w:rPr>
          <w:b/>
          <w:i/>
        </w:rPr>
      </w:pPr>
      <w:r>
        <w:rPr>
          <w:i/>
        </w:rPr>
        <w:t>Source</w:t>
      </w:r>
      <w:r>
        <w:t>: Management Information System, 2004-2006</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There was a reduction in the proportion of households with no access to piped drinking water, whether via a connection to the home or an easily accessible public source,</w:t>
      </w:r>
      <w:r>
        <w:rPr>
          <w:rStyle w:val="FootnoteReference"/>
          <w:lang w:val="en-GB"/>
        </w:rPr>
        <w:footnoteReference w:id="31"/>
      </w:r>
      <w:r>
        <w:rPr>
          <w:lang w:val="en-GB"/>
        </w:rPr>
        <w:t xml:space="preserve"> and the country is nearing compliance with the following goals:</w:t>
      </w:r>
    </w:p>
    <w:p w:rsidR="00CD2A5A" w:rsidRDefault="00CD2A5A" w:rsidP="00CD2A5A">
      <w:pPr>
        <w:pStyle w:val="Figure"/>
      </w:pPr>
      <w:r>
        <w:t>Figure 50</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0"/>
        <w:gridCol w:w="1452"/>
      </w:tblGrid>
      <w:tr w:rsidR="00CD2A5A">
        <w:trPr>
          <w:jc w:val="center"/>
        </w:trPr>
        <w:tc>
          <w:tcPr>
            <w:tcW w:w="7115" w:type="dxa"/>
            <w:vAlign w:val="center"/>
          </w:tcPr>
          <w:p w:rsidR="00CD2A5A" w:rsidRDefault="00CD2A5A">
            <w:pPr>
              <w:keepNext/>
              <w:spacing w:before="40" w:after="40"/>
              <w:rPr>
                <w:sz w:val="20"/>
                <w:szCs w:val="20"/>
                <w:lang w:val="en-US"/>
              </w:rPr>
            </w:pPr>
            <w:r>
              <w:rPr>
                <w:sz w:val="20"/>
                <w:szCs w:val="20"/>
                <w:lang w:val="en-GB"/>
              </w:rPr>
              <w:t>GOAL:</w:t>
            </w:r>
            <w:r>
              <w:rPr>
                <w:sz w:val="20"/>
                <w:szCs w:val="20"/>
                <w:lang w:val="en-US"/>
              </w:rPr>
              <w:t xml:space="preserve"> </w:t>
            </w:r>
            <w:r>
              <w:rPr>
                <w:sz w:val="20"/>
                <w:szCs w:val="20"/>
                <w:lang w:val="en-GB"/>
              </w:rPr>
              <w:t>reduce by one third (2010) (PA-MANA A, 1, 36 (d))</w:t>
            </w:r>
          </w:p>
        </w:tc>
        <w:tc>
          <w:tcPr>
            <w:tcW w:w="1298" w:type="dxa"/>
            <w:vAlign w:val="center"/>
          </w:tcPr>
          <w:p w:rsidR="00CD2A5A" w:rsidRDefault="00CD2A5A">
            <w:pPr>
              <w:autoSpaceDE w:val="0"/>
              <w:autoSpaceDN w:val="0"/>
              <w:adjustRightInd w:val="0"/>
              <w:spacing w:before="40" w:after="40"/>
              <w:rPr>
                <w:sz w:val="20"/>
                <w:szCs w:val="20"/>
              </w:rPr>
            </w:pPr>
            <w:r>
              <w:rPr>
                <w:sz w:val="20"/>
                <w:szCs w:val="20"/>
              </w:rPr>
              <w:t>30.7%</w:t>
            </w:r>
          </w:p>
        </w:tc>
      </w:tr>
      <w:tr w:rsidR="00CD2A5A">
        <w:trPr>
          <w:jc w:val="center"/>
        </w:trPr>
        <w:tc>
          <w:tcPr>
            <w:tcW w:w="7115" w:type="dxa"/>
            <w:vAlign w:val="center"/>
          </w:tcPr>
          <w:p w:rsidR="00CD2A5A" w:rsidRDefault="00CD2A5A">
            <w:pPr>
              <w:keepNext/>
              <w:spacing w:before="40" w:after="40"/>
              <w:rPr>
                <w:sz w:val="20"/>
                <w:szCs w:val="20"/>
                <w:lang w:val="en-US"/>
              </w:rPr>
            </w:pPr>
            <w:r>
              <w:rPr>
                <w:sz w:val="20"/>
                <w:szCs w:val="20"/>
                <w:lang w:val="en-GB"/>
              </w:rPr>
              <w:t>GOAL:</w:t>
            </w:r>
            <w:r>
              <w:rPr>
                <w:sz w:val="20"/>
                <w:szCs w:val="20"/>
                <w:lang w:val="en-US"/>
              </w:rPr>
              <w:t xml:space="preserve"> </w:t>
            </w:r>
            <w:r>
              <w:rPr>
                <w:sz w:val="20"/>
                <w:szCs w:val="20"/>
                <w:lang w:val="en-GB"/>
              </w:rPr>
              <w:t>reduce by half (2015) (MDG 7)</w:t>
            </w:r>
          </w:p>
        </w:tc>
        <w:tc>
          <w:tcPr>
            <w:tcW w:w="1298" w:type="dxa"/>
            <w:vAlign w:val="center"/>
          </w:tcPr>
          <w:p w:rsidR="00CD2A5A" w:rsidRDefault="00CD2A5A">
            <w:pPr>
              <w:autoSpaceDE w:val="0"/>
              <w:autoSpaceDN w:val="0"/>
              <w:adjustRightInd w:val="0"/>
              <w:spacing w:before="40" w:after="40"/>
              <w:rPr>
                <w:sz w:val="20"/>
                <w:szCs w:val="20"/>
              </w:rPr>
            </w:pPr>
            <w:r>
              <w:rPr>
                <w:sz w:val="20"/>
                <w:szCs w:val="20"/>
              </w:rPr>
              <w:t>23.0%</w:t>
            </w:r>
          </w:p>
        </w:tc>
      </w:tr>
    </w:tbl>
    <w:p w:rsidR="00CD2A5A" w:rsidRDefault="00CD2A5A">
      <w:pPr>
        <w:spacing w:after="240"/>
      </w:pPr>
    </w:p>
    <w:p w:rsidR="00CD2A5A" w:rsidRDefault="00CD2A5A">
      <w:pPr>
        <w:pStyle w:val="Header"/>
        <w:numPr>
          <w:ilvl w:val="0"/>
          <w:numId w:val="3"/>
        </w:numPr>
        <w:tabs>
          <w:tab w:val="clear" w:pos="720"/>
          <w:tab w:val="clear" w:pos="4252"/>
        </w:tabs>
        <w:spacing w:after="240"/>
        <w:ind w:left="0" w:firstLine="0"/>
        <w:rPr>
          <w:lang w:val="en-US"/>
        </w:rPr>
      </w:pPr>
      <w:r>
        <w:rPr>
          <w:lang w:val="en-GB"/>
        </w:rPr>
        <w:t>Between 1991 and 2005 the proportion of households without access was reduced from 46.06% to 31.92%, a decrease of 14.17 percentage points, at an average rate of 0.94 points a year.</w:t>
      </w:r>
      <w:r>
        <w:rPr>
          <w:lang w:val="en-US"/>
        </w:rPr>
        <w:t xml:space="preserve"> </w:t>
      </w:r>
      <w:r>
        <w:rPr>
          <w:lang w:val="en-GB"/>
        </w:rPr>
        <w:t>If this overall rate is maintained it is highly likely that the country will achieve the goals for 2010 and 2015.</w:t>
      </w:r>
      <w:r>
        <w:rPr>
          <w:rStyle w:val="FootnoteReference"/>
        </w:rPr>
        <w:footnoteReference w:id="32"/>
      </w:r>
    </w:p>
    <w:p w:rsidR="00CD2A5A" w:rsidRDefault="00CD2A5A">
      <w:pPr>
        <w:pStyle w:val="Header"/>
        <w:numPr>
          <w:ilvl w:val="0"/>
          <w:numId w:val="3"/>
        </w:numPr>
        <w:tabs>
          <w:tab w:val="clear" w:pos="720"/>
          <w:tab w:val="clear" w:pos="4252"/>
        </w:tabs>
        <w:spacing w:after="240"/>
        <w:ind w:left="0" w:firstLine="0"/>
        <w:rPr>
          <w:lang w:val="en-US"/>
        </w:rPr>
      </w:pPr>
      <w:r>
        <w:rPr>
          <w:lang w:val="en-GB"/>
        </w:rPr>
        <w:t>Between 1991 and 2005 the proportion of households without access to main drainage, a septic tank or earth closet was reduced from 24.16% to 10.12%, a decrease of 14.04 percentage points, at an average rate of 0.94 points a year, which shows that the goal for 2010 (16.11%) has already been achieved and exceeded at national level.</w:t>
      </w:r>
      <w:r>
        <w:rPr>
          <w:rStyle w:val="FootnoteReference"/>
        </w:rPr>
        <w:footnoteReference w:id="33"/>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Salvadoran Government has set up a Health Solidarity Fund (Fosalud), with a view to raising, collecting, and distributing financial resources to improve public health care.</w:t>
      </w:r>
      <w:r>
        <w:rPr>
          <w:lang w:val="en-US"/>
        </w:rPr>
        <w:t xml:space="preserve"> </w:t>
      </w:r>
      <w:r>
        <w:rPr>
          <w:lang w:val="en-GB"/>
        </w:rPr>
        <w:t>Over the 2005 and 2006 financial years, Fosalud paid out the fololowing amounts for children.</w:t>
      </w:r>
    </w:p>
    <w:p w:rsidR="00CD2A5A" w:rsidRDefault="00CD2A5A" w:rsidP="008A5877">
      <w:pPr>
        <w:pStyle w:val="Figure"/>
        <w:spacing w:after="120"/>
      </w:pPr>
      <w:r>
        <w:t>Figure 51</w:t>
      </w:r>
    </w:p>
    <w:p w:rsidR="00CD2A5A" w:rsidRDefault="00CD2A5A" w:rsidP="00D65B13">
      <w:pPr>
        <w:pStyle w:val="Figure"/>
        <w:spacing w:after="120"/>
        <w:jc w:val="left"/>
        <w:rPr>
          <w:lang w:val="en-US"/>
        </w:rPr>
      </w:pPr>
      <w:r>
        <w:t>Health Solidarity Fund</w:t>
      </w:r>
    </w:p>
    <w:p w:rsidR="00CD2A5A" w:rsidRDefault="00CD2A5A" w:rsidP="00D65B13">
      <w:pPr>
        <w:pStyle w:val="Figure"/>
        <w:spacing w:after="120"/>
        <w:jc w:val="left"/>
        <w:rPr>
          <w:lang w:val="en-US"/>
        </w:rPr>
      </w:pPr>
      <w:r>
        <w:t>Expenditure on children</w:t>
      </w:r>
    </w:p>
    <w:p w:rsidR="00CD2A5A" w:rsidRDefault="00CD2A5A" w:rsidP="00D65B13">
      <w:pPr>
        <w:pStyle w:val="Figure"/>
        <w:spacing w:after="120"/>
        <w:jc w:val="left"/>
        <w:rPr>
          <w:lang w:val="en-US"/>
        </w:rPr>
      </w:pPr>
      <w:r>
        <w:t>Tax years 2005 and 2006</w:t>
      </w:r>
    </w:p>
    <w:p w:rsidR="00CD2A5A" w:rsidRDefault="00CD2A5A" w:rsidP="00D65B13">
      <w:pPr>
        <w:pStyle w:val="Figure"/>
        <w:spacing w:after="120"/>
        <w:jc w:val="left"/>
        <w:rPr>
          <w:lang w:val="es-SV"/>
        </w:rPr>
      </w:pPr>
      <w:r>
        <w:t>Thousand dollars</w:t>
      </w:r>
    </w:p>
    <w:tbl>
      <w:tblPr>
        <w:tblW w:w="9412" w:type="dxa"/>
        <w:jc w:val="center"/>
        <w:tblCellMar>
          <w:left w:w="70" w:type="dxa"/>
          <w:right w:w="70" w:type="dxa"/>
        </w:tblCellMar>
        <w:tblLook w:val="0000" w:firstRow="0" w:lastRow="0" w:firstColumn="0" w:lastColumn="0" w:noHBand="0" w:noVBand="0"/>
      </w:tblPr>
      <w:tblGrid>
        <w:gridCol w:w="5356"/>
        <w:gridCol w:w="2028"/>
        <w:gridCol w:w="2028"/>
      </w:tblGrid>
      <w:tr w:rsidR="00CD2A5A">
        <w:trPr>
          <w:trHeight w:val="255"/>
          <w:jc w:val="center"/>
        </w:trPr>
        <w:tc>
          <w:tcPr>
            <w:tcW w:w="4961" w:type="dxa"/>
            <w:tcBorders>
              <w:top w:val="single" w:sz="4" w:space="0" w:color="auto"/>
              <w:left w:val="single" w:sz="2" w:space="0" w:color="auto"/>
              <w:bottom w:val="single" w:sz="4" w:space="0" w:color="auto"/>
              <w:right w:val="single" w:sz="4" w:space="0" w:color="auto"/>
            </w:tcBorders>
            <w:noWrap/>
            <w:vAlign w:val="center"/>
          </w:tcPr>
          <w:p w:rsidR="00CD2A5A" w:rsidRDefault="00CD2A5A">
            <w:pPr>
              <w:spacing w:before="40" w:after="40"/>
              <w:jc w:val="center"/>
              <w:rPr>
                <w:b/>
                <w:i/>
                <w:sz w:val="20"/>
                <w:szCs w:val="20"/>
                <w:lang w:val="es-SV"/>
              </w:rPr>
            </w:pPr>
            <w:r>
              <w:rPr>
                <w:b/>
                <w:i/>
                <w:sz w:val="20"/>
                <w:szCs w:val="20"/>
                <w:lang w:val="en-GB"/>
              </w:rPr>
              <w:t>Description</w:t>
            </w:r>
          </w:p>
        </w:tc>
        <w:tc>
          <w:tcPr>
            <w:tcW w:w="1878"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i/>
                <w:sz w:val="20"/>
                <w:szCs w:val="20"/>
                <w:lang w:val="es-SV"/>
              </w:rPr>
            </w:pPr>
            <w:r>
              <w:rPr>
                <w:b/>
                <w:i/>
                <w:sz w:val="20"/>
                <w:szCs w:val="20"/>
                <w:lang w:val="es-SV"/>
              </w:rPr>
              <w:t>2005</w:t>
            </w:r>
          </w:p>
        </w:tc>
        <w:tc>
          <w:tcPr>
            <w:tcW w:w="1878" w:type="dxa"/>
            <w:tcBorders>
              <w:top w:val="single" w:sz="4" w:space="0" w:color="auto"/>
              <w:left w:val="single" w:sz="4" w:space="0" w:color="auto"/>
              <w:bottom w:val="single" w:sz="4" w:space="0" w:color="auto"/>
              <w:right w:val="single" w:sz="6" w:space="0" w:color="auto"/>
            </w:tcBorders>
            <w:noWrap/>
            <w:vAlign w:val="center"/>
          </w:tcPr>
          <w:p w:rsidR="00CD2A5A" w:rsidRDefault="00CD2A5A">
            <w:pPr>
              <w:spacing w:before="40" w:after="40"/>
              <w:jc w:val="center"/>
              <w:rPr>
                <w:b/>
                <w:i/>
                <w:sz w:val="20"/>
                <w:szCs w:val="20"/>
                <w:lang w:val="es-SV"/>
              </w:rPr>
            </w:pPr>
            <w:r>
              <w:rPr>
                <w:b/>
                <w:i/>
                <w:sz w:val="20"/>
                <w:szCs w:val="20"/>
                <w:lang w:val="es-SV"/>
              </w:rPr>
              <w:t>2006</w:t>
            </w:r>
          </w:p>
        </w:tc>
      </w:tr>
      <w:tr w:rsidR="00CD2A5A">
        <w:trPr>
          <w:trHeight w:val="255"/>
          <w:jc w:val="center"/>
        </w:trPr>
        <w:tc>
          <w:tcPr>
            <w:tcW w:w="4961" w:type="dxa"/>
            <w:tcBorders>
              <w:top w:val="single" w:sz="4" w:space="0" w:color="auto"/>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n-GB"/>
              </w:rPr>
              <w:t>Expenditure on children 1/</w:t>
            </w:r>
          </w:p>
        </w:tc>
        <w:tc>
          <w:tcPr>
            <w:tcW w:w="1878"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673"/>
              <w:jc w:val="right"/>
              <w:rPr>
                <w:sz w:val="20"/>
                <w:szCs w:val="20"/>
                <w:lang w:val="es-SV"/>
              </w:rPr>
            </w:pPr>
            <w:r>
              <w:rPr>
                <w:sz w:val="20"/>
                <w:szCs w:val="20"/>
                <w:lang w:val="es-SV"/>
              </w:rPr>
              <w:t>4,136.1</w:t>
            </w:r>
          </w:p>
        </w:tc>
        <w:tc>
          <w:tcPr>
            <w:tcW w:w="1878" w:type="dxa"/>
            <w:tcBorders>
              <w:top w:val="single" w:sz="4" w:space="0" w:color="auto"/>
              <w:left w:val="single" w:sz="4" w:space="0" w:color="auto"/>
              <w:bottom w:val="single" w:sz="4" w:space="0" w:color="auto"/>
              <w:right w:val="single" w:sz="6" w:space="0" w:color="auto"/>
            </w:tcBorders>
            <w:noWrap/>
            <w:vAlign w:val="bottom"/>
          </w:tcPr>
          <w:p w:rsidR="00CD2A5A" w:rsidRDefault="00CD2A5A">
            <w:pPr>
              <w:spacing w:before="40" w:after="40"/>
              <w:ind w:right="673"/>
              <w:jc w:val="right"/>
              <w:rPr>
                <w:sz w:val="20"/>
                <w:szCs w:val="20"/>
                <w:lang w:val="es-SV"/>
              </w:rPr>
            </w:pPr>
            <w:r>
              <w:rPr>
                <w:sz w:val="20"/>
                <w:szCs w:val="20"/>
                <w:lang w:val="es-SV"/>
              </w:rPr>
              <w:t>13,876.2</w:t>
            </w:r>
          </w:p>
        </w:tc>
      </w:tr>
      <w:tr w:rsidR="00CD2A5A">
        <w:trPr>
          <w:trHeight w:val="255"/>
          <w:jc w:val="center"/>
        </w:trPr>
        <w:tc>
          <w:tcPr>
            <w:tcW w:w="4961" w:type="dxa"/>
            <w:tcBorders>
              <w:top w:val="single" w:sz="4" w:space="0" w:color="auto"/>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n-GB"/>
              </w:rPr>
              <w:t>Number of health centres</w:t>
            </w:r>
            <w:r>
              <w:rPr>
                <w:sz w:val="20"/>
                <w:szCs w:val="20"/>
                <w:lang w:val="es-SV"/>
              </w:rPr>
              <w:t xml:space="preserve"> </w:t>
            </w:r>
          </w:p>
        </w:tc>
        <w:tc>
          <w:tcPr>
            <w:tcW w:w="1878"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673"/>
              <w:jc w:val="right"/>
              <w:rPr>
                <w:sz w:val="20"/>
                <w:szCs w:val="20"/>
                <w:lang w:val="es-SV"/>
              </w:rPr>
            </w:pPr>
            <w:r>
              <w:rPr>
                <w:sz w:val="20"/>
                <w:szCs w:val="20"/>
                <w:lang w:val="es-SV"/>
              </w:rPr>
              <w:t>66.0</w:t>
            </w:r>
          </w:p>
        </w:tc>
        <w:tc>
          <w:tcPr>
            <w:tcW w:w="1878" w:type="dxa"/>
            <w:tcBorders>
              <w:top w:val="single" w:sz="4" w:space="0" w:color="auto"/>
              <w:left w:val="single" w:sz="4" w:space="0" w:color="auto"/>
              <w:bottom w:val="single" w:sz="4" w:space="0" w:color="auto"/>
              <w:right w:val="single" w:sz="6" w:space="0" w:color="auto"/>
            </w:tcBorders>
            <w:noWrap/>
            <w:vAlign w:val="bottom"/>
          </w:tcPr>
          <w:p w:rsidR="00CD2A5A" w:rsidRDefault="00CD2A5A">
            <w:pPr>
              <w:spacing w:before="40" w:after="40"/>
              <w:ind w:right="673"/>
              <w:jc w:val="right"/>
              <w:rPr>
                <w:sz w:val="20"/>
                <w:szCs w:val="20"/>
                <w:lang w:val="es-SV"/>
              </w:rPr>
            </w:pPr>
            <w:r>
              <w:rPr>
                <w:sz w:val="20"/>
                <w:szCs w:val="20"/>
                <w:lang w:val="es-SV"/>
              </w:rPr>
              <w:t>105.0</w:t>
            </w:r>
          </w:p>
        </w:tc>
      </w:tr>
      <w:tr w:rsidR="00CD2A5A">
        <w:trPr>
          <w:trHeight w:val="255"/>
          <w:jc w:val="center"/>
        </w:trPr>
        <w:tc>
          <w:tcPr>
            <w:tcW w:w="4961" w:type="dxa"/>
            <w:tcBorders>
              <w:top w:val="single" w:sz="4" w:space="0" w:color="auto"/>
              <w:left w:val="single" w:sz="2" w:space="0" w:color="auto"/>
              <w:bottom w:val="single" w:sz="4" w:space="0" w:color="auto"/>
              <w:right w:val="single" w:sz="4" w:space="0" w:color="auto"/>
            </w:tcBorders>
            <w:noWrap/>
            <w:vAlign w:val="bottom"/>
          </w:tcPr>
          <w:p w:rsidR="00CD2A5A" w:rsidRDefault="00CD2A5A">
            <w:pPr>
              <w:spacing w:before="40" w:after="40"/>
              <w:rPr>
                <w:sz w:val="20"/>
                <w:szCs w:val="20"/>
                <w:lang w:val="es-SV"/>
              </w:rPr>
            </w:pPr>
            <w:r>
              <w:rPr>
                <w:sz w:val="20"/>
                <w:szCs w:val="20"/>
                <w:lang w:val="en-GB"/>
              </w:rPr>
              <w:t>Percentage contribution to total expenditure</w:t>
            </w:r>
          </w:p>
        </w:tc>
        <w:tc>
          <w:tcPr>
            <w:tcW w:w="1878"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673"/>
              <w:jc w:val="right"/>
              <w:rPr>
                <w:sz w:val="20"/>
                <w:szCs w:val="20"/>
                <w:lang w:val="es-SV"/>
              </w:rPr>
            </w:pPr>
            <w:r>
              <w:rPr>
                <w:sz w:val="20"/>
                <w:szCs w:val="20"/>
                <w:lang w:val="es-SV"/>
              </w:rPr>
              <w:t>80.0</w:t>
            </w:r>
          </w:p>
        </w:tc>
        <w:tc>
          <w:tcPr>
            <w:tcW w:w="1878" w:type="dxa"/>
            <w:tcBorders>
              <w:top w:val="single" w:sz="4" w:space="0" w:color="auto"/>
              <w:left w:val="single" w:sz="4" w:space="0" w:color="auto"/>
              <w:bottom w:val="single" w:sz="4" w:space="0" w:color="auto"/>
              <w:right w:val="single" w:sz="6" w:space="0" w:color="auto"/>
            </w:tcBorders>
            <w:noWrap/>
            <w:vAlign w:val="bottom"/>
          </w:tcPr>
          <w:p w:rsidR="00CD2A5A" w:rsidRDefault="00CD2A5A">
            <w:pPr>
              <w:spacing w:before="40" w:after="40"/>
              <w:ind w:right="673"/>
              <w:jc w:val="right"/>
              <w:rPr>
                <w:sz w:val="20"/>
                <w:szCs w:val="20"/>
                <w:lang w:val="es-SV"/>
              </w:rPr>
            </w:pPr>
            <w:r>
              <w:rPr>
                <w:sz w:val="20"/>
                <w:szCs w:val="20"/>
                <w:lang w:val="es-SV"/>
              </w:rPr>
              <w:t>66.2</w:t>
            </w:r>
          </w:p>
        </w:tc>
      </w:tr>
    </w:tbl>
    <w:p w:rsidR="00CD2A5A" w:rsidRDefault="00CD2A5A">
      <w:pPr>
        <w:pStyle w:val="Source"/>
      </w:pPr>
      <w:r>
        <w:t>1/ in 2006 cover was given for: purchase of vaccines for rotavirus, dengue prevention, development of the Maternal and Infant Health Programme on the islands of Jiquilisco Bay and at the San Julián Maternal and Infant Nutrition Centre.</w:t>
      </w:r>
    </w:p>
    <w:p w:rsidR="00CD2A5A" w:rsidRDefault="00CD2A5A">
      <w:pPr>
        <w:pStyle w:val="Header"/>
        <w:numPr>
          <w:ilvl w:val="0"/>
          <w:numId w:val="3"/>
        </w:numPr>
        <w:tabs>
          <w:tab w:val="clear" w:pos="720"/>
          <w:tab w:val="clear" w:pos="4252"/>
        </w:tabs>
        <w:spacing w:after="240"/>
        <w:ind w:left="0" w:firstLine="0"/>
        <w:rPr>
          <w:lang w:val="en-US"/>
        </w:rPr>
      </w:pPr>
      <w:r>
        <w:rPr>
          <w:lang w:val="en-GB"/>
        </w:rPr>
        <w:t>Families in the poorest municipalities of El Salvador represent major challenges which are the basis for the “Solidarity Network”, which since 2004 includes the component of front-line combat against poverty as a part of the Presidential “Opportunities” Programme, which works with sympathizer members, participating municipalities, NGOs, the international community, private enterprise, and work coordinated by the government ministry.</w:t>
      </w:r>
    </w:p>
    <w:p w:rsidR="00CD2A5A" w:rsidRDefault="00CD2A5A">
      <w:pPr>
        <w:pStyle w:val="Header"/>
        <w:numPr>
          <w:ilvl w:val="0"/>
          <w:numId w:val="3"/>
        </w:numPr>
        <w:tabs>
          <w:tab w:val="clear" w:pos="720"/>
          <w:tab w:val="clear" w:pos="4252"/>
        </w:tabs>
        <w:spacing w:after="240"/>
        <w:ind w:left="0" w:firstLine="0"/>
        <w:rPr>
          <w:lang w:val="en-US"/>
        </w:rPr>
      </w:pPr>
      <w:r>
        <w:rPr>
          <w:lang w:val="en-GB"/>
        </w:rPr>
        <w:t>The Solidarity Network tackles extreme poverty in rural areas and in the municipalities that have been identified as most lacking basic services.</w:t>
      </w:r>
      <w:r>
        <w:rPr>
          <w:lang w:val="en-US"/>
        </w:rPr>
        <w:t xml:space="preserve"> </w:t>
      </w:r>
      <w:r>
        <w:rPr>
          <w:lang w:val="en-GB"/>
        </w:rPr>
        <w:t>These are families which, besides having no income, have no access to basic services such as energy, roads, water or health.</w:t>
      </w:r>
      <w:r>
        <w:rPr>
          <w:lang w:val="en-US"/>
        </w:rPr>
        <w:t xml:space="preserve"> </w:t>
      </w:r>
      <w:r>
        <w:rPr>
          <w:lang w:val="en-GB"/>
        </w:rPr>
        <w:t>The Solidarity Network transfers money to every houshold that is in severe extreme poverty, on two conditions:</w:t>
      </w:r>
      <w:r>
        <w:rPr>
          <w:lang w:val="en-US"/>
        </w:rPr>
        <w:t xml:space="preserve"> </w:t>
      </w:r>
      <w:r>
        <w:rPr>
          <w:lang w:val="en-GB"/>
        </w:rPr>
        <w:t>that the children go to school, and that babies and their mothers undergo nutritional and health check-ups.</w:t>
      </w:r>
    </w:p>
    <w:p w:rsidR="00CD2A5A" w:rsidRDefault="00CD2A5A">
      <w:pPr>
        <w:pStyle w:val="Header"/>
        <w:numPr>
          <w:ilvl w:val="0"/>
          <w:numId w:val="3"/>
        </w:numPr>
        <w:tabs>
          <w:tab w:val="clear" w:pos="720"/>
          <w:tab w:val="clear" w:pos="4252"/>
        </w:tabs>
        <w:spacing w:after="240"/>
        <w:ind w:left="0" w:firstLine="0"/>
        <w:rPr>
          <w:lang w:val="en-US"/>
        </w:rPr>
      </w:pPr>
      <w:r>
        <w:rPr>
          <w:lang w:val="en-GB"/>
        </w:rPr>
        <w:t>The important thing is to provide a basic platform to rescue them from the extremely fragile conditions in which they live.</w:t>
      </w:r>
      <w:r>
        <w:rPr>
          <w:lang w:val="en-US"/>
        </w:rPr>
        <w:t xml:space="preserve"> </w:t>
      </w:r>
      <w:r>
        <w:rPr>
          <w:lang w:val="en-GB"/>
        </w:rPr>
        <w:t>Later, they are provided with tools so that they can progress through work and effort, giving priority to health care and education for their children.</w:t>
      </w:r>
      <w:r>
        <w:rPr>
          <w:lang w:val="en-US"/>
        </w:rPr>
        <w:t xml:space="preserve"> </w:t>
      </w:r>
      <w:r>
        <w:rPr>
          <w:lang w:val="en-GB"/>
        </w:rPr>
        <w:t>Most poor households are run by a woman.</w:t>
      </w:r>
      <w:r>
        <w:rPr>
          <w:lang w:val="en-US"/>
        </w:rPr>
        <w:t xml:space="preserve"> </w:t>
      </w:r>
      <w:r>
        <w:rPr>
          <w:lang w:val="en-GB"/>
        </w:rPr>
        <w:t>Solidarity Network aims to comply with the United Nations Millennium Development Goals for the year 2015, and advocates transforming the poverty map of this country, building a viable and sustainable environment, with chances to develop in an environment of new opportunities.</w:t>
      </w:r>
    </w:p>
    <w:p w:rsidR="00CD2A5A" w:rsidRDefault="00CD2A5A">
      <w:pPr>
        <w:pStyle w:val="Header"/>
        <w:numPr>
          <w:ilvl w:val="0"/>
          <w:numId w:val="3"/>
        </w:numPr>
        <w:tabs>
          <w:tab w:val="clear" w:pos="720"/>
          <w:tab w:val="clear" w:pos="4252"/>
        </w:tabs>
        <w:spacing w:after="240"/>
        <w:ind w:left="0" w:firstLine="0"/>
        <w:rPr>
          <w:lang w:val="en-US"/>
        </w:rPr>
      </w:pPr>
      <w:r>
        <w:rPr>
          <w:lang w:val="en-GB"/>
        </w:rPr>
        <w:t>Solidarity Network’s vouchers are already supporting more than 48,000 families in 47 municipalities, 32 of severe extreme poverty and 15 of high extreme poverty, and it had paid out more than $10 million nationwide up to the end of 2007.</w:t>
      </w:r>
      <w:r>
        <w:rPr>
          <w:lang w:val="en-US"/>
        </w:rPr>
        <w:t xml:space="preserve">  </w:t>
      </w:r>
      <w:r>
        <w:rPr>
          <w:lang w:val="en-GB"/>
        </w:rPr>
        <w:t>For 2008, the Network will be extended, with education and health vouchers for 30 new municipalities in high extreme poverty, thereby completing coverage of 77 municipalities.</w:t>
      </w:r>
    </w:p>
    <w:p w:rsidR="00CD2A5A" w:rsidRDefault="00CD2A5A">
      <w:pPr>
        <w:pStyle w:val="Header"/>
        <w:numPr>
          <w:ilvl w:val="0"/>
          <w:numId w:val="3"/>
        </w:numPr>
        <w:tabs>
          <w:tab w:val="clear" w:pos="720"/>
          <w:tab w:val="clear" w:pos="4252"/>
        </w:tabs>
        <w:spacing w:after="240"/>
        <w:ind w:left="0" w:firstLine="0"/>
        <w:rPr>
          <w:lang w:val="en-US"/>
        </w:rPr>
      </w:pPr>
      <w:r>
        <w:rPr>
          <w:lang w:val="en-GB"/>
        </w:rPr>
        <w:t>Note that in the 32 municipalities in severe extreme poverty where the Network operates, there have been signs of an increase in health checks, including ante-natal check-ups, check-ups on babies under one year old and puerperal check-ups.</w:t>
      </w:r>
      <w:r>
        <w:rPr>
          <w:lang w:val="en-US"/>
        </w:rPr>
        <w:t xml:space="preserve"> </w:t>
      </w:r>
      <w:r>
        <w:rPr>
          <w:lang w:val="en-GB"/>
        </w:rPr>
        <w:t>Enrolments have also increased in these 32 municipalities, 23% in nursery school, 6% in first cycle and 9% in second cycle.</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Programme’s main achievements by theme up to December 2007 include:</w:t>
      </w:r>
    </w:p>
    <w:p w:rsidR="00CD2A5A" w:rsidRDefault="00CD2A5A">
      <w:pPr>
        <w:keepNext/>
        <w:spacing w:after="240"/>
        <w:rPr>
          <w:b/>
        </w:rPr>
      </w:pPr>
      <w:r>
        <w:rPr>
          <w:b/>
          <w:lang w:val="en-US"/>
        </w:rPr>
        <w:tab/>
      </w:r>
      <w:r>
        <w:rPr>
          <w:b/>
          <w:lang w:val="en-GB"/>
        </w:rPr>
        <w:t>a)</w:t>
      </w:r>
      <w:r>
        <w:rPr>
          <w:b/>
        </w:rPr>
        <w:tab/>
      </w:r>
      <w:r>
        <w:rPr>
          <w:b/>
          <w:lang w:val="en-GB"/>
        </w:rPr>
        <w:t>Theme 1:</w:t>
      </w:r>
      <w:r>
        <w:rPr>
          <w:b/>
        </w:rPr>
        <w:t xml:space="preserve"> </w:t>
      </w:r>
      <w:r>
        <w:rPr>
          <w:b/>
          <w:lang w:val="en-GB"/>
        </w:rPr>
        <w:t>Family solidarity network</w:t>
      </w:r>
      <w:r>
        <w:rPr>
          <w:b/>
        </w:rPr>
        <w:t xml:space="preserve"> </w:t>
      </w:r>
    </w:p>
    <w:p w:rsidR="00CD2A5A" w:rsidRDefault="00CD2A5A">
      <w:pPr>
        <w:numPr>
          <w:ilvl w:val="0"/>
          <w:numId w:val="18"/>
        </w:numPr>
        <w:tabs>
          <w:tab w:val="clear" w:pos="1440"/>
        </w:tabs>
        <w:spacing w:after="240"/>
        <w:ind w:left="1701" w:hanging="567"/>
        <w:rPr>
          <w:lang w:val="en-US"/>
        </w:rPr>
      </w:pPr>
      <w:r>
        <w:rPr>
          <w:bCs/>
          <w:lang w:val="en-GB"/>
        </w:rPr>
        <w:t xml:space="preserve">Action in </w:t>
      </w:r>
      <w:r>
        <w:rPr>
          <w:b/>
          <w:bCs/>
          <w:lang w:val="en-GB"/>
        </w:rPr>
        <w:t xml:space="preserve">47 </w:t>
      </w:r>
      <w:r>
        <w:rPr>
          <w:bCs/>
          <w:lang w:val="en-GB"/>
        </w:rPr>
        <w:t>municipalities in severe and high extreme poverty;</w:t>
      </w:r>
      <w:r>
        <w:rPr>
          <w:lang w:val="en-US"/>
        </w:rPr>
        <w:t xml:space="preserve"> </w:t>
      </w:r>
    </w:p>
    <w:p w:rsidR="00CD2A5A" w:rsidRDefault="00CD2A5A">
      <w:pPr>
        <w:numPr>
          <w:ilvl w:val="0"/>
          <w:numId w:val="18"/>
        </w:numPr>
        <w:tabs>
          <w:tab w:val="clear" w:pos="1440"/>
        </w:tabs>
        <w:spacing w:after="240"/>
        <w:ind w:left="1701" w:hanging="567"/>
      </w:pPr>
      <w:r>
        <w:rPr>
          <w:b/>
          <w:bCs/>
          <w:lang w:val="en-GB"/>
        </w:rPr>
        <w:t>87,326</w:t>
      </w:r>
      <w:r>
        <w:rPr>
          <w:lang w:val="en-GB"/>
        </w:rPr>
        <w:t xml:space="preserve"> homes surveyed;</w:t>
      </w:r>
      <w:r>
        <w:t xml:space="preserve"> </w:t>
      </w:r>
    </w:p>
    <w:p w:rsidR="00CD2A5A" w:rsidRDefault="00CD2A5A">
      <w:pPr>
        <w:numPr>
          <w:ilvl w:val="0"/>
          <w:numId w:val="18"/>
        </w:numPr>
        <w:tabs>
          <w:tab w:val="clear" w:pos="1440"/>
        </w:tabs>
        <w:spacing w:after="240"/>
        <w:ind w:left="1701" w:hanging="567"/>
        <w:rPr>
          <w:lang w:val="en-US"/>
        </w:rPr>
      </w:pPr>
      <w:r>
        <w:rPr>
          <w:b/>
          <w:bCs/>
          <w:lang w:val="en-GB"/>
        </w:rPr>
        <w:t>48,659</w:t>
      </w:r>
      <w:r>
        <w:rPr>
          <w:lang w:val="en-GB"/>
        </w:rPr>
        <w:t xml:space="preserve"> beneficiary families and </w:t>
      </w:r>
      <w:r>
        <w:rPr>
          <w:b/>
          <w:lang w:val="en-GB"/>
        </w:rPr>
        <w:t>$</w:t>
      </w:r>
      <w:r>
        <w:rPr>
          <w:b/>
          <w:bCs/>
          <w:lang w:val="en-GB"/>
        </w:rPr>
        <w:t>10.7</w:t>
      </w:r>
      <w:r>
        <w:rPr>
          <w:lang w:val="en-GB"/>
        </w:rPr>
        <w:t xml:space="preserve"> million handed out in health and education vouchers to severe and high extreme poverty municipalities.</w:t>
      </w:r>
      <w:r>
        <w:rPr>
          <w:lang w:val="en-US"/>
        </w:rPr>
        <w:t xml:space="preserve"> </w:t>
      </w:r>
    </w:p>
    <w:p w:rsidR="00CD2A5A" w:rsidRDefault="00CD2A5A">
      <w:pPr>
        <w:numPr>
          <w:ilvl w:val="0"/>
          <w:numId w:val="18"/>
        </w:numPr>
        <w:tabs>
          <w:tab w:val="clear" w:pos="1440"/>
        </w:tabs>
        <w:spacing w:after="240"/>
        <w:ind w:left="1701" w:hanging="567"/>
        <w:rPr>
          <w:lang w:val="en-US"/>
        </w:rPr>
      </w:pPr>
      <w:r>
        <w:rPr>
          <w:lang w:val="en-GB"/>
        </w:rPr>
        <w:t xml:space="preserve">More than </w:t>
      </w:r>
      <w:r>
        <w:rPr>
          <w:b/>
          <w:bCs/>
          <w:lang w:val="en-GB"/>
        </w:rPr>
        <w:t>48,000</w:t>
      </w:r>
      <w:r>
        <w:rPr>
          <w:lang w:val="en-GB"/>
        </w:rPr>
        <w:t xml:space="preserve"> parents trained in topics such as </w:t>
      </w:r>
      <w:r>
        <w:rPr>
          <w:b/>
          <w:lang w:val="en-GB"/>
        </w:rPr>
        <w:t>child health and nutrition</w:t>
      </w:r>
      <w:r>
        <w:rPr>
          <w:b/>
          <w:bCs/>
          <w:lang w:val="en-GB"/>
        </w:rPr>
        <w:t>, child rights, domestic violence and healthy housing</w:t>
      </w:r>
      <w:r>
        <w:rPr>
          <w:lang w:val="en-GB"/>
        </w:rPr>
        <w:t>.</w:t>
      </w:r>
    </w:p>
    <w:p w:rsidR="00CD2A5A" w:rsidRDefault="00CD2A5A">
      <w:pPr>
        <w:keepNext/>
        <w:spacing w:after="240"/>
        <w:rPr>
          <w:b/>
        </w:rPr>
      </w:pPr>
      <w:r>
        <w:rPr>
          <w:b/>
          <w:lang w:val="en-US"/>
        </w:rPr>
        <w:tab/>
      </w:r>
      <w:r>
        <w:rPr>
          <w:b/>
          <w:lang w:val="en-GB"/>
        </w:rPr>
        <w:t>b)</w:t>
      </w:r>
      <w:r>
        <w:rPr>
          <w:b/>
        </w:rPr>
        <w:tab/>
      </w:r>
      <w:r>
        <w:rPr>
          <w:b/>
          <w:lang w:val="en-GB"/>
        </w:rPr>
        <w:t>Theme 2:</w:t>
      </w:r>
      <w:r>
        <w:rPr>
          <w:b/>
        </w:rPr>
        <w:t xml:space="preserve"> </w:t>
      </w:r>
      <w:r>
        <w:rPr>
          <w:b/>
          <w:lang w:val="en-GB"/>
        </w:rPr>
        <w:t>Basic services network</w:t>
      </w:r>
    </w:p>
    <w:p w:rsidR="00CD2A5A" w:rsidRDefault="00CD2A5A">
      <w:pPr>
        <w:numPr>
          <w:ilvl w:val="0"/>
          <w:numId w:val="19"/>
        </w:numPr>
        <w:tabs>
          <w:tab w:val="clear" w:pos="1440"/>
        </w:tabs>
        <w:spacing w:after="240"/>
        <w:ind w:left="1701" w:hanging="567"/>
        <w:rPr>
          <w:lang w:val="en-US"/>
        </w:rPr>
      </w:pPr>
      <w:r>
        <w:rPr>
          <w:b/>
          <w:lang w:val="en-US"/>
        </w:rPr>
        <w:t>$</w:t>
      </w:r>
      <w:r>
        <w:rPr>
          <w:b/>
          <w:bCs/>
          <w:lang w:val="en-GB"/>
        </w:rPr>
        <w:t>32.4</w:t>
      </w:r>
      <w:r>
        <w:rPr>
          <w:lang w:val="en-GB"/>
        </w:rPr>
        <w:t xml:space="preserve"> million of investment in basic social infrastructure in </w:t>
      </w:r>
      <w:r>
        <w:rPr>
          <w:b/>
          <w:bCs/>
          <w:lang w:val="en-GB"/>
        </w:rPr>
        <w:t>47</w:t>
      </w:r>
      <w:r>
        <w:rPr>
          <w:lang w:val="en-GB"/>
        </w:rPr>
        <w:t xml:space="preserve"> municipalities in severe and high extreme poverty, benefiting some </w:t>
      </w:r>
      <w:r>
        <w:rPr>
          <w:b/>
          <w:bCs/>
          <w:lang w:val="en-GB"/>
        </w:rPr>
        <w:t>446,447</w:t>
      </w:r>
      <w:r>
        <w:rPr>
          <w:lang w:val="en-GB"/>
        </w:rPr>
        <w:t xml:space="preserve"> people (FISDL);</w:t>
      </w:r>
    </w:p>
    <w:p w:rsidR="00CD2A5A" w:rsidRDefault="00CD2A5A">
      <w:pPr>
        <w:numPr>
          <w:ilvl w:val="0"/>
          <w:numId w:val="19"/>
        </w:numPr>
        <w:tabs>
          <w:tab w:val="clear" w:pos="1440"/>
        </w:tabs>
        <w:spacing w:after="240"/>
        <w:ind w:left="1701" w:hanging="567"/>
        <w:rPr>
          <w:lang w:val="en-US"/>
        </w:rPr>
      </w:pPr>
      <w:r>
        <w:rPr>
          <w:b/>
          <w:bCs/>
          <w:lang w:val="en-GB"/>
        </w:rPr>
        <w:t>105</w:t>
      </w:r>
      <w:r>
        <w:rPr>
          <w:lang w:val="en-GB"/>
        </w:rPr>
        <w:t xml:space="preserve"> Effective Schooling Networks implemented by MINED;</w:t>
      </w:r>
    </w:p>
    <w:p w:rsidR="00CD2A5A" w:rsidRDefault="00CD2A5A">
      <w:pPr>
        <w:numPr>
          <w:ilvl w:val="0"/>
          <w:numId w:val="19"/>
        </w:numPr>
        <w:tabs>
          <w:tab w:val="clear" w:pos="1440"/>
        </w:tabs>
        <w:spacing w:after="240"/>
        <w:ind w:left="1701" w:hanging="567"/>
        <w:rPr>
          <w:lang w:val="en-US"/>
        </w:rPr>
      </w:pPr>
      <w:r>
        <w:rPr>
          <w:b/>
          <w:bCs/>
          <w:lang w:val="en-GB"/>
        </w:rPr>
        <w:t>83</w:t>
      </w:r>
      <w:r>
        <w:rPr>
          <w:lang w:val="en-GB"/>
        </w:rPr>
        <w:t xml:space="preserve"> municipalities served by the MSPAS Health Services Coverage Extension Programme;</w:t>
      </w:r>
    </w:p>
    <w:p w:rsidR="00CD2A5A" w:rsidRDefault="00CD2A5A">
      <w:pPr>
        <w:keepNext/>
        <w:spacing w:after="240"/>
        <w:rPr>
          <w:b/>
        </w:rPr>
      </w:pPr>
      <w:r>
        <w:rPr>
          <w:b/>
          <w:lang w:val="en-US"/>
        </w:rPr>
        <w:tab/>
      </w:r>
      <w:r>
        <w:rPr>
          <w:b/>
          <w:lang w:val="en-GB"/>
        </w:rPr>
        <w:t>c)</w:t>
      </w:r>
      <w:r>
        <w:rPr>
          <w:b/>
        </w:rPr>
        <w:tab/>
      </w:r>
      <w:r>
        <w:rPr>
          <w:b/>
          <w:lang w:val="en-GB"/>
        </w:rPr>
        <w:t>Theme 3:</w:t>
      </w:r>
      <w:r>
        <w:rPr>
          <w:b/>
        </w:rPr>
        <w:t xml:space="preserve"> </w:t>
      </w:r>
      <w:r>
        <w:rPr>
          <w:b/>
          <w:lang w:val="en-GB"/>
        </w:rPr>
        <w:t>Family sustainability network</w:t>
      </w:r>
      <w:r>
        <w:rPr>
          <w:b/>
        </w:rPr>
        <w:t xml:space="preserve"> </w:t>
      </w:r>
    </w:p>
    <w:p w:rsidR="00CD2A5A" w:rsidRDefault="00CD2A5A">
      <w:pPr>
        <w:numPr>
          <w:ilvl w:val="0"/>
          <w:numId w:val="20"/>
        </w:numPr>
        <w:tabs>
          <w:tab w:val="clear" w:pos="1440"/>
        </w:tabs>
        <w:spacing w:after="240"/>
        <w:ind w:left="1701" w:hanging="567"/>
        <w:rPr>
          <w:lang w:val="en-US"/>
        </w:rPr>
      </w:pPr>
      <w:r>
        <w:rPr>
          <w:b/>
          <w:bCs/>
          <w:lang w:val="en-GB"/>
        </w:rPr>
        <w:t>28,416</w:t>
      </w:r>
      <w:r>
        <w:rPr>
          <w:lang w:val="en-GB"/>
        </w:rPr>
        <w:t xml:space="preserve"> families benefit under production projects implemented by the Ministry of Agriculture and Livestock (MAG), in September 2007;</w:t>
      </w:r>
    </w:p>
    <w:p w:rsidR="00CD2A5A" w:rsidRDefault="00CD2A5A">
      <w:pPr>
        <w:numPr>
          <w:ilvl w:val="0"/>
          <w:numId w:val="20"/>
        </w:numPr>
        <w:tabs>
          <w:tab w:val="clear" w:pos="1440"/>
        </w:tabs>
        <w:spacing w:after="240"/>
        <w:ind w:left="1701" w:hanging="567"/>
      </w:pPr>
      <w:r>
        <w:rPr>
          <w:b/>
          <w:bCs/>
          <w:lang w:val="en-GB"/>
        </w:rPr>
        <w:t>7,047</w:t>
      </w:r>
      <w:r>
        <w:rPr>
          <w:lang w:val="en-GB"/>
        </w:rPr>
        <w:t xml:space="preserve"> microloans provided through the Multisectoral Inverstment Bank (BMI) in municipalities covered by the Programme.</w:t>
      </w:r>
      <w:r>
        <w:rPr>
          <w:lang w:val="en-US"/>
        </w:rPr>
        <w:t xml:space="preserve"> </w:t>
      </w:r>
      <w:r>
        <w:rPr>
          <w:lang w:val="en-GB"/>
        </w:rPr>
        <w:t>These microloans totalled $12.2 million at September 2007.</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Solidarity Network operates in three stages:</w:t>
      </w:r>
      <w:r>
        <w:rPr>
          <w:lang w:val="en-US"/>
        </w:rPr>
        <w:t xml:space="preserve"> </w:t>
      </w:r>
    </w:p>
    <w:p w:rsidR="00CD2A5A" w:rsidRDefault="00CD2A5A">
      <w:pPr>
        <w:numPr>
          <w:ilvl w:val="4"/>
          <w:numId w:val="3"/>
        </w:numPr>
        <w:tabs>
          <w:tab w:val="clear" w:pos="3447"/>
        </w:tabs>
        <w:autoSpaceDE w:val="0"/>
        <w:autoSpaceDN w:val="0"/>
        <w:adjustRightInd w:val="0"/>
        <w:spacing w:after="240"/>
        <w:ind w:left="0"/>
      </w:pPr>
      <w:r>
        <w:rPr>
          <w:lang w:val="en-GB"/>
        </w:rPr>
        <w:t>Immediately changing living conditions;</w:t>
      </w:r>
      <w:r>
        <w:t xml:space="preserve"> </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Expanding opportunities to access basic services such as water and education;</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Changing the economic enviroment and helping people to find a sustainable source of income and family development, especially when the woman is alone in the home, with no support from the father.</w:t>
      </w:r>
    </w:p>
    <w:p w:rsidR="00CD2A5A" w:rsidRDefault="00CD2A5A">
      <w:pPr>
        <w:pStyle w:val="Header"/>
        <w:numPr>
          <w:ilvl w:val="0"/>
          <w:numId w:val="3"/>
        </w:numPr>
        <w:tabs>
          <w:tab w:val="clear" w:pos="720"/>
          <w:tab w:val="clear" w:pos="4252"/>
        </w:tabs>
        <w:spacing w:after="240"/>
        <w:ind w:left="0" w:firstLine="0"/>
        <w:rPr>
          <w:lang w:val="en-US"/>
        </w:rPr>
      </w:pPr>
      <w:r>
        <w:rPr>
          <w:lang w:val="en-GB"/>
        </w:rPr>
        <w:t>Around $50 million a year will be invested in each one.</w:t>
      </w:r>
      <w:r>
        <w:rPr>
          <w:lang w:val="en-US"/>
        </w:rPr>
        <w:t xml:space="preserve"> </w:t>
      </w:r>
      <w:r>
        <w:rPr>
          <w:lang w:val="en-GB"/>
        </w:rPr>
        <w:t>The funds will come from four sources:</w:t>
      </w:r>
      <w:r>
        <w:rPr>
          <w:lang w:val="en-US"/>
        </w:rPr>
        <w:t xml:space="preserve"> </w:t>
      </w:r>
      <w:r>
        <w:rPr>
          <w:lang w:val="en-GB"/>
        </w:rPr>
        <w:t>appropriations from the various participating ministries; international cooperation, loans from international bodies; and a specific heading of the national budget.</w:t>
      </w:r>
      <w:r>
        <w:rPr>
          <w:lang w:val="en-US"/>
        </w:rPr>
        <w:t xml:space="preserve"> </w:t>
      </w:r>
      <w:r>
        <w:rPr>
          <w:lang w:val="en-GB"/>
        </w:rPr>
        <w:t>The goal is to support 100,000 families in extreme poverty over the next four years, at a cost of $200 million.</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programme will invest directly in extremely poor households, regardless of their location or the religion or ideology they embrace.</w:t>
      </w:r>
    </w:p>
    <w:p w:rsidR="00CD2A5A" w:rsidRDefault="00CD2A5A">
      <w:pPr>
        <w:pStyle w:val="Header"/>
        <w:numPr>
          <w:ilvl w:val="0"/>
          <w:numId w:val="3"/>
        </w:numPr>
        <w:tabs>
          <w:tab w:val="clear" w:pos="720"/>
          <w:tab w:val="clear" w:pos="4252"/>
        </w:tabs>
        <w:spacing w:after="240"/>
        <w:ind w:left="0" w:firstLine="0"/>
        <w:rPr>
          <w:lang w:val="en-US"/>
        </w:rPr>
      </w:pPr>
      <w:r>
        <w:rPr>
          <w:bCs/>
          <w:lang w:val="en-GB"/>
        </w:rPr>
        <w:t xml:space="preserve">The general objective is to bring about a comprehensive improvement in the living conditions of families living in </w:t>
      </w:r>
      <w:r>
        <w:rPr>
          <w:lang w:val="en-GB"/>
        </w:rPr>
        <w:t>extreme poverty, focusing on rural areas, expanding their opportunities and providing the necessary resources, by improving the network of basic services, programmes of production development and microloans, to boost their capabilities to take advantage of these opportunities and improve the quality of their personal, family and community life.</w:t>
      </w:r>
    </w:p>
    <w:p w:rsidR="00CD2A5A" w:rsidRDefault="00CD2A5A">
      <w:pPr>
        <w:pStyle w:val="Header"/>
        <w:keepNext/>
        <w:numPr>
          <w:ilvl w:val="0"/>
          <w:numId w:val="3"/>
        </w:numPr>
        <w:tabs>
          <w:tab w:val="clear" w:pos="720"/>
          <w:tab w:val="clear" w:pos="4252"/>
        </w:tabs>
        <w:spacing w:after="240"/>
        <w:ind w:left="0" w:firstLine="0"/>
        <w:rPr>
          <w:lang w:val="en-US"/>
        </w:rPr>
      </w:pPr>
      <w:r>
        <w:rPr>
          <w:bCs/>
          <w:lang w:val="en-GB"/>
        </w:rPr>
        <w:t>The specific objectives are as follows:</w:t>
      </w:r>
    </w:p>
    <w:p w:rsidR="00CD2A5A" w:rsidRDefault="00CD2A5A">
      <w:pPr>
        <w:numPr>
          <w:ilvl w:val="0"/>
          <w:numId w:val="12"/>
        </w:numPr>
        <w:tabs>
          <w:tab w:val="clear" w:pos="496"/>
        </w:tabs>
        <w:spacing w:before="100" w:beforeAutospacing="1" w:after="240"/>
        <w:ind w:left="0" w:firstLine="567"/>
        <w:rPr>
          <w:lang w:val="en-US"/>
        </w:rPr>
      </w:pPr>
      <w:r>
        <w:rPr>
          <w:lang w:val="en-GB"/>
        </w:rPr>
        <w:t>to improve the incomes of families in extreme poverty, helping to eradicate hunger and linking it to the basic health and education systems;</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improve rural health and nutrition conditions, giving priority to preventive care for mothers and infants;</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improve the conditions of rural families – especially mothers – in extreme poverty by means of training and support measures;</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improve the education of the school-age population – under 15 – from nursery school to sixth grade in rural areas;</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foster gender, ethnic and age equality, by the active participation of women and men in all the network’s activities, and the implementation of gender-equality training in various environments to improve conditions and relationships in families and communities;</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improve the provision of basic services in health, nutrition programmes and elementary education;</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improve basic social infrastructure – drinking water and sanitation, and strategic infrastructure – for access to services through comprehensive and coordinated action with those sectors;</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improve the population’s legal security, by legalizing the place of residence and personal identity documentation;</w:t>
      </w:r>
      <w:r>
        <w:rPr>
          <w:lang w:val="en-US"/>
        </w:rPr>
        <w:t xml:space="preserve"> </w:t>
      </w:r>
    </w:p>
    <w:p w:rsidR="00CD2A5A" w:rsidRDefault="00CD2A5A">
      <w:pPr>
        <w:numPr>
          <w:ilvl w:val="0"/>
          <w:numId w:val="12"/>
        </w:numPr>
        <w:tabs>
          <w:tab w:val="clear" w:pos="496"/>
        </w:tabs>
        <w:spacing w:before="100" w:beforeAutospacing="1" w:after="240"/>
        <w:ind w:left="0" w:firstLine="567"/>
        <w:rPr>
          <w:lang w:val="en-US"/>
        </w:rPr>
      </w:pPr>
      <w:r>
        <w:rPr>
          <w:lang w:val="en-GB"/>
        </w:rPr>
        <w:t>to provide tools to enable the home to be financially sustainable, through production projects, job-skills training and micro-loans.</w:t>
      </w:r>
    </w:p>
    <w:p w:rsidR="00CD2A5A" w:rsidRDefault="00CD2A5A" w:rsidP="006228EF">
      <w:pPr>
        <w:pStyle w:val="A0"/>
        <w:rPr>
          <w:lang w:val="es-SV"/>
        </w:rPr>
      </w:pPr>
      <w:r>
        <w:t>D.  Social security</w:t>
      </w:r>
    </w:p>
    <w:p w:rsidR="00CD2A5A" w:rsidRDefault="00CD2A5A">
      <w:pPr>
        <w:pStyle w:val="Header"/>
        <w:numPr>
          <w:ilvl w:val="0"/>
          <w:numId w:val="3"/>
        </w:numPr>
        <w:tabs>
          <w:tab w:val="clear" w:pos="720"/>
          <w:tab w:val="clear" w:pos="4252"/>
        </w:tabs>
        <w:spacing w:after="240"/>
        <w:ind w:left="0" w:firstLine="0"/>
        <w:rPr>
          <w:lang w:val="en-US"/>
        </w:rPr>
      </w:pPr>
      <w:r>
        <w:rPr>
          <w:lang w:val="en-GB"/>
        </w:rPr>
        <w:t>Within its benefits system the Salvadoran Social Security Institute (ISSS) has a number of programmes aiming to ensure comprehensive health for its contributors and beneficiaries, such as:</w:t>
      </w:r>
      <w:r>
        <w:rPr>
          <w:lang w:val="en-US"/>
        </w:rPr>
        <w:t xml:space="preserve"> </w:t>
      </w:r>
      <w:r>
        <w:rPr>
          <w:lang w:val="en-GB"/>
        </w:rPr>
        <w:t>comprehensive care for women; nutrition, family planning; HIV/AIDS; child care; immunization; older persons; health development and promotion; and occupational health.</w:t>
      </w:r>
      <w:r>
        <w:rPr>
          <w:lang w:val="en-US"/>
        </w:rPr>
        <w:t xml:space="preserve"> </w:t>
      </w:r>
      <w:r>
        <w:rPr>
          <w:lang w:val="en-GB"/>
        </w:rPr>
        <w:t>Besides health services, the plan includes monetary benefits by way of subsidies for temporary incapacity, pensions for occupational accidents and funeral expenses in the event of the death of the contributor.</w:t>
      </w:r>
    </w:p>
    <w:p w:rsidR="00CD2A5A" w:rsidRDefault="00CD2A5A">
      <w:pPr>
        <w:numPr>
          <w:ilvl w:val="0"/>
          <w:numId w:val="3"/>
        </w:numPr>
        <w:tabs>
          <w:tab w:val="clear" w:pos="720"/>
        </w:tabs>
        <w:spacing w:after="240"/>
        <w:ind w:left="0" w:firstLine="0"/>
        <w:rPr>
          <w:lang w:val="en-US"/>
        </w:rPr>
      </w:pPr>
      <w:r>
        <w:rPr>
          <w:lang w:val="en-GB"/>
        </w:rPr>
        <w:t>According to ISSS sources over the period 2004-2006, these programmes benefited a total of 1,895,890 workers and 786,377 children between the ages of 6 and 12, broken down as follows.</w:t>
      </w:r>
      <w:r>
        <w:rPr>
          <w:lang w:val="en-US"/>
        </w:rPr>
        <w:t xml:space="preserve"> </w:t>
      </w:r>
      <w:r>
        <w:rPr>
          <w:lang w:val="en-GB"/>
        </w:rPr>
        <w:t>In 2004 the programme benefited 612,190 workers and 213,274 children aged between 6 and 12.</w:t>
      </w:r>
      <w:r>
        <w:rPr>
          <w:lang w:val="en-US"/>
        </w:rPr>
        <w:t xml:space="preserve"> </w:t>
      </w:r>
      <w:r>
        <w:rPr>
          <w:lang w:val="en-GB"/>
        </w:rPr>
        <w:t>In 2005 the programme benefited a total of 633,752 workers and 256,557 children aged between 6 and 12.</w:t>
      </w:r>
      <w:r>
        <w:rPr>
          <w:lang w:val="en-US"/>
        </w:rPr>
        <w:t xml:space="preserve"> </w:t>
      </w:r>
      <w:r>
        <w:rPr>
          <w:lang w:val="en-GB"/>
        </w:rPr>
        <w:t>In 2006 the programme benefited a total of 649,948 workers and 316,546 children aged between 6 and 12.</w:t>
      </w:r>
    </w:p>
    <w:p w:rsidR="00CD2A5A" w:rsidRDefault="00CD2A5A">
      <w:pPr>
        <w:pStyle w:val="Header"/>
        <w:numPr>
          <w:ilvl w:val="0"/>
          <w:numId w:val="3"/>
        </w:numPr>
        <w:tabs>
          <w:tab w:val="clear" w:pos="720"/>
          <w:tab w:val="clear" w:pos="4252"/>
        </w:tabs>
        <w:spacing w:after="240"/>
        <w:ind w:left="0" w:firstLine="0"/>
        <w:rPr>
          <w:lang w:val="en-US"/>
        </w:rPr>
      </w:pPr>
      <w:r>
        <w:rPr>
          <w:lang w:val="en-GB"/>
        </w:rPr>
        <w:t>Over the reporting period, the ISSS spent more than $33 million on caring for children of insured beneficiaries.</w:t>
      </w:r>
    </w:p>
    <w:p w:rsidR="00CD2A5A" w:rsidRDefault="00CD2A5A" w:rsidP="008A5877">
      <w:pPr>
        <w:pStyle w:val="Figure"/>
        <w:spacing w:after="120"/>
        <w:rPr>
          <w:lang w:val="en-US"/>
        </w:rPr>
      </w:pPr>
      <w:r>
        <w:t>Figure 52</w:t>
      </w:r>
    </w:p>
    <w:p w:rsidR="00CD2A5A" w:rsidRDefault="00CD2A5A" w:rsidP="008A5877">
      <w:pPr>
        <w:pStyle w:val="Figure"/>
        <w:spacing w:after="120"/>
      </w:pPr>
      <w:r>
        <w:t>Salvadoran social security institute</w:t>
      </w:r>
    </w:p>
    <w:p w:rsidR="00CD2A5A" w:rsidRDefault="00CD2A5A" w:rsidP="008A5877">
      <w:pPr>
        <w:pStyle w:val="Figure"/>
        <w:spacing w:after="120"/>
      </w:pPr>
      <w:r>
        <w:t>Institutional finance unit</w:t>
      </w:r>
    </w:p>
    <w:p w:rsidR="00CD2A5A" w:rsidRDefault="00CD2A5A" w:rsidP="008A5877">
      <w:pPr>
        <w:pStyle w:val="Figure"/>
        <w:spacing w:after="120"/>
      </w:pPr>
      <w:r>
        <w:t>Budget department</w:t>
      </w:r>
    </w:p>
    <w:p w:rsidR="00CD2A5A" w:rsidRDefault="00CD2A5A" w:rsidP="008A5877">
      <w:pPr>
        <w:pStyle w:val="Figure"/>
        <w:spacing w:after="120"/>
      </w:pPr>
      <w:r>
        <w:t>Cost-control section</w:t>
      </w:r>
    </w:p>
    <w:p w:rsidR="00CD2A5A" w:rsidRDefault="00CD2A5A" w:rsidP="008A5877">
      <w:pPr>
        <w:pStyle w:val="Figure"/>
        <w:spacing w:after="120"/>
        <w:rPr>
          <w:lang w:val="en-US"/>
        </w:rPr>
      </w:pPr>
      <w:r>
        <w:t>Cost of caring for children of insured beneficiaries 2004 to 2006 and january to may 2007</w:t>
      </w:r>
    </w:p>
    <w:tbl>
      <w:tblPr>
        <w:tblW w:w="4997" w:type="pct"/>
        <w:jc w:val="center"/>
        <w:tblInd w:w="5" w:type="dxa"/>
        <w:tblLayout w:type="fixed"/>
        <w:tblCellMar>
          <w:left w:w="0" w:type="dxa"/>
          <w:right w:w="0" w:type="dxa"/>
        </w:tblCellMar>
        <w:tblLook w:val="0000" w:firstRow="0" w:lastRow="0" w:firstColumn="0" w:lastColumn="0" w:noHBand="0" w:noVBand="0"/>
      </w:tblPr>
      <w:tblGrid>
        <w:gridCol w:w="1641"/>
        <w:gridCol w:w="735"/>
        <w:gridCol w:w="972"/>
        <w:gridCol w:w="627"/>
        <w:gridCol w:w="1043"/>
        <w:gridCol w:w="753"/>
        <w:gridCol w:w="1038"/>
        <w:gridCol w:w="599"/>
        <w:gridCol w:w="964"/>
        <w:gridCol w:w="1045"/>
      </w:tblGrid>
      <w:tr w:rsidR="00CD2A5A">
        <w:tblPrEx>
          <w:tblCellMar>
            <w:top w:w="0" w:type="dxa"/>
            <w:left w:w="0" w:type="dxa"/>
            <w:bottom w:w="0" w:type="dxa"/>
            <w:right w:w="0" w:type="dxa"/>
          </w:tblCellMar>
        </w:tblPrEx>
        <w:trPr>
          <w:cantSplit/>
          <w:trHeight w:val="20"/>
          <w:jc w:val="center"/>
        </w:trPr>
        <w:tc>
          <w:tcPr>
            <w:tcW w:w="871" w:type="pct"/>
            <w:vMerge w:val="restart"/>
            <w:tcBorders>
              <w:top w:val="single" w:sz="6" w:space="0" w:color="auto"/>
              <w:left w:val="single" w:sz="2" w:space="0" w:color="auto"/>
              <w:bottom w:val="nil"/>
              <w:right w:val="single" w:sz="6" w:space="0" w:color="auto"/>
            </w:tcBorders>
            <w:vAlign w:val="center"/>
          </w:tcPr>
          <w:p w:rsidR="00CD2A5A" w:rsidRDefault="00CD2A5A">
            <w:pPr>
              <w:pStyle w:val="Style1"/>
              <w:adjustRightInd/>
              <w:spacing w:before="40" w:after="40"/>
              <w:jc w:val="center"/>
              <w:rPr>
                <w:b/>
                <w:i/>
              </w:rPr>
            </w:pPr>
            <w:r>
              <w:rPr>
                <w:b/>
                <w:i/>
                <w:lang w:val="en-GB"/>
              </w:rPr>
              <w:t>Description</w:t>
            </w:r>
          </w:p>
        </w:tc>
        <w:tc>
          <w:tcPr>
            <w:tcW w:w="3574" w:type="pct"/>
            <w:gridSpan w:val="8"/>
            <w:tcBorders>
              <w:top w:val="single" w:sz="6" w:space="0" w:color="auto"/>
              <w:left w:val="single" w:sz="6" w:space="0" w:color="auto"/>
              <w:bottom w:val="single" w:sz="6" w:space="0" w:color="auto"/>
              <w:right w:val="single" w:sz="6" w:space="0" w:color="auto"/>
            </w:tcBorders>
            <w:vAlign w:val="center"/>
          </w:tcPr>
          <w:p w:rsidR="00CD2A5A" w:rsidRDefault="00CD2A5A">
            <w:pPr>
              <w:pStyle w:val="Style1"/>
              <w:adjustRightInd/>
              <w:spacing w:before="40" w:after="40"/>
              <w:jc w:val="center"/>
              <w:rPr>
                <w:b/>
                <w:bCs/>
                <w:i/>
              </w:rPr>
            </w:pPr>
            <w:r>
              <w:rPr>
                <w:b/>
                <w:bCs/>
                <w:i/>
                <w:lang w:val="en-GB"/>
              </w:rPr>
              <w:t>Summary</w:t>
            </w:r>
          </w:p>
        </w:tc>
        <w:tc>
          <w:tcPr>
            <w:tcW w:w="555" w:type="pct"/>
            <w:vMerge w:val="restart"/>
            <w:tcBorders>
              <w:top w:val="single" w:sz="6" w:space="0" w:color="auto"/>
              <w:left w:val="single" w:sz="6" w:space="0" w:color="auto"/>
              <w:bottom w:val="nil"/>
              <w:right w:val="single" w:sz="6" w:space="0" w:color="auto"/>
            </w:tcBorders>
            <w:vAlign w:val="center"/>
          </w:tcPr>
          <w:p w:rsidR="00CD2A5A" w:rsidRDefault="00CD2A5A">
            <w:pPr>
              <w:pStyle w:val="Style1"/>
              <w:adjustRightInd/>
              <w:spacing w:before="40" w:after="40"/>
              <w:jc w:val="center"/>
              <w:rPr>
                <w:b/>
                <w:i/>
              </w:rPr>
            </w:pPr>
            <w:r>
              <w:rPr>
                <w:b/>
                <w:i/>
                <w:lang w:val="en-GB"/>
              </w:rPr>
              <w:t>Grand total in</w:t>
            </w:r>
            <w:r>
              <w:rPr>
                <w:b/>
                <w:i/>
                <w:lang w:val="en-GB"/>
              </w:rPr>
              <w:br/>
              <w:t>US dollars</w:t>
            </w:r>
          </w:p>
        </w:tc>
      </w:tr>
      <w:tr w:rsidR="00CD2A5A">
        <w:tblPrEx>
          <w:tblCellMar>
            <w:top w:w="0" w:type="dxa"/>
            <w:left w:w="0" w:type="dxa"/>
            <w:bottom w:w="0" w:type="dxa"/>
            <w:right w:w="0" w:type="dxa"/>
          </w:tblCellMar>
        </w:tblPrEx>
        <w:trPr>
          <w:cantSplit/>
          <w:trHeight w:val="20"/>
          <w:jc w:val="center"/>
        </w:trPr>
        <w:tc>
          <w:tcPr>
            <w:tcW w:w="871" w:type="pct"/>
            <w:vMerge/>
            <w:tcBorders>
              <w:top w:val="nil"/>
              <w:left w:val="single" w:sz="2" w:space="0" w:color="auto"/>
              <w:bottom w:val="single" w:sz="6" w:space="0" w:color="auto"/>
              <w:right w:val="single" w:sz="6" w:space="0" w:color="auto"/>
            </w:tcBorders>
            <w:vAlign w:val="center"/>
          </w:tcPr>
          <w:p w:rsidR="00CD2A5A" w:rsidRDefault="00CD2A5A">
            <w:pPr>
              <w:spacing w:before="40" w:after="40"/>
              <w:jc w:val="center"/>
              <w:rPr>
                <w:sz w:val="20"/>
                <w:szCs w:val="20"/>
                <w:lang w:val="en-US"/>
              </w:rPr>
            </w:pPr>
          </w:p>
        </w:tc>
        <w:tc>
          <w:tcPr>
            <w:tcW w:w="390" w:type="pct"/>
            <w:tcBorders>
              <w:top w:val="single" w:sz="6" w:space="0" w:color="auto"/>
              <w:left w:val="single" w:sz="6" w:space="0" w:color="auto"/>
              <w:bottom w:val="single" w:sz="6" w:space="0" w:color="auto"/>
              <w:right w:val="single" w:sz="2" w:space="0" w:color="auto"/>
            </w:tcBorders>
            <w:vAlign w:val="center"/>
          </w:tcPr>
          <w:p w:rsidR="00CD2A5A" w:rsidRDefault="00CD2A5A">
            <w:pPr>
              <w:pStyle w:val="Style1"/>
              <w:adjustRightInd/>
              <w:spacing w:before="40" w:after="40"/>
              <w:jc w:val="center"/>
              <w:rPr>
                <w:b/>
                <w:i/>
              </w:rPr>
            </w:pPr>
            <w:r>
              <w:rPr>
                <w:b/>
                <w:i/>
                <w:lang w:val="en-GB"/>
              </w:rPr>
              <w:t>2004</w:t>
            </w:r>
          </w:p>
        </w:tc>
        <w:tc>
          <w:tcPr>
            <w:tcW w:w="516"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jc w:val="center"/>
              <w:rPr>
                <w:b/>
                <w:i/>
              </w:rPr>
            </w:pPr>
            <w:r>
              <w:rPr>
                <w:b/>
                <w:i/>
                <w:lang w:val="en-GB"/>
              </w:rPr>
              <w:t>Amount in US dollars</w:t>
            </w:r>
          </w:p>
        </w:tc>
        <w:tc>
          <w:tcPr>
            <w:tcW w:w="333" w:type="pct"/>
            <w:tcBorders>
              <w:top w:val="single" w:sz="6" w:space="0" w:color="auto"/>
              <w:left w:val="single" w:sz="6" w:space="0" w:color="auto"/>
              <w:bottom w:val="single" w:sz="6" w:space="0" w:color="auto"/>
              <w:right w:val="single" w:sz="2" w:space="0" w:color="auto"/>
            </w:tcBorders>
            <w:vAlign w:val="center"/>
          </w:tcPr>
          <w:p w:rsidR="00CD2A5A" w:rsidRDefault="00CD2A5A">
            <w:pPr>
              <w:pStyle w:val="Style1"/>
              <w:adjustRightInd/>
              <w:spacing w:before="40" w:after="40"/>
              <w:jc w:val="center"/>
              <w:rPr>
                <w:b/>
                <w:i/>
              </w:rPr>
            </w:pPr>
            <w:r>
              <w:rPr>
                <w:b/>
                <w:i/>
                <w:lang w:val="en-GB"/>
              </w:rPr>
              <w:t>2005</w:t>
            </w:r>
          </w:p>
        </w:tc>
        <w:tc>
          <w:tcPr>
            <w:tcW w:w="554"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jc w:val="center"/>
              <w:rPr>
                <w:b/>
                <w:i/>
              </w:rPr>
            </w:pPr>
            <w:r>
              <w:rPr>
                <w:b/>
                <w:i/>
                <w:lang w:val="en-GB"/>
              </w:rPr>
              <w:t>Amount in US dollars</w:t>
            </w:r>
          </w:p>
        </w:tc>
        <w:tc>
          <w:tcPr>
            <w:tcW w:w="400" w:type="pct"/>
            <w:tcBorders>
              <w:top w:val="single" w:sz="6" w:space="0" w:color="auto"/>
              <w:left w:val="single" w:sz="6" w:space="0" w:color="auto"/>
              <w:bottom w:val="single" w:sz="6" w:space="0" w:color="auto"/>
              <w:right w:val="single" w:sz="6" w:space="0" w:color="auto"/>
            </w:tcBorders>
            <w:vAlign w:val="center"/>
          </w:tcPr>
          <w:p w:rsidR="00CD2A5A" w:rsidRDefault="00CD2A5A">
            <w:pPr>
              <w:pStyle w:val="Style1"/>
              <w:adjustRightInd/>
              <w:spacing w:before="40" w:after="40"/>
              <w:jc w:val="center"/>
              <w:rPr>
                <w:b/>
                <w:i/>
              </w:rPr>
            </w:pPr>
            <w:r>
              <w:rPr>
                <w:b/>
                <w:i/>
                <w:lang w:val="en-GB"/>
              </w:rPr>
              <w:t>2006</w:t>
            </w:r>
          </w:p>
        </w:tc>
        <w:tc>
          <w:tcPr>
            <w:tcW w:w="551" w:type="pct"/>
            <w:tcBorders>
              <w:top w:val="single" w:sz="6" w:space="0" w:color="auto"/>
              <w:left w:val="single" w:sz="6" w:space="0" w:color="auto"/>
              <w:bottom w:val="single" w:sz="6" w:space="0" w:color="auto"/>
              <w:right w:val="single" w:sz="6" w:space="0" w:color="auto"/>
            </w:tcBorders>
            <w:vAlign w:val="center"/>
          </w:tcPr>
          <w:p w:rsidR="00CD2A5A" w:rsidRDefault="00CD2A5A">
            <w:pPr>
              <w:pStyle w:val="Style1"/>
              <w:adjustRightInd/>
              <w:spacing w:before="40" w:after="40"/>
              <w:jc w:val="center"/>
              <w:rPr>
                <w:b/>
                <w:i/>
              </w:rPr>
            </w:pPr>
            <w:r>
              <w:rPr>
                <w:b/>
                <w:i/>
                <w:lang w:val="en-GB"/>
              </w:rPr>
              <w:t>Amount in US dollars</w:t>
            </w:r>
          </w:p>
        </w:tc>
        <w:tc>
          <w:tcPr>
            <w:tcW w:w="318" w:type="pct"/>
            <w:tcBorders>
              <w:top w:val="single" w:sz="6" w:space="0" w:color="auto"/>
              <w:left w:val="single" w:sz="6" w:space="0" w:color="auto"/>
              <w:bottom w:val="single" w:sz="6" w:space="0" w:color="auto"/>
              <w:right w:val="single" w:sz="2" w:space="0" w:color="auto"/>
            </w:tcBorders>
            <w:vAlign w:val="center"/>
          </w:tcPr>
          <w:p w:rsidR="00CD2A5A" w:rsidRDefault="00CD2A5A">
            <w:pPr>
              <w:pStyle w:val="Style1"/>
              <w:adjustRightInd/>
              <w:spacing w:before="40" w:after="40"/>
              <w:jc w:val="center"/>
              <w:rPr>
                <w:b/>
                <w:i/>
              </w:rPr>
            </w:pPr>
            <w:r>
              <w:rPr>
                <w:b/>
                <w:i/>
                <w:lang w:val="en-GB"/>
              </w:rPr>
              <w:t>January to May 2007</w:t>
            </w:r>
          </w:p>
        </w:tc>
        <w:tc>
          <w:tcPr>
            <w:tcW w:w="512"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jc w:val="center"/>
              <w:rPr>
                <w:b/>
                <w:i/>
              </w:rPr>
            </w:pPr>
            <w:r>
              <w:rPr>
                <w:b/>
                <w:i/>
                <w:lang w:val="en-GB"/>
              </w:rPr>
              <w:t>Amount in US dollars</w:t>
            </w:r>
          </w:p>
        </w:tc>
        <w:tc>
          <w:tcPr>
            <w:tcW w:w="555" w:type="pct"/>
            <w:vMerge/>
            <w:tcBorders>
              <w:top w:val="nil"/>
              <w:left w:val="single" w:sz="6" w:space="0" w:color="auto"/>
              <w:bottom w:val="single" w:sz="6" w:space="0" w:color="auto"/>
              <w:right w:val="single" w:sz="6" w:space="0" w:color="auto"/>
            </w:tcBorders>
            <w:vAlign w:val="center"/>
          </w:tcPr>
          <w:p w:rsidR="00CD2A5A" w:rsidRDefault="00CD2A5A">
            <w:pPr>
              <w:pStyle w:val="Style1"/>
              <w:adjustRightInd/>
              <w:spacing w:before="40" w:after="40"/>
            </w:pPr>
          </w:p>
        </w:tc>
      </w:tr>
      <w:tr w:rsidR="00CD2A5A">
        <w:tblPrEx>
          <w:tblCellMar>
            <w:top w:w="0" w:type="dxa"/>
            <w:left w:w="0" w:type="dxa"/>
            <w:bottom w:w="0" w:type="dxa"/>
            <w:right w:w="0" w:type="dxa"/>
          </w:tblCellMar>
        </w:tblPrEx>
        <w:trPr>
          <w:trHeight w:val="20"/>
          <w:jc w:val="center"/>
        </w:trPr>
        <w:tc>
          <w:tcPr>
            <w:tcW w:w="871" w:type="pct"/>
            <w:tcBorders>
              <w:top w:val="single" w:sz="6" w:space="0" w:color="auto"/>
              <w:left w:val="single" w:sz="2" w:space="0" w:color="auto"/>
              <w:bottom w:val="nil"/>
              <w:right w:val="single" w:sz="6" w:space="0" w:color="auto"/>
            </w:tcBorders>
            <w:vAlign w:val="center"/>
          </w:tcPr>
          <w:p w:rsidR="00CD2A5A" w:rsidRDefault="00CD2A5A">
            <w:pPr>
              <w:pStyle w:val="Style1"/>
              <w:adjustRightInd/>
              <w:spacing w:before="40" w:after="40"/>
              <w:rPr>
                <w:spacing w:val="-2"/>
              </w:rPr>
            </w:pPr>
            <w:r>
              <w:rPr>
                <w:spacing w:val="-2"/>
                <w:lang w:val="en-GB"/>
              </w:rPr>
              <w:t>Spending on programme for</w:t>
            </w:r>
          </w:p>
        </w:tc>
        <w:tc>
          <w:tcPr>
            <w:tcW w:w="390" w:type="pct"/>
            <w:tcBorders>
              <w:top w:val="single" w:sz="6" w:space="0" w:color="auto"/>
              <w:left w:val="single" w:sz="6" w:space="0" w:color="auto"/>
              <w:bottom w:val="nil"/>
              <w:right w:val="single" w:sz="2" w:space="0" w:color="auto"/>
            </w:tcBorders>
            <w:vAlign w:val="center"/>
          </w:tcPr>
          <w:p w:rsidR="00CD2A5A" w:rsidRDefault="00CD2A5A">
            <w:pPr>
              <w:pStyle w:val="Style1"/>
              <w:adjustRightInd/>
              <w:spacing w:before="40" w:after="40"/>
              <w:rPr>
                <w:spacing w:val="-2"/>
                <w:sz w:val="17"/>
                <w:szCs w:val="17"/>
              </w:rPr>
            </w:pPr>
          </w:p>
        </w:tc>
        <w:tc>
          <w:tcPr>
            <w:tcW w:w="516" w:type="pct"/>
            <w:tcBorders>
              <w:top w:val="single" w:sz="6" w:space="0" w:color="auto"/>
              <w:left w:val="single" w:sz="2" w:space="0" w:color="auto"/>
              <w:bottom w:val="nil"/>
              <w:right w:val="single" w:sz="6" w:space="0" w:color="auto"/>
            </w:tcBorders>
            <w:vAlign w:val="center"/>
          </w:tcPr>
          <w:p w:rsidR="00CD2A5A" w:rsidRDefault="00CD2A5A">
            <w:pPr>
              <w:pStyle w:val="Style1"/>
              <w:adjustRightInd/>
              <w:spacing w:before="40" w:after="40"/>
              <w:rPr>
                <w:spacing w:val="-2"/>
                <w:sz w:val="17"/>
                <w:szCs w:val="17"/>
              </w:rPr>
            </w:pPr>
          </w:p>
        </w:tc>
        <w:tc>
          <w:tcPr>
            <w:tcW w:w="333" w:type="pct"/>
            <w:tcBorders>
              <w:top w:val="single" w:sz="6" w:space="0" w:color="auto"/>
              <w:left w:val="single" w:sz="6" w:space="0" w:color="auto"/>
              <w:bottom w:val="nil"/>
              <w:right w:val="single" w:sz="2" w:space="0" w:color="auto"/>
            </w:tcBorders>
            <w:vAlign w:val="center"/>
          </w:tcPr>
          <w:p w:rsidR="00CD2A5A" w:rsidRDefault="00CD2A5A">
            <w:pPr>
              <w:pStyle w:val="Style1"/>
              <w:adjustRightInd/>
              <w:spacing w:before="40" w:after="40"/>
              <w:rPr>
                <w:spacing w:val="-2"/>
                <w:sz w:val="17"/>
                <w:szCs w:val="17"/>
              </w:rPr>
            </w:pPr>
          </w:p>
        </w:tc>
        <w:tc>
          <w:tcPr>
            <w:tcW w:w="554" w:type="pct"/>
            <w:tcBorders>
              <w:top w:val="single" w:sz="6" w:space="0" w:color="auto"/>
              <w:left w:val="single" w:sz="2" w:space="0" w:color="auto"/>
              <w:bottom w:val="nil"/>
              <w:right w:val="single" w:sz="6" w:space="0" w:color="auto"/>
            </w:tcBorders>
            <w:vAlign w:val="center"/>
          </w:tcPr>
          <w:p w:rsidR="00CD2A5A" w:rsidRDefault="00CD2A5A">
            <w:pPr>
              <w:pStyle w:val="Style1"/>
              <w:adjustRightInd/>
              <w:spacing w:before="40" w:after="40"/>
              <w:rPr>
                <w:spacing w:val="-2"/>
                <w:sz w:val="17"/>
                <w:szCs w:val="17"/>
              </w:rPr>
            </w:pPr>
          </w:p>
        </w:tc>
        <w:tc>
          <w:tcPr>
            <w:tcW w:w="400" w:type="pct"/>
            <w:tcBorders>
              <w:top w:val="single" w:sz="6" w:space="0" w:color="auto"/>
              <w:left w:val="single" w:sz="6" w:space="0" w:color="auto"/>
              <w:bottom w:val="nil"/>
              <w:right w:val="single" w:sz="6" w:space="0" w:color="auto"/>
            </w:tcBorders>
            <w:vAlign w:val="center"/>
          </w:tcPr>
          <w:p w:rsidR="00CD2A5A" w:rsidRDefault="00CD2A5A">
            <w:pPr>
              <w:pStyle w:val="Style1"/>
              <w:adjustRightInd/>
              <w:spacing w:before="40" w:after="40"/>
              <w:rPr>
                <w:spacing w:val="-2"/>
                <w:sz w:val="17"/>
                <w:szCs w:val="17"/>
              </w:rPr>
            </w:pPr>
          </w:p>
        </w:tc>
        <w:tc>
          <w:tcPr>
            <w:tcW w:w="551" w:type="pct"/>
            <w:tcBorders>
              <w:top w:val="single" w:sz="6" w:space="0" w:color="auto"/>
              <w:left w:val="single" w:sz="6" w:space="0" w:color="auto"/>
              <w:bottom w:val="nil"/>
              <w:right w:val="single" w:sz="6" w:space="0" w:color="auto"/>
            </w:tcBorders>
            <w:vAlign w:val="center"/>
          </w:tcPr>
          <w:p w:rsidR="00CD2A5A" w:rsidRDefault="00CD2A5A">
            <w:pPr>
              <w:pStyle w:val="Style1"/>
              <w:adjustRightInd/>
              <w:spacing w:before="40" w:after="40"/>
              <w:rPr>
                <w:spacing w:val="-2"/>
                <w:sz w:val="17"/>
                <w:szCs w:val="17"/>
              </w:rPr>
            </w:pPr>
          </w:p>
        </w:tc>
        <w:tc>
          <w:tcPr>
            <w:tcW w:w="318" w:type="pct"/>
            <w:tcBorders>
              <w:top w:val="single" w:sz="6" w:space="0" w:color="auto"/>
              <w:left w:val="single" w:sz="6" w:space="0" w:color="auto"/>
              <w:bottom w:val="nil"/>
              <w:right w:val="single" w:sz="2" w:space="0" w:color="auto"/>
            </w:tcBorders>
            <w:vAlign w:val="center"/>
          </w:tcPr>
          <w:p w:rsidR="00CD2A5A" w:rsidRDefault="00CD2A5A">
            <w:pPr>
              <w:pStyle w:val="Style1"/>
              <w:adjustRightInd/>
              <w:spacing w:before="40" w:after="40"/>
              <w:rPr>
                <w:spacing w:val="-2"/>
                <w:sz w:val="17"/>
                <w:szCs w:val="17"/>
              </w:rPr>
            </w:pPr>
          </w:p>
        </w:tc>
        <w:tc>
          <w:tcPr>
            <w:tcW w:w="512" w:type="pct"/>
            <w:tcBorders>
              <w:top w:val="single" w:sz="6" w:space="0" w:color="auto"/>
              <w:left w:val="single" w:sz="2" w:space="0" w:color="auto"/>
              <w:bottom w:val="nil"/>
              <w:right w:val="single" w:sz="6" w:space="0" w:color="auto"/>
            </w:tcBorders>
            <w:vAlign w:val="center"/>
          </w:tcPr>
          <w:p w:rsidR="00CD2A5A" w:rsidRDefault="00CD2A5A">
            <w:pPr>
              <w:pStyle w:val="Style1"/>
              <w:adjustRightInd/>
              <w:spacing w:before="40" w:after="40"/>
              <w:rPr>
                <w:spacing w:val="-2"/>
                <w:sz w:val="17"/>
                <w:szCs w:val="17"/>
              </w:rPr>
            </w:pPr>
          </w:p>
        </w:tc>
        <w:tc>
          <w:tcPr>
            <w:tcW w:w="555" w:type="pct"/>
            <w:tcBorders>
              <w:top w:val="single" w:sz="6" w:space="0" w:color="auto"/>
              <w:left w:val="single" w:sz="6" w:space="0" w:color="auto"/>
              <w:bottom w:val="nil"/>
              <w:right w:val="single" w:sz="6" w:space="0" w:color="auto"/>
            </w:tcBorders>
            <w:vAlign w:val="center"/>
          </w:tcPr>
          <w:p w:rsidR="00CD2A5A" w:rsidRDefault="00CD2A5A">
            <w:pPr>
              <w:pStyle w:val="Style1"/>
              <w:adjustRightInd/>
              <w:spacing w:before="40" w:after="40"/>
              <w:rPr>
                <w:spacing w:val="-2"/>
                <w:sz w:val="17"/>
                <w:szCs w:val="17"/>
              </w:rPr>
            </w:pPr>
          </w:p>
        </w:tc>
      </w:tr>
      <w:tr w:rsidR="00CD2A5A">
        <w:tblPrEx>
          <w:tblCellMar>
            <w:top w:w="0" w:type="dxa"/>
            <w:left w:w="0" w:type="dxa"/>
            <w:bottom w:w="0" w:type="dxa"/>
            <w:right w:w="0" w:type="dxa"/>
          </w:tblCellMar>
        </w:tblPrEx>
        <w:trPr>
          <w:trHeight w:val="20"/>
          <w:jc w:val="center"/>
        </w:trPr>
        <w:tc>
          <w:tcPr>
            <w:tcW w:w="871" w:type="pct"/>
            <w:tcBorders>
              <w:top w:val="nil"/>
              <w:left w:val="single" w:sz="2" w:space="0" w:color="auto"/>
              <w:bottom w:val="nil"/>
              <w:right w:val="single" w:sz="6" w:space="0" w:color="auto"/>
            </w:tcBorders>
            <w:vAlign w:val="center"/>
          </w:tcPr>
          <w:p w:rsidR="00CD2A5A" w:rsidRDefault="00CD2A5A">
            <w:pPr>
              <w:pStyle w:val="Style1"/>
              <w:adjustRightInd/>
              <w:spacing w:before="40" w:after="40"/>
              <w:rPr>
                <w:spacing w:val="-2"/>
              </w:rPr>
            </w:pPr>
            <w:r>
              <w:rPr>
                <w:spacing w:val="-2"/>
                <w:lang w:val="en-GB"/>
              </w:rPr>
              <w:t>Vaccines</w:t>
            </w:r>
          </w:p>
        </w:tc>
        <w:tc>
          <w:tcPr>
            <w:tcW w:w="390"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center"/>
              <w:rPr>
                <w:spacing w:val="-2"/>
                <w:sz w:val="17"/>
                <w:szCs w:val="17"/>
              </w:rPr>
            </w:pPr>
          </w:p>
        </w:tc>
        <w:tc>
          <w:tcPr>
            <w:tcW w:w="516"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center"/>
              <w:rPr>
                <w:spacing w:val="-2"/>
                <w:sz w:val="17"/>
                <w:szCs w:val="17"/>
              </w:rPr>
            </w:pPr>
            <w:r>
              <w:rPr>
                <w:spacing w:val="-2"/>
                <w:sz w:val="17"/>
                <w:szCs w:val="17"/>
                <w:lang w:val="en-GB"/>
              </w:rPr>
              <w:t>N.A.</w:t>
            </w:r>
          </w:p>
        </w:tc>
        <w:tc>
          <w:tcPr>
            <w:tcW w:w="333"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center"/>
              <w:rPr>
                <w:spacing w:val="-2"/>
                <w:sz w:val="17"/>
                <w:szCs w:val="17"/>
              </w:rPr>
            </w:pPr>
          </w:p>
        </w:tc>
        <w:tc>
          <w:tcPr>
            <w:tcW w:w="554"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683,000.00</w:t>
            </w:r>
          </w:p>
        </w:tc>
        <w:tc>
          <w:tcPr>
            <w:tcW w:w="400"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p>
        </w:tc>
        <w:tc>
          <w:tcPr>
            <w:tcW w:w="551"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1,100,000.00</w:t>
            </w:r>
          </w:p>
        </w:tc>
        <w:tc>
          <w:tcPr>
            <w:tcW w:w="318"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12"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362,000.00</w:t>
            </w:r>
          </w:p>
        </w:tc>
        <w:tc>
          <w:tcPr>
            <w:tcW w:w="555"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1,462,000.00</w:t>
            </w:r>
          </w:p>
        </w:tc>
      </w:tr>
      <w:tr w:rsidR="00CD2A5A">
        <w:tblPrEx>
          <w:tblCellMar>
            <w:top w:w="0" w:type="dxa"/>
            <w:left w:w="0" w:type="dxa"/>
            <w:bottom w:w="0" w:type="dxa"/>
            <w:right w:w="0" w:type="dxa"/>
          </w:tblCellMar>
        </w:tblPrEx>
        <w:trPr>
          <w:trHeight w:val="20"/>
          <w:jc w:val="center"/>
        </w:trPr>
        <w:tc>
          <w:tcPr>
            <w:tcW w:w="871" w:type="pct"/>
            <w:tcBorders>
              <w:top w:val="nil"/>
              <w:left w:val="single" w:sz="2" w:space="0" w:color="auto"/>
              <w:bottom w:val="nil"/>
              <w:right w:val="single" w:sz="6" w:space="0" w:color="auto"/>
            </w:tcBorders>
            <w:vAlign w:val="center"/>
          </w:tcPr>
          <w:p w:rsidR="00CD2A5A" w:rsidRDefault="00CD2A5A">
            <w:pPr>
              <w:pStyle w:val="Style1"/>
              <w:adjustRightInd/>
              <w:spacing w:before="40" w:after="40"/>
              <w:rPr>
                <w:spacing w:val="-2"/>
              </w:rPr>
            </w:pPr>
            <w:r>
              <w:rPr>
                <w:spacing w:val="-2"/>
                <w:lang w:val="en-GB"/>
              </w:rPr>
              <w:t>Consultations</w:t>
            </w:r>
          </w:p>
        </w:tc>
        <w:tc>
          <w:tcPr>
            <w:tcW w:w="390"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542,375</w:t>
            </w:r>
          </w:p>
        </w:tc>
        <w:tc>
          <w:tcPr>
            <w:tcW w:w="516"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4,593,871.35</w:t>
            </w:r>
          </w:p>
        </w:tc>
        <w:tc>
          <w:tcPr>
            <w:tcW w:w="333"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886,952</w:t>
            </w:r>
          </w:p>
        </w:tc>
        <w:tc>
          <w:tcPr>
            <w:tcW w:w="554"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7,285,827.00</w:t>
            </w:r>
          </w:p>
        </w:tc>
        <w:tc>
          <w:tcPr>
            <w:tcW w:w="400"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894,726</w:t>
            </w:r>
          </w:p>
        </w:tc>
        <w:tc>
          <w:tcPr>
            <w:tcW w:w="551"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7,348,318.22</w:t>
            </w:r>
          </w:p>
        </w:tc>
        <w:tc>
          <w:tcPr>
            <w:tcW w:w="318"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332,002</w:t>
            </w:r>
          </w:p>
        </w:tc>
        <w:tc>
          <w:tcPr>
            <w:tcW w:w="512"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2,739,158.90</w:t>
            </w:r>
          </w:p>
        </w:tc>
        <w:tc>
          <w:tcPr>
            <w:tcW w:w="555"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21,967,175.47</w:t>
            </w:r>
          </w:p>
        </w:tc>
      </w:tr>
      <w:tr w:rsidR="00CD2A5A">
        <w:tblPrEx>
          <w:tblCellMar>
            <w:top w:w="0" w:type="dxa"/>
            <w:left w:w="0" w:type="dxa"/>
            <w:bottom w:w="0" w:type="dxa"/>
            <w:right w:w="0" w:type="dxa"/>
          </w:tblCellMar>
        </w:tblPrEx>
        <w:trPr>
          <w:trHeight w:val="20"/>
          <w:jc w:val="center"/>
        </w:trPr>
        <w:tc>
          <w:tcPr>
            <w:tcW w:w="871" w:type="pct"/>
            <w:tcBorders>
              <w:top w:val="nil"/>
              <w:left w:val="single" w:sz="2" w:space="0" w:color="auto"/>
              <w:bottom w:val="nil"/>
              <w:right w:val="single" w:sz="6" w:space="0" w:color="auto"/>
            </w:tcBorders>
            <w:vAlign w:val="center"/>
          </w:tcPr>
          <w:p w:rsidR="00CD2A5A" w:rsidRDefault="00CD2A5A">
            <w:pPr>
              <w:pStyle w:val="Style1"/>
              <w:adjustRightInd/>
              <w:spacing w:before="40" w:after="40"/>
              <w:rPr>
                <w:spacing w:val="-2"/>
              </w:rPr>
            </w:pPr>
            <w:r>
              <w:rPr>
                <w:spacing w:val="-2"/>
                <w:lang w:val="en-GB"/>
              </w:rPr>
              <w:t>X-ray examinations</w:t>
            </w:r>
          </w:p>
        </w:tc>
        <w:tc>
          <w:tcPr>
            <w:tcW w:w="390"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43,893</w:t>
            </w:r>
          </w:p>
        </w:tc>
        <w:tc>
          <w:tcPr>
            <w:tcW w:w="516"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558,955.12</w:t>
            </w:r>
          </w:p>
        </w:tc>
        <w:tc>
          <w:tcPr>
            <w:tcW w:w="333"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44,248</w:t>
            </w:r>
          </w:p>
        </w:tc>
        <w:tc>
          <w:tcPr>
            <w:tcW w:w="554"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586,285.70</w:t>
            </w:r>
          </w:p>
        </w:tc>
        <w:tc>
          <w:tcPr>
            <w:tcW w:w="400"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51,300</w:t>
            </w:r>
          </w:p>
        </w:tc>
        <w:tc>
          <w:tcPr>
            <w:tcW w:w="551"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679,735.85</w:t>
            </w:r>
          </w:p>
        </w:tc>
        <w:tc>
          <w:tcPr>
            <w:tcW w:w="318"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22,201</w:t>
            </w:r>
          </w:p>
        </w:tc>
        <w:tc>
          <w:tcPr>
            <w:tcW w:w="512"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304,967.21</w:t>
            </w:r>
          </w:p>
        </w:tc>
        <w:tc>
          <w:tcPr>
            <w:tcW w:w="555"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2,129,943.88</w:t>
            </w:r>
          </w:p>
        </w:tc>
      </w:tr>
      <w:tr w:rsidR="00CD2A5A">
        <w:tblPrEx>
          <w:tblCellMar>
            <w:top w:w="0" w:type="dxa"/>
            <w:left w:w="0" w:type="dxa"/>
            <w:bottom w:w="0" w:type="dxa"/>
            <w:right w:w="0" w:type="dxa"/>
          </w:tblCellMar>
        </w:tblPrEx>
        <w:trPr>
          <w:trHeight w:val="20"/>
          <w:jc w:val="center"/>
        </w:trPr>
        <w:tc>
          <w:tcPr>
            <w:tcW w:w="871" w:type="pct"/>
            <w:tcBorders>
              <w:top w:val="nil"/>
              <w:left w:val="single" w:sz="2" w:space="0" w:color="auto"/>
              <w:bottom w:val="nil"/>
              <w:right w:val="single" w:sz="6" w:space="0" w:color="auto"/>
            </w:tcBorders>
            <w:vAlign w:val="center"/>
          </w:tcPr>
          <w:p w:rsidR="00CD2A5A" w:rsidRDefault="00CD2A5A">
            <w:pPr>
              <w:pStyle w:val="Style1"/>
              <w:adjustRightInd/>
              <w:spacing w:before="40" w:after="40"/>
              <w:rPr>
                <w:spacing w:val="-2"/>
              </w:rPr>
            </w:pPr>
            <w:r>
              <w:rPr>
                <w:spacing w:val="-2"/>
                <w:lang w:val="en-GB"/>
              </w:rPr>
              <w:t>Drugs</w:t>
            </w:r>
          </w:p>
        </w:tc>
        <w:tc>
          <w:tcPr>
            <w:tcW w:w="390"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16"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1,225,767.50</w:t>
            </w:r>
          </w:p>
        </w:tc>
        <w:tc>
          <w:tcPr>
            <w:tcW w:w="333"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54"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2,004,511.52</w:t>
            </w:r>
          </w:p>
        </w:tc>
        <w:tc>
          <w:tcPr>
            <w:tcW w:w="400"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p>
        </w:tc>
        <w:tc>
          <w:tcPr>
            <w:tcW w:w="551"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2,022,080.76</w:t>
            </w:r>
          </w:p>
        </w:tc>
        <w:tc>
          <w:tcPr>
            <w:tcW w:w="318" w:type="pct"/>
            <w:tcBorders>
              <w:top w:val="nil"/>
              <w:left w:val="single" w:sz="6" w:space="0" w:color="auto"/>
              <w:bottom w:val="nil"/>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12" w:type="pct"/>
            <w:tcBorders>
              <w:top w:val="nil"/>
              <w:left w:val="single" w:sz="2"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750,324.52</w:t>
            </w:r>
          </w:p>
        </w:tc>
        <w:tc>
          <w:tcPr>
            <w:tcW w:w="555" w:type="pct"/>
            <w:tcBorders>
              <w:top w:val="nil"/>
              <w:left w:val="single" w:sz="6" w:space="0" w:color="auto"/>
              <w:bottom w:val="nil"/>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6,002,684.30</w:t>
            </w:r>
          </w:p>
        </w:tc>
      </w:tr>
      <w:tr w:rsidR="00CD2A5A">
        <w:tblPrEx>
          <w:tblCellMar>
            <w:top w:w="0" w:type="dxa"/>
            <w:left w:w="0" w:type="dxa"/>
            <w:bottom w:w="0" w:type="dxa"/>
            <w:right w:w="0" w:type="dxa"/>
          </w:tblCellMar>
        </w:tblPrEx>
        <w:trPr>
          <w:trHeight w:val="20"/>
          <w:jc w:val="center"/>
        </w:trPr>
        <w:tc>
          <w:tcPr>
            <w:tcW w:w="871" w:type="pct"/>
            <w:tcBorders>
              <w:top w:val="nil"/>
              <w:left w:val="single" w:sz="2" w:space="0" w:color="auto"/>
              <w:bottom w:val="single" w:sz="6" w:space="0" w:color="auto"/>
              <w:right w:val="single" w:sz="6" w:space="0" w:color="auto"/>
            </w:tcBorders>
            <w:vAlign w:val="center"/>
          </w:tcPr>
          <w:p w:rsidR="00CD2A5A" w:rsidRDefault="00CD2A5A">
            <w:pPr>
              <w:pStyle w:val="Style1"/>
              <w:adjustRightInd/>
              <w:spacing w:before="40" w:after="40"/>
              <w:rPr>
                <w:spacing w:val="-2"/>
              </w:rPr>
            </w:pPr>
            <w:r>
              <w:rPr>
                <w:spacing w:val="-2"/>
                <w:lang w:val="en-GB"/>
              </w:rPr>
              <w:t>Laboratory tests</w:t>
            </w:r>
          </w:p>
        </w:tc>
        <w:tc>
          <w:tcPr>
            <w:tcW w:w="390" w:type="pct"/>
            <w:tcBorders>
              <w:top w:val="nil"/>
              <w:left w:val="single" w:sz="6" w:space="0" w:color="auto"/>
              <w:bottom w:val="single" w:sz="6" w:space="0" w:color="auto"/>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127,330</w:t>
            </w:r>
          </w:p>
        </w:tc>
        <w:tc>
          <w:tcPr>
            <w:tcW w:w="516" w:type="pct"/>
            <w:tcBorders>
              <w:top w:val="nil"/>
              <w:left w:val="single" w:sz="2"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414,030.61</w:t>
            </w:r>
          </w:p>
        </w:tc>
        <w:tc>
          <w:tcPr>
            <w:tcW w:w="333" w:type="pct"/>
            <w:tcBorders>
              <w:top w:val="nil"/>
              <w:left w:val="single" w:sz="6" w:space="0" w:color="auto"/>
              <w:bottom w:val="single" w:sz="6" w:space="0" w:color="auto"/>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154,416</w:t>
            </w:r>
          </w:p>
        </w:tc>
        <w:tc>
          <w:tcPr>
            <w:tcW w:w="554" w:type="pct"/>
            <w:tcBorders>
              <w:top w:val="nil"/>
              <w:left w:val="single" w:sz="2"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500,222.08</w:t>
            </w:r>
          </w:p>
        </w:tc>
        <w:tc>
          <w:tcPr>
            <w:tcW w:w="400" w:type="pct"/>
            <w:tcBorders>
              <w:top w:val="nil"/>
              <w:left w:val="single" w:sz="6"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172,737</w:t>
            </w:r>
          </w:p>
        </w:tc>
        <w:tc>
          <w:tcPr>
            <w:tcW w:w="551" w:type="pct"/>
            <w:tcBorders>
              <w:top w:val="nil"/>
              <w:left w:val="single" w:sz="6"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564,631.01</w:t>
            </w:r>
          </w:p>
        </w:tc>
        <w:tc>
          <w:tcPr>
            <w:tcW w:w="318" w:type="pct"/>
            <w:tcBorders>
              <w:top w:val="nil"/>
              <w:left w:val="single" w:sz="6" w:space="0" w:color="auto"/>
              <w:bottom w:val="single" w:sz="6" w:space="0" w:color="auto"/>
              <w:right w:val="single" w:sz="2"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69,246</w:t>
            </w:r>
          </w:p>
        </w:tc>
        <w:tc>
          <w:tcPr>
            <w:tcW w:w="512" w:type="pct"/>
            <w:tcBorders>
              <w:top w:val="nil"/>
              <w:left w:val="single" w:sz="2"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229,360.84</w:t>
            </w:r>
          </w:p>
        </w:tc>
        <w:tc>
          <w:tcPr>
            <w:tcW w:w="555" w:type="pct"/>
            <w:tcBorders>
              <w:top w:val="nil"/>
              <w:left w:val="single" w:sz="6"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r>
              <w:rPr>
                <w:spacing w:val="-2"/>
                <w:sz w:val="17"/>
                <w:szCs w:val="17"/>
              </w:rPr>
              <w:t>1,708,244.54</w:t>
            </w:r>
          </w:p>
        </w:tc>
      </w:tr>
      <w:tr w:rsidR="00CD2A5A">
        <w:tblPrEx>
          <w:tblCellMar>
            <w:top w:w="0" w:type="dxa"/>
            <w:left w:w="0" w:type="dxa"/>
            <w:bottom w:w="0" w:type="dxa"/>
            <w:right w:w="0" w:type="dxa"/>
          </w:tblCellMar>
        </w:tblPrEx>
        <w:trPr>
          <w:trHeight w:val="20"/>
          <w:jc w:val="center"/>
        </w:trPr>
        <w:tc>
          <w:tcPr>
            <w:tcW w:w="871"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pPr>
            <w:r>
              <w:rPr>
                <w:lang w:val="en-GB"/>
              </w:rPr>
              <w:t>Total</w:t>
            </w:r>
          </w:p>
        </w:tc>
        <w:tc>
          <w:tcPr>
            <w:tcW w:w="390" w:type="pct"/>
            <w:tcBorders>
              <w:top w:val="single" w:sz="6" w:space="0" w:color="auto"/>
              <w:left w:val="single" w:sz="6" w:space="0" w:color="auto"/>
              <w:bottom w:val="single" w:sz="6" w:space="0" w:color="auto"/>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16"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jc w:val="right"/>
              <w:rPr>
                <w:b/>
                <w:bCs/>
                <w:spacing w:val="-2"/>
                <w:sz w:val="17"/>
                <w:szCs w:val="17"/>
              </w:rPr>
            </w:pPr>
            <w:r>
              <w:rPr>
                <w:b/>
                <w:bCs/>
                <w:spacing w:val="-2"/>
                <w:sz w:val="17"/>
                <w:szCs w:val="17"/>
              </w:rPr>
              <w:t>6,792,624.58</w:t>
            </w:r>
          </w:p>
        </w:tc>
        <w:tc>
          <w:tcPr>
            <w:tcW w:w="333" w:type="pct"/>
            <w:tcBorders>
              <w:top w:val="single" w:sz="6" w:space="0" w:color="auto"/>
              <w:left w:val="single" w:sz="6" w:space="0" w:color="auto"/>
              <w:bottom w:val="single" w:sz="6" w:space="0" w:color="auto"/>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54"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jc w:val="right"/>
              <w:rPr>
                <w:b/>
                <w:bCs/>
                <w:spacing w:val="-2"/>
                <w:sz w:val="17"/>
                <w:szCs w:val="17"/>
              </w:rPr>
            </w:pPr>
            <w:r>
              <w:rPr>
                <w:b/>
                <w:bCs/>
                <w:spacing w:val="-2"/>
                <w:sz w:val="17"/>
                <w:szCs w:val="17"/>
              </w:rPr>
              <w:t>11,059,846.30</w:t>
            </w:r>
          </w:p>
        </w:tc>
        <w:tc>
          <w:tcPr>
            <w:tcW w:w="400" w:type="pct"/>
            <w:tcBorders>
              <w:top w:val="single" w:sz="6" w:space="0" w:color="auto"/>
              <w:left w:val="single" w:sz="6" w:space="0" w:color="auto"/>
              <w:bottom w:val="single" w:sz="6" w:space="0" w:color="auto"/>
              <w:right w:val="single" w:sz="6" w:space="0" w:color="auto"/>
            </w:tcBorders>
            <w:vAlign w:val="center"/>
          </w:tcPr>
          <w:p w:rsidR="00CD2A5A" w:rsidRDefault="00CD2A5A">
            <w:pPr>
              <w:pStyle w:val="Style1"/>
              <w:adjustRightInd/>
              <w:spacing w:before="40" w:after="40"/>
              <w:jc w:val="right"/>
              <w:rPr>
                <w:spacing w:val="-2"/>
                <w:sz w:val="17"/>
                <w:szCs w:val="17"/>
              </w:rPr>
            </w:pPr>
          </w:p>
        </w:tc>
        <w:tc>
          <w:tcPr>
            <w:tcW w:w="551" w:type="pct"/>
            <w:tcBorders>
              <w:top w:val="single" w:sz="6" w:space="0" w:color="auto"/>
              <w:left w:val="single" w:sz="6" w:space="0" w:color="auto"/>
              <w:bottom w:val="single" w:sz="6" w:space="0" w:color="auto"/>
              <w:right w:val="single" w:sz="6" w:space="0" w:color="auto"/>
            </w:tcBorders>
            <w:vAlign w:val="center"/>
          </w:tcPr>
          <w:p w:rsidR="00CD2A5A" w:rsidRDefault="00CD2A5A">
            <w:pPr>
              <w:pStyle w:val="Style1"/>
              <w:adjustRightInd/>
              <w:spacing w:before="40" w:after="40"/>
              <w:jc w:val="right"/>
              <w:rPr>
                <w:b/>
                <w:bCs/>
                <w:spacing w:val="-2"/>
                <w:sz w:val="17"/>
                <w:szCs w:val="17"/>
              </w:rPr>
            </w:pPr>
            <w:r>
              <w:rPr>
                <w:b/>
                <w:bCs/>
                <w:spacing w:val="-2"/>
                <w:sz w:val="17"/>
                <w:szCs w:val="17"/>
              </w:rPr>
              <w:t>11,714,765.84</w:t>
            </w:r>
          </w:p>
        </w:tc>
        <w:tc>
          <w:tcPr>
            <w:tcW w:w="318" w:type="pct"/>
            <w:tcBorders>
              <w:top w:val="single" w:sz="6" w:space="0" w:color="auto"/>
              <w:left w:val="single" w:sz="6" w:space="0" w:color="auto"/>
              <w:bottom w:val="single" w:sz="6" w:space="0" w:color="auto"/>
              <w:right w:val="single" w:sz="2" w:space="0" w:color="auto"/>
            </w:tcBorders>
            <w:vAlign w:val="center"/>
          </w:tcPr>
          <w:p w:rsidR="00CD2A5A" w:rsidRDefault="00CD2A5A">
            <w:pPr>
              <w:pStyle w:val="Style1"/>
              <w:adjustRightInd/>
              <w:spacing w:before="40" w:after="40"/>
              <w:jc w:val="right"/>
              <w:rPr>
                <w:spacing w:val="-2"/>
                <w:sz w:val="17"/>
                <w:szCs w:val="17"/>
              </w:rPr>
            </w:pPr>
          </w:p>
        </w:tc>
        <w:tc>
          <w:tcPr>
            <w:tcW w:w="512" w:type="pct"/>
            <w:tcBorders>
              <w:top w:val="single" w:sz="6" w:space="0" w:color="auto"/>
              <w:left w:val="single" w:sz="2" w:space="0" w:color="auto"/>
              <w:bottom w:val="single" w:sz="6" w:space="0" w:color="auto"/>
              <w:right w:val="single" w:sz="6" w:space="0" w:color="auto"/>
            </w:tcBorders>
            <w:vAlign w:val="center"/>
          </w:tcPr>
          <w:p w:rsidR="00CD2A5A" w:rsidRDefault="00CD2A5A">
            <w:pPr>
              <w:pStyle w:val="Style1"/>
              <w:adjustRightInd/>
              <w:spacing w:before="40" w:after="40"/>
              <w:jc w:val="right"/>
              <w:rPr>
                <w:b/>
                <w:bCs/>
                <w:spacing w:val="-2"/>
                <w:sz w:val="17"/>
                <w:szCs w:val="17"/>
              </w:rPr>
            </w:pPr>
            <w:r>
              <w:rPr>
                <w:b/>
                <w:bCs/>
                <w:spacing w:val="-2"/>
                <w:sz w:val="17"/>
                <w:szCs w:val="17"/>
              </w:rPr>
              <w:t>4,385,811.47</w:t>
            </w:r>
          </w:p>
        </w:tc>
        <w:tc>
          <w:tcPr>
            <w:tcW w:w="555" w:type="pct"/>
            <w:tcBorders>
              <w:top w:val="single" w:sz="6" w:space="0" w:color="auto"/>
              <w:left w:val="single" w:sz="6" w:space="0" w:color="auto"/>
              <w:bottom w:val="single" w:sz="6" w:space="0" w:color="auto"/>
              <w:right w:val="single" w:sz="6" w:space="0" w:color="auto"/>
            </w:tcBorders>
            <w:vAlign w:val="center"/>
          </w:tcPr>
          <w:p w:rsidR="00CD2A5A" w:rsidRDefault="00CD2A5A">
            <w:pPr>
              <w:pStyle w:val="Style1"/>
              <w:adjustRightInd/>
              <w:spacing w:before="40" w:after="40"/>
              <w:jc w:val="right"/>
              <w:rPr>
                <w:b/>
                <w:bCs/>
                <w:spacing w:val="-2"/>
                <w:sz w:val="17"/>
                <w:szCs w:val="17"/>
              </w:rPr>
            </w:pPr>
            <w:r>
              <w:rPr>
                <w:b/>
                <w:bCs/>
                <w:spacing w:val="-2"/>
                <w:sz w:val="17"/>
                <w:szCs w:val="17"/>
              </w:rPr>
              <w:t>33,270,048.19</w:t>
            </w:r>
          </w:p>
        </w:tc>
      </w:tr>
    </w:tbl>
    <w:p w:rsidR="00CD2A5A" w:rsidRDefault="00CD2A5A">
      <w:pPr>
        <w:pStyle w:val="Source"/>
        <w:spacing w:after="80"/>
      </w:pPr>
      <w:r>
        <w:rPr>
          <w:i/>
        </w:rPr>
        <w:t>Source</w:t>
      </w:r>
      <w:r>
        <w:t>: Actuarial and Statistics Department, Cost-Control Section Health preventon</w:t>
      </w:r>
    </w:p>
    <w:p w:rsidR="00CD2A5A" w:rsidRDefault="00CD2A5A">
      <w:pPr>
        <w:pStyle w:val="Source"/>
      </w:pPr>
      <w:r>
        <w:t>N.B.: Medical care for children of insured beneficiaries which in 1989 covered ages 0 to 2 has been extended. It now covers the 0 to 12 year age range.</w:t>
      </w:r>
    </w:p>
    <w:p w:rsidR="00CD2A5A" w:rsidRDefault="00CD2A5A">
      <w:pPr>
        <w:numPr>
          <w:ilvl w:val="0"/>
          <w:numId w:val="3"/>
        </w:numPr>
        <w:tabs>
          <w:tab w:val="clear" w:pos="720"/>
        </w:tabs>
        <w:spacing w:after="240"/>
        <w:ind w:left="0" w:firstLine="0"/>
        <w:rPr>
          <w:lang w:val="en-US"/>
        </w:rPr>
      </w:pPr>
      <w:r>
        <w:rPr>
          <w:lang w:val="en-GB"/>
        </w:rPr>
        <w:t>Note also that in order to help improve health care for children of workers, the ISSS has been extending the age range for which they may benefit from medical and hospital services, at no additional cost to workers with dependent minor children.</w:t>
      </w:r>
      <w:r>
        <w:rPr>
          <w:lang w:val="en-US"/>
        </w:rPr>
        <w:t xml:space="preserve"> </w:t>
      </w:r>
      <w:r>
        <w:rPr>
          <w:lang w:val="en-GB"/>
        </w:rPr>
        <w:t>Accordingly, in the first stage children under 2 years of age were included; subsequently, over the period 1993-1996 cover was extended to children aged 2 to 6, and in September 2004, cover for children aged 6 to 12 was approved.</w:t>
      </w:r>
      <w:r>
        <w:rPr>
          <w:lang w:val="en-US"/>
        </w:rPr>
        <w:t xml:space="preserve"> </w:t>
      </w:r>
      <w:r>
        <w:rPr>
          <w:lang w:val="en-GB"/>
        </w:rPr>
        <w:t>The total number of children covered is currently 278,000, about 92,000 of whom are in the 6 to 12 age group.</w:t>
      </w:r>
      <w:r>
        <w:rPr>
          <w:lang w:val="en-US"/>
        </w:rPr>
        <w:t xml:space="preserve"> </w:t>
      </w:r>
      <w:r>
        <w:rPr>
          <w:lang w:val="en-GB"/>
        </w:rPr>
        <w:t>By the end of the year it is hoped to cover a total of 316,000 children, 131,000 of whom would be in the 6 to 12 age group (the goal is to cover some 211,000 children in that age group).</w:t>
      </w:r>
    </w:p>
    <w:p w:rsidR="00CD2A5A" w:rsidRDefault="00CD2A5A">
      <w:pPr>
        <w:numPr>
          <w:ilvl w:val="0"/>
          <w:numId w:val="3"/>
        </w:numPr>
        <w:tabs>
          <w:tab w:val="clear" w:pos="720"/>
        </w:tabs>
        <w:spacing w:after="240"/>
        <w:ind w:left="0" w:firstLine="0"/>
        <w:rPr>
          <w:lang w:val="en-US"/>
        </w:rPr>
      </w:pPr>
      <w:r>
        <w:rPr>
          <w:lang w:val="en-GB"/>
        </w:rPr>
        <w:t>The benefits of medical care for children under 12 of entitled workers include:</w:t>
      </w:r>
      <w:r>
        <w:rPr>
          <w:lang w:val="en-US"/>
        </w:rPr>
        <w:t xml:space="preserve"> </w:t>
      </w:r>
      <w:r>
        <w:rPr>
          <w:lang w:val="en-GB"/>
        </w:rPr>
        <w:t>specialist paediatric consultations, drugs, laboratory services, access to preventive utrition and vaccination programmes, and low-complexity emergency treatment in hospitals and medical centres as defined above.</w:t>
      </w:r>
    </w:p>
    <w:p w:rsidR="00CD2A5A" w:rsidRDefault="00CD2A5A" w:rsidP="006228EF">
      <w:pPr>
        <w:pStyle w:val="A0"/>
        <w:rPr>
          <w:lang w:val="es-SV"/>
        </w:rPr>
      </w:pPr>
      <w:r>
        <w:t>E.  HIV/AIDS</w:t>
      </w:r>
    </w:p>
    <w:p w:rsidR="00CD2A5A" w:rsidRDefault="00CD2A5A">
      <w:pPr>
        <w:pStyle w:val="Header"/>
        <w:numPr>
          <w:ilvl w:val="0"/>
          <w:numId w:val="3"/>
        </w:numPr>
        <w:tabs>
          <w:tab w:val="clear" w:pos="720"/>
          <w:tab w:val="clear" w:pos="4252"/>
        </w:tabs>
        <w:spacing w:after="240"/>
        <w:ind w:left="0" w:firstLine="0"/>
        <w:rPr>
          <w:lang w:val="en-US"/>
        </w:rPr>
      </w:pPr>
      <w:r>
        <w:rPr>
          <w:lang w:val="en-GB"/>
        </w:rPr>
        <w:t>Regarding HIV/AIDS, the State has made efforts to care for the infected population, and has implemented campaigns to prevent the disease.</w:t>
      </w:r>
      <w:r>
        <w:rPr>
          <w:lang w:val="en-US"/>
        </w:rPr>
        <w:t xml:space="preserve"> </w:t>
      </w:r>
      <w:r>
        <w:rPr>
          <w:lang w:val="en-GB"/>
        </w:rPr>
        <w:t>The following graph illustrates cases of HIV/AIDS detected by age group over the period 1991-2005.</w:t>
      </w:r>
    </w:p>
    <w:p w:rsidR="00CD2A5A" w:rsidRDefault="00CD2A5A" w:rsidP="00CD2A5A">
      <w:pPr>
        <w:pStyle w:val="Figure"/>
        <w:rPr>
          <w:lang w:val="en-US"/>
        </w:rPr>
      </w:pPr>
      <w:r>
        <w:t>Figure 53</w:t>
      </w:r>
    </w:p>
    <w:p w:rsidR="00CD2A5A" w:rsidRDefault="00CD2A5A" w:rsidP="00CD2A5A">
      <w:pPr>
        <w:pStyle w:val="Figure"/>
      </w:pPr>
      <w:r>
        <w:t>Cases of HIV/AIDS by age group (1991–2005)</w:t>
      </w:r>
    </w:p>
    <w:p w:rsidR="00CD2A5A" w:rsidRDefault="00CD2A5A" w:rsidP="00CD2A5A">
      <w:pPr>
        <w:pStyle w:val="Figure"/>
      </w:pPr>
      <w:r>
        <w:pict>
          <v:shape id="_x0000_i1030" type="#_x0000_t75" style="width:409.5pt;height:173.25pt" o:bordertopcolor="this" o:borderleftcolor="this" o:borderbottomcolor="this" o:borderrightcolor="this">
            <v:imagedata r:id="rId17" r:pict="rId18" o:title="Fig53"/>
            <w10:bordertop type="single" width="4"/>
            <w10:borderleft type="single" width="4"/>
            <w10:borderbottom type="single" width="4"/>
            <w10:borderright type="single" width="4"/>
          </v:shape>
        </w:pict>
      </w:r>
    </w:p>
    <w:p w:rsidR="00CD2A5A" w:rsidRDefault="00CD2A5A" w:rsidP="00CD2A5A">
      <w:pPr>
        <w:pStyle w:val="Figure"/>
        <w:rPr>
          <w:lang w:val="en-US"/>
        </w:rPr>
      </w:pPr>
      <w:r>
        <w:t>Cases</w:t>
      </w:r>
    </w:p>
    <w:p w:rsidR="00CD2A5A" w:rsidRDefault="00CD2A5A">
      <w:pPr>
        <w:pStyle w:val="Header"/>
        <w:numPr>
          <w:ilvl w:val="0"/>
          <w:numId w:val="3"/>
        </w:numPr>
        <w:tabs>
          <w:tab w:val="clear" w:pos="720"/>
          <w:tab w:val="clear" w:pos="4252"/>
        </w:tabs>
        <w:spacing w:after="240"/>
        <w:ind w:left="0" w:firstLine="0"/>
        <w:rPr>
          <w:lang w:val="en-US"/>
        </w:rPr>
      </w:pPr>
      <w:r>
        <w:rPr>
          <w:lang w:val="en-GB"/>
        </w:rPr>
        <w:t>As the chart shows, the highest number of cases of HIV/AIDS was recorded in the 25</w:t>
      </w:r>
      <w:r>
        <w:rPr>
          <w:lang w:val="en-GB"/>
        </w:rPr>
        <w:noBreakHyphen/>
        <w:t>34 age group; however, the level is significantly higher in the 15-39 age group, which means that the highest incidence of cases in Salvadoran society is still concentrated in economically productive individuals.</w:t>
      </w:r>
    </w:p>
    <w:p w:rsidR="00CD2A5A" w:rsidRDefault="00CD2A5A">
      <w:pPr>
        <w:pStyle w:val="Header"/>
        <w:numPr>
          <w:ilvl w:val="0"/>
          <w:numId w:val="3"/>
        </w:numPr>
        <w:tabs>
          <w:tab w:val="clear" w:pos="720"/>
          <w:tab w:val="clear" w:pos="4252"/>
        </w:tabs>
        <w:spacing w:after="240"/>
        <w:ind w:left="0" w:firstLine="0"/>
        <w:rPr>
          <w:lang w:val="en-US"/>
        </w:rPr>
      </w:pPr>
      <w:r>
        <w:rPr>
          <w:lang w:val="en-GB"/>
        </w:rPr>
        <w:t>The following chart illustrates cases of HIV/AIDS detected by category of transmission over the period 1991-2005.</w:t>
      </w:r>
    </w:p>
    <w:p w:rsidR="00CD2A5A" w:rsidRDefault="00CD2A5A" w:rsidP="008A5877">
      <w:pPr>
        <w:pStyle w:val="Figure"/>
        <w:rPr>
          <w:lang w:val="en-US"/>
        </w:rPr>
      </w:pPr>
      <w:r>
        <w:t>Figure 54</w:t>
      </w:r>
    </w:p>
    <w:p w:rsidR="00CD2A5A" w:rsidRDefault="00CD2A5A" w:rsidP="008A5877">
      <w:pPr>
        <w:pStyle w:val="Figure"/>
      </w:pPr>
      <w:r>
        <w:t>Cases of HIV/AIDS by category of transmission (1991–2005)</w:t>
      </w:r>
    </w:p>
    <w:p w:rsidR="00CD2A5A" w:rsidRDefault="00CD2A5A" w:rsidP="00CD2A5A">
      <w:pPr>
        <w:pStyle w:val="Figure"/>
      </w:pPr>
      <w:r>
        <w:rPr>
          <w:noProof/>
          <w:lang w:val="fr-CH" w:eastAsia="fr-CH"/>
        </w:rPr>
      </w:r>
      <w:r>
        <w:pict>
          <v:group id="_x0000_s1670" editas="canvas" style="width:384.6pt;height:181.8pt;mso-position-horizontal-relative:char;mso-position-vertical-relative:line" coordsize="7692,3636">
            <o:lock v:ext="edit" aspectratio="t"/>
            <v:shape id="_x0000_s1671" type="#_x0000_t75" style="position:absolute;width:7692;height:3636" o:preferrelative="f">
              <v:fill o:detectmouseclick="t"/>
              <v:path o:extrusionok="t" o:connecttype="none"/>
              <o:lock v:ext="edit" text="t"/>
            </v:shape>
            <v:shape id="_x0000_s1672" type="#_x0000_t75" style="position:absolute;width:7692;height:3636" filled="t" fillcolor="black" stroked="t">
              <v:imagedata r:id="rId19" o:title=""/>
            </v:shape>
            <w10:anchorlock/>
          </v:group>
        </w:pict>
      </w:r>
    </w:p>
    <w:tbl>
      <w:tblPr>
        <w:tblW w:w="3687" w:type="pct"/>
        <w:tblInd w:w="1588" w:type="dxa"/>
        <w:tblLayout w:type="fixed"/>
        <w:tblLook w:val="00BF" w:firstRow="1" w:lastRow="0" w:firstColumn="1" w:lastColumn="0" w:noHBand="0" w:noVBand="0"/>
      </w:tblPr>
      <w:tblGrid>
        <w:gridCol w:w="1428"/>
        <w:gridCol w:w="1372"/>
        <w:gridCol w:w="1372"/>
        <w:gridCol w:w="1372"/>
        <w:gridCol w:w="1556"/>
      </w:tblGrid>
      <w:tr w:rsidR="00CD2A5A">
        <w:trPr>
          <w:trHeight w:val="410"/>
        </w:trPr>
        <w:tc>
          <w:tcPr>
            <w:tcW w:w="1006" w:type="pct"/>
          </w:tcPr>
          <w:p w:rsidR="00CD2A5A" w:rsidRDefault="00CD2A5A">
            <w:pPr>
              <w:jc w:val="center"/>
              <w:rPr>
                <w:sz w:val="20"/>
                <w:szCs w:val="20"/>
                <w:lang w:val="es-SV"/>
              </w:rPr>
            </w:pPr>
            <w:r>
              <w:rPr>
                <w:sz w:val="20"/>
                <w:szCs w:val="20"/>
                <w:lang w:val="es-SV"/>
              </w:rPr>
              <w:t>Sexual transmission</w:t>
            </w:r>
          </w:p>
        </w:tc>
        <w:tc>
          <w:tcPr>
            <w:tcW w:w="966" w:type="pct"/>
          </w:tcPr>
          <w:p w:rsidR="00CD2A5A" w:rsidRDefault="00CD2A5A">
            <w:pPr>
              <w:jc w:val="center"/>
              <w:rPr>
                <w:sz w:val="20"/>
                <w:szCs w:val="20"/>
                <w:lang w:val="es-SV"/>
              </w:rPr>
            </w:pPr>
            <w:r>
              <w:rPr>
                <w:sz w:val="20"/>
                <w:szCs w:val="20"/>
                <w:lang w:val="es-SV"/>
              </w:rPr>
              <w:t>Unknown</w:t>
            </w:r>
          </w:p>
        </w:tc>
        <w:tc>
          <w:tcPr>
            <w:tcW w:w="966" w:type="pct"/>
          </w:tcPr>
          <w:p w:rsidR="00CD2A5A" w:rsidRDefault="00CD2A5A">
            <w:pPr>
              <w:jc w:val="center"/>
              <w:rPr>
                <w:sz w:val="20"/>
                <w:szCs w:val="20"/>
                <w:lang w:val="es-SV"/>
              </w:rPr>
            </w:pPr>
            <w:r>
              <w:rPr>
                <w:sz w:val="20"/>
                <w:szCs w:val="20"/>
                <w:lang w:val="es-SV"/>
              </w:rPr>
              <w:t>Vertical transmission</w:t>
            </w:r>
          </w:p>
        </w:tc>
        <w:tc>
          <w:tcPr>
            <w:tcW w:w="966" w:type="pct"/>
          </w:tcPr>
          <w:p w:rsidR="00CD2A5A" w:rsidRDefault="00CD2A5A">
            <w:pPr>
              <w:jc w:val="center"/>
              <w:rPr>
                <w:sz w:val="20"/>
                <w:szCs w:val="20"/>
                <w:lang w:val="es-SV"/>
              </w:rPr>
            </w:pPr>
            <w:r>
              <w:rPr>
                <w:sz w:val="20"/>
                <w:szCs w:val="20"/>
                <w:lang w:val="es-SV"/>
              </w:rPr>
              <w:t>Intravenous drugs</w:t>
            </w:r>
          </w:p>
        </w:tc>
        <w:tc>
          <w:tcPr>
            <w:tcW w:w="1096" w:type="pct"/>
          </w:tcPr>
          <w:p w:rsidR="00CD2A5A" w:rsidRDefault="00CD2A5A">
            <w:pPr>
              <w:jc w:val="center"/>
              <w:rPr>
                <w:sz w:val="20"/>
                <w:szCs w:val="20"/>
                <w:lang w:val="es-SV"/>
              </w:rPr>
            </w:pPr>
            <w:r>
              <w:rPr>
                <w:sz w:val="20"/>
                <w:szCs w:val="20"/>
                <w:lang w:val="es-SV"/>
              </w:rPr>
              <w:t>Blood transfusion</w:t>
            </w:r>
          </w:p>
        </w:tc>
      </w:tr>
    </w:tbl>
    <w:p w:rsidR="00CD2A5A" w:rsidRDefault="00CD2A5A">
      <w:pPr>
        <w:pStyle w:val="Header"/>
        <w:tabs>
          <w:tab w:val="clear" w:pos="4252"/>
        </w:tabs>
        <w:spacing w:after="240"/>
        <w:rPr>
          <w:lang w:val="es-SV"/>
        </w:rPr>
      </w:pPr>
    </w:p>
    <w:p w:rsidR="00CD2A5A" w:rsidRDefault="00CD2A5A">
      <w:pPr>
        <w:pStyle w:val="Header"/>
        <w:numPr>
          <w:ilvl w:val="0"/>
          <w:numId w:val="3"/>
        </w:numPr>
        <w:tabs>
          <w:tab w:val="clear" w:pos="720"/>
          <w:tab w:val="clear" w:pos="4252"/>
        </w:tabs>
        <w:spacing w:after="240"/>
        <w:ind w:left="0" w:firstLine="0"/>
        <w:rPr>
          <w:smallCaps/>
          <w:lang w:val="es-SV"/>
        </w:rPr>
      </w:pPr>
      <w:r>
        <w:rPr>
          <w:lang w:val="en-GB"/>
        </w:rPr>
        <w:t>Over the period studied, sexual transmission (heterosexual, homosexual and bisexual) was the main type of exposure, accounting for 85% (13,876) of all forms of transmission.</w:t>
      </w:r>
      <w:r>
        <w:rPr>
          <w:lang w:val="en-US"/>
        </w:rPr>
        <w:t xml:space="preserve"> </w:t>
      </w:r>
      <w:r>
        <w:rPr>
          <w:lang w:val="en-GB"/>
        </w:rPr>
        <w:t>Vertical (mother-child) transmission accounts for 7%.</w:t>
      </w:r>
      <w:r>
        <w:rPr>
          <w:lang w:val="es-SV"/>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 xml:space="preserve">According to the National STD/HIV/AIDS Control and Prevention </w:t>
      </w:r>
      <w:r>
        <w:rPr>
          <w:bCs/>
          <w:lang w:val="en-GB"/>
        </w:rPr>
        <w:t>Programme,</w:t>
      </w:r>
      <w:r>
        <w:rPr>
          <w:rStyle w:val="FootnoteReference"/>
          <w:bCs/>
          <w:lang w:val="en-GB"/>
        </w:rPr>
        <w:footnoteReference w:id="34"/>
      </w:r>
      <w:r>
        <w:rPr>
          <w:lang w:val="en-GB"/>
        </w:rPr>
        <w:t xml:space="preserve"> the annual rate of incidence gradually increased up to 2003, for both HIV (seropositives) and cases of AIDS.</w:t>
      </w:r>
      <w:r>
        <w:rPr>
          <w:lang w:val="en-US"/>
        </w:rPr>
        <w:t xml:space="preserve"> </w:t>
      </w:r>
      <w:r>
        <w:rPr>
          <w:lang w:val="en-GB"/>
        </w:rPr>
        <w:t>This rate grew especially from the year 2000, at an average of 765 new cases of HIV and 779 of AIDS a year, which may be the result of improvements in the epidemiological monitoring system and greater availability of free HIV testing nationwide, although it might also indicate a sustained – and more recently more acute – increase in the level of risk in the country.</w:t>
      </w:r>
      <w:r>
        <w:rPr>
          <w:rStyle w:val="FootnoteReference"/>
        </w:rPr>
        <w:footnoteReference w:id="35"/>
      </w:r>
    </w:p>
    <w:p w:rsidR="00CD2A5A" w:rsidRDefault="00CD2A5A">
      <w:pPr>
        <w:pStyle w:val="Header"/>
        <w:numPr>
          <w:ilvl w:val="0"/>
          <w:numId w:val="3"/>
        </w:numPr>
        <w:tabs>
          <w:tab w:val="clear" w:pos="720"/>
          <w:tab w:val="clear" w:pos="4252"/>
        </w:tabs>
        <w:spacing w:after="240"/>
        <w:ind w:left="0" w:firstLine="0"/>
        <w:rPr>
          <w:lang w:val="en-US"/>
        </w:rPr>
      </w:pPr>
      <w:r>
        <w:rPr>
          <w:lang w:val="en-GB"/>
        </w:rPr>
        <w:t>However, it is important to mention that from 2003 and 2004, national efforts have succeeded in reducing the rate of incidence of HIV by 3 percentage points, from 20 in 2004 to 17.3 in 2005; the rate of AIDS was also reduced from 10.2 in 2004 to 6.2 in 2005.</w:t>
      </w:r>
      <w:r>
        <w:rPr>
          <w:lang w:val="en-US"/>
        </w:rPr>
        <w:t xml:space="preserve"> </w:t>
      </w:r>
      <w:r>
        <w:rPr>
          <w:lang w:val="en-GB"/>
        </w:rPr>
        <w:t>Therefore, if the current dynamic continues, the country can probably hold the disease in check.</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One of the major achievements in combating HIV/AIDS in the country is the reduction of cases of HIV and AIDS in babies under one year old up to 2005, down from 92 in the year 2000 to 20 in 2005.</w:t>
      </w:r>
      <w:r>
        <w:rPr>
          <w:rStyle w:val="FootnoteReference"/>
        </w:rPr>
        <w:footnoteReference w:id="36"/>
      </w:r>
      <w:r>
        <w:rPr>
          <w:lang w:val="en-US"/>
        </w:rPr>
        <w:t xml:space="preserve">  </w:t>
      </w:r>
    </w:p>
    <w:p w:rsidR="00CD2A5A" w:rsidRDefault="00CD2A5A">
      <w:pPr>
        <w:keepNext/>
        <w:autoSpaceDE w:val="0"/>
        <w:autoSpaceDN w:val="0"/>
        <w:adjustRightInd w:val="0"/>
        <w:spacing w:after="240"/>
        <w:rPr>
          <w:b/>
          <w:bCs/>
          <w:iCs/>
          <w:lang w:val="en-US"/>
        </w:rPr>
      </w:pPr>
      <w:r>
        <w:rPr>
          <w:b/>
          <w:bCs/>
          <w:iCs/>
          <w:lang w:val="en-US"/>
        </w:rPr>
        <w:t>1.</w:t>
      </w:r>
      <w:r>
        <w:rPr>
          <w:b/>
          <w:bCs/>
          <w:iCs/>
          <w:lang w:val="en-US"/>
        </w:rPr>
        <w:tab/>
      </w:r>
      <w:r>
        <w:rPr>
          <w:b/>
          <w:bCs/>
          <w:iCs/>
          <w:lang w:val="en-GB"/>
        </w:rPr>
        <w:t>National action to prevent mother-to-child transmission of HIV</w:t>
      </w:r>
    </w:p>
    <w:p w:rsidR="00CD2A5A" w:rsidRDefault="00CD2A5A">
      <w:pPr>
        <w:pStyle w:val="Header"/>
        <w:numPr>
          <w:ilvl w:val="0"/>
          <w:numId w:val="3"/>
        </w:numPr>
        <w:tabs>
          <w:tab w:val="clear" w:pos="720"/>
          <w:tab w:val="clear" w:pos="4252"/>
        </w:tabs>
        <w:spacing w:after="240"/>
        <w:ind w:left="0" w:firstLine="0"/>
        <w:rPr>
          <w:lang w:val="en-US"/>
        </w:rPr>
      </w:pPr>
      <w:r>
        <w:rPr>
          <w:lang w:val="en-GB"/>
        </w:rPr>
        <w:t>Mother-to-child transmission of HIV accounts for over 90% of infections in children under 15 worldwide.</w:t>
      </w:r>
      <w:r>
        <w:rPr>
          <w:lang w:val="en-US"/>
        </w:rPr>
        <w:t xml:space="preserve"> </w:t>
      </w:r>
      <w:r>
        <w:rPr>
          <w:lang w:val="en-GB"/>
        </w:rPr>
        <w:t>In El Salvador significant progress has been made using a strategy of national action to prevent HIV infection by mother-to-child transmission.</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This national action to prevent mother-to-child transmission of HIV began in 2001, as a priority in the National STD/HIV/AIDS work programme of the Ministry of Public Health and Social Welfare (MSPAS), and consists of the four main phases:</w:t>
      </w:r>
      <w:r>
        <w:rPr>
          <w:lang w:val="en-US"/>
        </w:rPr>
        <w:t xml:space="preserve"> </w:t>
      </w:r>
      <w:r>
        <w:rPr>
          <w:lang w:val="en-GB"/>
        </w:rPr>
        <w:t>a) research,</w:t>
      </w:r>
      <w:r>
        <w:rPr>
          <w:lang w:val="en-US"/>
        </w:rPr>
        <w:t xml:space="preserve"> </w:t>
      </w:r>
      <w:r>
        <w:rPr>
          <w:lang w:val="en-GB"/>
        </w:rPr>
        <w:t>b) training,</w:t>
      </w:r>
      <w:r>
        <w:rPr>
          <w:lang w:val="en-US"/>
        </w:rPr>
        <w:t xml:space="preserve"> </w:t>
      </w:r>
      <w:r>
        <w:rPr>
          <w:lang w:val="en-GB"/>
        </w:rPr>
        <w:t>c) supply,</w:t>
      </w:r>
      <w:r>
        <w:rPr>
          <w:lang w:val="en-US"/>
        </w:rPr>
        <w:t xml:space="preserve"> </w:t>
      </w:r>
      <w:r>
        <w:rPr>
          <w:lang w:val="en-GB"/>
        </w:rPr>
        <w:t>d) monitoring and assessment.</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main activities and tasks of the previous phases were as follows:</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Training of key players (health personnel and midwives);</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Free and voluntary testing nationwide for pregnant women, with counselling before and after HIV testing;</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Incentive through provision of baby clothing for pregnant women undergoing testing for detecting HIV antibodies;</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Prophylactic anti-retroviral treatment for HIV-positive pregnant women (with AZT, Niverapine or triple therapy schemes);</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Elective caesarean for HIV-positive pregnant women;</w:t>
      </w:r>
    </w:p>
    <w:p w:rsidR="00CD2A5A" w:rsidRDefault="00CD2A5A">
      <w:pPr>
        <w:numPr>
          <w:ilvl w:val="4"/>
          <w:numId w:val="3"/>
        </w:numPr>
        <w:tabs>
          <w:tab w:val="clear" w:pos="3447"/>
        </w:tabs>
        <w:autoSpaceDE w:val="0"/>
        <w:autoSpaceDN w:val="0"/>
        <w:adjustRightInd w:val="0"/>
        <w:spacing w:after="240"/>
        <w:ind w:left="0"/>
        <w:rPr>
          <w:lang w:val="es-MX"/>
        </w:rPr>
      </w:pPr>
      <w:r>
        <w:rPr>
          <w:lang w:val="en-GB"/>
        </w:rPr>
        <w:t>Counselling on infant nutrition;</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Provision of breastmilk substitutes for HIV-positive mothers, consisting of eight tins of milk a year;</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Monitoring of children of HIV-positive mothers at the Centre of Excellence for Immunodeficient Children;</w:t>
      </w:r>
    </w:p>
    <w:p w:rsidR="00CD2A5A" w:rsidRDefault="00CD2A5A">
      <w:pPr>
        <w:numPr>
          <w:ilvl w:val="4"/>
          <w:numId w:val="3"/>
        </w:numPr>
        <w:tabs>
          <w:tab w:val="clear" w:pos="3447"/>
        </w:tabs>
        <w:autoSpaceDE w:val="0"/>
        <w:autoSpaceDN w:val="0"/>
        <w:adjustRightInd w:val="0"/>
        <w:spacing w:after="240"/>
        <w:ind w:left="0"/>
        <w:rPr>
          <w:lang w:val="en-US"/>
        </w:rPr>
      </w:pPr>
      <w:r>
        <w:rPr>
          <w:lang w:val="en-GB"/>
        </w:rPr>
        <w:t>Inclusion in the Basic Food Hamper Programme, to foster continuation of the treatment.</w:t>
      </w:r>
    </w:p>
    <w:p w:rsidR="00CD2A5A" w:rsidRDefault="00CD2A5A">
      <w:pPr>
        <w:pStyle w:val="Header"/>
        <w:numPr>
          <w:ilvl w:val="0"/>
          <w:numId w:val="3"/>
        </w:numPr>
        <w:tabs>
          <w:tab w:val="clear" w:pos="720"/>
          <w:tab w:val="clear" w:pos="4252"/>
        </w:tabs>
        <w:spacing w:after="240"/>
        <w:ind w:left="0" w:firstLine="0"/>
        <w:rPr>
          <w:lang w:val="en-US"/>
        </w:rPr>
      </w:pPr>
      <w:r>
        <w:rPr>
          <w:lang w:val="en-GB"/>
        </w:rPr>
        <w:t>From 2003, voluntary and free HIV testing has been offered to all pregnant women nationwide, together with an promotion item of baby clothing as an incentive for taking the HIV test; similarly, the Ministry of Health offers seropositive pregnant women specialist ante-natal care, counselling, administration of antiretroviral drugs, safe birthing care, post-natal care and the necessary food (breastmilk substitutes) free of charge for proper feeding and nutrition of the child up the age of 18 months.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In the year 2000 the clinic for immunodeficient children opened at the Benjamín Bloom National Children’s Hospital, and a significant increase in the number of new infections was recorded, due mainly to the work carried out on active detection of new cases and comprehensive management offered to that population, with a subsequent strengthening of the “Initiative for the Prevention of Mother-to-Child Transmission of HIV-AIDS” at national level through the National Programme with the taking of free tests nationwide in health centres equipped with a laboratory, associated with training of all operational levels of the Ministry of Health:</w:t>
      </w:r>
      <w:r>
        <w:rPr>
          <w:lang w:val="en-US"/>
        </w:rPr>
        <w:t xml:space="preserve"> </w:t>
      </w:r>
      <w:r>
        <w:rPr>
          <w:lang w:val="en-GB"/>
        </w:rPr>
        <w:t>Public and Social Assistance and an intense educational campaign on the media.</w:t>
      </w:r>
    </w:p>
    <w:p w:rsidR="00CD2A5A" w:rsidRDefault="00CD2A5A">
      <w:pPr>
        <w:pStyle w:val="Header"/>
        <w:numPr>
          <w:ilvl w:val="0"/>
          <w:numId w:val="3"/>
        </w:numPr>
        <w:tabs>
          <w:tab w:val="clear" w:pos="720"/>
          <w:tab w:val="clear" w:pos="4252"/>
        </w:tabs>
        <w:spacing w:after="240"/>
        <w:ind w:left="0" w:firstLine="0"/>
        <w:rPr>
          <w:spacing w:val="-2"/>
          <w:lang w:val="en-US"/>
        </w:rPr>
      </w:pPr>
      <w:r>
        <w:rPr>
          <w:spacing w:val="-2"/>
          <w:lang w:val="en-GB"/>
        </w:rPr>
        <w:t>The success of the measure was clearly seen from 2004, when there were more than 100 cases of children infected with HIV a year, whereas over the past three years there were fewer than 20 cases a year, thanks to the prevention and comprehensive care measures put in place.</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most outstanding achievements of National Action for the Prevention of Mother-to-Child Transmission include:</w:t>
      </w:r>
    </w:p>
    <w:p w:rsidR="00CD2A5A" w:rsidRDefault="00CD2A5A">
      <w:pPr>
        <w:numPr>
          <w:ilvl w:val="0"/>
          <w:numId w:val="21"/>
        </w:numPr>
        <w:tabs>
          <w:tab w:val="clear" w:pos="927"/>
        </w:tabs>
        <w:autoSpaceDE w:val="0"/>
        <w:autoSpaceDN w:val="0"/>
        <w:adjustRightInd w:val="0"/>
        <w:spacing w:after="240"/>
        <w:ind w:firstLine="567"/>
        <w:rPr>
          <w:lang w:val="en-US"/>
        </w:rPr>
      </w:pPr>
      <w:r>
        <w:rPr>
          <w:lang w:val="en-GB"/>
        </w:rPr>
        <w:t>An 88% reduction in the number of cases of children born with HIV;</w:t>
      </w:r>
    </w:p>
    <w:p w:rsidR="00CD2A5A" w:rsidRDefault="00CD2A5A">
      <w:pPr>
        <w:numPr>
          <w:ilvl w:val="0"/>
          <w:numId w:val="21"/>
        </w:numPr>
        <w:tabs>
          <w:tab w:val="clear" w:pos="927"/>
        </w:tabs>
        <w:autoSpaceDE w:val="0"/>
        <w:autoSpaceDN w:val="0"/>
        <w:adjustRightInd w:val="0"/>
        <w:spacing w:after="240"/>
        <w:ind w:firstLine="567"/>
        <w:rPr>
          <w:lang w:val="en-US"/>
        </w:rPr>
      </w:pPr>
      <w:r>
        <w:rPr>
          <w:lang w:val="en-GB"/>
        </w:rPr>
        <w:t>A 60% reduction in the level of HIV/AIDS positivity during pregnancy, from 0.33% in 2002 to 0.08% in 2006;</w:t>
      </w:r>
    </w:p>
    <w:p w:rsidR="00CD2A5A" w:rsidRDefault="00CD2A5A">
      <w:pPr>
        <w:numPr>
          <w:ilvl w:val="0"/>
          <w:numId w:val="21"/>
        </w:numPr>
        <w:tabs>
          <w:tab w:val="clear" w:pos="927"/>
        </w:tabs>
        <w:autoSpaceDE w:val="0"/>
        <w:autoSpaceDN w:val="0"/>
        <w:adjustRightInd w:val="0"/>
        <w:spacing w:after="240"/>
        <w:ind w:firstLine="567"/>
        <w:rPr>
          <w:lang w:val="en-US"/>
        </w:rPr>
      </w:pPr>
      <w:r>
        <w:rPr>
          <w:lang w:val="en-GB"/>
        </w:rPr>
        <w:t>An increase of over 100% in the number of HIV tests carried out from 2001 to 2006;</w:t>
      </w:r>
    </w:p>
    <w:p w:rsidR="00CD2A5A" w:rsidRDefault="00CD2A5A">
      <w:pPr>
        <w:numPr>
          <w:ilvl w:val="0"/>
          <w:numId w:val="21"/>
        </w:numPr>
        <w:tabs>
          <w:tab w:val="clear" w:pos="927"/>
        </w:tabs>
        <w:autoSpaceDE w:val="0"/>
        <w:autoSpaceDN w:val="0"/>
        <w:adjustRightInd w:val="0"/>
        <w:spacing w:after="240"/>
        <w:ind w:firstLine="567"/>
        <w:rPr>
          <w:lang w:val="en-US"/>
        </w:rPr>
      </w:pPr>
      <w:r>
        <w:rPr>
          <w:lang w:val="en-GB"/>
        </w:rPr>
        <w:t>Decentralization and extension of cover of third-level care centres for the prevention programme, from one hospital in 2001 to 13 centres in 2006.</w:t>
      </w:r>
    </w:p>
    <w:p w:rsidR="00CD2A5A" w:rsidRDefault="00CD2A5A">
      <w:pPr>
        <w:autoSpaceDE w:val="0"/>
        <w:autoSpaceDN w:val="0"/>
        <w:adjustRightInd w:val="0"/>
        <w:spacing w:after="240"/>
        <w:rPr>
          <w:b/>
          <w:bCs/>
          <w:lang w:val="es-MX"/>
        </w:rPr>
      </w:pPr>
      <w:r>
        <w:rPr>
          <w:b/>
          <w:bCs/>
          <w:lang w:val="es-MX"/>
        </w:rPr>
        <w:t xml:space="preserve">2. </w:t>
      </w:r>
      <w:r>
        <w:rPr>
          <w:b/>
          <w:bCs/>
          <w:lang w:val="es-MX"/>
        </w:rPr>
        <w:tab/>
      </w:r>
      <w:r>
        <w:rPr>
          <w:b/>
          <w:bCs/>
          <w:lang w:val="en-GB"/>
        </w:rPr>
        <w:t>Information, Communication and Education Strategy</w:t>
      </w:r>
    </w:p>
    <w:p w:rsidR="00CD2A5A" w:rsidRDefault="00CD2A5A">
      <w:pPr>
        <w:pStyle w:val="Header"/>
        <w:numPr>
          <w:ilvl w:val="0"/>
          <w:numId w:val="3"/>
        </w:numPr>
        <w:tabs>
          <w:tab w:val="clear" w:pos="720"/>
          <w:tab w:val="clear" w:pos="4252"/>
        </w:tabs>
        <w:spacing w:after="240"/>
        <w:ind w:left="0" w:firstLine="0"/>
        <w:rPr>
          <w:lang w:val="en-US"/>
        </w:rPr>
      </w:pPr>
      <w:r>
        <w:rPr>
          <w:lang w:val="en-GB"/>
        </w:rPr>
        <w:t>In the field of education, a number of strategies have been promoted to prevent HIV transmission, with the aim of reducing new infections among the population.</w:t>
      </w:r>
      <w:r>
        <w:rPr>
          <w:lang w:val="en-US"/>
        </w:rPr>
        <w:t xml:space="preserve"> </w:t>
      </w:r>
      <w:r>
        <w:rPr>
          <w:lang w:val="en-GB"/>
        </w:rPr>
        <w:t>Using these strategies a number of different messages have been designed that encourage people to adopt the various ways of preventing infection, and provide information on the ways in which HIV can and cannot be transmitted.</w:t>
      </w:r>
    </w:p>
    <w:p w:rsidR="00CD2A5A" w:rsidRDefault="00CD2A5A">
      <w:pPr>
        <w:pStyle w:val="Header"/>
        <w:numPr>
          <w:ilvl w:val="0"/>
          <w:numId w:val="3"/>
        </w:numPr>
        <w:tabs>
          <w:tab w:val="clear" w:pos="720"/>
          <w:tab w:val="clear" w:pos="4252"/>
        </w:tabs>
        <w:spacing w:after="240"/>
        <w:ind w:left="0" w:firstLine="0"/>
        <w:rPr>
          <w:lang w:val="en-US"/>
        </w:rPr>
      </w:pPr>
      <w:r>
        <w:rPr>
          <w:lang w:val="en-GB"/>
        </w:rPr>
        <w:t>Note that ignorance of the ways in which HIV is transmitted is a determining factor for stigma and discrimination in various environments such as the family, the community, the workplace and health establishments.</w:t>
      </w:r>
    </w:p>
    <w:p w:rsidR="00CD2A5A" w:rsidRDefault="00CD2A5A">
      <w:pPr>
        <w:pStyle w:val="Header"/>
        <w:numPr>
          <w:ilvl w:val="0"/>
          <w:numId w:val="3"/>
        </w:numPr>
        <w:tabs>
          <w:tab w:val="clear" w:pos="720"/>
          <w:tab w:val="clear" w:pos="4252"/>
        </w:tabs>
        <w:spacing w:after="240"/>
        <w:ind w:left="0" w:firstLine="0"/>
        <w:rPr>
          <w:lang w:val="en-US"/>
        </w:rPr>
      </w:pPr>
      <w:r>
        <w:rPr>
          <w:lang w:val="en-GB"/>
        </w:rPr>
        <w:t>Information, education and communication (IEC) programmes have reached all spheres through the use of various channels of the mass media, interpersonal and group communication media.</w:t>
      </w:r>
      <w:r>
        <w:rPr>
          <w:lang w:val="en-US"/>
        </w:rPr>
        <w:t xml:space="preserve"> </w:t>
      </w:r>
      <w:r>
        <w:rPr>
          <w:lang w:val="en-GB"/>
        </w:rPr>
        <w:t>The media have played a determining role in recent years, by contributing to the whole process of involving this profession in awareness-raising education campaigns about HIV/AIDS.</w:t>
      </w:r>
      <w:r>
        <w:rPr>
          <w:lang w:val="en-US"/>
        </w:rPr>
        <w:t xml:space="preserve"> </w:t>
      </w:r>
      <w:r>
        <w:rPr>
          <w:lang w:val="en-GB"/>
        </w:rPr>
        <w:t>As part of this process, the “Journalism Prize” strategy is being implemented, that rewards publications and reports on AIDS on radio, in the press and on television.</w:t>
      </w:r>
    </w:p>
    <w:p w:rsidR="00CD2A5A" w:rsidRDefault="00CD2A5A">
      <w:pPr>
        <w:pStyle w:val="Header"/>
        <w:numPr>
          <w:ilvl w:val="0"/>
          <w:numId w:val="3"/>
        </w:numPr>
        <w:tabs>
          <w:tab w:val="clear" w:pos="720"/>
          <w:tab w:val="clear" w:pos="4252"/>
        </w:tabs>
        <w:spacing w:after="240"/>
        <w:ind w:left="0" w:firstLine="0"/>
        <w:rPr>
          <w:lang w:val="en-US"/>
        </w:rPr>
      </w:pPr>
      <w:r>
        <w:rPr>
          <w:lang w:val="en-GB"/>
        </w:rPr>
        <w:t>To support all the measures set out above, various printed materials have been designed (leaflets, flyers, brochures, posters and flipcharts that focus on the prevention message).</w:t>
      </w:r>
      <w:r>
        <w:rPr>
          <w:lang w:val="en-US"/>
        </w:rPr>
        <w:t xml:space="preserve"> </w:t>
      </w:r>
      <w:r>
        <w:rPr>
          <w:lang w:val="en-GB"/>
        </w:rPr>
        <w:t xml:space="preserve">The various educational campaigns are also based on epidemiology, which identifies the target groups for our action, thereby avoiding increased numbers of cases in groups such as adolescents, homosexual males, sex workers, pregnant women and the general population. </w:t>
      </w:r>
    </w:p>
    <w:p w:rsidR="00CD2A5A" w:rsidRDefault="00CD2A5A">
      <w:pPr>
        <w:autoSpaceDE w:val="0"/>
        <w:autoSpaceDN w:val="0"/>
        <w:adjustRightInd w:val="0"/>
        <w:spacing w:after="240"/>
        <w:rPr>
          <w:b/>
          <w:bCs/>
          <w:lang w:val="es-MX"/>
        </w:rPr>
      </w:pPr>
      <w:r>
        <w:rPr>
          <w:b/>
          <w:bCs/>
          <w:lang w:val="es-MX"/>
        </w:rPr>
        <w:t xml:space="preserve">3. </w:t>
      </w:r>
      <w:r>
        <w:rPr>
          <w:b/>
          <w:bCs/>
          <w:lang w:val="es-MX"/>
        </w:rPr>
        <w:tab/>
      </w:r>
      <w:r>
        <w:rPr>
          <w:b/>
          <w:bCs/>
          <w:lang w:val="en-GB"/>
        </w:rPr>
        <w:t>“Decide to Wait” campaign</w:t>
      </w:r>
    </w:p>
    <w:p w:rsidR="00CD2A5A" w:rsidRDefault="00CD2A5A">
      <w:pPr>
        <w:pStyle w:val="Header"/>
        <w:numPr>
          <w:ilvl w:val="0"/>
          <w:numId w:val="3"/>
        </w:numPr>
        <w:tabs>
          <w:tab w:val="clear" w:pos="720"/>
          <w:tab w:val="clear" w:pos="4252"/>
        </w:tabs>
        <w:spacing w:after="240"/>
        <w:ind w:left="0" w:firstLine="0"/>
        <w:rPr>
          <w:lang w:val="en-US"/>
        </w:rPr>
      </w:pPr>
      <w:r>
        <w:rPr>
          <w:lang w:val="en-GB"/>
        </w:rPr>
        <w:t>The increase in pregnancies and HIV infections among adolescents, where the risks make this group more vulnerable, has prompted a number of measures in this group, which was broken up into two main segments, adolescents aged 10-12 in 4</w:t>
      </w:r>
      <w:r>
        <w:rPr>
          <w:vertAlign w:val="superscript"/>
          <w:lang w:val="en-GB"/>
        </w:rPr>
        <w:t>th</w:t>
      </w:r>
      <w:r>
        <w:rPr>
          <w:lang w:val="en-GB"/>
        </w:rPr>
        <w:t xml:space="preserve"> to 6</w:t>
      </w:r>
      <w:r>
        <w:rPr>
          <w:vertAlign w:val="superscript"/>
          <w:lang w:val="en-GB"/>
        </w:rPr>
        <w:t>th</w:t>
      </w:r>
      <w:r>
        <w:rPr>
          <w:lang w:val="en-GB"/>
        </w:rPr>
        <w:t xml:space="preserve"> grade and those aged 12-19.</w:t>
      </w:r>
      <w:r>
        <w:rPr>
          <w:lang w:val="en-US"/>
        </w:rPr>
        <w:t xml:space="preserve"> </w:t>
      </w:r>
      <w:r>
        <w:rPr>
          <w:lang w:val="en-GB"/>
        </w:rPr>
        <w:t>This situation indicates that delaying the start of sexual relations among adolescents is a 100% safe alternative for preventing HIV/AIDS in this group.</w:t>
      </w:r>
    </w:p>
    <w:p w:rsidR="00CD2A5A" w:rsidRDefault="00CD2A5A">
      <w:pPr>
        <w:pStyle w:val="Header"/>
        <w:numPr>
          <w:ilvl w:val="0"/>
          <w:numId w:val="3"/>
        </w:numPr>
        <w:tabs>
          <w:tab w:val="clear" w:pos="720"/>
          <w:tab w:val="clear" w:pos="4252"/>
        </w:tabs>
        <w:spacing w:after="240"/>
        <w:ind w:left="0" w:firstLine="0"/>
        <w:rPr>
          <w:lang w:val="en-US"/>
        </w:rPr>
      </w:pPr>
      <w:r>
        <w:rPr>
          <w:lang w:val="en-GB"/>
        </w:rPr>
        <w:t>The campaign is an initiative of the National STD/HIV/AIDS Programme of the Ministry of Health and Social Welfare, in coordination with the “Education for Life” programme which is the fruit of the combined efforts of the Health Ministry, the National Secretariat for the Family and the Ministry of Education.</w:t>
      </w:r>
      <w:r>
        <w:rPr>
          <w:lang w:val="en-US"/>
        </w:rPr>
        <w:t xml:space="preserve"> </w:t>
      </w:r>
      <w:r>
        <w:rPr>
          <w:lang w:val="en-GB"/>
        </w:rPr>
        <w:t>All this was made possible by the support and coordination of the Pan-American Health Organization (PAHO) and private enterprise.</w:t>
      </w:r>
    </w:p>
    <w:p w:rsidR="00CD2A5A" w:rsidRDefault="00CD2A5A">
      <w:pPr>
        <w:pStyle w:val="Header"/>
        <w:numPr>
          <w:ilvl w:val="0"/>
          <w:numId w:val="3"/>
        </w:numPr>
        <w:tabs>
          <w:tab w:val="clear" w:pos="720"/>
          <w:tab w:val="clear" w:pos="4252"/>
        </w:tabs>
        <w:spacing w:after="240"/>
        <w:ind w:left="0" w:firstLine="0"/>
        <w:rPr>
          <w:lang w:val="en-US"/>
        </w:rPr>
      </w:pPr>
      <w:r>
        <w:rPr>
          <w:lang w:val="en-GB"/>
        </w:rPr>
        <w:t>The main goal of the campaign is to make adolescents think about responsible sexuality; the slogan “Decide to Wait” is a phrase that covers many questions, and which at the same time sends a clear message to adolescents about postponing the start of sexual relations. We believe that that message needs to be strengthened, so as to make a positive change towards responsible behaviour on the part of young Salvadorans.</w:t>
      </w:r>
      <w:r>
        <w:rPr>
          <w:lang w:val="en-US"/>
        </w:rPr>
        <w:t xml:space="preserve"> </w:t>
      </w:r>
      <w:r>
        <w:rPr>
          <w:lang w:val="en-GB"/>
        </w:rPr>
        <w:t>Furthermore, adolescents learn about other prevention options and are educated to reduce the stigma and discrimination against persons living with or affected by HIV/AIDS.</w:t>
      </w:r>
    </w:p>
    <w:p w:rsidR="00CD2A5A" w:rsidRDefault="00CD2A5A">
      <w:pPr>
        <w:pStyle w:val="Header"/>
        <w:numPr>
          <w:ilvl w:val="0"/>
          <w:numId w:val="3"/>
        </w:numPr>
        <w:tabs>
          <w:tab w:val="clear" w:pos="720"/>
          <w:tab w:val="clear" w:pos="4252"/>
        </w:tabs>
        <w:spacing w:after="240"/>
        <w:ind w:left="0" w:firstLine="0"/>
        <w:rPr>
          <w:lang w:val="en-US"/>
        </w:rPr>
      </w:pPr>
      <w:r>
        <w:rPr>
          <w:lang w:val="en-GB"/>
        </w:rPr>
        <w:t>One of the campaigns promoted during 2005 offers a response to the challenges raised by the FESAL study in 2005 which, on the basis of the 2002-2003 national family health survey, indicated the perception of personal risk of catching HIV, and the stigma and discrimination that infected persons can experience.</w:t>
      </w:r>
      <w:r>
        <w:rPr>
          <w:lang w:val="en-US"/>
        </w:rPr>
        <w:t xml:space="preserve"> </w:t>
      </w:r>
      <w:r>
        <w:rPr>
          <w:lang w:val="en-GB"/>
        </w:rPr>
        <w:t>This campaign was carried out in two stages, the first, called “Win the Battle against AIDS”, aims to reduce the situations of risk among the population.</w:t>
      </w:r>
      <w:r>
        <w:rPr>
          <w:lang w:val="en-US"/>
        </w:rPr>
        <w:t xml:space="preserve"> </w:t>
      </w:r>
      <w:r>
        <w:rPr>
          <w:lang w:val="en-GB"/>
        </w:rPr>
        <w:t>While the second, “Unite against Discrimination”, is designed to reduce levels of stigma and discrimination against persons living with HIV.</w:t>
      </w:r>
      <w:r>
        <w:rPr>
          <w:lang w:val="en-US"/>
        </w:rPr>
        <w:t xml:space="preserve"> </w:t>
      </w:r>
      <w:r>
        <w:rPr>
          <w:lang w:val="en-GB"/>
        </w:rPr>
        <w:t>The exposure of both campaigns in the mass media was the largest investment in the country’s history in HIV/AIDS prevention campaigns, costing more than one million dollars.</w:t>
      </w:r>
    </w:p>
    <w:p w:rsidR="00CD2A5A" w:rsidRDefault="00CD2A5A">
      <w:pPr>
        <w:keepNext/>
        <w:autoSpaceDE w:val="0"/>
        <w:autoSpaceDN w:val="0"/>
        <w:adjustRightInd w:val="0"/>
        <w:spacing w:after="240"/>
        <w:rPr>
          <w:lang w:val="en-US"/>
        </w:rPr>
      </w:pPr>
      <w:r>
        <w:rPr>
          <w:b/>
          <w:bCs/>
          <w:lang w:val="en-US"/>
        </w:rPr>
        <w:t xml:space="preserve">4. </w:t>
      </w:r>
      <w:r>
        <w:rPr>
          <w:b/>
          <w:bCs/>
          <w:lang w:val="en-US"/>
        </w:rPr>
        <w:tab/>
      </w:r>
      <w:r>
        <w:rPr>
          <w:b/>
          <w:bCs/>
          <w:lang w:val="en-GB"/>
        </w:rPr>
        <w:t>“Win the Battle Against AIDS” education campaign</w:t>
      </w:r>
    </w:p>
    <w:p w:rsidR="00CD2A5A" w:rsidRDefault="00CD2A5A">
      <w:pPr>
        <w:pStyle w:val="Header"/>
        <w:numPr>
          <w:ilvl w:val="0"/>
          <w:numId w:val="3"/>
        </w:numPr>
        <w:tabs>
          <w:tab w:val="clear" w:pos="720"/>
          <w:tab w:val="clear" w:pos="4252"/>
        </w:tabs>
        <w:spacing w:after="240"/>
        <w:ind w:left="0" w:firstLine="0"/>
        <w:rPr>
          <w:lang w:val="en-US"/>
        </w:rPr>
      </w:pPr>
      <w:r>
        <w:rPr>
          <w:lang w:val="en-GB"/>
        </w:rPr>
        <w:t>This campaign comes in response to the increase in cases among the country’s young population, and disseminates images in various environments where young people spend their daily lives; the central messages are directed at a proper perception of the risk of HIV and recommending effective means of prevention against the epidemic, such as delaying the first sexual relations, mutual fidelity among couples, and thoughtful self-control in a healthy and responsible sex life.</w:t>
      </w:r>
    </w:p>
    <w:p w:rsidR="00CD2A5A" w:rsidRDefault="00CD2A5A">
      <w:pPr>
        <w:pStyle w:val="Header"/>
        <w:numPr>
          <w:ilvl w:val="0"/>
          <w:numId w:val="3"/>
        </w:numPr>
        <w:tabs>
          <w:tab w:val="clear" w:pos="720"/>
          <w:tab w:val="clear" w:pos="4252"/>
        </w:tabs>
        <w:spacing w:after="240"/>
        <w:ind w:left="0" w:firstLine="0"/>
        <w:rPr>
          <w:lang w:val="en-US"/>
        </w:rPr>
      </w:pPr>
      <w:r>
        <w:rPr>
          <w:lang w:val="en-GB"/>
        </w:rPr>
        <w:t>Messages were spread by placing them on street billboards, in public transport buses, and in places most frequented by these groups, such as</w:t>
      </w:r>
      <w:r>
        <w:rPr>
          <w:lang w:val="en-US"/>
        </w:rPr>
        <w:t xml:space="preserve"> </w:t>
      </w:r>
      <w:r>
        <w:rPr>
          <w:lang w:val="en-GB"/>
        </w:rPr>
        <w:t>cinemas, restaurants and bars, with a launch in September 2005 by the Ministry of Health through the National HIV/AIDS Programme with the support of the National Aids Commision (Conasida) and private enterprise.</w:t>
      </w:r>
    </w:p>
    <w:p w:rsidR="00CD2A5A" w:rsidRDefault="00CD2A5A">
      <w:pPr>
        <w:autoSpaceDE w:val="0"/>
        <w:autoSpaceDN w:val="0"/>
        <w:adjustRightInd w:val="0"/>
        <w:spacing w:after="240"/>
        <w:rPr>
          <w:b/>
          <w:bCs/>
          <w:lang w:val="en-US"/>
        </w:rPr>
      </w:pPr>
      <w:r>
        <w:rPr>
          <w:b/>
          <w:bCs/>
          <w:lang w:val="en-US"/>
        </w:rPr>
        <w:t xml:space="preserve">5. </w:t>
      </w:r>
      <w:r>
        <w:rPr>
          <w:b/>
          <w:bCs/>
          <w:lang w:val="en-US"/>
        </w:rPr>
        <w:tab/>
      </w:r>
      <w:r>
        <w:rPr>
          <w:b/>
          <w:bCs/>
          <w:lang w:val="en-GB"/>
        </w:rPr>
        <w:t>Education campaigns for high-risk groups and the general public</w:t>
      </w:r>
    </w:p>
    <w:p w:rsidR="00CD2A5A" w:rsidRDefault="00CD2A5A">
      <w:pPr>
        <w:pStyle w:val="Header"/>
        <w:numPr>
          <w:ilvl w:val="0"/>
          <w:numId w:val="3"/>
        </w:numPr>
        <w:tabs>
          <w:tab w:val="clear" w:pos="720"/>
          <w:tab w:val="clear" w:pos="4252"/>
        </w:tabs>
        <w:spacing w:after="240"/>
        <w:ind w:left="0" w:firstLine="0"/>
        <w:rPr>
          <w:lang w:val="en-US"/>
        </w:rPr>
      </w:pPr>
      <w:r>
        <w:rPr>
          <w:lang w:val="en-GB"/>
        </w:rPr>
        <w:t>During the various publicity campaigns under the National STD/HIV/AIDS Programme, campaigns were run aimed at high-risk groups such as homosexual men, sex workers and the general public, for which a variety of educational materials about the disease were prepared, laying emphasis on specific aspects such as the means of transmission and prevention, and ways of preventing transmission.</w:t>
      </w:r>
    </w:p>
    <w:p w:rsidR="00CD2A5A" w:rsidRDefault="00CD2A5A">
      <w:pPr>
        <w:pStyle w:val="Header"/>
        <w:numPr>
          <w:ilvl w:val="0"/>
          <w:numId w:val="3"/>
        </w:numPr>
        <w:tabs>
          <w:tab w:val="clear" w:pos="720"/>
          <w:tab w:val="clear" w:pos="4252"/>
        </w:tabs>
        <w:spacing w:after="240"/>
        <w:ind w:left="0" w:firstLine="0"/>
        <w:rPr>
          <w:lang w:val="en-US"/>
        </w:rPr>
      </w:pPr>
      <w:r>
        <w:rPr>
          <w:lang w:val="en-GB"/>
        </w:rPr>
        <w:t>These groups were also received in health establishments for interviews, educational talks and counselling.</w:t>
      </w:r>
      <w:r>
        <w:rPr>
          <w:lang w:val="en-US"/>
        </w:rPr>
        <w:t xml:space="preserve"> </w:t>
      </w:r>
      <w:r>
        <w:rPr>
          <w:lang w:val="en-GB"/>
        </w:rPr>
        <w:t>At the same time, monthly meetings were held with groups of sex workers who were given guidance on looking after their own health, sexual health topics and HIV/AIDS.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Like other campaigns of the Ministry of Public Health and Social Welfare, this one was backed up using mobile testing units for detecting HIV antibodies, which travel to various places in order to offer this service wherever required.</w:t>
      </w:r>
    </w:p>
    <w:p w:rsidR="00CD2A5A" w:rsidRDefault="00CD2A5A">
      <w:pPr>
        <w:pStyle w:val="FootnoteText"/>
        <w:spacing w:line="240" w:lineRule="auto"/>
        <w:rPr>
          <w:b/>
          <w:iCs/>
          <w:szCs w:val="24"/>
          <w:lang w:val="es-MX"/>
        </w:rPr>
      </w:pPr>
      <w:r>
        <w:rPr>
          <w:b/>
          <w:iCs/>
          <w:szCs w:val="24"/>
          <w:lang w:val="es-MX"/>
        </w:rPr>
        <w:t xml:space="preserve">6. </w:t>
      </w:r>
      <w:r>
        <w:rPr>
          <w:b/>
          <w:iCs/>
          <w:szCs w:val="24"/>
          <w:lang w:val="es-MX"/>
        </w:rPr>
        <w:tab/>
      </w:r>
      <w:r>
        <w:rPr>
          <w:b/>
          <w:iCs/>
          <w:szCs w:val="24"/>
          <w:lang w:val="en-GB"/>
        </w:rPr>
        <w:t>Solidarity garden</w:t>
      </w:r>
    </w:p>
    <w:p w:rsidR="00CD2A5A" w:rsidRDefault="00CD2A5A">
      <w:pPr>
        <w:pStyle w:val="Header"/>
        <w:numPr>
          <w:ilvl w:val="0"/>
          <w:numId w:val="3"/>
        </w:numPr>
        <w:tabs>
          <w:tab w:val="clear" w:pos="720"/>
          <w:tab w:val="clear" w:pos="4252"/>
        </w:tabs>
        <w:spacing w:after="240"/>
        <w:ind w:left="0" w:firstLine="0"/>
        <w:rPr>
          <w:lang w:val="en-US"/>
        </w:rPr>
      </w:pPr>
      <w:r>
        <w:rPr>
          <w:lang w:val="en-GB"/>
        </w:rPr>
        <w:t>As a tribute to those who have died of AIDS and as a wake-up call to the general public on the importance of HIV prevention, a “Solidarity Garden” was built.</w:t>
      </w:r>
      <w:r>
        <w:rPr>
          <w:lang w:val="en-US"/>
        </w:rPr>
        <w:t xml:space="preserve"> </w:t>
      </w:r>
      <w:r>
        <w:rPr>
          <w:lang w:val="en-GB"/>
        </w:rPr>
        <w:t>This commemorative garden is designed with paths, green spaces and sunlight, covering a total area of 2,500 metres, to send the message “we human beings move along the path of life recognizing that we must show solidarity with persons living with HIV”; they are also human beings who hope to live a normal and harmonious life.</w:t>
      </w:r>
    </w:p>
    <w:p w:rsidR="00CD2A5A" w:rsidRDefault="00CD2A5A">
      <w:pPr>
        <w:pStyle w:val="Header"/>
        <w:numPr>
          <w:ilvl w:val="0"/>
          <w:numId w:val="3"/>
        </w:numPr>
        <w:tabs>
          <w:tab w:val="clear" w:pos="720"/>
          <w:tab w:val="clear" w:pos="4252"/>
        </w:tabs>
        <w:spacing w:after="240"/>
        <w:ind w:left="0" w:firstLine="0"/>
        <w:rPr>
          <w:lang w:val="en-US"/>
        </w:rPr>
      </w:pPr>
      <w:r>
        <w:rPr>
          <w:lang w:val="en-GB"/>
        </w:rPr>
        <w:t>The National AIDS Commission (Conasida) was the driving force behind this project, which was the main action in the country to commemorate World AIDS Day, held on 1 December each year all over the world, with the aim of recognizing progress in the fight against the epidemic, and drawing attention to the remaining challenges.</w:t>
      </w:r>
    </w:p>
    <w:p w:rsidR="00CD2A5A" w:rsidRDefault="00CD2A5A">
      <w:pPr>
        <w:pStyle w:val="Header"/>
        <w:numPr>
          <w:ilvl w:val="0"/>
          <w:numId w:val="3"/>
        </w:numPr>
        <w:tabs>
          <w:tab w:val="clear" w:pos="720"/>
          <w:tab w:val="clear" w:pos="4252"/>
        </w:tabs>
        <w:spacing w:after="240"/>
        <w:ind w:left="0" w:firstLine="0"/>
        <w:rPr>
          <w:lang w:val="en-US"/>
        </w:rPr>
      </w:pPr>
      <w:r>
        <w:rPr>
          <w:lang w:val="en-GB"/>
        </w:rPr>
        <w:t>In 2007 the central theme was “</w:t>
      </w:r>
      <w:r>
        <w:rPr>
          <w:b/>
          <w:lang w:val="en-GB"/>
        </w:rPr>
        <w:t>Stop AIDS. Keep the promise</w:t>
      </w:r>
      <w:r>
        <w:rPr>
          <w:lang w:val="en-GB"/>
        </w:rPr>
        <w:t>”, a pledge to be shared with anyone concerned to help from a personal standpoint, through leadership.</w:t>
      </w:r>
      <w:r>
        <w:rPr>
          <w:lang w:val="en-US"/>
        </w:rPr>
        <w:t xml:space="preserve"> </w:t>
      </w:r>
      <w:r>
        <w:rPr>
          <w:lang w:val="en-GB"/>
        </w:rPr>
        <w:t>This personal pledge consists of stepping up measures for prevention, treatment and care for HIV with support and dignity.</w:t>
      </w:r>
    </w:p>
    <w:p w:rsidR="00CD2A5A" w:rsidRDefault="00CD2A5A">
      <w:pPr>
        <w:pStyle w:val="Header"/>
        <w:numPr>
          <w:ilvl w:val="0"/>
          <w:numId w:val="3"/>
        </w:numPr>
        <w:tabs>
          <w:tab w:val="clear" w:pos="720"/>
          <w:tab w:val="clear" w:pos="4252"/>
        </w:tabs>
        <w:spacing w:after="240"/>
        <w:ind w:left="0" w:firstLine="0"/>
        <w:rPr>
          <w:lang w:val="en-US"/>
        </w:rPr>
      </w:pPr>
      <w:r>
        <w:rPr>
          <w:lang w:val="en-GB"/>
        </w:rPr>
        <w:t>Note that the epidemiological report, up to December 2007, shows that important progress has been made against AIDS in El Salvador, thanks to a significant improvement in political commitment, coordination between institutions through Conasida with public policies and a unified plan, to ensure effective prevention, HIV/AIDS treatment, detection tests, and technical advice, along with other effective action.</w:t>
      </w:r>
      <w:r>
        <w:rPr>
          <w:lang w:val="en-US"/>
        </w:rPr>
        <w:t xml:space="preserve"> </w:t>
      </w:r>
    </w:p>
    <w:p w:rsidR="00CD2A5A" w:rsidRPr="008A5877" w:rsidRDefault="00CD2A5A">
      <w:pPr>
        <w:pStyle w:val="I"/>
        <w:rPr>
          <w:lang w:val="en-US"/>
        </w:rPr>
      </w:pPr>
      <w:bookmarkStart w:id="7" w:name="_Toc174156733"/>
      <w:r w:rsidRPr="008A5877">
        <w:rPr>
          <w:lang w:val="en-US"/>
        </w:rPr>
        <w:t xml:space="preserve">VII. </w:t>
      </w:r>
      <w:bookmarkEnd w:id="7"/>
      <w:r w:rsidRPr="008A5877">
        <w:rPr>
          <w:lang w:val="en-US"/>
        </w:rPr>
        <w:t>Education, leisure and cultural activities</w:t>
      </w:r>
    </w:p>
    <w:p w:rsidR="00CD2A5A" w:rsidRDefault="00CD2A5A" w:rsidP="006228EF">
      <w:pPr>
        <w:pStyle w:val="A0"/>
        <w:rPr>
          <w:lang w:val="en-US"/>
        </w:rPr>
      </w:pPr>
      <w:r>
        <w:t>A.  Education, training and careers guidance</w:t>
      </w:r>
    </w:p>
    <w:p w:rsidR="00CD2A5A" w:rsidRDefault="00CD2A5A">
      <w:pPr>
        <w:pStyle w:val="Header"/>
        <w:numPr>
          <w:ilvl w:val="0"/>
          <w:numId w:val="3"/>
        </w:numPr>
        <w:tabs>
          <w:tab w:val="clear" w:pos="720"/>
          <w:tab w:val="clear" w:pos="4252"/>
        </w:tabs>
        <w:spacing w:after="240"/>
        <w:ind w:left="0" w:firstLine="0"/>
        <w:rPr>
          <w:lang w:val="en-US"/>
        </w:rPr>
      </w:pPr>
      <w:r>
        <w:rPr>
          <w:lang w:val="en-GB"/>
        </w:rPr>
        <w:t>El Salvador is facing the challenges of overcoming poverty, improving its productivity and competitiveness, and laying the foundations of sustainable development, democracy and social peace.</w:t>
      </w:r>
      <w:r>
        <w:rPr>
          <w:lang w:val="en-US"/>
        </w:rPr>
        <w:t xml:space="preserve"> </w:t>
      </w:r>
      <w:r>
        <w:rPr>
          <w:lang w:val="en-GB"/>
        </w:rPr>
        <w:t>To do so, the country has to raise the educational level of its people, in terms of both training in basic life skills and specialist training  of human capital in various areas of science, technology and the arts, while implementing social programmes such as Solidarity Network to combat poverty.</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Ministry of  Education, under the Nacional Education Plan 2021, which is an initiative of the Salvadoran Government coordinated by the Ministry of Education with a view to combining efforts to improve the national education system, and with the objective of formulating, with a long-term view, the priority educational policies and goal for the coming years, is promoting the development of the professional teacher’s career, recognizing the academic training teachers have received in service and studies pursued after qualifying as teachers, which may be of use to them in completing a Degree in Education Science in the specialist course they have followed.</w:t>
      </w:r>
      <w:r>
        <w:rPr>
          <w:lang w:val="en-US"/>
        </w:rPr>
        <w:t xml:space="preserve"> </w:t>
      </w:r>
      <w:r>
        <w:rPr>
          <w:lang w:val="en-GB"/>
        </w:rPr>
        <w:t>To that end, specialist courses are being run in the basic areas of the curriculum and in school administration with the aim of improving teaching methods and improving the skills of teachers by developing their knowledge and skills and providing tools to help them solve childen’s learning problems.</w:t>
      </w:r>
      <w:r>
        <w:rPr>
          <w:lang w:val="en-US"/>
        </w:rPr>
        <w:t xml:space="preserve"> </w:t>
      </w:r>
      <w:r>
        <w:rPr>
          <w:lang w:val="en-GB"/>
        </w:rPr>
        <w:t>Each of the courses will comprise eight training modules, each with an academic value of 4 credits or points, equivalent to 80 hours of face-to-face training and teaching practice, each course being worth 32 points.</w:t>
      </w:r>
      <w:r>
        <w:rPr>
          <w:lang w:val="en-US"/>
        </w:rPr>
        <w:t xml:space="preserve"> </w:t>
      </w:r>
      <w:r>
        <w:rPr>
          <w:lang w:val="en-GB"/>
        </w:rPr>
        <w:t>Each of the modules in a course is structured around language and mathematics with a skills-based approach and using practical methodologies.</w:t>
      </w:r>
      <w:r>
        <w:rPr>
          <w:lang w:val="en-US"/>
        </w:rPr>
        <w:t xml:space="preserve"> </w:t>
      </w:r>
      <w:r>
        <w:rPr>
          <w:lang w:val="en-GB"/>
        </w:rPr>
        <w:t>In this context, from 2004 training measures have been carried out on specific topics with teachers of various levels and educational procedures at national level.</w:t>
      </w:r>
      <w:r>
        <w:rPr>
          <w:lang w:val="en-US"/>
        </w:rPr>
        <w:t xml:space="preserve"> </w:t>
      </w:r>
      <w:r>
        <w:rPr>
          <w:lang w:val="en-GB"/>
        </w:rPr>
        <w:t>As of that year specialization processes were introduced in basic areas of the curriculum with teachers in service belonging to the Ministry of Education’s priority programmes:</w:t>
      </w:r>
      <w:r>
        <w:rPr>
          <w:lang w:val="en-US"/>
        </w:rPr>
        <w:t xml:space="preserve"> </w:t>
      </w:r>
      <w:r>
        <w:rPr>
          <w:lang w:val="en-GB"/>
        </w:rPr>
        <w:t>Comprendo, Effective School Networks, Effective and Solidarity Schools and MEGATEC, as detailed below:</w:t>
      </w:r>
      <w:r>
        <w:rPr>
          <w:lang w:val="en-US"/>
        </w:rPr>
        <w:t xml:space="preserve">  </w:t>
      </w:r>
    </w:p>
    <w:p w:rsidR="00CD2A5A" w:rsidRDefault="00CD2A5A">
      <w:pPr>
        <w:pStyle w:val="Header"/>
        <w:numPr>
          <w:ilvl w:val="0"/>
          <w:numId w:val="8"/>
        </w:numPr>
        <w:tabs>
          <w:tab w:val="clear" w:pos="1920"/>
          <w:tab w:val="clear" w:pos="4252"/>
        </w:tabs>
        <w:spacing w:after="240"/>
        <w:ind w:left="0" w:firstLine="567"/>
        <w:rPr>
          <w:lang w:val="en-US"/>
        </w:rPr>
      </w:pPr>
      <w:r>
        <w:rPr>
          <w:lang w:val="en-GB"/>
        </w:rPr>
        <w:t>Training of 268 nursery-school teachers in managing and applying the integrated guide to methodological processes and implementing modules on the theoretical bases of the curriculum, technical supervision in the classroom and elements of nutrition for childen up to age six;</w:t>
      </w:r>
    </w:p>
    <w:p w:rsidR="00CD2A5A" w:rsidRDefault="00CD2A5A">
      <w:pPr>
        <w:numPr>
          <w:ilvl w:val="0"/>
          <w:numId w:val="8"/>
        </w:numPr>
        <w:tabs>
          <w:tab w:val="clear" w:pos="1920"/>
        </w:tabs>
        <w:spacing w:after="240"/>
        <w:ind w:left="0" w:firstLine="567"/>
        <w:rPr>
          <w:lang w:val="en-US"/>
        </w:rPr>
      </w:pPr>
      <w:r>
        <w:rPr>
          <w:lang w:val="en-GB"/>
        </w:rPr>
        <w:t>Training of 480 elementary- and high-school teachers on STD/HIV/AIDS issues;</w:t>
      </w:r>
      <w:r>
        <w:rPr>
          <w:lang w:val="en-US"/>
        </w:rPr>
        <w:t xml:space="preserve"> </w:t>
      </w:r>
    </w:p>
    <w:p w:rsidR="00CD2A5A" w:rsidRDefault="00CD2A5A">
      <w:pPr>
        <w:numPr>
          <w:ilvl w:val="0"/>
          <w:numId w:val="8"/>
        </w:numPr>
        <w:tabs>
          <w:tab w:val="clear" w:pos="1920"/>
        </w:tabs>
        <w:spacing w:after="240"/>
        <w:ind w:left="0" w:firstLine="567"/>
        <w:rPr>
          <w:lang w:val="en-US"/>
        </w:rPr>
      </w:pPr>
      <w:r>
        <w:rPr>
          <w:lang w:val="en-GB"/>
        </w:rPr>
        <w:t>Content and specific methodology update for 7,716 high-school teachers:</w:t>
      </w:r>
      <w:r>
        <w:rPr>
          <w:lang w:val="en-US"/>
        </w:rPr>
        <w:t xml:space="preserve"> </w:t>
      </w:r>
      <w:r>
        <w:rPr>
          <w:lang w:val="en-GB"/>
        </w:rPr>
        <w:t>preparation of teaching material, lesson planning, methods for teaching the basic subjects in the curriculum, catering for diversity, catering for learning difficulties, cross-cutting issues, conflict resolution, etc.;</w:t>
      </w:r>
    </w:p>
    <w:p w:rsidR="00CD2A5A" w:rsidRDefault="00CD2A5A">
      <w:pPr>
        <w:numPr>
          <w:ilvl w:val="0"/>
          <w:numId w:val="8"/>
        </w:numPr>
        <w:tabs>
          <w:tab w:val="clear" w:pos="1920"/>
        </w:tabs>
        <w:spacing w:after="240"/>
        <w:ind w:left="0" w:firstLine="567"/>
        <w:rPr>
          <w:lang w:val="en-US"/>
        </w:rPr>
      </w:pPr>
      <w:r>
        <w:rPr>
          <w:lang w:val="en-GB"/>
        </w:rPr>
        <w:t>Training for 1,100 teachers under the Comprendo and Effective schooling Networks programmes in the use and application of materials to support the teaching and learning process:</w:t>
      </w:r>
      <w:r>
        <w:rPr>
          <w:lang w:val="en-US"/>
        </w:rPr>
        <w:t xml:space="preserve"> </w:t>
      </w:r>
      <w:r>
        <w:rPr>
          <w:lang w:val="en-GB"/>
        </w:rPr>
        <w:t>text book, work book and teacher’s manual;</w:t>
      </w:r>
    </w:p>
    <w:p w:rsidR="00CD2A5A" w:rsidRDefault="00CD2A5A">
      <w:pPr>
        <w:pStyle w:val="Header"/>
        <w:numPr>
          <w:ilvl w:val="0"/>
          <w:numId w:val="3"/>
        </w:numPr>
        <w:tabs>
          <w:tab w:val="clear" w:pos="720"/>
          <w:tab w:val="clear" w:pos="4252"/>
        </w:tabs>
        <w:spacing w:after="240"/>
        <w:ind w:left="0" w:firstLine="0"/>
        <w:rPr>
          <w:lang w:val="en-US"/>
        </w:rPr>
      </w:pPr>
      <w:r>
        <w:rPr>
          <w:lang w:val="en-GB"/>
        </w:rPr>
        <w:t>The following table sets out the details of Ministry of Education’s budget by level of education.</w:t>
      </w:r>
    </w:p>
    <w:p w:rsidR="00CD2A5A" w:rsidRDefault="00CD2A5A" w:rsidP="00CD2A5A">
      <w:pPr>
        <w:pStyle w:val="Figure"/>
        <w:rPr>
          <w:lang w:val="en-US"/>
        </w:rPr>
      </w:pPr>
      <w:r>
        <w:t>Figure 55</w:t>
      </w:r>
    </w:p>
    <w:p w:rsidR="00CD2A5A" w:rsidRDefault="00CD2A5A" w:rsidP="00CD2A5A">
      <w:pPr>
        <w:pStyle w:val="Figure"/>
        <w:rPr>
          <w:lang w:val="en-US"/>
        </w:rPr>
      </w:pPr>
      <w:r>
        <w:t>Budget allocated to the Ministry of Education (2001–2007)</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9"/>
        <w:gridCol w:w="7263"/>
      </w:tblGrid>
      <w:tr w:rsidR="00CD2A5A">
        <w:tblPrEx>
          <w:tblCellMar>
            <w:top w:w="0" w:type="dxa"/>
            <w:bottom w:w="0" w:type="dxa"/>
          </w:tblCellMar>
        </w:tblPrEx>
        <w:trPr>
          <w:jc w:val="center"/>
        </w:trPr>
        <w:tc>
          <w:tcPr>
            <w:tcW w:w="2050" w:type="dxa"/>
            <w:vAlign w:val="center"/>
          </w:tcPr>
          <w:p w:rsidR="00CD2A5A" w:rsidRDefault="00CD2A5A">
            <w:pPr>
              <w:spacing w:before="40" w:after="40"/>
              <w:jc w:val="center"/>
              <w:rPr>
                <w:b/>
                <w:i/>
                <w:sz w:val="20"/>
                <w:szCs w:val="20"/>
                <w:lang w:val="es-SV"/>
              </w:rPr>
            </w:pPr>
            <w:r>
              <w:rPr>
                <w:b/>
                <w:i/>
                <w:sz w:val="20"/>
                <w:szCs w:val="20"/>
                <w:lang w:val="en-GB"/>
              </w:rPr>
              <w:t>Year</w:t>
            </w:r>
          </w:p>
        </w:tc>
        <w:tc>
          <w:tcPr>
            <w:tcW w:w="6930" w:type="dxa"/>
            <w:vAlign w:val="center"/>
          </w:tcPr>
          <w:p w:rsidR="00CD2A5A" w:rsidRDefault="00CD2A5A">
            <w:pPr>
              <w:spacing w:before="40" w:after="40"/>
              <w:jc w:val="center"/>
              <w:rPr>
                <w:b/>
                <w:i/>
                <w:sz w:val="20"/>
                <w:szCs w:val="20"/>
                <w:lang w:val="es-SV"/>
              </w:rPr>
            </w:pPr>
            <w:r>
              <w:rPr>
                <w:b/>
                <w:i/>
                <w:sz w:val="20"/>
                <w:szCs w:val="20"/>
                <w:lang w:val="en-GB"/>
              </w:rPr>
              <w:t>Budget (us dollars)</w:t>
            </w:r>
          </w:p>
        </w:tc>
      </w:tr>
      <w:tr w:rsidR="00CD2A5A">
        <w:tblPrEx>
          <w:tblCellMar>
            <w:top w:w="0" w:type="dxa"/>
            <w:bottom w:w="0" w:type="dxa"/>
          </w:tblCellMar>
        </w:tblPrEx>
        <w:trPr>
          <w:jc w:val="center"/>
        </w:trPr>
        <w:tc>
          <w:tcPr>
            <w:tcW w:w="2050" w:type="dxa"/>
          </w:tcPr>
          <w:p w:rsidR="00CD2A5A" w:rsidRDefault="00CD2A5A">
            <w:pPr>
              <w:spacing w:before="40" w:after="40"/>
              <w:rPr>
                <w:sz w:val="20"/>
                <w:szCs w:val="20"/>
                <w:lang w:val="es-SV"/>
              </w:rPr>
            </w:pPr>
            <w:r>
              <w:rPr>
                <w:sz w:val="20"/>
                <w:szCs w:val="20"/>
                <w:lang w:val="es-SV"/>
              </w:rPr>
              <w:t>2001</w:t>
            </w:r>
          </w:p>
        </w:tc>
        <w:tc>
          <w:tcPr>
            <w:tcW w:w="6930" w:type="dxa"/>
            <w:vAlign w:val="center"/>
          </w:tcPr>
          <w:p w:rsidR="00CD2A5A" w:rsidRDefault="00CD2A5A">
            <w:pPr>
              <w:spacing w:before="40" w:after="40"/>
              <w:jc w:val="center"/>
              <w:rPr>
                <w:sz w:val="20"/>
                <w:szCs w:val="20"/>
                <w:lang w:val="es-SV"/>
              </w:rPr>
            </w:pPr>
            <w:r>
              <w:rPr>
                <w:sz w:val="20"/>
                <w:szCs w:val="20"/>
                <w:lang w:val="es-SV"/>
              </w:rPr>
              <w:t>472,323,513</w:t>
            </w:r>
          </w:p>
        </w:tc>
      </w:tr>
      <w:tr w:rsidR="00CD2A5A">
        <w:tblPrEx>
          <w:tblCellMar>
            <w:top w:w="0" w:type="dxa"/>
            <w:bottom w:w="0" w:type="dxa"/>
          </w:tblCellMar>
        </w:tblPrEx>
        <w:trPr>
          <w:jc w:val="center"/>
        </w:trPr>
        <w:tc>
          <w:tcPr>
            <w:tcW w:w="2050" w:type="dxa"/>
          </w:tcPr>
          <w:p w:rsidR="00CD2A5A" w:rsidRDefault="00CD2A5A">
            <w:pPr>
              <w:spacing w:before="40" w:after="40"/>
              <w:rPr>
                <w:sz w:val="20"/>
                <w:szCs w:val="20"/>
                <w:lang w:val="es-SV"/>
              </w:rPr>
            </w:pPr>
            <w:r>
              <w:rPr>
                <w:sz w:val="20"/>
                <w:szCs w:val="20"/>
                <w:lang w:val="es-SV"/>
              </w:rPr>
              <w:t>2002</w:t>
            </w:r>
          </w:p>
        </w:tc>
        <w:tc>
          <w:tcPr>
            <w:tcW w:w="6930" w:type="dxa"/>
            <w:vAlign w:val="center"/>
          </w:tcPr>
          <w:p w:rsidR="00CD2A5A" w:rsidRDefault="00CD2A5A">
            <w:pPr>
              <w:spacing w:before="40" w:after="40"/>
              <w:jc w:val="center"/>
              <w:rPr>
                <w:sz w:val="20"/>
                <w:szCs w:val="20"/>
                <w:lang w:val="es-SV"/>
              </w:rPr>
            </w:pPr>
            <w:r>
              <w:rPr>
                <w:sz w:val="20"/>
                <w:szCs w:val="20"/>
                <w:lang w:val="es-SV"/>
              </w:rPr>
              <w:t>468,730,104</w:t>
            </w:r>
          </w:p>
        </w:tc>
      </w:tr>
      <w:tr w:rsidR="00CD2A5A">
        <w:tblPrEx>
          <w:tblCellMar>
            <w:top w:w="0" w:type="dxa"/>
            <w:bottom w:w="0" w:type="dxa"/>
          </w:tblCellMar>
        </w:tblPrEx>
        <w:trPr>
          <w:jc w:val="center"/>
        </w:trPr>
        <w:tc>
          <w:tcPr>
            <w:tcW w:w="2050" w:type="dxa"/>
          </w:tcPr>
          <w:p w:rsidR="00CD2A5A" w:rsidRDefault="00CD2A5A">
            <w:pPr>
              <w:spacing w:before="40" w:after="40"/>
              <w:rPr>
                <w:sz w:val="20"/>
                <w:szCs w:val="20"/>
                <w:lang w:val="es-SV"/>
              </w:rPr>
            </w:pPr>
            <w:r>
              <w:rPr>
                <w:sz w:val="20"/>
                <w:szCs w:val="20"/>
                <w:lang w:val="es-SV"/>
              </w:rPr>
              <w:t>2003</w:t>
            </w:r>
          </w:p>
        </w:tc>
        <w:tc>
          <w:tcPr>
            <w:tcW w:w="6930" w:type="dxa"/>
            <w:vAlign w:val="center"/>
          </w:tcPr>
          <w:p w:rsidR="00CD2A5A" w:rsidRDefault="00CD2A5A">
            <w:pPr>
              <w:spacing w:before="40" w:after="40"/>
              <w:jc w:val="center"/>
              <w:rPr>
                <w:sz w:val="20"/>
                <w:szCs w:val="20"/>
                <w:lang w:val="es-SV"/>
              </w:rPr>
            </w:pPr>
            <w:r>
              <w:rPr>
                <w:sz w:val="20"/>
                <w:szCs w:val="20"/>
                <w:lang w:val="es-SV"/>
              </w:rPr>
              <w:t>466,303,405</w:t>
            </w:r>
          </w:p>
        </w:tc>
      </w:tr>
      <w:tr w:rsidR="00CD2A5A">
        <w:tblPrEx>
          <w:tblCellMar>
            <w:top w:w="0" w:type="dxa"/>
            <w:bottom w:w="0" w:type="dxa"/>
          </w:tblCellMar>
        </w:tblPrEx>
        <w:trPr>
          <w:jc w:val="center"/>
        </w:trPr>
        <w:tc>
          <w:tcPr>
            <w:tcW w:w="2050" w:type="dxa"/>
          </w:tcPr>
          <w:p w:rsidR="00CD2A5A" w:rsidRDefault="00CD2A5A">
            <w:pPr>
              <w:spacing w:before="40" w:after="40"/>
              <w:rPr>
                <w:sz w:val="20"/>
                <w:szCs w:val="20"/>
                <w:lang w:val="es-SV"/>
              </w:rPr>
            </w:pPr>
            <w:r>
              <w:rPr>
                <w:sz w:val="20"/>
                <w:szCs w:val="20"/>
                <w:lang w:val="es-SV"/>
              </w:rPr>
              <w:t>2004</w:t>
            </w:r>
          </w:p>
        </w:tc>
        <w:tc>
          <w:tcPr>
            <w:tcW w:w="6930" w:type="dxa"/>
            <w:vAlign w:val="center"/>
          </w:tcPr>
          <w:p w:rsidR="00CD2A5A" w:rsidRDefault="00CD2A5A">
            <w:pPr>
              <w:spacing w:before="40" w:after="40"/>
              <w:jc w:val="center"/>
              <w:rPr>
                <w:sz w:val="20"/>
                <w:szCs w:val="20"/>
                <w:lang w:val="es-SV"/>
              </w:rPr>
            </w:pPr>
            <w:r>
              <w:rPr>
                <w:sz w:val="20"/>
                <w:szCs w:val="20"/>
                <w:lang w:val="es-SV"/>
              </w:rPr>
              <w:t>463,580,197</w:t>
            </w:r>
          </w:p>
        </w:tc>
      </w:tr>
      <w:tr w:rsidR="00CD2A5A">
        <w:tblPrEx>
          <w:tblCellMar>
            <w:top w:w="0" w:type="dxa"/>
            <w:bottom w:w="0" w:type="dxa"/>
          </w:tblCellMar>
        </w:tblPrEx>
        <w:trPr>
          <w:jc w:val="center"/>
        </w:trPr>
        <w:tc>
          <w:tcPr>
            <w:tcW w:w="2050" w:type="dxa"/>
          </w:tcPr>
          <w:p w:rsidR="00CD2A5A" w:rsidRDefault="00CD2A5A">
            <w:pPr>
              <w:spacing w:before="40" w:after="40"/>
              <w:rPr>
                <w:sz w:val="20"/>
                <w:szCs w:val="20"/>
                <w:lang w:val="es-SV"/>
              </w:rPr>
            </w:pPr>
            <w:r>
              <w:rPr>
                <w:sz w:val="20"/>
                <w:szCs w:val="20"/>
                <w:lang w:val="es-SV"/>
              </w:rPr>
              <w:t>2005</w:t>
            </w:r>
          </w:p>
        </w:tc>
        <w:tc>
          <w:tcPr>
            <w:tcW w:w="6930" w:type="dxa"/>
            <w:vAlign w:val="center"/>
          </w:tcPr>
          <w:p w:rsidR="00CD2A5A" w:rsidRDefault="00CD2A5A">
            <w:pPr>
              <w:spacing w:before="40" w:after="40"/>
              <w:jc w:val="center"/>
              <w:rPr>
                <w:sz w:val="20"/>
                <w:szCs w:val="20"/>
                <w:lang w:val="es-SV"/>
              </w:rPr>
            </w:pPr>
            <w:r>
              <w:rPr>
                <w:sz w:val="20"/>
                <w:szCs w:val="20"/>
                <w:lang w:val="es-SV"/>
              </w:rPr>
              <w:t>501,329,877</w:t>
            </w:r>
          </w:p>
        </w:tc>
      </w:tr>
    </w:tbl>
    <w:p w:rsidR="00CD2A5A" w:rsidRDefault="00CD2A5A">
      <w:pPr>
        <w:pStyle w:val="Source"/>
        <w:spacing w:after="80"/>
        <w:rPr>
          <w:lang w:val="en-US"/>
        </w:rPr>
      </w:pPr>
      <w:r>
        <w:t>The detailed budget by level of education for 2001-2005 is annexed.</w:t>
      </w:r>
    </w:p>
    <w:p w:rsidR="00CD2A5A" w:rsidRDefault="00CD2A5A">
      <w:pPr>
        <w:pStyle w:val="Source"/>
        <w:rPr>
          <w:lang w:val="en-US"/>
        </w:rPr>
      </w:pPr>
      <w:r>
        <w:t>Note:* Current expenditure</w:t>
      </w:r>
      <w:r>
        <w:rPr>
          <w:lang w:val="en-US"/>
        </w:rPr>
        <w:t xml:space="preserve"> </w:t>
      </w:r>
      <w:r>
        <w:t>includes wages and salaries, goods and services and current transfers</w:t>
      </w:r>
    </w:p>
    <w:p w:rsidR="00CD2A5A" w:rsidRDefault="00CD2A5A">
      <w:pPr>
        <w:pStyle w:val="Header"/>
        <w:numPr>
          <w:ilvl w:val="0"/>
          <w:numId w:val="3"/>
        </w:numPr>
        <w:tabs>
          <w:tab w:val="clear" w:pos="720"/>
          <w:tab w:val="clear" w:pos="4252"/>
        </w:tabs>
        <w:spacing w:after="240"/>
        <w:ind w:left="0" w:firstLine="0"/>
        <w:rPr>
          <w:lang w:val="es-SV"/>
        </w:rPr>
      </w:pPr>
      <w:r>
        <w:rPr>
          <w:lang w:val="en-GB"/>
        </w:rPr>
        <w:t>See also annex XIV.</w:t>
      </w:r>
    </w:p>
    <w:p w:rsidR="00CD2A5A" w:rsidRDefault="00CD2A5A">
      <w:pPr>
        <w:numPr>
          <w:ilvl w:val="0"/>
          <w:numId w:val="3"/>
        </w:numPr>
        <w:tabs>
          <w:tab w:val="clear" w:pos="720"/>
        </w:tabs>
        <w:spacing w:after="240"/>
        <w:ind w:left="0" w:firstLine="0"/>
        <w:rPr>
          <w:lang w:val="en-US"/>
        </w:rPr>
      </w:pPr>
      <w:r>
        <w:rPr>
          <w:lang w:val="en-GB"/>
        </w:rPr>
        <w:t>Article 18 of the General Education Act states that nursery education normally comprises three years of study.</w:t>
      </w:r>
      <w:r>
        <w:rPr>
          <w:lang w:val="en-US"/>
        </w:rPr>
        <w:t xml:space="preserve"> </w:t>
      </w:r>
      <w:r>
        <w:rPr>
          <w:lang w:val="en-GB"/>
        </w:rPr>
        <w:t>The elements of the curriculum are to foster comprehensive development through education from age four to six, involving the family, the school and the community.</w:t>
      </w:r>
      <w:r>
        <w:rPr>
          <w:lang w:val="en-US"/>
        </w:rPr>
        <w:t xml:space="preserve"> </w:t>
      </w:r>
      <w:r>
        <w:rPr>
          <w:lang w:val="en-GB"/>
        </w:rPr>
        <w:t>Accreditation of the completion of nursery education, while not being a requirement for continuing studies, allows unrestricted access to elementary education.</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following graph illustrates how spending on nursery education as a proportion of the MINED budget showed a rising trend over the years 2001-2005, from 6.0% to 7.8% of the total budget.</w:t>
      </w:r>
      <w:r>
        <w:rPr>
          <w:lang w:val="en-US"/>
        </w:rPr>
        <w:t xml:space="preserve"> </w:t>
      </w:r>
      <w:r>
        <w:rPr>
          <w:lang w:val="en-GB"/>
        </w:rPr>
        <w:t>Within the total current expenditure allocated to wages and salaries, 9.3% corresponded to that level in 2001, rising to 9.8% in 2005 and staying at that proportion in the budget approved for 2006.</w:t>
      </w:r>
      <w:r>
        <w:rPr>
          <w:lang w:val="en-US"/>
        </w:rPr>
        <w:t xml:space="preserve"> </w:t>
      </w:r>
      <w:r>
        <w:rPr>
          <w:lang w:val="en-GB"/>
        </w:rPr>
        <w:t>Current expenditure in goods and services accounted for 1.9% in nursery schools in 2001, and 3.9% in 2005.</w:t>
      </w:r>
      <w:r>
        <w:rPr>
          <w:lang w:val="en-US"/>
        </w:rPr>
        <w:t xml:space="preserve"> </w:t>
      </w:r>
      <w:r>
        <w:rPr>
          <w:lang w:val="en-GB"/>
        </w:rPr>
        <w:t>Furthermore, capital expenditure for 2002 and 2003 represented 6.4% and 8.5% respectively, whereas there was no spending under the heading of loans for this level of education over the reporting period.</w:t>
      </w:r>
      <w:r>
        <w:rPr>
          <w:lang w:val="en-US"/>
        </w:rPr>
        <w:t xml:space="preserve"> </w:t>
      </w:r>
      <w:r>
        <w:rPr>
          <w:lang w:val="en-GB"/>
        </w:rPr>
        <w:t>Over the period analysed, wages and salaries accounted for between 95% and 97% of the total allocation to nursery schools.</w:t>
      </w:r>
    </w:p>
    <w:p w:rsidR="00CD2A5A" w:rsidRDefault="00CD2A5A" w:rsidP="00CD2A5A">
      <w:pPr>
        <w:pStyle w:val="Figure"/>
        <w:rPr>
          <w:lang w:val="en-US"/>
        </w:rPr>
      </w:pPr>
      <w:r>
        <w:t>Figure 56</w:t>
      </w:r>
    </w:p>
    <w:p w:rsidR="00CD2A5A" w:rsidRDefault="00CD2A5A" w:rsidP="00CD2A5A">
      <w:pPr>
        <w:pStyle w:val="Figure"/>
      </w:pPr>
      <w:r>
        <w:t>Breakdown of spending on nursery schools as a percentage of total budget (2001-2005)</w:t>
      </w:r>
    </w:p>
    <w:p w:rsidR="00CD2A5A" w:rsidRDefault="00CD2A5A" w:rsidP="00CD2A5A">
      <w:pPr>
        <w:pStyle w:val="Figure"/>
      </w:pPr>
      <w:r>
        <w:rPr>
          <w:noProof/>
          <w:lang w:val="fr-CH" w:eastAsia="fr-CH"/>
        </w:rPr>
      </w:r>
      <w:r>
        <w:pict>
          <v:group id="_x0000_s3678" editas="canvas" style="width:311.8pt;height:207.65pt;mso-position-horizontal-relative:char;mso-position-vertical-relative:line" coordsize="8834,5884">
            <o:lock v:ext="edit" aspectratio="t"/>
            <v:shape id="_x0000_s3679" type="#_x0000_t75" style="position:absolute;width:8834;height:5884" o:preferrelative="f" stroked="t" strokeweight=".5pt">
              <v:fill o:detectmouseclick="t"/>
              <v:path o:extrusionok="t" o:connecttype="none"/>
              <o:lock v:ext="edit" text="t"/>
            </v:shape>
            <v:line id="_x0000_s3680" style="position:absolute" from="802,4437" to="8631,4438" strokeweight="0">
              <o:lock v:ext="edit" aspectratio="t"/>
            </v:line>
            <v:line id="_x0000_s3681" style="position:absolute" from="802,3603" to="8631,3604" strokeweight="0">
              <o:lock v:ext="edit" aspectratio="t"/>
            </v:line>
            <v:line id="_x0000_s3682" style="position:absolute" from="802,2771" to="8631,2772" strokeweight="0">
              <o:lock v:ext="edit" aspectratio="t"/>
            </v:line>
            <v:line id="_x0000_s3683" style="position:absolute" from="802,1937" to="8631,1938" strokeweight="0">
              <o:lock v:ext="edit" aspectratio="t"/>
            </v:line>
            <v:line id="_x0000_s3684" style="position:absolute" from="802,1105" to="8631,1106" strokeweight="0">
              <o:lock v:ext="edit" aspectratio="t"/>
            </v:line>
            <v:line id="_x0000_s3685" style="position:absolute" from="802,271" to="8631,272" strokeweight="0">
              <o:lock v:ext="edit" aspectratio="t"/>
            </v:line>
            <v:line id="_x0000_s3686" style="position:absolute" from="802,271" to="803,5270" strokeweight="0">
              <o:lock v:ext="edit" aspectratio="t"/>
            </v:line>
            <v:line id="_x0000_s3687" style="position:absolute" from="759,5270" to="802,5271" strokeweight="0">
              <o:lock v:ext="edit" aspectratio="t"/>
            </v:line>
            <v:line id="_x0000_s3688" style="position:absolute" from="759,4437" to="802,4438" strokeweight="0">
              <o:lock v:ext="edit" aspectratio="t"/>
            </v:line>
            <v:line id="_x0000_s3689" style="position:absolute" from="759,3603" to="802,3604" strokeweight="0">
              <o:lock v:ext="edit" aspectratio="t"/>
            </v:line>
            <v:line id="_x0000_s3690" style="position:absolute" from="759,2771" to="802,2772" strokeweight="0">
              <o:lock v:ext="edit" aspectratio="t"/>
            </v:line>
            <v:line id="_x0000_s3691" style="position:absolute" from="759,1937" to="802,1938" strokeweight="0">
              <o:lock v:ext="edit" aspectratio="t"/>
            </v:line>
            <v:line id="_x0000_s3692" style="position:absolute" from="759,1105" to="802,1106" strokeweight="0">
              <o:lock v:ext="edit" aspectratio="t"/>
            </v:line>
            <v:line id="_x0000_s3693" style="position:absolute" from="759,271" to="802,272" strokeweight="0">
              <o:lock v:ext="edit" aspectratio="t"/>
            </v:line>
            <v:line id="_x0000_s3694" style="position:absolute" from="802,5270" to="8631,5271" strokeweight="0">
              <o:lock v:ext="edit" aspectratio="t"/>
            </v:line>
            <v:line id="_x0000_s3695" style="position:absolute;flip:y" from="802,5270" to="803,5313" strokeweight="0">
              <o:lock v:ext="edit" aspectratio="t"/>
            </v:line>
            <v:line id="_x0000_s3696" style="position:absolute;flip:y" from="2108,5270" to="2109,5313" strokeweight="0">
              <o:lock v:ext="edit" aspectratio="t"/>
            </v:line>
            <v:line id="_x0000_s3697" style="position:absolute;flip:y" from="3412,5270" to="3413,5313" strokeweight="0">
              <o:lock v:ext="edit" aspectratio="t"/>
            </v:line>
            <v:line id="_x0000_s3698" style="position:absolute;flip:y" from="4718,5270" to="4719,5313" strokeweight="0">
              <o:lock v:ext="edit" aspectratio="t"/>
            </v:line>
            <v:line id="_x0000_s3699" style="position:absolute;flip:y" from="6022,5270" to="6023,5313" strokeweight="0">
              <o:lock v:ext="edit" aspectratio="t"/>
            </v:line>
            <v:line id="_x0000_s3700" style="position:absolute;flip:y" from="7327,5270" to="7328,5313" strokeweight="0">
              <o:lock v:ext="edit" aspectratio="t"/>
            </v:line>
            <v:line id="_x0000_s3701" style="position:absolute;flip:y" from="8631,5270" to="8632,5313" strokeweight="0">
              <o:lock v:ext="edit" aspectratio="t"/>
            </v:line>
            <v:shape id="_x0000_s3702" style="position:absolute;left:1455;top:1180;width:6523;height:232" coordsize="4227,151" path="m,148r845,3l1691,67,2536,41,3382,2,4227,e" filled="f" strokecolor="navy" strokeweight="69e-5mm">
              <v:path arrowok="t"/>
              <o:lock v:ext="edit" aspectratio="t"/>
            </v:shape>
            <v:shape id="_x0000_s3703" style="position:absolute;left:1455;top:965;width:6523;height:3666" coordsize="4227,2383" path="m,2270r845,113l1691,2332r845,-139l3382,1736,4227,e" filled="f" strokeweight="0">
              <v:path arrowok="t"/>
              <o:lock v:ext="edit" aspectratio="t"/>
            </v:shape>
            <v:shape id="_x0000_s3704" style="position:absolute;left:1455;top:4477;width:6523;height:793" coordsize="4227,515" path="m,182r845,62l1691,108,2536,r846,261l4227,515e" filled="f" strokeweight="0">
              <v:path arrowok="t"/>
              <o:lock v:ext="edit" aspectratio="t"/>
            </v:shape>
            <v:shape id="_x0000_s3705" style="position:absolute;left:1455;top:1720;width:6523;height:3550" coordsize="4227,2307" path="m,2307l845,572,1691,r845,2307l3382,2307r845,-938e" filled="f" strokeweight="0">
              <v:path arrowok="t"/>
              <o:lock v:ext="edit" aspectratio="t"/>
            </v:shape>
            <v:shape id="_x0000_s3706" style="position:absolute;left:1455;top:5270;width:6523;height:1" coordsize="4227,0" path="m,l845,r846,l2536,r846,l4227,e" filled="f" strokecolor="purple" strokeweight="69e-5mm">
              <v:path arrowok="t"/>
              <o:lock v:ext="edit" aspectratio="t"/>
            </v:shape>
            <v:shape id="_x0000_s3707" style="position:absolute;left:1411;top:1363;width:89;height:89" coordsize="89,89" path="m44,l89,45,44,89,,45,44,xe" fillcolor="navy" strokecolor="navy" strokeweight="33e-5mm">
              <v:path arrowok="t"/>
              <o:lock v:ext="edit" aspectratio="t"/>
            </v:shape>
            <v:shape id="_x0000_s3708" style="position:absolute;left:2715;top:1368;width:89;height:89" coordsize="89,89" path="m44,l89,44,44,89,,44,44,xe" fillcolor="navy" strokecolor="navy" strokeweight="33e-5mm">
              <v:path arrowok="t"/>
              <o:lock v:ext="edit" aspectratio="t"/>
            </v:shape>
            <v:shape id="_x0000_s3709" style="position:absolute;left:4020;top:1239;width:90;height:89" coordsize="90,89" path="m45,l90,44,45,89,,44,45,xe" fillcolor="navy" strokecolor="navy" strokeweight="33e-5mm">
              <v:path arrowok="t"/>
              <o:lock v:ext="edit" aspectratio="t"/>
            </v:shape>
            <v:shape id="_x0000_s3710" style="position:absolute;left:5324;top:1199;width:90;height:89" coordsize="90,89" path="m45,l90,44,45,89,,44,45,xe" fillcolor="navy" strokecolor="navy" strokeweight="33e-5mm">
              <v:path arrowok="t"/>
              <o:lock v:ext="edit" aspectratio="t"/>
            </v:shape>
            <v:shape id="_x0000_s3711" style="position:absolute;left:6630;top:1139;width:89;height:89" coordsize="89,89" path="m44,l89,44,44,89,,44,44,xe" fillcolor="navy" strokecolor="navy" strokeweight="33e-5mm">
              <v:path arrowok="t"/>
              <o:lock v:ext="edit" aspectratio="t"/>
            </v:shape>
            <v:shape id="_x0000_s3712" style="position:absolute;left:7934;top:1135;width:89;height:90" coordsize="89,90" path="m44,l89,45,44,90,,45,44,xe" fillcolor="navy" strokecolor="navy" strokeweight="33e-5mm">
              <v:path arrowok="t"/>
              <o:lock v:ext="edit" aspectratio="t"/>
            </v:shape>
            <v:rect id="_x0000_s3713" style="position:absolute;left:1411;top:4413;width:87;height:87" fillcolor="fuchsia" strokecolor="fuchsia" strokeweight="33e-5mm">
              <o:lock v:ext="edit" aspectratio="t"/>
            </v:rect>
            <v:rect id="_x0000_s3714" style="position:absolute;left:2715;top:4586;width:88;height:88" fillcolor="fuchsia" strokecolor="fuchsia" strokeweight="33e-5mm">
              <o:lock v:ext="edit" aspectratio="t"/>
            </v:rect>
            <v:rect id="_x0000_s3715" style="position:absolute;left:4020;top:4508;width:88;height:88" fillcolor="fuchsia" strokecolor="fuchsia" strokeweight="33e-5mm">
              <o:lock v:ext="edit" aspectratio="t"/>
            </v:rect>
            <v:rect id="_x0000_s3716" style="position:absolute;left:5324;top:4294;width:88;height:88" fillcolor="fuchsia" strokecolor="fuchsia" strokeweight="33e-5mm">
              <o:lock v:ext="edit" aspectratio="t"/>
            </v:rect>
            <v:rect id="_x0000_s3717" style="position:absolute;left:6630;top:3591;width:88;height:88" fillcolor="fuchsia" strokecolor="fuchsia" strokeweight="33e-5mm">
              <o:lock v:ext="edit" aspectratio="t"/>
            </v:rect>
            <v:rect id="_x0000_s3718" style="position:absolute;left:7934;top:920;width:88;height:88" fillcolor="fuchsia" strokecolor="fuchsia" strokeweight="33e-5mm">
              <o:lock v:ext="edit" aspectratio="t"/>
            </v:rect>
            <v:shape id="_x0000_s3719" style="position:absolute;left:1411;top:4713;width:89;height:89" coordsize="89,89" path="m44,l89,89,,89,44,xe" fillcolor="yellow" strokecolor="yellow" strokeweight="33e-5mm">
              <v:path arrowok="t"/>
              <o:lock v:ext="edit" aspectratio="t"/>
            </v:shape>
            <v:shape id="_x0000_s3720" style="position:absolute;left:2715;top:4808;width:89;height:89" coordsize="89,89" path="m44,l89,89,,89,44,xe" fillcolor="yellow" strokecolor="yellow" strokeweight="33e-5mm">
              <v:path arrowok="t"/>
              <o:lock v:ext="edit" aspectratio="t"/>
            </v:shape>
            <v:shape id="_x0000_s3721" style="position:absolute;left:4020;top:4599;width:90;height:89" coordsize="90,89" path="m45,l90,89,,89,45,xe" fillcolor="yellow" strokecolor="yellow" strokeweight="33e-5mm">
              <v:path arrowok="t"/>
              <o:lock v:ext="edit" aspectratio="t"/>
            </v:shape>
            <v:shape id="_x0000_s3722" style="position:absolute;left:5324;top:4433;width:90;height:89" coordsize="90,89" path="m45,l90,89,,89,45,xe" fillcolor="yellow" strokecolor="yellow" strokeweight="33e-5mm">
              <v:path arrowok="t"/>
              <o:lock v:ext="edit" aspectratio="t"/>
            </v:shape>
            <v:shape id="_x0000_s3723" style="position:absolute;left:6630;top:4834;width:89;height:89" coordsize="89,89" path="m44,l89,89,,89,44,xe" fillcolor="yellow" strokecolor="yellow" strokeweight="33e-5mm">
              <v:path arrowok="t"/>
              <o:lock v:ext="edit" aspectratio="t"/>
            </v:shape>
            <v:shape id="_x0000_s3724" style="position:absolute;left:7934;top:5225;width:89;height:89" coordsize="89,89" path="m44,l89,89,,89,44,xe" fillcolor="yellow" strokecolor="yellow" strokeweight="33e-5mm">
              <v:path arrowok="t"/>
              <o:lock v:ext="edit" aspectratio="t"/>
            </v:shape>
            <v:rect id="_x0000_s3725" style="position:absolute;left:1409;top:5223;width:94;height:94" filled="f" stroked="f">
              <o:lock v:ext="edit" aspectratio="t"/>
            </v:rect>
            <v:line id="_x0000_s3726" style="position:absolute;flip:x y" from="1411,5225" to="1455,5270" strokecolor="aqua" strokeweight="33e-5mm">
              <o:lock v:ext="edit" aspectratio="t"/>
            </v:line>
            <v:line id="_x0000_s3727" style="position:absolute" from="1455,5270" to="1500,5314" strokecolor="aqua" strokeweight="33e-5mm">
              <o:lock v:ext="edit" aspectratio="t"/>
            </v:line>
            <v:line id="_x0000_s3728" style="position:absolute;flip:x" from="1411,5270" to="1455,5314" strokecolor="aqua" strokeweight="33e-5mm">
              <o:lock v:ext="edit" aspectratio="t"/>
            </v:line>
            <v:line id="_x0000_s3729" style="position:absolute;flip:y" from="1455,5225" to="1500,5270" strokecolor="aqua" strokeweight="33e-5mm">
              <o:lock v:ext="edit" aspectratio="t"/>
            </v:line>
            <v:rect id="_x0000_s3730" style="position:absolute;left:2713;top:2554;width:94;height:94" filled="f" stroked="f">
              <o:lock v:ext="edit" aspectratio="t"/>
            </v:rect>
            <v:line id="_x0000_s3731" style="position:absolute;flip:x y" from="2715,2556" to="2759,2600" strokecolor="aqua" strokeweight="33e-5mm">
              <o:lock v:ext="edit" aspectratio="t"/>
            </v:line>
            <v:line id="_x0000_s3732" style="position:absolute" from="2759,2600" to="2804,2645" strokecolor="aqua" strokeweight="33e-5mm">
              <o:lock v:ext="edit" aspectratio="t"/>
            </v:line>
            <v:line id="_x0000_s3733" style="position:absolute;flip:x" from="2715,2600" to="2759,2645" strokecolor="aqua" strokeweight="33e-5mm">
              <o:lock v:ext="edit" aspectratio="t"/>
            </v:line>
            <v:line id="_x0000_s3734" style="position:absolute;flip:y" from="2759,2556" to="2804,2600" strokecolor="aqua" strokeweight="33e-5mm">
              <o:lock v:ext="edit" aspectratio="t"/>
            </v:line>
            <v:rect id="_x0000_s3735" style="position:absolute;left:4019;top:1674;width:94;height:94" filled="f" stroked="f">
              <o:lock v:ext="edit" aspectratio="t"/>
            </v:rect>
            <v:line id="_x0000_s3736" style="position:absolute;flip:x y" from="4020,1675" to="4065,1720" strokecolor="aqua" strokeweight="33e-5mm">
              <o:lock v:ext="edit" aspectratio="t"/>
            </v:line>
            <v:line id="_x0000_s3737" style="position:absolute" from="4065,1720" to="4110,1765" strokecolor="aqua" strokeweight="33e-5mm">
              <o:lock v:ext="edit" aspectratio="t"/>
            </v:line>
            <v:line id="_x0000_s3738" style="position:absolute;flip:x" from="4020,1720" to="4065,1765" strokecolor="aqua" strokeweight="33e-5mm">
              <o:lock v:ext="edit" aspectratio="t"/>
            </v:line>
            <v:line id="_x0000_s3739" style="position:absolute;flip:y" from="4065,1675" to="4110,1720" strokecolor="aqua" strokeweight="33e-5mm">
              <o:lock v:ext="edit" aspectratio="t"/>
            </v:line>
            <v:rect id="_x0000_s3740" style="position:absolute;left:5323;top:5223;width:94;height:94" filled="f" stroked="f">
              <o:lock v:ext="edit" aspectratio="t"/>
            </v:rect>
            <v:line id="_x0000_s3741" style="position:absolute;flip:x y" from="5324,5225" to="5369,5270" strokecolor="aqua" strokeweight="33e-5mm">
              <o:lock v:ext="edit" aspectratio="t"/>
            </v:line>
            <v:line id="_x0000_s3742" style="position:absolute" from="5369,5270" to="5414,5314" strokecolor="aqua" strokeweight="33e-5mm">
              <o:lock v:ext="edit" aspectratio="t"/>
            </v:line>
            <v:line id="_x0000_s3743" style="position:absolute;flip:x" from="5324,5270" to="5369,5314" strokecolor="aqua" strokeweight="33e-5mm">
              <o:lock v:ext="edit" aspectratio="t"/>
            </v:line>
            <v:line id="_x0000_s3744" style="position:absolute;flip:y" from="5369,5225" to="5414,5270" strokecolor="aqua" strokeweight="33e-5mm">
              <o:lock v:ext="edit" aspectratio="t"/>
            </v:line>
            <v:rect id="_x0000_s3745" style="position:absolute;left:6628;top:5223;width:94;height:94" filled="f" stroked="f">
              <o:lock v:ext="edit" aspectratio="t"/>
            </v:rect>
            <v:line id="_x0000_s3746" style="position:absolute;flip:x y" from="6630,5225" to="6674,5270" strokecolor="aqua" strokeweight="33e-5mm">
              <o:lock v:ext="edit" aspectratio="t"/>
            </v:line>
            <v:line id="_x0000_s3747" style="position:absolute" from="6674,5270" to="6719,5314" strokecolor="aqua" strokeweight="33e-5mm">
              <o:lock v:ext="edit" aspectratio="t"/>
            </v:line>
            <v:line id="_x0000_s3748" style="position:absolute;flip:x" from="6630,5270" to="6674,5314" strokecolor="aqua" strokeweight="33e-5mm">
              <o:lock v:ext="edit" aspectratio="t"/>
            </v:line>
            <v:line id="_x0000_s3749" style="position:absolute;flip:y" from="6674,5225" to="6719,5270" strokecolor="aqua" strokeweight="33e-5mm">
              <o:lock v:ext="edit" aspectratio="t"/>
            </v:line>
            <v:rect id="_x0000_s3750" style="position:absolute;left:7932;top:3780;width:94;height:94" filled="f" stroked="f">
              <o:lock v:ext="edit" aspectratio="t"/>
            </v:rect>
            <v:line id="_x0000_s3751" style="position:absolute;flip:x y" from="7934,3782" to="7978,3826" strokecolor="aqua" strokeweight="33e-5mm">
              <o:lock v:ext="edit" aspectratio="t"/>
            </v:line>
            <v:line id="_x0000_s3752" style="position:absolute" from="7978,3826" to="8023,3871" strokecolor="aqua" strokeweight="33e-5mm">
              <o:lock v:ext="edit" aspectratio="t"/>
            </v:line>
            <v:line id="_x0000_s3753" style="position:absolute;flip:x" from="7934,3826" to="7978,3871" strokecolor="aqua" strokeweight="33e-5mm">
              <o:lock v:ext="edit" aspectratio="t"/>
            </v:line>
            <v:line id="_x0000_s3754" style="position:absolute;flip:y" from="7978,3782" to="8023,3826" strokecolor="aqua" strokeweight="33e-5mm">
              <o:lock v:ext="edit" aspectratio="t"/>
            </v:line>
            <v:rect id="_x0000_s3755" style="position:absolute;left:1409;top:5223;width:94;height:94" filled="f" stroked="f">
              <o:lock v:ext="edit" aspectratio="t"/>
            </v:rect>
            <v:line id="_x0000_s3756" style="position:absolute;flip:x y" from="1411,5225" to="1455,5270" strokecolor="purple" strokeweight="33e-5mm">
              <o:lock v:ext="edit" aspectratio="t"/>
            </v:line>
            <v:line id="_x0000_s3757" style="position:absolute" from="1455,5270" to="1500,5314" strokecolor="purple" strokeweight="33e-5mm">
              <o:lock v:ext="edit" aspectratio="t"/>
            </v:line>
            <v:line id="_x0000_s3758" style="position:absolute;flip:x" from="1411,5270" to="1455,5314" strokecolor="purple" strokeweight="33e-5mm">
              <o:lock v:ext="edit" aspectratio="t"/>
            </v:line>
            <v:line id="_x0000_s3759" style="position:absolute;flip:y" from="1455,5225" to="1500,5270" strokecolor="purple" strokeweight="33e-5mm">
              <o:lock v:ext="edit" aspectratio="t"/>
            </v:line>
            <v:line id="_x0000_s3760" style="position:absolute;flip:y" from="1455,5225" to="1456,5270" strokecolor="purple" strokeweight="33e-5mm">
              <o:lock v:ext="edit" aspectratio="t"/>
            </v:line>
            <v:line id="_x0000_s3761" style="position:absolute" from="1455,5270" to="1456,5314" strokecolor="purple" strokeweight="33e-5mm">
              <o:lock v:ext="edit" aspectratio="t"/>
            </v:line>
            <v:rect id="_x0000_s3762" style="position:absolute;left:2713;top:5223;width:94;height:94" filled="f" stroked="f">
              <o:lock v:ext="edit" aspectratio="t"/>
            </v:rect>
            <v:line id="_x0000_s3763" style="position:absolute;flip:x y" from="2715,5225" to="2759,5270" strokecolor="purple" strokeweight="33e-5mm">
              <o:lock v:ext="edit" aspectratio="t"/>
            </v:line>
            <v:line id="_x0000_s3764" style="position:absolute" from="2759,5270" to="2804,5314" strokecolor="purple" strokeweight="33e-5mm">
              <o:lock v:ext="edit" aspectratio="t"/>
            </v:line>
            <v:line id="_x0000_s3765" style="position:absolute;flip:x" from="2715,5270" to="2759,5314" strokecolor="purple" strokeweight="33e-5mm">
              <o:lock v:ext="edit" aspectratio="t"/>
            </v:line>
            <v:line id="_x0000_s3766" style="position:absolute;flip:y" from="2759,5225" to="2804,5270" strokecolor="purple" strokeweight="33e-5mm">
              <o:lock v:ext="edit" aspectratio="t"/>
            </v:line>
            <v:line id="_x0000_s3767" style="position:absolute;flip:y" from="2759,5225" to="2760,5270" strokecolor="purple" strokeweight="33e-5mm">
              <o:lock v:ext="edit" aspectratio="t"/>
            </v:line>
            <v:line id="_x0000_s3768" style="position:absolute" from="2759,5270" to="2760,5314" strokecolor="purple" strokeweight="33e-5mm">
              <o:lock v:ext="edit" aspectratio="t"/>
            </v:line>
            <v:rect id="_x0000_s3769" style="position:absolute;left:4019;top:5223;width:94;height:94" filled="f" stroked="f">
              <o:lock v:ext="edit" aspectratio="t"/>
            </v:rect>
            <v:line id="_x0000_s3770" style="position:absolute;flip:x y" from="4020,5225" to="4065,5270" strokecolor="purple" strokeweight="33e-5mm">
              <o:lock v:ext="edit" aspectratio="t"/>
            </v:line>
            <v:line id="_x0000_s3771" style="position:absolute" from="4065,5270" to="4110,5314" strokecolor="purple" strokeweight="33e-5mm">
              <o:lock v:ext="edit" aspectratio="t"/>
            </v:line>
            <v:line id="_x0000_s3772" style="position:absolute;flip:x" from="4020,5270" to="4065,5314" strokecolor="purple" strokeweight="33e-5mm">
              <o:lock v:ext="edit" aspectratio="t"/>
            </v:line>
            <v:line id="_x0000_s3773" style="position:absolute;flip:y" from="4065,5225" to="4110,5270" strokecolor="purple" strokeweight="33e-5mm">
              <o:lock v:ext="edit" aspectratio="t"/>
            </v:line>
            <v:line id="_x0000_s3774" style="position:absolute;flip:y" from="4065,5225" to="4066,5270" strokecolor="purple" strokeweight="33e-5mm">
              <o:lock v:ext="edit" aspectratio="t"/>
            </v:line>
            <v:line id="_x0000_s3775" style="position:absolute" from="4065,5270" to="4066,5314" strokecolor="purple" strokeweight="33e-5mm">
              <o:lock v:ext="edit" aspectratio="t"/>
            </v:line>
            <v:rect id="_x0000_s3776" style="position:absolute;left:5323;top:5223;width:94;height:94" filled="f" stroked="f">
              <o:lock v:ext="edit" aspectratio="t"/>
            </v:rect>
            <v:line id="_x0000_s3777" style="position:absolute;flip:x y" from="5324,5225" to="5369,5270" strokecolor="purple" strokeweight="33e-5mm">
              <o:lock v:ext="edit" aspectratio="t"/>
            </v:line>
            <v:line id="_x0000_s3778" style="position:absolute" from="5369,5270" to="5414,5314" strokecolor="purple" strokeweight="33e-5mm">
              <o:lock v:ext="edit" aspectratio="t"/>
            </v:line>
            <v:line id="_x0000_s3779" style="position:absolute;flip:x" from="5324,5270" to="5369,5314" strokecolor="purple" strokeweight="33e-5mm">
              <o:lock v:ext="edit" aspectratio="t"/>
            </v:line>
            <v:line id="_x0000_s3780" style="position:absolute;flip:y" from="5369,5225" to="5414,5270" strokecolor="purple" strokeweight="33e-5mm">
              <o:lock v:ext="edit" aspectratio="t"/>
            </v:line>
            <v:line id="_x0000_s3781" style="position:absolute;flip:y" from="5369,5225" to="5370,5270" strokecolor="purple" strokeweight="33e-5mm">
              <o:lock v:ext="edit" aspectratio="t"/>
            </v:line>
            <v:line id="_x0000_s3782" style="position:absolute" from="5369,5270" to="5370,5314" strokecolor="purple" strokeweight="33e-5mm">
              <o:lock v:ext="edit" aspectratio="t"/>
            </v:line>
            <v:rect id="_x0000_s3783" style="position:absolute;left:6628;top:5223;width:94;height:94" filled="f" stroked="f">
              <o:lock v:ext="edit" aspectratio="t"/>
            </v:rect>
            <v:line id="_x0000_s3784" style="position:absolute;flip:x y" from="6630,5225" to="6674,5270" strokecolor="purple" strokeweight="33e-5mm">
              <o:lock v:ext="edit" aspectratio="t"/>
            </v:line>
            <v:line id="_x0000_s3785" style="position:absolute" from="6674,5270" to="6719,5314" strokecolor="purple" strokeweight="33e-5mm">
              <o:lock v:ext="edit" aspectratio="t"/>
            </v:line>
            <v:line id="_x0000_s3786" style="position:absolute;flip:x" from="6630,5270" to="6674,5314" strokecolor="purple" strokeweight="33e-5mm">
              <o:lock v:ext="edit" aspectratio="t"/>
            </v:line>
            <v:line id="_x0000_s3787" style="position:absolute;flip:y" from="6674,5225" to="6719,5270" strokecolor="purple" strokeweight="33e-5mm">
              <o:lock v:ext="edit" aspectratio="t"/>
            </v:line>
            <v:line id="_x0000_s3788" style="position:absolute;flip:y" from="6674,5225" to="6675,5270" strokecolor="purple" strokeweight="33e-5mm">
              <o:lock v:ext="edit" aspectratio="t"/>
            </v:line>
            <v:line id="_x0000_s3789" style="position:absolute" from="6674,5270" to="6675,5314" strokecolor="purple" strokeweight="33e-5mm">
              <o:lock v:ext="edit" aspectratio="t"/>
            </v:line>
            <v:rect id="_x0000_s3790" style="position:absolute;left:7932;top:5223;width:94;height:94" filled="f" stroked="f">
              <o:lock v:ext="edit" aspectratio="t"/>
            </v:rect>
            <v:line id="_x0000_s3791" style="position:absolute;flip:x y" from="7934,5225" to="7978,5270" strokecolor="purple" strokeweight="33e-5mm">
              <o:lock v:ext="edit" aspectratio="t"/>
            </v:line>
            <v:line id="_x0000_s3792" style="position:absolute" from="7978,5270" to="8023,5314" strokecolor="purple" strokeweight="33e-5mm">
              <o:lock v:ext="edit" aspectratio="t"/>
            </v:line>
            <v:line id="_x0000_s3793" style="position:absolute;flip:x" from="7934,5270" to="7978,5314" strokecolor="purple" strokeweight="33e-5mm">
              <o:lock v:ext="edit" aspectratio="t"/>
            </v:line>
            <v:line id="_x0000_s3794" style="position:absolute;flip:y" from="7978,5225" to="8023,5270" strokecolor="purple" strokeweight="33e-5mm">
              <o:lock v:ext="edit" aspectratio="t"/>
            </v:line>
            <v:line id="_x0000_s3795" style="position:absolute;flip:y" from="7978,5225" to="7979,5270" strokecolor="purple" strokeweight="33e-5mm">
              <o:lock v:ext="edit" aspectratio="t"/>
            </v:line>
            <v:line id="_x0000_s3796" style="position:absolute" from="7978,5270" to="7979,5314" strokecolor="purple" strokeweight="33e-5mm">
              <o:lock v:ext="edit" aspectratio="t"/>
            </v:line>
            <v:rect id="_x0000_s3797" style="position:absolute;left:492;top:5186;width:266;height:211" filled="f" stroked="f">
              <o:lock v:ext="edit" aspectratio="t"/>
              <v:textbox style="mso-next-textbox:#_x0000_s3797" inset="0,0,0,0">
                <w:txbxContent>
                  <w:p w:rsidR="008A5877" w:rsidRDefault="008A5877">
                    <w:pPr>
                      <w:jc w:val="right"/>
                      <w:rPr>
                        <w:b/>
                        <w:sz w:val="13"/>
                        <w:szCs w:val="16"/>
                      </w:rPr>
                    </w:pPr>
                    <w:r>
                      <w:rPr>
                        <w:rFonts w:ascii="Arial" w:hAnsi="Arial" w:cs="Arial"/>
                        <w:b/>
                        <w:color w:val="000000"/>
                        <w:sz w:val="13"/>
                        <w:szCs w:val="16"/>
                        <w:lang w:val="en-US"/>
                      </w:rPr>
                      <w:t>0%</w:t>
                    </w:r>
                  </w:p>
                </w:txbxContent>
              </v:textbox>
            </v:rect>
            <v:rect id="_x0000_s3798" style="position:absolute;left:492;top:4354;width:266;height:211" filled="f" stroked="f">
              <o:lock v:ext="edit" aspectratio="t"/>
              <v:textbox style="mso-next-textbox:#_x0000_s3798" inset="0,0,0,0">
                <w:txbxContent>
                  <w:p w:rsidR="008A5877" w:rsidRDefault="008A5877">
                    <w:pPr>
                      <w:jc w:val="right"/>
                      <w:rPr>
                        <w:b/>
                        <w:sz w:val="13"/>
                        <w:szCs w:val="16"/>
                      </w:rPr>
                    </w:pPr>
                    <w:r>
                      <w:rPr>
                        <w:rFonts w:ascii="Arial" w:hAnsi="Arial" w:cs="Arial"/>
                        <w:b/>
                        <w:color w:val="000000"/>
                        <w:sz w:val="13"/>
                        <w:szCs w:val="16"/>
                        <w:lang w:val="en-US"/>
                      </w:rPr>
                      <w:t>2%</w:t>
                    </w:r>
                  </w:p>
                </w:txbxContent>
              </v:textbox>
            </v:rect>
            <v:rect id="_x0000_s3799" style="position:absolute;left:492;top:3519;width:266;height:211" filled="f" stroked="f">
              <o:lock v:ext="edit" aspectratio="t"/>
              <v:textbox style="mso-next-textbox:#_x0000_s3799" inset="0,0,0,0">
                <w:txbxContent>
                  <w:p w:rsidR="008A5877" w:rsidRDefault="008A5877">
                    <w:pPr>
                      <w:jc w:val="right"/>
                      <w:rPr>
                        <w:b/>
                        <w:sz w:val="13"/>
                        <w:szCs w:val="16"/>
                      </w:rPr>
                    </w:pPr>
                    <w:r>
                      <w:rPr>
                        <w:rFonts w:ascii="Arial" w:hAnsi="Arial" w:cs="Arial"/>
                        <w:b/>
                        <w:color w:val="000000"/>
                        <w:sz w:val="13"/>
                        <w:szCs w:val="16"/>
                        <w:lang w:val="en-US"/>
                      </w:rPr>
                      <w:t>4%</w:t>
                    </w:r>
                  </w:p>
                </w:txbxContent>
              </v:textbox>
            </v:rect>
            <v:rect id="_x0000_s3800" style="position:absolute;left:492;top:2688;width:266;height:211" filled="f" stroked="f">
              <o:lock v:ext="edit" aspectratio="t"/>
              <v:textbox style="mso-next-textbox:#_x0000_s3800" inset="0,0,0,0">
                <w:txbxContent>
                  <w:p w:rsidR="008A5877" w:rsidRDefault="008A5877">
                    <w:pPr>
                      <w:jc w:val="right"/>
                      <w:rPr>
                        <w:b/>
                        <w:sz w:val="13"/>
                        <w:szCs w:val="16"/>
                      </w:rPr>
                    </w:pPr>
                    <w:r>
                      <w:rPr>
                        <w:rFonts w:ascii="Arial" w:hAnsi="Arial" w:cs="Arial"/>
                        <w:b/>
                        <w:color w:val="000000"/>
                        <w:sz w:val="13"/>
                        <w:szCs w:val="16"/>
                        <w:lang w:val="en-US"/>
                      </w:rPr>
                      <w:t>6%</w:t>
                    </w:r>
                  </w:p>
                </w:txbxContent>
              </v:textbox>
            </v:rect>
            <v:rect id="_x0000_s3801" style="position:absolute;left:492;top:1855;width:266;height:211" filled="f" stroked="f">
              <o:lock v:ext="edit" aspectratio="t"/>
              <v:textbox style="mso-next-textbox:#_x0000_s3801" inset="0,0,0,0">
                <w:txbxContent>
                  <w:p w:rsidR="008A5877" w:rsidRDefault="008A5877">
                    <w:pPr>
                      <w:jc w:val="right"/>
                      <w:rPr>
                        <w:b/>
                        <w:sz w:val="13"/>
                        <w:szCs w:val="16"/>
                      </w:rPr>
                    </w:pPr>
                    <w:r>
                      <w:rPr>
                        <w:rFonts w:ascii="Arial" w:hAnsi="Arial" w:cs="Arial"/>
                        <w:b/>
                        <w:color w:val="000000"/>
                        <w:sz w:val="13"/>
                        <w:szCs w:val="16"/>
                        <w:lang w:val="en-US"/>
                      </w:rPr>
                      <w:t>8%</w:t>
                    </w:r>
                  </w:p>
                </w:txbxContent>
              </v:textbox>
            </v:rect>
            <v:rect id="_x0000_s3802" style="position:absolute;left:412;top:1022;width:370;height:211" filled="f" stroked="f">
              <o:lock v:ext="edit" aspectratio="t"/>
              <v:textbox style="mso-next-textbox:#_x0000_s3802" inset="0,0,0,0">
                <w:txbxContent>
                  <w:p w:rsidR="008A5877" w:rsidRDefault="008A5877">
                    <w:pPr>
                      <w:jc w:val="right"/>
                      <w:rPr>
                        <w:b/>
                        <w:sz w:val="13"/>
                        <w:szCs w:val="16"/>
                      </w:rPr>
                    </w:pPr>
                    <w:r>
                      <w:rPr>
                        <w:rFonts w:ascii="Arial" w:hAnsi="Arial" w:cs="Arial"/>
                        <w:b/>
                        <w:color w:val="000000"/>
                        <w:sz w:val="13"/>
                        <w:szCs w:val="16"/>
                        <w:lang w:val="en-US"/>
                      </w:rPr>
                      <w:t>10%</w:t>
                    </w:r>
                  </w:p>
                </w:txbxContent>
              </v:textbox>
            </v:rect>
            <v:rect id="_x0000_s3803" style="position:absolute;left:412;top:188;width:370;height:212" filled="f" stroked="f">
              <o:lock v:ext="edit" aspectratio="t"/>
              <v:textbox style="mso-next-textbox:#_x0000_s3803" inset="0,0,0,0">
                <w:txbxContent>
                  <w:p w:rsidR="008A5877" w:rsidRDefault="008A5877">
                    <w:pPr>
                      <w:jc w:val="right"/>
                      <w:rPr>
                        <w:b/>
                        <w:sz w:val="13"/>
                        <w:szCs w:val="16"/>
                      </w:rPr>
                    </w:pPr>
                    <w:r>
                      <w:rPr>
                        <w:rFonts w:ascii="Arial" w:hAnsi="Arial" w:cs="Arial"/>
                        <w:b/>
                        <w:color w:val="000000"/>
                        <w:sz w:val="13"/>
                        <w:szCs w:val="16"/>
                        <w:lang w:val="en-US"/>
                      </w:rPr>
                      <w:t>12%</w:t>
                    </w:r>
                  </w:p>
                </w:txbxContent>
              </v:textbox>
            </v:rect>
            <v:rect id="_x0000_s3804" style="position:absolute;left:1299;top:5390;width:411;height:211" filled="f" stroked="f">
              <o:lock v:ext="edit" aspectratio="t"/>
              <v:textbox style="mso-next-textbox:#_x0000_s3804" inset="0,0,0,0">
                <w:txbxContent>
                  <w:p w:rsidR="008A5877" w:rsidRDefault="008A5877">
                    <w:pPr>
                      <w:jc w:val="right"/>
                      <w:rPr>
                        <w:sz w:val="13"/>
                        <w:szCs w:val="16"/>
                      </w:rPr>
                    </w:pPr>
                    <w:r>
                      <w:rPr>
                        <w:rFonts w:ascii="Arial" w:hAnsi="Arial" w:cs="Arial"/>
                        <w:color w:val="000000"/>
                        <w:sz w:val="13"/>
                        <w:szCs w:val="16"/>
                        <w:lang w:val="en-US"/>
                      </w:rPr>
                      <w:t>2001</w:t>
                    </w:r>
                  </w:p>
                </w:txbxContent>
              </v:textbox>
            </v:rect>
            <v:rect id="_x0000_s3805" style="position:absolute;left:2602;top:5390;width:411;height:211" filled="f" stroked="f">
              <o:lock v:ext="edit" aspectratio="t"/>
              <v:textbox style="mso-next-textbox:#_x0000_s3805" inset="0,0,0,0">
                <w:txbxContent>
                  <w:p w:rsidR="008A5877" w:rsidRDefault="008A5877">
                    <w:pPr>
                      <w:jc w:val="right"/>
                      <w:rPr>
                        <w:sz w:val="13"/>
                        <w:szCs w:val="16"/>
                      </w:rPr>
                    </w:pPr>
                    <w:r>
                      <w:rPr>
                        <w:rFonts w:ascii="Arial" w:hAnsi="Arial" w:cs="Arial"/>
                        <w:color w:val="000000"/>
                        <w:sz w:val="13"/>
                        <w:szCs w:val="16"/>
                        <w:lang w:val="en-US"/>
                      </w:rPr>
                      <w:t>2002</w:t>
                    </w:r>
                  </w:p>
                </w:txbxContent>
              </v:textbox>
            </v:rect>
            <v:rect id="_x0000_s3806" style="position:absolute;left:3907;top:5390;width:411;height:211" filled="f" stroked="f">
              <o:lock v:ext="edit" aspectratio="t"/>
              <v:textbox style="mso-next-textbox:#_x0000_s3806" inset="0,0,0,0">
                <w:txbxContent>
                  <w:p w:rsidR="008A5877" w:rsidRDefault="008A5877">
                    <w:pPr>
                      <w:jc w:val="right"/>
                      <w:rPr>
                        <w:sz w:val="13"/>
                        <w:szCs w:val="16"/>
                      </w:rPr>
                    </w:pPr>
                    <w:r>
                      <w:rPr>
                        <w:rFonts w:ascii="Arial" w:hAnsi="Arial" w:cs="Arial"/>
                        <w:color w:val="000000"/>
                        <w:sz w:val="13"/>
                        <w:szCs w:val="16"/>
                        <w:lang w:val="en-US"/>
                      </w:rPr>
                      <w:t>2003</w:t>
                    </w:r>
                  </w:p>
                </w:txbxContent>
              </v:textbox>
            </v:rect>
            <v:rect id="_x0000_s3807" style="position:absolute;left:5210;top:5390;width:411;height:211" filled="f" stroked="f">
              <o:lock v:ext="edit" aspectratio="t"/>
              <v:textbox style="mso-next-textbox:#_x0000_s3807" inset="0,0,0,0">
                <w:txbxContent>
                  <w:p w:rsidR="008A5877" w:rsidRDefault="008A5877">
                    <w:pPr>
                      <w:jc w:val="right"/>
                      <w:rPr>
                        <w:sz w:val="13"/>
                        <w:szCs w:val="16"/>
                      </w:rPr>
                    </w:pPr>
                    <w:r>
                      <w:rPr>
                        <w:rFonts w:ascii="Arial" w:hAnsi="Arial" w:cs="Arial"/>
                        <w:color w:val="000000"/>
                        <w:sz w:val="13"/>
                        <w:szCs w:val="16"/>
                        <w:lang w:val="en-US"/>
                      </w:rPr>
                      <w:t>2004</w:t>
                    </w:r>
                  </w:p>
                </w:txbxContent>
              </v:textbox>
            </v:rect>
            <v:rect id="_x0000_s3808" style="position:absolute;left:6516;top:5390;width:411;height:211" filled="f" stroked="f">
              <o:lock v:ext="edit" aspectratio="t"/>
              <v:textbox style="mso-next-textbox:#_x0000_s3808" inset="0,0,0,0">
                <w:txbxContent>
                  <w:p w:rsidR="008A5877" w:rsidRDefault="008A5877">
                    <w:pPr>
                      <w:jc w:val="right"/>
                      <w:rPr>
                        <w:sz w:val="13"/>
                        <w:szCs w:val="16"/>
                      </w:rPr>
                    </w:pPr>
                    <w:r>
                      <w:rPr>
                        <w:rFonts w:ascii="Arial" w:hAnsi="Arial" w:cs="Arial"/>
                        <w:color w:val="000000"/>
                        <w:sz w:val="13"/>
                        <w:szCs w:val="16"/>
                        <w:lang w:val="en-US"/>
                      </w:rPr>
                      <w:t>2005</w:t>
                    </w:r>
                  </w:p>
                </w:txbxContent>
              </v:textbox>
            </v:rect>
            <v:rect id="_x0000_s3809" style="position:absolute;left:7821;top:5390;width:411;height:211" filled="f" stroked="f">
              <o:lock v:ext="edit" aspectratio="t"/>
              <v:textbox style="mso-next-textbox:#_x0000_s3809" inset="0,0,0,0">
                <w:txbxContent>
                  <w:p w:rsidR="008A5877" w:rsidRDefault="008A5877">
                    <w:pPr>
                      <w:jc w:val="right"/>
                      <w:rPr>
                        <w:sz w:val="13"/>
                        <w:szCs w:val="16"/>
                      </w:rPr>
                    </w:pPr>
                    <w:r>
                      <w:rPr>
                        <w:rFonts w:ascii="Arial" w:hAnsi="Arial" w:cs="Arial"/>
                        <w:color w:val="000000"/>
                        <w:sz w:val="13"/>
                        <w:szCs w:val="16"/>
                        <w:lang w:val="en-US"/>
                      </w:rPr>
                      <w:t>2006</w:t>
                    </w:r>
                  </w:p>
                </w:txbxContent>
              </v:textbox>
            </v:rect>
            <v:rect id="_x0000_s3810" style="position:absolute;left:2860;top:759;width:1560;height:263" filled="f" stroked="f">
              <o:lock v:ext="edit" aspectratio="t"/>
              <v:textbox style="mso-next-textbox:#_x0000_s3810" inset="0,0,0,0">
                <w:txbxContent>
                  <w:p w:rsidR="008A5877" w:rsidRDefault="008A5877">
                    <w:pPr>
                      <w:spacing w:after="240"/>
                      <w:jc w:val="right"/>
                      <w:rPr>
                        <w:sz w:val="14"/>
                        <w:szCs w:val="18"/>
                      </w:rPr>
                    </w:pPr>
                    <w:r>
                      <w:rPr>
                        <w:sz w:val="14"/>
                        <w:szCs w:val="18"/>
                      </w:rPr>
                      <w:t>Wages and salaries</w:t>
                    </w:r>
                  </w:p>
                </w:txbxContent>
              </v:textbox>
            </v:rect>
            <v:rect id="_x0000_s3811" style="position:absolute;left:5015;top:3057;width:1704;height:229" filled="f" stroked="f">
              <o:lock v:ext="edit" aspectratio="t"/>
              <v:textbox style="mso-next-textbox:#_x0000_s3811" inset="0,0,0,0">
                <w:txbxContent>
                  <w:p w:rsidR="008A5877" w:rsidRDefault="008A5877">
                    <w:pPr>
                      <w:jc w:val="right"/>
                      <w:rPr>
                        <w:sz w:val="17"/>
                      </w:rPr>
                    </w:pPr>
                    <w:r>
                      <w:rPr>
                        <w:color w:val="000000"/>
                        <w:sz w:val="14"/>
                        <w:szCs w:val="18"/>
                      </w:rPr>
                      <w:t>Goods and services</w:t>
                    </w:r>
                  </w:p>
                </w:txbxContent>
              </v:textbox>
            </v:rect>
            <v:rect id="_x0000_s3812" style="position:absolute;left:3017;top:4834;width:1403;height:250" filled="f" stroked="f">
              <o:lock v:ext="edit" aspectratio="t"/>
              <v:textbox style="mso-next-textbox:#_x0000_s3812" inset="0,0,0,0">
                <w:txbxContent>
                  <w:p w:rsidR="008A5877" w:rsidRDefault="008A5877">
                    <w:pPr>
                      <w:jc w:val="right"/>
                      <w:rPr>
                        <w:color w:val="000000"/>
                        <w:sz w:val="14"/>
                        <w:szCs w:val="18"/>
                      </w:rPr>
                    </w:pPr>
                    <w:r>
                      <w:rPr>
                        <w:color w:val="000000"/>
                        <w:sz w:val="14"/>
                        <w:szCs w:val="18"/>
                      </w:rPr>
                      <w:t>Current transfers</w:t>
                    </w:r>
                  </w:p>
                </w:txbxContent>
              </v:textbox>
            </v:rect>
            <v:line id="_x0000_s3813" style="position:absolute" from="5465,5796" to="5508,5839" strokecolor="aqua" strokeweight="33e-5mm">
              <o:lock v:ext="edit" aspectratio="t"/>
            </v:line>
            <v:rect id="_x0000_s3814" style="position:absolute;left:1473;top:2207;width:1940;height:228" filled="f" stroked="f">
              <o:lock v:ext="edit" aspectratio="t"/>
              <v:textbox style="mso-next-textbox:#_x0000_s3814" inset="0,0,0,0">
                <w:txbxContent>
                  <w:p w:rsidR="008A5877" w:rsidRDefault="008A5877">
                    <w:pPr>
                      <w:jc w:val="right"/>
                      <w:rPr>
                        <w:sz w:val="14"/>
                        <w:szCs w:val="18"/>
                      </w:rPr>
                    </w:pPr>
                    <w:r>
                      <w:rPr>
                        <w:color w:val="000000"/>
                        <w:sz w:val="14"/>
                        <w:szCs w:val="18"/>
                      </w:rPr>
                      <w:t>Capital expenditure</w:t>
                    </w:r>
                  </w:p>
                </w:txbxContent>
              </v:textbox>
            </v:rect>
            <v:line id="_x0000_s3815" style="position:absolute" from="6767,5796" to="7048,5797" strokecolor="purple" strokeweight="69e-5mm">
              <o:lock v:ext="edit" aspectratio="t"/>
            </v:line>
            <v:rect id="_x0000_s3816" style="position:absolute;left:6863;top:5751;width:91;height:91" filled="f" stroked="f">
              <o:lock v:ext="edit" aspectratio="t"/>
            </v:rect>
            <v:line id="_x0000_s3817" style="position:absolute;flip:x y" from="6864,5753" to="6907,5796" strokecolor="purple" strokeweight="33e-5mm">
              <o:lock v:ext="edit" aspectratio="t"/>
            </v:line>
            <v:line id="_x0000_s3818" style="position:absolute" from="6907,5796" to="6951,5839" strokecolor="purple" strokeweight="33e-5mm">
              <o:lock v:ext="edit" aspectratio="t"/>
            </v:line>
            <v:line id="_x0000_s3819" style="position:absolute;flip:x" from="6864,5796" to="6907,5839" strokecolor="purple" strokeweight="33e-5mm">
              <o:lock v:ext="edit" aspectratio="t"/>
            </v:line>
            <v:line id="_x0000_s3820" style="position:absolute;flip:y" from="6907,5753" to="6951,5796" strokecolor="purple" strokeweight="33e-5mm">
              <o:lock v:ext="edit" aspectratio="t"/>
            </v:line>
            <v:line id="_x0000_s3821" style="position:absolute;flip:y" from="6907,5753" to="6908,5796" strokecolor="purple" strokeweight="33e-5mm">
              <o:lock v:ext="edit" aspectratio="t"/>
            </v:line>
            <v:line id="_x0000_s3822" style="position:absolute" from="6907,5796" to="6908,5839" strokecolor="purple" strokeweight="33e-5mm">
              <o:lock v:ext="edit" aspectratio="t"/>
            </v:line>
            <v:rect id="_x0000_s3823" style="position:absolute;left:6674;top:5586;width:1959;height:298" filled="f" stroked="f">
              <o:lock v:ext="edit" aspectratio="t"/>
              <v:textbox style="mso-next-textbox:#_x0000_s3823" inset="0,0,0,0">
                <w:txbxContent>
                  <w:p w:rsidR="008A5877" w:rsidRDefault="008A5877">
                    <w:pPr>
                      <w:jc w:val="right"/>
                      <w:rPr>
                        <w:sz w:val="17"/>
                      </w:rPr>
                    </w:pPr>
                    <w:r>
                      <w:rPr>
                        <w:color w:val="000000"/>
                        <w:sz w:val="14"/>
                        <w:szCs w:val="18"/>
                      </w:rPr>
                      <w:t>Spending from loans</w:t>
                    </w:r>
                  </w:p>
                </w:txbxContent>
              </v:textbox>
            </v:rect>
            <w10:anchorlock/>
          </v:group>
        </w:pict>
      </w:r>
    </w:p>
    <w:p w:rsidR="00CD2A5A" w:rsidRDefault="00CD2A5A">
      <w:pPr>
        <w:pStyle w:val="Source"/>
        <w:ind w:left="1134"/>
        <w:rPr>
          <w:lang w:val="es-SV"/>
        </w:rPr>
      </w:pPr>
      <w:r>
        <w:rPr>
          <w:i/>
        </w:rPr>
        <w:t>Source</w:t>
      </w:r>
      <w:r>
        <w:t>:</w:t>
      </w:r>
      <w:r>
        <w:rPr>
          <w:lang w:val="es-SV"/>
        </w:rPr>
        <w:t xml:space="preserve"> </w:t>
      </w:r>
      <w:r>
        <w:t>MINED, (2001-2006).</w:t>
      </w:r>
    </w:p>
    <w:p w:rsidR="00CD2A5A" w:rsidRDefault="00CD2A5A">
      <w:pPr>
        <w:pStyle w:val="Header"/>
        <w:numPr>
          <w:ilvl w:val="0"/>
          <w:numId w:val="3"/>
        </w:numPr>
        <w:tabs>
          <w:tab w:val="clear" w:pos="720"/>
          <w:tab w:val="clear" w:pos="4252"/>
        </w:tabs>
        <w:spacing w:after="240"/>
        <w:ind w:left="0" w:firstLine="0"/>
        <w:rPr>
          <w:lang w:val="en-US"/>
        </w:rPr>
      </w:pPr>
      <w:r>
        <w:rPr>
          <w:lang w:val="en-GB"/>
        </w:rPr>
        <w:t>Elementary education normally comprises nine years of study from first to ninth grades, organized into three cycles of three years each, normally starting at age seven.</w:t>
      </w:r>
      <w:r>
        <w:rPr>
          <w:lang w:val="en-US"/>
        </w:rPr>
        <w:t xml:space="preserve"> </w:t>
      </w:r>
      <w:r>
        <w:rPr>
          <w:lang w:val="en-GB"/>
        </w:rPr>
        <w:t>According to article 4 of the LGE, elementary education is compulsory, and free of charge when provided by the State.</w:t>
      </w:r>
    </w:p>
    <w:p w:rsidR="00CD2A5A" w:rsidRDefault="00CD2A5A">
      <w:pPr>
        <w:pStyle w:val="Header"/>
        <w:numPr>
          <w:ilvl w:val="0"/>
          <w:numId w:val="3"/>
        </w:numPr>
        <w:tabs>
          <w:tab w:val="clear" w:pos="720"/>
          <w:tab w:val="clear" w:pos="4252"/>
        </w:tabs>
        <w:spacing w:after="240"/>
        <w:ind w:left="0" w:firstLine="0"/>
        <w:rPr>
          <w:lang w:val="en-US"/>
        </w:rPr>
      </w:pPr>
      <w:r>
        <w:rPr>
          <w:lang w:val="en-GB"/>
        </w:rPr>
        <w:t>Over the period 2001-2005, spending on elementary education fell slightly from 64.3% to 62.6% as a proportion of the total budget executed by MINED, rising in the 2006 budget allocation to 63.4%.</w:t>
      </w:r>
      <w:r>
        <w:rPr>
          <w:lang w:val="en-US"/>
        </w:rPr>
        <w:t xml:space="preserve"> </w:t>
      </w:r>
      <w:r>
        <w:rPr>
          <w:lang w:val="en-GB"/>
        </w:rPr>
        <w:t>The current expenditure allocated to wages and salaries fluctuated between 74.8% and 75%, as the majority of the student population in the education system is in first to ninth grade, and in view of its importance in achieving the goals of Plan 2021, and the targets of the millennium development goals (MDG2) to achieve universal primary education by 2015.</w:t>
      </w:r>
      <w:r>
        <w:rPr>
          <w:lang w:val="en-US"/>
        </w:rPr>
        <w:t xml:space="preserve"> </w:t>
      </w:r>
      <w:r>
        <w:rPr>
          <w:lang w:val="en-GB"/>
        </w:rPr>
        <w:t>Current expenditure includes remuneration of teaching and administrative staff and the purchase of goods and services and current transfers.</w:t>
      </w:r>
      <w:r>
        <w:rPr>
          <w:lang w:val="en-US"/>
        </w:rPr>
        <w:t xml:space="preserve"> </w:t>
      </w:r>
      <w:r>
        <w:rPr>
          <w:lang w:val="en-GB"/>
        </w:rPr>
        <w:t>In the case of goods and services, there was a proportional increase for the contracting of educational services under the Educo programme.</w:t>
      </w:r>
    </w:p>
    <w:p w:rsidR="00CD2A5A" w:rsidRDefault="00CD2A5A">
      <w:pPr>
        <w:pStyle w:val="Header"/>
        <w:numPr>
          <w:ilvl w:val="0"/>
          <w:numId w:val="3"/>
        </w:numPr>
        <w:tabs>
          <w:tab w:val="clear" w:pos="720"/>
          <w:tab w:val="clear" w:pos="4252"/>
        </w:tabs>
        <w:spacing w:after="240"/>
        <w:ind w:left="0" w:firstLine="0"/>
        <w:rPr>
          <w:spacing w:val="-2"/>
          <w:lang w:val="en-US"/>
        </w:rPr>
      </w:pPr>
      <w:r>
        <w:rPr>
          <w:spacing w:val="-2"/>
          <w:lang w:val="en-GB"/>
        </w:rPr>
        <w:t>Capital expenditure was higher in 2002 and 2003, because it covered reconstruction after the earthquakes and Hurricane Stan.</w:t>
      </w:r>
      <w:r>
        <w:rPr>
          <w:spacing w:val="-2"/>
          <w:lang w:val="en-US"/>
        </w:rPr>
        <w:t xml:space="preserve"> </w:t>
      </w:r>
      <w:r>
        <w:rPr>
          <w:spacing w:val="-2"/>
          <w:lang w:val="en-GB"/>
        </w:rPr>
        <w:t>Spending from loans is a prominent heading at this level of education, although it shows a downward trend, from 73.6% in 2001 to 45.6% in 2005 of the total.</w:t>
      </w:r>
      <w:r>
        <w:rPr>
          <w:spacing w:val="-2"/>
          <w:lang w:val="en-US"/>
        </w:rPr>
        <w:t xml:space="preserve"> </w:t>
      </w:r>
    </w:p>
    <w:p w:rsidR="00CD2A5A" w:rsidRDefault="00CD2A5A" w:rsidP="00CD2A5A">
      <w:pPr>
        <w:pStyle w:val="Figure"/>
        <w:rPr>
          <w:lang w:val="en-US"/>
        </w:rPr>
      </w:pPr>
      <w:r>
        <w:t>Figure 57</w:t>
      </w:r>
    </w:p>
    <w:p w:rsidR="00CD2A5A" w:rsidRDefault="00CD2A5A" w:rsidP="00CD2A5A">
      <w:pPr>
        <w:pStyle w:val="Figure"/>
        <w:rPr>
          <w:lang w:val="en-US"/>
        </w:rPr>
      </w:pPr>
      <w:r>
        <w:t>Breakdown of spending on elementary schools as a percentage of the budget</w:t>
      </w:r>
      <w:r>
        <w:rPr>
          <w:lang w:val="en-US"/>
        </w:rPr>
        <w:t xml:space="preserve"> </w:t>
      </w:r>
      <w:r>
        <w:t>MINED</w:t>
      </w:r>
      <w:r>
        <w:rPr>
          <w:lang w:val="en-US"/>
        </w:rPr>
        <w:t xml:space="preserve"> </w:t>
      </w:r>
    </w:p>
    <w:p w:rsidR="00CD2A5A" w:rsidRDefault="00CD2A5A" w:rsidP="00CD2A5A">
      <w:pPr>
        <w:pStyle w:val="Figure"/>
      </w:pPr>
      <w:r>
        <w:rPr>
          <w:noProof/>
          <w:lang w:val="fr-CH" w:eastAsia="fr-CH"/>
        </w:rPr>
      </w:r>
      <w:r>
        <w:pict>
          <v:group id="_x0000_s2150" editas="canvas" style="width:340.15pt;height:228.6pt;mso-position-horizontal-relative:char;mso-position-vertical-relative:line" coordsize="8909,5988">
            <o:lock v:ext="edit" aspectratio="t"/>
            <v:shape id="_x0000_s2151" type="#_x0000_t75" style="position:absolute;width:8909;height:5988" o:preferrelative="f" stroked="t" strokeweight=".5pt">
              <v:fill o:detectmouseclick="t"/>
              <v:path o:extrusionok="t" o:connecttype="none"/>
              <o:lock v:ext="edit" text="t"/>
            </v:shape>
            <v:rect id="_x0000_s2152" style="position:absolute;left:881;top:271;width:7750;height:4999" filled="f" stroked="f"/>
            <v:line id="_x0000_s2153" style="position:absolute" from="881,4770" to="8631,4771" strokeweight="0"/>
            <v:line id="_x0000_s2154" style="position:absolute" from="881,4269" to="8631,4270" strokeweight="0"/>
            <v:line id="_x0000_s2155" style="position:absolute" from="881,3769" to="8631,3770" strokeweight="0"/>
            <v:line id="_x0000_s2156" style="position:absolute" from="881,3269" to="8631,3270" strokeweight="0"/>
            <v:line id="_x0000_s2157" style="position:absolute" from="881,2769" to="8631,2770" strokeweight="0"/>
            <v:line id="_x0000_s2158" style="position:absolute" from="881,2271" to="8631,2272" strokeweight="0"/>
            <v:line id="_x0000_s2159" style="position:absolute" from="881,1771" to="8631,1772" strokeweight="0"/>
            <v:line id="_x0000_s2160" style="position:absolute" from="881,1271" to="8631,1272" strokeweight="0"/>
            <v:line id="_x0000_s2161" style="position:absolute" from="881,771" to="8631,772" strokeweight="0"/>
            <v:line id="_x0000_s2162" style="position:absolute" from="881,271" to="8631,272" strokeweight="0"/>
            <v:rect id="_x0000_s2163" style="position:absolute;left:881;top:271;width:7750;height:4999" filled="f" strokecolor="gray" strokeweight="33e-5mm"/>
            <v:line id="_x0000_s2164" style="position:absolute" from="881,271" to="882,5270" strokeweight="0"/>
            <v:line id="_x0000_s2165" style="position:absolute" from="838,5270" to="881,5271" strokeweight="0"/>
            <v:line id="_x0000_s2166" style="position:absolute" from="838,4770" to="881,4771" strokeweight="0"/>
            <v:line id="_x0000_s2167" style="position:absolute" from="838,4269" to="881,4270" strokeweight="0"/>
            <v:line id="_x0000_s2168" style="position:absolute" from="838,3769" to="881,3770" strokeweight="0"/>
            <v:line id="_x0000_s2169" style="position:absolute" from="838,3269" to="881,3270" strokeweight="0"/>
            <v:line id="_x0000_s2170" style="position:absolute" from="838,2769" to="881,2770" strokeweight="0"/>
            <v:line id="_x0000_s2171" style="position:absolute" from="838,2271" to="881,2272" strokeweight="0"/>
            <v:line id="_x0000_s2172" style="position:absolute" from="838,1771" to="881,1772" strokeweight="0"/>
            <v:line id="_x0000_s2173" style="position:absolute" from="838,1271" to="881,1272" strokeweight="0"/>
            <v:line id="_x0000_s2174" style="position:absolute" from="838,771" to="881,772" strokeweight="0"/>
            <v:line id="_x0000_s2175" style="position:absolute" from="838,271" to="881,272" strokeweight="0"/>
            <v:line id="_x0000_s2176" style="position:absolute" from="881,5270" to="8631,5271" strokeweight="0"/>
            <v:line id="_x0000_s2177" style="position:absolute;flip:y" from="881,5270" to="882,5313" strokeweight="0"/>
            <v:line id="_x0000_s2178" style="position:absolute;flip:y" from="2431,5270" to="2432,5313" strokeweight="0"/>
            <v:line id="_x0000_s2179" style="position:absolute;flip:y" from="3982,5270" to="3983,5313" strokeweight="0"/>
            <v:line id="_x0000_s2180" style="position:absolute;flip:y" from="5531,5270" to="5532,5313" strokeweight="0"/>
            <v:line id="_x0000_s2181" style="position:absolute;flip:y" from="7082,5270" to="7083,5313" strokeweight="0"/>
            <v:line id="_x0000_s2182" style="position:absolute;flip:y" from="8631,5270" to="8632,5313" strokeweight="0"/>
            <v:shape id="_x0000_s2183" style="position:absolute;left:1656;top:1503;width:6201;height:60" coordsize="4018,39" path="m,19l1005,,2009,39,3013,6r1005,7e" filled="f" strokeweight="0">
              <v:path arrowok="t"/>
            </v:shape>
            <v:shape id="_x0000_s2184" style="position:absolute;left:1656;top:3052;width:6201;height:1354" coordsize="4018,880" path="m,589l1005,570,2009,880,3013,830,4018,e" filled="f" strokeweight="0">
              <v:path arrowok="t"/>
            </v:shape>
            <v:shape id="_x0000_s2185" style="position:absolute;left:1656;top:3871;width:6201;height:575" coordsize="4018,374" path="m,265l1005,367r1004,7l3013,,4018,251e" filled="f" strokeweight="0">
              <v:path arrowok="t"/>
            </v:shape>
            <v:shape id="_x0000_s2186" style="position:absolute;left:1656;top:2736;width:6201;height:2534" coordsize="4018,1647" path="m,1525l1005,,2009,565,3013,1647r1005,e" filled="f" strokecolor="purple" strokeweight="69e-5mm">
              <v:path arrowok="t"/>
            </v:shape>
            <v:shape id="_x0000_s2187" style="position:absolute;left:1656;top:1589;width:6201;height:2424" coordsize="4018,1575" path="m,l1005,559,2009,851r1004,724l4018,912e" filled="f" strokecolor="maroon" strokeweight="69e-5mm">
              <v:path arrowok="t"/>
            </v:shape>
            <v:rect id="_x0000_s2188" style="position:absolute;left:1611;top:1488;width:88;height:87" fillcolor="fuchsia" strokecolor="fuchsia" strokeweight="33e-5mm"/>
            <v:rect id="_x0000_s2189" style="position:absolute;left:3162;top:1459;width:88;height:87" fillcolor="fuchsia" strokecolor="fuchsia" strokeweight="33e-5mm"/>
            <v:rect id="_x0000_s2190" style="position:absolute;left:4711;top:1519;width:88;height:87" fillcolor="fuchsia" strokecolor="fuchsia" strokeweight="33e-5mm"/>
            <v:rect id="_x0000_s2191" style="position:absolute;left:6261;top:1468;width:88;height:87" fillcolor="fuchsia" strokecolor="fuchsia" strokeweight="33e-5mm"/>
            <v:rect id="_x0000_s2192" style="position:absolute;left:7812;top:1479;width:88;height:87" fillcolor="fuchsia" strokecolor="fuchsia" strokeweight="33e-5mm"/>
            <v:shape id="_x0000_s2193" style="position:absolute;left:1611;top:3914;width:90;height:89" coordsize="90,89" path="m45,l90,89,,89,45,xe" fillcolor="yellow" strokecolor="yellow" strokeweight="33e-5mm">
              <v:path arrowok="t"/>
            </v:shape>
            <v:shape id="_x0000_s2194" style="position:absolute;left:3162;top:3885;width:90;height:89" coordsize="90,89" path="m45,l90,89,,89,45,xe" fillcolor="yellow" strokecolor="yellow" strokeweight="33e-5mm">
              <v:path arrowok="t"/>
            </v:shape>
            <v:shape id="_x0000_s2195" style="position:absolute;left:4711;top:4362;width:90;height:89" coordsize="90,89" path="m45,l90,89,,89,45,xe" fillcolor="yellow" strokecolor="yellow" strokeweight="33e-5mm">
              <v:path arrowok="t"/>
            </v:shape>
            <v:shape id="_x0000_s2196" style="position:absolute;left:6261;top:4285;width:89;height:89" coordsize="89,89" path="m45,l89,89,,89,45,xe" fillcolor="yellow" strokecolor="yellow" strokeweight="33e-5mm">
              <v:path arrowok="t"/>
            </v:shape>
            <v:shape id="_x0000_s2197" style="position:absolute;left:7812;top:3008;width:89;height:89" coordsize="89,89" path="m45,l89,89,,89,45,xe" fillcolor="yellow" strokecolor="yellow" strokeweight="33e-5mm">
              <v:path arrowok="t"/>
            </v:shape>
            <v:rect id="_x0000_s2198" style="position:absolute;left:1610;top:4233;width:94;height:93" filled="f" stroked="f"/>
            <v:line id="_x0000_s2199" style="position:absolute;flip:x y" from="1611,4234" to="1656,4279" strokecolor="aqua" strokeweight="33e-5mm"/>
            <v:line id="_x0000_s2200" style="position:absolute" from="1656,4279" to="1701,4323" strokecolor="aqua" strokeweight="33e-5mm"/>
            <v:line id="_x0000_s2201" style="position:absolute;flip:x" from="1611,4279" to="1656,4323" strokecolor="aqua" strokeweight="33e-5mm"/>
            <v:line id="_x0000_s2202" style="position:absolute;flip:y" from="1656,4234" to="1701,4279" strokecolor="aqua" strokeweight="33e-5mm"/>
            <v:rect id="_x0000_s2203" style="position:absolute;left:3161;top:4389;width:94;height:94" filled="f" stroked="f"/>
            <v:line id="_x0000_s2204" style="position:absolute;flip:x y" from="3162,4391" to="3207,4436" strokecolor="aqua" strokeweight="33e-5mm"/>
            <v:line id="_x0000_s2205" style="position:absolute" from="3207,4436" to="3252,4480" strokecolor="aqua" strokeweight="33e-5mm"/>
            <v:line id="_x0000_s2206" style="position:absolute;flip:x" from="3162,4436" to="3207,4480" strokecolor="aqua" strokeweight="33e-5mm"/>
            <v:line id="_x0000_s2207" style="position:absolute;flip:y" from="3207,4391" to="3252,4436" strokecolor="aqua" strokeweight="33e-5mm"/>
            <v:rect id="_x0000_s2208" style="position:absolute;left:4710;top:4400;width:94;height:94" filled="f" stroked="f"/>
            <v:line id="_x0000_s2209" style="position:absolute;flip:x y" from="4711,4402" to="4756,4446" strokecolor="aqua" strokeweight="33e-5mm"/>
            <v:line id="_x0000_s2210" style="position:absolute" from="4756,4446" to="4801,4491" strokecolor="aqua" strokeweight="33e-5mm"/>
            <v:line id="_x0000_s2211" style="position:absolute;flip:x" from="4711,4446" to="4756,4491" strokecolor="aqua" strokeweight="33e-5mm"/>
            <v:line id="_x0000_s2212" style="position:absolute;flip:y" from="4756,4402" to="4801,4446" strokecolor="aqua" strokeweight="33e-5mm"/>
            <v:rect id="_x0000_s2213" style="position:absolute;left:6259;top:3825;width:94;height:94" filled="f" stroked="f"/>
            <v:line id="_x0000_s2214" style="position:absolute;flip:x y" from="6261,3826" to="6306,3871" strokecolor="aqua" strokeweight="33e-5mm"/>
            <v:line id="_x0000_s2215" style="position:absolute" from="6306,3871" to="6350,3916" strokecolor="aqua" strokeweight="33e-5mm"/>
            <v:line id="_x0000_s2216" style="position:absolute;flip:x" from="6261,3871" to="6306,3916" strokecolor="aqua" strokeweight="33e-5mm"/>
            <v:line id="_x0000_s2217" style="position:absolute;flip:y" from="6306,3826" to="6350,3871" strokecolor="aqua" strokeweight="33e-5mm"/>
            <v:rect id="_x0000_s2218" style="position:absolute;left:7810;top:4211;width:94;height:94" filled="f" stroked="f"/>
            <v:line id="_x0000_s2219" style="position:absolute;flip:x y" from="7812,4213" to="7857,4257" strokecolor="aqua" strokeweight="33e-5mm"/>
            <v:line id="_x0000_s2220" style="position:absolute" from="7857,4257" to="7901,4302" strokecolor="aqua" strokeweight="33e-5mm"/>
            <v:line id="_x0000_s2221" style="position:absolute;flip:x" from="7812,4257" to="7857,4302" strokecolor="aqua" strokeweight="33e-5mm"/>
            <v:line id="_x0000_s2222" style="position:absolute;flip:y" from="7857,4213" to="7901,4257" strokecolor="aqua" strokeweight="33e-5mm"/>
            <v:rect id="_x0000_s2223" style="position:absolute;left:1610;top:5036;width:94;height:94" filled="f" stroked="f"/>
            <v:line id="_x0000_s2224" style="position:absolute;flip:x y" from="1611,5037" to="1656,5082" strokecolor="purple" strokeweight="33e-5mm"/>
            <v:line id="_x0000_s2225" style="position:absolute" from="1656,5082" to="1701,5126" strokecolor="purple" strokeweight="33e-5mm"/>
            <v:line id="_x0000_s2226" style="position:absolute;flip:x" from="1611,5082" to="1656,5126" strokecolor="purple" strokeweight="33e-5mm"/>
            <v:line id="_x0000_s2227" style="position:absolute;flip:y" from="1656,5037" to="1701,5082" strokecolor="purple" strokeweight="33e-5mm"/>
            <v:line id="_x0000_s2228" style="position:absolute;flip:y" from="1656,5037" to="1657,5082" strokecolor="purple" strokeweight="33e-5mm"/>
            <v:line id="_x0000_s2229" style="position:absolute" from="1656,5082" to="1657,5126" strokecolor="purple" strokeweight="33e-5mm"/>
            <v:rect id="_x0000_s2230" style="position:absolute;left:3161;top:2689;width:94;height:94" filled="f" stroked="f"/>
            <v:line id="_x0000_s2231" style="position:absolute;flip:x y" from="3162,2691" to="3207,2736" strokecolor="purple" strokeweight="33e-5mm"/>
            <v:line id="_x0000_s2232" style="position:absolute" from="3207,2736" to="3252,2780" strokecolor="purple" strokeweight="33e-5mm"/>
            <v:line id="_x0000_s2233" style="position:absolute;flip:x" from="3162,2736" to="3207,2780" strokecolor="purple" strokeweight="33e-5mm"/>
            <v:line id="_x0000_s2234" style="position:absolute;flip:y" from="3207,2691" to="3252,2736" strokecolor="purple" strokeweight="33e-5mm"/>
            <v:line id="_x0000_s2235" style="position:absolute;flip:y" from="3207,2691" to="3208,2736" strokecolor="purple" strokeweight="33e-5mm"/>
            <v:line id="_x0000_s2236" style="position:absolute" from="3207,2736" to="3208,2780" strokecolor="purple" strokeweight="33e-5mm"/>
            <v:rect id="_x0000_s2237" style="position:absolute;left:4710;top:3559;width:94;height:94" filled="f" stroked="f"/>
            <v:line id="_x0000_s2238" style="position:absolute;flip:x y" from="4711,3560" to="4756,3605" strokecolor="purple" strokeweight="33e-5mm"/>
            <v:line id="_x0000_s2239" style="position:absolute" from="4756,3605" to="4801,3649" strokecolor="purple" strokeweight="33e-5mm"/>
            <v:line id="_x0000_s2240" style="position:absolute;flip:x" from="4711,3605" to="4756,3649" strokecolor="purple" strokeweight="33e-5mm"/>
            <v:line id="_x0000_s2241" style="position:absolute;flip:y" from="4756,3560" to="4801,3605" strokecolor="purple" strokeweight="33e-5mm"/>
            <v:line id="_x0000_s2242" style="position:absolute;flip:y" from="4756,3560" to="4757,3605" strokecolor="purple" strokeweight="33e-5mm"/>
            <v:line id="_x0000_s2243" style="position:absolute" from="4756,3605" to="4757,3649" strokecolor="purple" strokeweight="33e-5mm"/>
            <v:rect id="_x0000_s2244" style="position:absolute;left:6259;top:5223;width:94;height:94" filled="f" stroked="f"/>
            <v:line id="_x0000_s2245" style="position:absolute;flip:x y" from="6261,5225" to="6306,5270" strokecolor="purple" strokeweight="33e-5mm"/>
            <v:line id="_x0000_s2246" style="position:absolute" from="6306,5270" to="6350,5314" strokecolor="purple" strokeweight="33e-5mm"/>
            <v:line id="_x0000_s2247" style="position:absolute;flip:x" from="6261,5270" to="6306,5314" strokecolor="purple" strokeweight="33e-5mm"/>
            <v:line id="_x0000_s2248" style="position:absolute;flip:y" from="6306,5225" to="6350,5270" strokecolor="purple" strokeweight="33e-5mm"/>
            <v:line id="_x0000_s2249" style="position:absolute;flip:y" from="6306,5225" to="6307,5270" strokecolor="purple" strokeweight="33e-5mm"/>
            <v:line id="_x0000_s2250" style="position:absolute" from="6306,5270" to="6307,5314" strokecolor="purple" strokeweight="33e-5mm"/>
            <v:rect id="_x0000_s2251" style="position:absolute;left:7810;top:5223;width:94;height:94" filled="f" stroked="f"/>
            <v:line id="_x0000_s2252" style="position:absolute;flip:x y" from="7812,5225" to="7857,5270" strokecolor="purple" strokeweight="33e-5mm"/>
            <v:line id="_x0000_s2253" style="position:absolute" from="7857,5270" to="7901,5314" strokecolor="purple" strokeweight="33e-5mm"/>
            <v:line id="_x0000_s2254" style="position:absolute;flip:x" from="7812,5270" to="7857,5314" strokecolor="purple" strokeweight="33e-5mm"/>
            <v:line id="_x0000_s2255" style="position:absolute;flip:y" from="7857,5225" to="7901,5270" strokecolor="purple" strokeweight="33e-5mm"/>
            <v:line id="_x0000_s2256" style="position:absolute;flip:y" from="7857,5225" to="7858,5270" strokecolor="purple" strokeweight="33e-5mm"/>
            <v:line id="_x0000_s2257" style="position:absolute" from="7857,5270" to="7858,5314" strokecolor="purple" strokeweight="33e-5mm"/>
            <v:oval id="_x0000_s2258" style="position:absolute;left:1591;top:1525;width:128;height:127" fillcolor="maroon" strokecolor="maroon" strokeweight="33e-5mm"/>
            <v:oval id="_x0000_s2259" style="position:absolute;left:3142;top:2385;width:128;height:127" fillcolor="maroon" strokecolor="maroon" strokeweight="33e-5mm"/>
            <v:oval id="_x0000_s2260" style="position:absolute;left:4691;top:2834;width:128;height:128" fillcolor="maroon" strokecolor="maroon" strokeweight="33e-5mm"/>
            <v:oval id="_x0000_s2261" style="position:absolute;left:6241;top:3948;width:128;height:128" fillcolor="maroon" strokecolor="maroon" strokeweight="33e-5mm"/>
            <v:oval id="_x0000_s2262" style="position:absolute;left:7792;top:2928;width:128;height:128" fillcolor="maroon" strokecolor="maroon" strokeweight="33e-5mm"/>
            <v:rect id="_x0000_s2263" style="position:absolute;left:568;top:5186;width:266;height:211" filled="f" stroked="f">
              <v:textbox style="mso-next-textbox:#_x0000_s2263" inset="0,0,0,0">
                <w:txbxContent>
                  <w:p w:rsidR="008A5877" w:rsidRDefault="008A5877">
                    <w:pPr>
                      <w:rPr>
                        <w:sz w:val="14"/>
                        <w:szCs w:val="14"/>
                      </w:rPr>
                    </w:pPr>
                    <w:r>
                      <w:rPr>
                        <w:rFonts w:ascii="Arial" w:hAnsi="Arial" w:cs="Arial"/>
                        <w:color w:val="000000"/>
                        <w:sz w:val="14"/>
                        <w:szCs w:val="14"/>
                        <w:lang w:val="en-US"/>
                      </w:rPr>
                      <w:t>0%</w:t>
                    </w:r>
                  </w:p>
                </w:txbxContent>
              </v:textbox>
            </v:rect>
            <v:rect id="_x0000_s2264" style="position:absolute;left:491;top:4686;width:368;height:211" filled="f" stroked="f">
              <v:textbox style="mso-next-textbox:#_x0000_s2264" inset="0,0,0,0">
                <w:txbxContent>
                  <w:p w:rsidR="008A5877" w:rsidRDefault="008A5877">
                    <w:pPr>
                      <w:rPr>
                        <w:sz w:val="14"/>
                        <w:szCs w:val="14"/>
                      </w:rPr>
                    </w:pPr>
                    <w:r>
                      <w:rPr>
                        <w:rFonts w:ascii="Arial" w:hAnsi="Arial" w:cs="Arial"/>
                        <w:color w:val="000000"/>
                        <w:sz w:val="14"/>
                        <w:szCs w:val="14"/>
                        <w:lang w:val="en-US"/>
                      </w:rPr>
                      <w:t>10%</w:t>
                    </w:r>
                  </w:p>
                </w:txbxContent>
              </v:textbox>
            </v:rect>
            <v:rect id="_x0000_s2265" style="position:absolute;left:491;top:4186;width:368;height:211" filled="f" stroked="f">
              <v:textbox style="mso-next-textbox:#_x0000_s2265" inset="0,0,0,0">
                <w:txbxContent>
                  <w:p w:rsidR="008A5877" w:rsidRDefault="008A5877">
                    <w:pPr>
                      <w:rPr>
                        <w:sz w:val="14"/>
                        <w:szCs w:val="14"/>
                      </w:rPr>
                    </w:pPr>
                    <w:r>
                      <w:rPr>
                        <w:rFonts w:ascii="Arial" w:hAnsi="Arial" w:cs="Arial"/>
                        <w:color w:val="000000"/>
                        <w:sz w:val="14"/>
                        <w:szCs w:val="14"/>
                        <w:lang w:val="en-US"/>
                      </w:rPr>
                      <w:t>20%</w:t>
                    </w:r>
                  </w:p>
                </w:txbxContent>
              </v:textbox>
            </v:rect>
            <v:rect id="_x0000_s2266" style="position:absolute;left:491;top:3686;width:368;height:210" filled="f" stroked="f">
              <v:textbox style="mso-next-textbox:#_x0000_s2266" inset="0,0,0,0">
                <w:txbxContent>
                  <w:p w:rsidR="008A5877" w:rsidRDefault="008A5877">
                    <w:pPr>
                      <w:rPr>
                        <w:sz w:val="14"/>
                        <w:szCs w:val="14"/>
                      </w:rPr>
                    </w:pPr>
                    <w:r>
                      <w:rPr>
                        <w:rFonts w:ascii="Arial" w:hAnsi="Arial" w:cs="Arial"/>
                        <w:color w:val="000000"/>
                        <w:sz w:val="14"/>
                        <w:szCs w:val="14"/>
                        <w:lang w:val="en-US"/>
                      </w:rPr>
                      <w:t>30%</w:t>
                    </w:r>
                  </w:p>
                </w:txbxContent>
              </v:textbox>
            </v:rect>
            <v:rect id="_x0000_s2267" style="position:absolute;left:491;top:3187;width:368;height:210" filled="f" stroked="f">
              <v:textbox style="mso-next-textbox:#_x0000_s2267" inset="0,0,0,0">
                <w:txbxContent>
                  <w:p w:rsidR="008A5877" w:rsidRDefault="008A5877">
                    <w:pPr>
                      <w:rPr>
                        <w:sz w:val="14"/>
                        <w:szCs w:val="14"/>
                      </w:rPr>
                    </w:pPr>
                    <w:r>
                      <w:rPr>
                        <w:rFonts w:ascii="Arial" w:hAnsi="Arial" w:cs="Arial"/>
                        <w:color w:val="000000"/>
                        <w:sz w:val="14"/>
                        <w:szCs w:val="14"/>
                        <w:lang w:val="en-US"/>
                      </w:rPr>
                      <w:t>40%</w:t>
                    </w:r>
                  </w:p>
                </w:txbxContent>
              </v:textbox>
            </v:rect>
            <v:rect id="_x0000_s2268" style="position:absolute;left:491;top:2686;width:368;height:211" filled="f" stroked="f">
              <v:textbox style="mso-next-textbox:#_x0000_s2268" inset="0,0,0,0">
                <w:txbxContent>
                  <w:p w:rsidR="008A5877" w:rsidRDefault="008A5877">
                    <w:pPr>
                      <w:rPr>
                        <w:sz w:val="14"/>
                        <w:szCs w:val="14"/>
                      </w:rPr>
                    </w:pPr>
                    <w:r>
                      <w:rPr>
                        <w:rFonts w:ascii="Arial" w:hAnsi="Arial" w:cs="Arial"/>
                        <w:color w:val="000000"/>
                        <w:sz w:val="14"/>
                        <w:szCs w:val="14"/>
                        <w:lang w:val="en-US"/>
                      </w:rPr>
                      <w:t>50%</w:t>
                    </w:r>
                  </w:p>
                </w:txbxContent>
              </v:textbox>
            </v:rect>
            <v:rect id="_x0000_s2269" style="position:absolute;left:491;top:2189;width:368;height:210" filled="f" stroked="f">
              <v:textbox style="mso-next-textbox:#_x0000_s2269" inset="0,0,0,0">
                <w:txbxContent>
                  <w:p w:rsidR="008A5877" w:rsidRDefault="008A5877">
                    <w:pPr>
                      <w:rPr>
                        <w:sz w:val="14"/>
                        <w:szCs w:val="14"/>
                      </w:rPr>
                    </w:pPr>
                    <w:r>
                      <w:rPr>
                        <w:rFonts w:ascii="Arial" w:hAnsi="Arial" w:cs="Arial"/>
                        <w:color w:val="000000"/>
                        <w:sz w:val="14"/>
                        <w:szCs w:val="14"/>
                        <w:lang w:val="en-US"/>
                      </w:rPr>
                      <w:t>60%</w:t>
                    </w:r>
                  </w:p>
                </w:txbxContent>
              </v:textbox>
            </v:rect>
            <v:rect id="_x0000_s2270" style="position:absolute;left:491;top:1688;width:368;height:211" filled="f" stroked="f">
              <v:textbox style="mso-next-textbox:#_x0000_s2270" inset="0,0,0,0">
                <w:txbxContent>
                  <w:p w:rsidR="008A5877" w:rsidRDefault="008A5877">
                    <w:pPr>
                      <w:rPr>
                        <w:sz w:val="14"/>
                        <w:szCs w:val="14"/>
                      </w:rPr>
                    </w:pPr>
                    <w:r>
                      <w:rPr>
                        <w:rFonts w:ascii="Arial" w:hAnsi="Arial" w:cs="Arial"/>
                        <w:color w:val="000000"/>
                        <w:sz w:val="14"/>
                        <w:szCs w:val="14"/>
                        <w:lang w:val="en-US"/>
                      </w:rPr>
                      <w:t>70%</w:t>
                    </w:r>
                  </w:p>
                </w:txbxContent>
              </v:textbox>
            </v:rect>
            <v:rect id="_x0000_s2271" style="position:absolute;left:491;top:1188;width:368;height:211" filled="f" stroked="f">
              <v:textbox style="mso-next-textbox:#_x0000_s2271" inset="0,0,0,0">
                <w:txbxContent>
                  <w:p w:rsidR="008A5877" w:rsidRDefault="008A5877">
                    <w:pPr>
                      <w:rPr>
                        <w:sz w:val="14"/>
                        <w:szCs w:val="14"/>
                      </w:rPr>
                    </w:pPr>
                    <w:r>
                      <w:rPr>
                        <w:rFonts w:ascii="Arial" w:hAnsi="Arial" w:cs="Arial"/>
                        <w:color w:val="000000"/>
                        <w:sz w:val="14"/>
                        <w:szCs w:val="14"/>
                        <w:lang w:val="en-US"/>
                      </w:rPr>
                      <w:t>80%</w:t>
                    </w:r>
                  </w:p>
                </w:txbxContent>
              </v:textbox>
            </v:rect>
            <v:rect id="_x0000_s2272" style="position:absolute;left:491;top:688;width:368;height:210" filled="f" stroked="f">
              <v:textbox style="mso-next-textbox:#_x0000_s2272" inset="0,0,0,0">
                <w:txbxContent>
                  <w:p w:rsidR="008A5877" w:rsidRDefault="008A5877">
                    <w:pPr>
                      <w:rPr>
                        <w:sz w:val="14"/>
                        <w:szCs w:val="14"/>
                      </w:rPr>
                    </w:pPr>
                    <w:r>
                      <w:rPr>
                        <w:rFonts w:ascii="Arial" w:hAnsi="Arial" w:cs="Arial"/>
                        <w:color w:val="000000"/>
                        <w:sz w:val="14"/>
                        <w:szCs w:val="14"/>
                        <w:lang w:val="en-US"/>
                      </w:rPr>
                      <w:t>90%</w:t>
                    </w:r>
                  </w:p>
                </w:txbxContent>
              </v:textbox>
            </v:rect>
            <v:rect id="_x0000_s2273" style="position:absolute;left:413;top:189;width:470;height:210" filled="f" stroked="f">
              <v:textbox style="mso-next-textbox:#_x0000_s2273" inset="0,0,0,0">
                <w:txbxContent>
                  <w:p w:rsidR="008A5877" w:rsidRDefault="008A5877">
                    <w:pPr>
                      <w:rPr>
                        <w:sz w:val="14"/>
                        <w:szCs w:val="14"/>
                      </w:rPr>
                    </w:pPr>
                    <w:r>
                      <w:rPr>
                        <w:rFonts w:ascii="Arial" w:hAnsi="Arial" w:cs="Arial"/>
                        <w:color w:val="000000"/>
                        <w:sz w:val="14"/>
                        <w:szCs w:val="14"/>
                        <w:lang w:val="en-US"/>
                      </w:rPr>
                      <w:t>100%</w:t>
                    </w:r>
                  </w:p>
                </w:txbxContent>
              </v:textbox>
            </v:rect>
            <v:rect id="_x0000_s2274" style="position:absolute;left:1498;top:5391;width:409;height:211" filled="f" stroked="f">
              <v:textbox style="mso-next-textbox:#_x0000_s2274" inset="0,0,0,0">
                <w:txbxContent>
                  <w:p w:rsidR="008A5877" w:rsidRDefault="008A5877">
                    <w:pPr>
                      <w:rPr>
                        <w:sz w:val="14"/>
                        <w:szCs w:val="14"/>
                      </w:rPr>
                    </w:pPr>
                    <w:r>
                      <w:rPr>
                        <w:rFonts w:ascii="Arial" w:hAnsi="Arial" w:cs="Arial"/>
                        <w:color w:val="000000"/>
                        <w:sz w:val="14"/>
                        <w:szCs w:val="14"/>
                        <w:lang w:val="en-US"/>
                      </w:rPr>
                      <w:t>2001</w:t>
                    </w:r>
                  </w:p>
                </w:txbxContent>
              </v:textbox>
            </v:rect>
            <v:rect id="_x0000_s2275" style="position:absolute;left:3049;top:5391;width:408;height:211" filled="f" stroked="f">
              <v:textbox style="mso-next-textbox:#_x0000_s2275" inset="0,0,0,0">
                <w:txbxContent>
                  <w:p w:rsidR="008A5877" w:rsidRDefault="008A5877">
                    <w:pPr>
                      <w:rPr>
                        <w:sz w:val="14"/>
                        <w:szCs w:val="14"/>
                      </w:rPr>
                    </w:pPr>
                    <w:r>
                      <w:rPr>
                        <w:rFonts w:ascii="Arial" w:hAnsi="Arial" w:cs="Arial"/>
                        <w:color w:val="000000"/>
                        <w:sz w:val="14"/>
                        <w:szCs w:val="14"/>
                        <w:lang w:val="en-US"/>
                      </w:rPr>
                      <w:t>2002</w:t>
                    </w:r>
                  </w:p>
                </w:txbxContent>
              </v:textbox>
            </v:rect>
            <v:rect id="_x0000_s2276" style="position:absolute;left:4599;top:5391;width:409;height:211" filled="f" stroked="f">
              <v:textbox style="mso-next-textbox:#_x0000_s2276" inset="0,0,0,0">
                <w:txbxContent>
                  <w:p w:rsidR="008A5877" w:rsidRDefault="008A5877">
                    <w:pPr>
                      <w:rPr>
                        <w:sz w:val="14"/>
                        <w:szCs w:val="14"/>
                      </w:rPr>
                    </w:pPr>
                    <w:r>
                      <w:rPr>
                        <w:rFonts w:ascii="Arial" w:hAnsi="Arial" w:cs="Arial"/>
                        <w:color w:val="000000"/>
                        <w:sz w:val="14"/>
                        <w:szCs w:val="14"/>
                        <w:lang w:val="en-US"/>
                      </w:rPr>
                      <w:t>2003</w:t>
                    </w:r>
                  </w:p>
                </w:txbxContent>
              </v:textbox>
            </v:rect>
            <v:rect id="_x0000_s2277" style="position:absolute;left:6148;top:5391;width:409;height:211" filled="f" stroked="f">
              <v:textbox style="mso-next-textbox:#_x0000_s2277" inset="0,0,0,0">
                <w:txbxContent>
                  <w:p w:rsidR="008A5877" w:rsidRDefault="008A5877">
                    <w:pPr>
                      <w:rPr>
                        <w:sz w:val="14"/>
                        <w:szCs w:val="14"/>
                      </w:rPr>
                    </w:pPr>
                    <w:r>
                      <w:rPr>
                        <w:rFonts w:ascii="Arial" w:hAnsi="Arial" w:cs="Arial"/>
                        <w:color w:val="000000"/>
                        <w:sz w:val="14"/>
                        <w:szCs w:val="14"/>
                        <w:lang w:val="en-US"/>
                      </w:rPr>
                      <w:t>2004</w:t>
                    </w:r>
                  </w:p>
                </w:txbxContent>
              </v:textbox>
            </v:rect>
            <v:rect id="_x0000_s2278" style="position:absolute;left:7699;top:5391;width:409;height:211" filled="f" stroked="f">
              <v:textbox style="mso-next-textbox:#_x0000_s2278" inset="0,0,0,0">
                <w:txbxContent>
                  <w:p w:rsidR="008A5877" w:rsidRDefault="008A5877">
                    <w:pPr>
                      <w:rPr>
                        <w:sz w:val="14"/>
                        <w:szCs w:val="14"/>
                      </w:rPr>
                    </w:pPr>
                    <w:r>
                      <w:rPr>
                        <w:rFonts w:ascii="Arial" w:hAnsi="Arial" w:cs="Arial"/>
                        <w:color w:val="000000"/>
                        <w:sz w:val="14"/>
                        <w:szCs w:val="14"/>
                        <w:lang w:val="en-US"/>
                      </w:rPr>
                      <w:t>2005</w:t>
                    </w:r>
                  </w:p>
                </w:txbxContent>
              </v:textbox>
            </v:rect>
            <v:rect id="_x0000_s2279" style="position:absolute;left:159;top:5696;width:8465;height:206" stroked="f"/>
            <v:rect id="_x0000_s2280" style="position:absolute;left:4479;top:1027;width:1828;height:211" filled="f" stroked="f">
              <v:textbox style="mso-next-textbox:#_x0000_s2280" inset="0,0,0,0">
                <w:txbxContent>
                  <w:p w:rsidR="008A5877" w:rsidRDefault="008A5877">
                    <w:pPr>
                      <w:rPr>
                        <w:sz w:val="14"/>
                        <w:szCs w:val="14"/>
                      </w:rPr>
                    </w:pPr>
                    <w:r>
                      <w:rPr>
                        <w:rFonts w:ascii="Arial" w:hAnsi="Arial" w:cs="Arial"/>
                        <w:color w:val="000000"/>
                        <w:sz w:val="14"/>
                        <w:szCs w:val="14"/>
                      </w:rPr>
                      <w:t>Wages and salaries</w:t>
                    </w:r>
                  </w:p>
                </w:txbxContent>
              </v:textbox>
            </v:rect>
            <v:rect id="_x0000_s2281" style="position:absolute;left:5084;top:2929;width:1683;height:210" filled="f" stroked="f">
              <v:textbox style="mso-next-textbox:#_x0000_s2281" inset="0,0,0,0">
                <w:txbxContent>
                  <w:p w:rsidR="008A5877" w:rsidRDefault="008A5877">
                    <w:pPr>
                      <w:rPr>
                        <w:sz w:val="14"/>
                        <w:szCs w:val="14"/>
                      </w:rPr>
                    </w:pPr>
                    <w:r>
                      <w:rPr>
                        <w:rFonts w:ascii="Arial" w:hAnsi="Arial" w:cs="Arial"/>
                        <w:color w:val="000000"/>
                        <w:sz w:val="14"/>
                        <w:szCs w:val="14"/>
                      </w:rPr>
                      <w:t>Spending from loans</w:t>
                    </w:r>
                  </w:p>
                </w:txbxContent>
              </v:textbox>
            </v:rect>
            <v:rect id="_x0000_s2282" style="position:absolute;left:3161;top:4525;width:1377;height:211" filled="f" stroked="f">
              <v:textbox style="mso-next-textbox:#_x0000_s2282" inset="0,0,0,0">
                <w:txbxContent>
                  <w:p w:rsidR="008A5877" w:rsidRDefault="008A5877">
                    <w:pPr>
                      <w:rPr>
                        <w:sz w:val="14"/>
                        <w:szCs w:val="14"/>
                      </w:rPr>
                    </w:pPr>
                    <w:r>
                      <w:rPr>
                        <w:rFonts w:ascii="Arial" w:hAnsi="Arial" w:cs="Arial"/>
                        <w:color w:val="000000"/>
                        <w:sz w:val="14"/>
                        <w:szCs w:val="14"/>
                        <w:lang w:val="en-GB"/>
                      </w:rPr>
                      <w:t>Current transfers</w:t>
                    </w:r>
                  </w:p>
                </w:txbxContent>
              </v:textbox>
            </v:rect>
            <v:rect id="_x0000_s2283" style="position:absolute;left:1063;top:2963;width:1890;height:224" filled="f" stroked="f">
              <v:textbox style="mso-next-textbox:#_x0000_s2283" inset="0,0,0,0">
                <w:txbxContent>
                  <w:p w:rsidR="008A5877" w:rsidRDefault="008A5877">
                    <w:pPr>
                      <w:rPr>
                        <w:sz w:val="14"/>
                        <w:szCs w:val="14"/>
                      </w:rPr>
                    </w:pPr>
                    <w:r>
                      <w:rPr>
                        <w:rFonts w:ascii="Arial" w:hAnsi="Arial" w:cs="Arial"/>
                        <w:color w:val="000000"/>
                        <w:sz w:val="14"/>
                        <w:szCs w:val="14"/>
                        <w:lang w:val="en-US"/>
                      </w:rPr>
                      <w:t>Capital expenditure</w:t>
                    </w:r>
                  </w:p>
                </w:txbxContent>
              </v:textbox>
            </v:rect>
            <v:rect id="_x0000_s2284" style="position:absolute;left:7083;top:3841;width:1622;height:211" filled="f" stroked="f">
              <v:textbox style="mso-next-textbox:#_x0000_s2284" inset="0,0,0,0">
                <w:txbxContent>
                  <w:p w:rsidR="008A5877" w:rsidRDefault="008A5877">
                    <w:pPr>
                      <w:rPr>
                        <w:sz w:val="14"/>
                        <w:szCs w:val="14"/>
                      </w:rPr>
                    </w:pPr>
                    <w:r>
                      <w:rPr>
                        <w:rFonts w:ascii="Arial" w:hAnsi="Arial" w:cs="Arial"/>
                        <w:color w:val="000000"/>
                        <w:sz w:val="14"/>
                        <w:szCs w:val="14"/>
                        <w:lang w:val="en-GB"/>
                      </w:rPr>
                      <w:t>Goods and services</w:t>
                    </w:r>
                  </w:p>
                </w:txbxContent>
              </v:textbox>
            </v:rect>
            <w10:anchorlock/>
          </v:group>
        </w:pict>
      </w:r>
    </w:p>
    <w:p w:rsidR="00CD2A5A" w:rsidRDefault="00CD2A5A">
      <w:pPr>
        <w:pStyle w:val="Source"/>
        <w:ind w:left="1134"/>
        <w:rPr>
          <w:lang w:val="es-SV"/>
        </w:rPr>
      </w:pPr>
      <w:r>
        <w:rPr>
          <w:i/>
        </w:rPr>
        <w:t>Source</w:t>
      </w:r>
      <w:r>
        <w:t>:</w:t>
      </w:r>
      <w:r>
        <w:rPr>
          <w:lang w:val="es-SV"/>
        </w:rPr>
        <w:t xml:space="preserve"> </w:t>
      </w:r>
      <w:r>
        <w:t>MINED, (2001-2005).</w:t>
      </w:r>
      <w:r>
        <w:rPr>
          <w:lang w:val="es-SV"/>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High school offers two kinds of education:</w:t>
      </w:r>
      <w:r>
        <w:rPr>
          <w:lang w:val="en-US"/>
        </w:rPr>
        <w:t xml:space="preserve"> </w:t>
      </w:r>
      <w:r>
        <w:rPr>
          <w:lang w:val="en-GB"/>
        </w:rPr>
        <w:t>general and vocational.</w:t>
      </w:r>
      <w:r>
        <w:rPr>
          <w:lang w:val="en-US"/>
        </w:rPr>
        <w:t xml:space="preserve"> </w:t>
      </w:r>
      <w:r>
        <w:rPr>
          <w:lang w:val="en-GB"/>
        </w:rPr>
        <w:t>In accordance with the General Education Act, both are designed for going on to higher education or joining the labour market.</w:t>
      </w:r>
      <w:r>
        <w:rPr>
          <w:lang w:val="en-US"/>
        </w:rPr>
        <w:t xml:space="preserve"> </w:t>
      </w:r>
      <w:r>
        <w:rPr>
          <w:lang w:val="en-GB"/>
        </w:rPr>
        <w:t>High-school studies end at baccalaureate level, accredited by an appropriate diploma.</w:t>
      </w:r>
      <w:r>
        <w:rPr>
          <w:lang w:val="en-US"/>
        </w:rPr>
        <w:t xml:space="preserve"> </w:t>
      </w:r>
      <w:r>
        <w:rPr>
          <w:lang w:val="en-GB"/>
        </w:rPr>
        <w:t>The general baccalaureate lasts two years while the vocational cycle lasts three years.</w:t>
      </w:r>
      <w:r>
        <w:rPr>
          <w:lang w:val="en-US"/>
        </w:rPr>
        <w:t xml:space="preserve"> </w:t>
      </w:r>
      <w:r>
        <w:rPr>
          <w:lang w:val="en-GB"/>
        </w:rPr>
        <w:t>The night-school baccalaureates last three and four years respectively.</w:t>
      </w:r>
      <w:r>
        <w:rPr>
          <w:lang w:val="en-US"/>
        </w:rPr>
        <w:t xml:space="preserve"> </w:t>
      </w:r>
      <w:r>
        <w:rPr>
          <w:lang w:val="en-GB"/>
        </w:rPr>
        <w:t>All this is laid down in the General Education Act.</w:t>
      </w:r>
    </w:p>
    <w:p w:rsidR="00CD2A5A" w:rsidRDefault="00CD2A5A">
      <w:pPr>
        <w:pStyle w:val="Header"/>
        <w:numPr>
          <w:ilvl w:val="0"/>
          <w:numId w:val="3"/>
        </w:numPr>
        <w:tabs>
          <w:tab w:val="clear" w:pos="720"/>
          <w:tab w:val="clear" w:pos="4252"/>
        </w:tabs>
        <w:spacing w:after="240"/>
        <w:ind w:left="0" w:firstLine="0"/>
        <w:rPr>
          <w:lang w:val="en-US"/>
        </w:rPr>
      </w:pPr>
      <w:r>
        <w:rPr>
          <w:lang w:val="en-GB"/>
        </w:rPr>
        <w:t>Spending data for the high-school budget account for 10.5% to 10.9% of the total budget executed by MINED, falling to 9.2% of the budget allocation for 2006.</w:t>
      </w:r>
      <w:r>
        <w:rPr>
          <w:lang w:val="en-US"/>
        </w:rPr>
        <w:t xml:space="preserve"> </w:t>
      </w:r>
      <w:r>
        <w:rPr>
          <w:lang w:val="en-GB"/>
        </w:rPr>
        <w:t>Spending from external loans grew from 26.4% in 2001 to 54.4% in 2005, highlighting the strategy of expanding educational services by arranging loans, with the aim of subsequently finding ways of absorbing them with public funds.</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Processing the MINED enrolment data to group investment by means of budgetary execution from 2001 to 2005, the following trend is observed:</w:t>
      </w:r>
    </w:p>
    <w:p w:rsidR="00CD2A5A" w:rsidRDefault="00CD2A5A">
      <w:pPr>
        <w:numPr>
          <w:ilvl w:val="1"/>
          <w:numId w:val="3"/>
        </w:numPr>
        <w:tabs>
          <w:tab w:val="clear" w:pos="1200"/>
        </w:tabs>
        <w:suppressAutoHyphens/>
        <w:spacing w:after="240"/>
        <w:ind w:left="0" w:firstLine="567"/>
        <w:rPr>
          <w:lang w:val="en-US"/>
        </w:rPr>
      </w:pPr>
      <w:r>
        <w:rPr>
          <w:lang w:val="en-US"/>
        </w:rPr>
        <w:t>In nursery schools there was a rising trend from 2001 to 2004 from 6.0% to 7.7% in the total budget executed by MINED, followed by a small drop in 2005 to 7.3% of the Ministry’s budget execution;</w:t>
      </w:r>
    </w:p>
    <w:p w:rsidR="00CD2A5A" w:rsidRDefault="00CD2A5A">
      <w:pPr>
        <w:numPr>
          <w:ilvl w:val="1"/>
          <w:numId w:val="3"/>
        </w:numPr>
        <w:tabs>
          <w:tab w:val="clear" w:pos="1200"/>
        </w:tabs>
        <w:suppressAutoHyphens/>
        <w:spacing w:after="240"/>
        <w:ind w:left="0" w:firstLine="567"/>
        <w:rPr>
          <w:lang w:val="en-US"/>
        </w:rPr>
      </w:pPr>
      <w:r>
        <w:rPr>
          <w:lang w:val="en-GB"/>
        </w:rPr>
        <w:t>For the period 2001-2005, 48.3% of spending went to primary education;</w:t>
      </w:r>
    </w:p>
    <w:p w:rsidR="00CD2A5A" w:rsidRDefault="00CD2A5A">
      <w:pPr>
        <w:numPr>
          <w:ilvl w:val="1"/>
          <w:numId w:val="3"/>
        </w:numPr>
        <w:tabs>
          <w:tab w:val="clear" w:pos="1200"/>
        </w:tabs>
        <w:suppressAutoHyphens/>
        <w:spacing w:after="240"/>
        <w:ind w:left="0" w:firstLine="567"/>
        <w:rPr>
          <w:lang w:val="en-US"/>
        </w:rPr>
      </w:pPr>
      <w:r>
        <w:rPr>
          <w:lang w:val="en-GB"/>
        </w:rPr>
        <w:t>Spending on secondary level increased over 2001 and 2002; 21% of the budget went to secondary over the period 2001-2005.</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In June 2007 a trust was approved by decree with the aim of raising a total of $350 million to support education, social peace and public security; $200 million of that amount were allocated to education.</w:t>
      </w:r>
      <w:r>
        <w:rPr>
          <w:lang w:val="en-US"/>
        </w:rPr>
        <w:t xml:space="preserve"> </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trust funds are being used in various Plan 2021 programmes, including:</w:t>
      </w:r>
      <w:r>
        <w:rPr>
          <w:lang w:val="en-US"/>
        </w:rPr>
        <w:t xml:space="preserve"> </w:t>
      </w:r>
    </w:p>
    <w:p w:rsidR="00CD2A5A" w:rsidRDefault="00CD2A5A">
      <w:pPr>
        <w:numPr>
          <w:ilvl w:val="0"/>
          <w:numId w:val="22"/>
        </w:numPr>
        <w:tabs>
          <w:tab w:val="clear" w:pos="927"/>
        </w:tabs>
        <w:spacing w:after="240"/>
        <w:ind w:firstLine="567"/>
        <w:rPr>
          <w:lang w:val="en-US"/>
        </w:rPr>
      </w:pPr>
      <w:r>
        <w:rPr>
          <w:lang w:val="en-GB"/>
        </w:rPr>
        <w:t>The EDIFICA programme (infrastructure) was allocated $59.3 million for renovating or rebuilding 280 new schools, including a specific number of national institutes. These include the National Institute of Commerce (INCO) where $1,100,000 is being invested in reconstruction and equipment. This will cover the total replacement of 12 classrooms, three toilet blocks, the installation of a first-level computer laboratory and the renovation of various areas of the establishment, thereby benefiting almost 700 pupils.</w:t>
      </w:r>
    </w:p>
    <w:p w:rsidR="00CD2A5A" w:rsidRDefault="00CD2A5A">
      <w:pPr>
        <w:numPr>
          <w:ilvl w:val="0"/>
          <w:numId w:val="22"/>
        </w:numPr>
        <w:tabs>
          <w:tab w:val="clear" w:pos="927"/>
        </w:tabs>
        <w:spacing w:after="240"/>
        <w:ind w:firstLine="567"/>
        <w:rPr>
          <w:lang w:val="en-US"/>
        </w:rPr>
      </w:pPr>
      <w:r>
        <w:rPr>
          <w:lang w:val="en-GB"/>
        </w:rPr>
        <w:t>The Conéctate programme has been allocated $21.7 million to upgrade computer classrooms and provide the institutions with hardware and software.</w:t>
      </w:r>
    </w:p>
    <w:p w:rsidR="00CD2A5A" w:rsidRDefault="00CD2A5A">
      <w:pPr>
        <w:numPr>
          <w:ilvl w:val="0"/>
          <w:numId w:val="22"/>
        </w:numPr>
        <w:tabs>
          <w:tab w:val="clear" w:pos="927"/>
        </w:tabs>
        <w:spacing w:after="240"/>
        <w:ind w:firstLine="567"/>
        <w:rPr>
          <w:lang w:val="es-SV"/>
        </w:rPr>
      </w:pPr>
      <w:r>
        <w:rPr>
          <w:lang w:val="en-GB"/>
        </w:rPr>
        <w:t>The Megatec network will benefit by expanding the offices in La Unión and setting up another office in Cabañas.</w:t>
      </w:r>
      <w:r>
        <w:rPr>
          <w:lang w:val="en-US"/>
        </w:rPr>
        <w:t xml:space="preserve"> </w:t>
      </w:r>
      <w:r>
        <w:rPr>
          <w:lang w:val="en-GB"/>
        </w:rPr>
        <w:t>This would mean at least 5000 grants in these areas.</w:t>
      </w:r>
    </w:p>
    <w:p w:rsidR="00CD2A5A" w:rsidRDefault="00CD2A5A">
      <w:pPr>
        <w:numPr>
          <w:ilvl w:val="0"/>
          <w:numId w:val="22"/>
        </w:numPr>
        <w:tabs>
          <w:tab w:val="clear" w:pos="927"/>
        </w:tabs>
        <w:spacing w:after="240"/>
        <w:ind w:firstLine="567"/>
        <w:rPr>
          <w:lang w:val="en-US"/>
        </w:rPr>
      </w:pPr>
      <w:r>
        <w:rPr>
          <w:lang w:val="en-GB"/>
        </w:rPr>
        <w:t>The Edúcame programme aims to provide a more flexible supply of educational services in the third cycle and baccalaureate, by implementing new procedures to reduce the level of over-age students and bring young people having interrupted their academic training back into the education system. It will receive an allocation of $14.4 million, sufficient to provide 20,000 new places for poor young people and distance learning, which has already made it possible for 4,628 new students to join the programme.</w:t>
      </w:r>
      <w:r>
        <w:rPr>
          <w:lang w:val="en-US"/>
        </w:rPr>
        <w:t xml:space="preserve"> </w:t>
      </w:r>
      <w:r>
        <w:rPr>
          <w:lang w:val="en-GB"/>
        </w:rPr>
        <w:t>The trust has so far raised an actual investment of $1,200,000.00.</w:t>
      </w:r>
      <w:r>
        <w:rPr>
          <w:lang w:val="en-US"/>
        </w:rPr>
        <w:t xml:space="preserve"> </w:t>
      </w:r>
      <w:r>
        <w:rPr>
          <w:lang w:val="en-GB"/>
        </w:rPr>
        <w:t>Edúcame has 70 offices in 56 municipalities spread over 14 departments nationwide, 62 of which in 50 municalities are working with funds from the trust;</w:t>
      </w:r>
    </w:p>
    <w:p w:rsidR="00CD2A5A" w:rsidRDefault="00CD2A5A">
      <w:pPr>
        <w:numPr>
          <w:ilvl w:val="0"/>
          <w:numId w:val="22"/>
        </w:numPr>
        <w:tabs>
          <w:tab w:val="clear" w:pos="927"/>
        </w:tabs>
        <w:spacing w:after="240"/>
        <w:ind w:firstLine="567"/>
        <w:rPr>
          <w:lang w:val="en-US"/>
        </w:rPr>
      </w:pPr>
      <w:r>
        <w:rPr>
          <w:lang w:val="en-GB"/>
        </w:rPr>
        <w:t>The Compite programme will receive $7.8 million, earmarked for English lessons for 10,000 baccalaureate students.</w:t>
      </w:r>
    </w:p>
    <w:p w:rsidR="00CD2A5A" w:rsidRDefault="00CD2A5A">
      <w:pPr>
        <w:numPr>
          <w:ilvl w:val="0"/>
          <w:numId w:val="22"/>
        </w:numPr>
        <w:tabs>
          <w:tab w:val="clear" w:pos="927"/>
        </w:tabs>
        <w:spacing w:after="240"/>
        <w:ind w:firstLine="567"/>
        <w:rPr>
          <w:lang w:val="en-US"/>
        </w:rPr>
      </w:pPr>
      <w:r>
        <w:rPr>
          <w:lang w:val="en-GB"/>
        </w:rPr>
        <w:t>Assessments will also benefit from the allocation of $5.4 million to the Elementary Education Learning Test (PAESITA) and international tests.</w:t>
      </w:r>
    </w:p>
    <w:p w:rsidR="00CD2A5A" w:rsidRDefault="00CD2A5A">
      <w:pPr>
        <w:numPr>
          <w:ilvl w:val="0"/>
          <w:numId w:val="22"/>
        </w:numPr>
        <w:tabs>
          <w:tab w:val="clear" w:pos="927"/>
        </w:tabs>
        <w:spacing w:after="240"/>
        <w:ind w:firstLine="567"/>
        <w:rPr>
          <w:lang w:val="en-US"/>
        </w:rPr>
      </w:pPr>
      <w:r>
        <w:rPr>
          <w:lang w:val="en-GB"/>
        </w:rPr>
        <w:t>The Effective schooling Network programme (REE), which is the educational section of Solidarity Network, has received an allocation of $7.3 million.</w:t>
      </w:r>
      <w:r>
        <w:rPr>
          <w:lang w:val="en-US"/>
        </w:rPr>
        <w:t xml:space="preserve"> </w:t>
      </w:r>
      <w:r>
        <w:rPr>
          <w:lang w:val="en-GB"/>
        </w:rPr>
        <w:t>To date, more than 130,000 pupils at 767 educational establishments have benefited from a contribution of $1,340,000 to carry out projects in fields such as the physical environment, educational materials, desks, school transport, remedial classes and psychological care.</w:t>
      </w:r>
      <w:r>
        <w:rPr>
          <w:lang w:val="en-US"/>
        </w:rPr>
        <w:t xml:space="preserve"> </w:t>
      </w:r>
    </w:p>
    <w:p w:rsidR="00CD2A5A" w:rsidRDefault="00CD2A5A" w:rsidP="00A32998">
      <w:pPr>
        <w:pStyle w:val="Figure"/>
      </w:pPr>
      <w:r>
        <w:t>Figure 58</w:t>
      </w:r>
    </w:p>
    <w:p w:rsidR="00CD2A5A" w:rsidRDefault="00CD2A5A" w:rsidP="00A32998">
      <w:pPr>
        <w:pStyle w:val="Figure"/>
      </w:pPr>
      <w:r>
        <w:t>MINED spending according to UNESCO classification (2001-2005)</w:t>
      </w:r>
    </w:p>
    <w:p w:rsidR="00CD2A5A" w:rsidRDefault="00CD2A5A" w:rsidP="00CD2A5A">
      <w:pPr>
        <w:pStyle w:val="Figure"/>
      </w:pPr>
      <w:r>
        <w:rPr>
          <w:noProof/>
          <w:lang w:val="fr-CH" w:eastAsia="fr-CH"/>
        </w:rPr>
      </w:r>
      <w:r>
        <w:pict>
          <v:group id="_x0000_s2400" editas="canvas" style="width:439.2pt;height:299.5pt;mso-position-horizontal-relative:char;mso-position-vertical-relative:line" coordorigin=",-2" coordsize="8784,5990">
            <o:lock v:ext="edit" aspectratio="t"/>
            <v:shape id="_x0000_s2401" type="#_x0000_t75" style="position:absolute;top:-2;width:8784;height:5990" o:preferrelative="f" stroked="t" strokeweight=".5pt">
              <v:fill o:detectmouseclick="t"/>
              <v:path o:extrusionok="t" o:connecttype="none"/>
              <o:lock v:ext="edit" text="t"/>
            </v:shape>
            <v:rect id="_x0000_s2402" style="position:absolute;left:3054;top:537;width:5577;height:3685" filled="f" stroked="f"/>
            <v:line id="_x0000_s2403" style="position:absolute" from="3054,3854" to="8631,3855" strokeweight="0"/>
            <v:line id="_x0000_s2404" style="position:absolute" from="3054,3485" to="8631,3486" strokeweight="0"/>
            <v:line id="_x0000_s2405" style="position:absolute" from="3054,3117" to="8631,3118" strokeweight="0"/>
            <v:line id="_x0000_s2406" style="position:absolute" from="3054,2748" to="8631,2749" strokeweight="0"/>
            <v:line id="_x0000_s2407" style="position:absolute" from="3054,2380" to="8631,2381" strokeweight="0"/>
            <v:line id="_x0000_s2408" style="position:absolute" from="3054,2011" to="8631,2012" strokeweight="0"/>
            <v:line id="_x0000_s2409" style="position:absolute" from="3054,1643" to="8631,1644" strokeweight="0"/>
            <v:line id="_x0000_s2410" style="position:absolute" from="3054,1274" to="8631,1275" strokeweight="0"/>
            <v:line id="_x0000_s2411" style="position:absolute" from="3054,906" to="8631,907" strokeweight="0"/>
            <v:line id="_x0000_s2412" style="position:absolute" from="3054,537" to="8631,538" strokeweight="0"/>
            <v:rect id="_x0000_s2413" style="position:absolute;left:3054;top:537;width:5577;height:3685" filled="f" strokecolor="gray" strokeweight="33e-5mm"/>
            <v:line id="_x0000_s2414" style="position:absolute" from="3054,537" to="3055,4222" strokeweight="0"/>
            <v:line id="_x0000_s2415" style="position:absolute" from="3011,4222" to="3054,4223" strokeweight="0"/>
            <v:line id="_x0000_s2416" style="position:absolute" from="3011,3854" to="3054,3855" strokeweight="0"/>
            <v:line id="_x0000_s2417" style="position:absolute" from="3011,3485" to="3054,3486" strokeweight="0"/>
            <v:line id="_x0000_s2418" style="position:absolute" from="3011,3117" to="3054,3118" strokeweight="0"/>
            <v:line id="_x0000_s2419" style="position:absolute" from="3011,2748" to="3054,2749" strokeweight="0"/>
            <v:line id="_x0000_s2420" style="position:absolute" from="3011,2380" to="3054,2381" strokeweight="0"/>
            <v:line id="_x0000_s2421" style="position:absolute" from="3011,2011" to="3054,2012" strokeweight="0"/>
            <v:line id="_x0000_s2422" style="position:absolute" from="3011,1643" to="3054,1644" strokeweight="0"/>
            <v:line id="_x0000_s2423" style="position:absolute" from="3011,1274" to="3054,1275" strokeweight="0"/>
            <v:line id="_x0000_s2424" style="position:absolute" from="3011,906" to="3054,907" strokeweight="0"/>
            <v:line id="_x0000_s2425" style="position:absolute" from="3011,537" to="3054,538" strokeweight="0"/>
            <v:line id="_x0000_s2426" style="position:absolute" from="3054,4222" to="8631,4223" strokeweight="0"/>
            <v:shape id="_x0000_s2427" style="position:absolute;left:3611;top:3939;width:4463;height:61" coordsize="2892,40" path="m,40l723,27,1446,17,2169,r723,9e" filled="f" strokecolor="navy" strokeweight="69e-5mm">
              <v:path arrowok="t"/>
            </v:shape>
            <v:shape id="_x0000_s2428" style="position:absolute;left:3611;top:2391;width:4463;height:95" coordsize="2892,62" path="m,l723,7r723,55l2169,41r723,16e" filled="f" strokecolor="fuchsia" strokeweight="69e-5mm">
              <v:path arrowok="t"/>
            </v:shape>
            <v:shape id="_x0000_s2429" style="position:absolute;left:3611;top:3166;width:4463;height:656" coordsize="2892,426" path="m,82l723,r723,345l2169,426,2892,59e" filled="f" strokeweight="0">
              <v:path arrowok="t"/>
            </v:shape>
            <v:shape id="_x0000_s2430" style="position:absolute;left:3611;top:1106;width:4463;height:665" coordsize="2892,432" path="m,86l723,r723,389l2169,432,2892,90e" filled="f" strokeweight="0">
              <v:path arrowok="t"/>
            </v:shape>
            <v:rect id="_x0000_s2431" style="position:absolute;left:3546;top:3936;width:128;height:127" fillcolor="navy" strokecolor="navy" strokeweight="33e-5mm"/>
            <v:rect id="_x0000_s2432" style="position:absolute;left:4662;top:3916;width:128;height:127" fillcolor="navy" strokecolor="navy" strokeweight="33e-5mm"/>
            <v:rect id="_x0000_s2433" style="position:absolute;left:5778;top:3900;width:128;height:128" fillcolor="navy" strokecolor="navy" strokeweight="33e-5mm"/>
            <v:rect id="_x0000_s2434" style="position:absolute;left:6894;top:3874;width:128;height:128" fillcolor="navy" strokecolor="navy" strokeweight="33e-5mm"/>
            <v:rect id="_x0000_s2435" style="position:absolute;left:8009;top:3888;width:128;height:128" fillcolor="navy" strokecolor="navy" strokeweight="33e-5mm"/>
            <v:rect id="_x0000_s2436" style="position:absolute;left:3546;top:2326;width:128;height:128" fillcolor="fuchsia" strokecolor="fuchsia" strokeweight="33e-5mm"/>
            <v:rect id="_x0000_s2437" style="position:absolute;left:4662;top:2337;width:128;height:128" fillcolor="fuchsia" strokecolor="fuchsia" strokeweight="33e-5mm"/>
            <v:rect id="_x0000_s2438" style="position:absolute;left:5778;top:2422;width:128;height:127" fillcolor="fuchsia" strokecolor="fuchsia" strokeweight="33e-5mm"/>
            <v:rect id="_x0000_s2439" style="position:absolute;left:6894;top:2389;width:128;height:128" fillcolor="fuchsia" strokecolor="fuchsia" strokeweight="33e-5mm"/>
            <v:rect id="_x0000_s2440" style="position:absolute;left:8009;top:2414;width:128;height:128" fillcolor="fuchsia" strokecolor="fuchsia" strokeweight="33e-5mm"/>
            <v:rect id="_x0000_s2441" style="position:absolute;left:3546;top:3228;width:128;height:128" fillcolor="yellow" strokecolor="yellow" strokeweight="33e-5mm"/>
            <v:rect id="_x0000_s2442" style="position:absolute;left:4662;top:3102;width:128;height:127" fillcolor="yellow" strokecolor="yellow" strokeweight="33e-5mm"/>
            <v:rect id="_x0000_s2443" style="position:absolute;left:5778;top:3633;width:128;height:127" fillcolor="yellow" strokecolor="yellow" strokeweight="33e-5mm"/>
            <v:rect id="_x0000_s2444" style="position:absolute;left:6894;top:3757;width:128;height:128" fillcolor="yellow" strokecolor="yellow" strokeweight="33e-5mm"/>
            <v:rect id="_x0000_s2445" style="position:absolute;left:8009;top:3193;width:128;height:127" fillcolor="yellow" strokecolor="yellow" strokeweight="33e-5mm"/>
            <v:rect id="_x0000_s2446" style="position:absolute;left:3546;top:1174;width:128;height:128" fillcolor="aqua" strokecolor="aqua" strokeweight="33e-5mm"/>
            <v:rect id="_x0000_s2447" style="position:absolute;left:4662;top:1042;width:128;height:127" fillcolor="aqua" strokecolor="aqua" strokeweight="33e-5mm"/>
            <v:rect id="_x0000_s2448" style="position:absolute;left:5778;top:1640;width:128;height:128" fillcolor="aqua" strokecolor="aqua" strokeweight="33e-5mm"/>
            <v:rect id="_x0000_s2449" style="position:absolute;left:6894;top:1706;width:128;height:128" fillcolor="aqua" strokecolor="aqua" strokeweight="33e-5mm"/>
            <v:rect id="_x0000_s2450" style="position:absolute;left:8009;top:1180;width:128;height:128" fillcolor="aqua" strokecolor="aqua" strokeweight="33e-5mm"/>
            <v:rect id="_x0000_s2451" style="position:absolute;left:2742;top:4139;width:203;height:161" filled="f" stroked="f">
              <v:textbox style="mso-next-textbox:#_x0000_s2451" inset="0,0,0,0">
                <w:txbxContent>
                  <w:p w:rsidR="008A5877" w:rsidRDefault="008A5877">
                    <w:r>
                      <w:rPr>
                        <w:rFonts w:ascii="Arial" w:hAnsi="Arial" w:cs="Arial"/>
                        <w:color w:val="000000"/>
                        <w:sz w:val="14"/>
                        <w:szCs w:val="14"/>
                        <w:lang w:val="en-US"/>
                      </w:rPr>
                      <w:t>0%</w:t>
                    </w:r>
                  </w:p>
                </w:txbxContent>
              </v:textbox>
            </v:rect>
            <v:rect id="_x0000_s2452" style="position:absolute;left:2664;top:3771;width:281;height:161" filled="f" stroked="f">
              <v:textbox style="mso-next-textbox:#_x0000_s2452" inset="0,0,0,0">
                <w:txbxContent>
                  <w:p w:rsidR="008A5877" w:rsidRDefault="008A5877">
                    <w:r>
                      <w:rPr>
                        <w:rFonts w:ascii="Arial" w:hAnsi="Arial" w:cs="Arial"/>
                        <w:color w:val="000000"/>
                        <w:sz w:val="14"/>
                        <w:szCs w:val="14"/>
                        <w:lang w:val="en-US"/>
                      </w:rPr>
                      <w:t>10%</w:t>
                    </w:r>
                  </w:p>
                </w:txbxContent>
              </v:textbox>
            </v:rect>
            <v:rect id="_x0000_s2453" style="position:absolute;left:2664;top:3402;width:281;height:161" filled="f" stroked="f">
              <v:textbox style="mso-next-textbox:#_x0000_s2453" inset="0,0,0,0">
                <w:txbxContent>
                  <w:p w:rsidR="008A5877" w:rsidRDefault="008A5877">
                    <w:r>
                      <w:rPr>
                        <w:rFonts w:ascii="Arial" w:hAnsi="Arial" w:cs="Arial"/>
                        <w:color w:val="000000"/>
                        <w:sz w:val="14"/>
                        <w:szCs w:val="14"/>
                        <w:lang w:val="en-US"/>
                      </w:rPr>
                      <w:t>20%</w:t>
                    </w:r>
                  </w:p>
                </w:txbxContent>
              </v:textbox>
            </v:rect>
            <v:rect id="_x0000_s2454" style="position:absolute;left:2664;top:3034;width:281;height:161" filled="f" stroked="f">
              <v:textbox style="mso-next-textbox:#_x0000_s2454" inset="0,0,0,0">
                <w:txbxContent>
                  <w:p w:rsidR="008A5877" w:rsidRDefault="008A5877">
                    <w:r>
                      <w:rPr>
                        <w:rFonts w:ascii="Arial" w:hAnsi="Arial" w:cs="Arial"/>
                        <w:color w:val="000000"/>
                        <w:sz w:val="14"/>
                        <w:szCs w:val="14"/>
                        <w:lang w:val="en-US"/>
                      </w:rPr>
                      <w:t>30%</w:t>
                    </w:r>
                  </w:p>
                </w:txbxContent>
              </v:textbox>
            </v:rect>
            <v:rect id="_x0000_s2455" style="position:absolute;left:2664;top:2665;width:281;height:161" filled="f" stroked="f">
              <v:textbox style="mso-next-textbox:#_x0000_s2455" inset="0,0,0,0">
                <w:txbxContent>
                  <w:p w:rsidR="008A5877" w:rsidRDefault="008A5877">
                    <w:r>
                      <w:rPr>
                        <w:rFonts w:ascii="Arial" w:hAnsi="Arial" w:cs="Arial"/>
                        <w:color w:val="000000"/>
                        <w:sz w:val="14"/>
                        <w:szCs w:val="14"/>
                        <w:lang w:val="en-US"/>
                      </w:rPr>
                      <w:t>40%</w:t>
                    </w:r>
                  </w:p>
                </w:txbxContent>
              </v:textbox>
            </v:rect>
            <v:rect id="_x0000_s2456" style="position:absolute;left:2664;top:2297;width:281;height:161" filled="f" stroked="f">
              <v:textbox style="mso-next-textbox:#_x0000_s2456" inset="0,0,0,0">
                <w:txbxContent>
                  <w:p w:rsidR="008A5877" w:rsidRDefault="008A5877">
                    <w:r>
                      <w:rPr>
                        <w:rFonts w:ascii="Arial" w:hAnsi="Arial" w:cs="Arial"/>
                        <w:color w:val="000000"/>
                        <w:sz w:val="14"/>
                        <w:szCs w:val="14"/>
                        <w:lang w:val="en-US"/>
                      </w:rPr>
                      <w:t>50%</w:t>
                    </w:r>
                  </w:p>
                </w:txbxContent>
              </v:textbox>
            </v:rect>
            <v:rect id="_x0000_s2457" style="position:absolute;left:2664;top:1928;width:281;height:161" filled="f" stroked="f">
              <v:textbox style="mso-next-textbox:#_x0000_s2457" inset="0,0,0,0">
                <w:txbxContent>
                  <w:p w:rsidR="008A5877" w:rsidRDefault="008A5877">
                    <w:r>
                      <w:rPr>
                        <w:rFonts w:ascii="Arial" w:hAnsi="Arial" w:cs="Arial"/>
                        <w:color w:val="000000"/>
                        <w:sz w:val="14"/>
                        <w:szCs w:val="14"/>
                        <w:lang w:val="en-US"/>
                      </w:rPr>
                      <w:t>60%</w:t>
                    </w:r>
                  </w:p>
                </w:txbxContent>
              </v:textbox>
            </v:rect>
            <v:rect id="_x0000_s2458" style="position:absolute;left:2664;top:1560;width:281;height:161" filled="f" stroked="f">
              <v:textbox style="mso-next-textbox:#_x0000_s2458" inset="0,0,0,0">
                <w:txbxContent>
                  <w:p w:rsidR="008A5877" w:rsidRDefault="008A5877">
                    <w:r>
                      <w:rPr>
                        <w:rFonts w:ascii="Arial" w:hAnsi="Arial" w:cs="Arial"/>
                        <w:color w:val="000000"/>
                        <w:sz w:val="14"/>
                        <w:szCs w:val="14"/>
                        <w:lang w:val="en-US"/>
                      </w:rPr>
                      <w:t>70%</w:t>
                    </w:r>
                  </w:p>
                </w:txbxContent>
              </v:textbox>
            </v:rect>
            <v:rect id="_x0000_s2459" style="position:absolute;left:2664;top:1191;width:281;height:161" filled="f" stroked="f">
              <v:textbox style="mso-next-textbox:#_x0000_s2459" inset="0,0,0,0">
                <w:txbxContent>
                  <w:p w:rsidR="008A5877" w:rsidRDefault="008A5877">
                    <w:r>
                      <w:rPr>
                        <w:rFonts w:ascii="Arial" w:hAnsi="Arial" w:cs="Arial"/>
                        <w:color w:val="000000"/>
                        <w:sz w:val="14"/>
                        <w:szCs w:val="14"/>
                        <w:lang w:val="en-US"/>
                      </w:rPr>
                      <w:t>80%</w:t>
                    </w:r>
                  </w:p>
                </w:txbxContent>
              </v:textbox>
            </v:rect>
            <v:rect id="_x0000_s2460" style="position:absolute;left:2664;top:823;width:281;height:161" filled="f" stroked="f">
              <v:textbox style="mso-next-textbox:#_x0000_s2460" inset="0,0,0,0">
                <w:txbxContent>
                  <w:p w:rsidR="008A5877" w:rsidRDefault="008A5877">
                    <w:r>
                      <w:rPr>
                        <w:rFonts w:ascii="Arial" w:hAnsi="Arial" w:cs="Arial"/>
                        <w:color w:val="000000"/>
                        <w:sz w:val="14"/>
                        <w:szCs w:val="14"/>
                        <w:lang w:val="en-US"/>
                      </w:rPr>
                      <w:t>90%</w:t>
                    </w:r>
                  </w:p>
                </w:txbxContent>
              </v:textbox>
            </v:rect>
            <v:rect id="_x0000_s2461" style="position:absolute;left:2585;top:454;width:359;height:161" filled="f" stroked="f">
              <v:textbox style="mso-next-textbox:#_x0000_s2461" inset="0,0,0,0">
                <w:txbxContent>
                  <w:p w:rsidR="008A5877" w:rsidRDefault="008A5877">
                    <w:r>
                      <w:rPr>
                        <w:rFonts w:ascii="Arial" w:hAnsi="Arial" w:cs="Arial"/>
                        <w:color w:val="000000"/>
                        <w:sz w:val="14"/>
                        <w:szCs w:val="14"/>
                        <w:lang w:val="en-US"/>
                      </w:rPr>
                      <w:t>100%</w:t>
                    </w:r>
                  </w:p>
                </w:txbxContent>
              </v:textbox>
            </v:rect>
            <v:rect id="_x0000_s2462" style="position:absolute;left:2210;top:-1735;width:229;height:3857;rotation:90" filled="f" stroked="f">
              <v:textbox style="mso-next-textbox:#_x0000_s2462" inset="0,0,0,0">
                <w:txbxContent>
                  <w:p w:rsidR="008A5877" w:rsidRDefault="008A5877">
                    <w:pPr>
                      <w:rPr>
                        <w:lang w:val="en-US"/>
                      </w:rPr>
                    </w:pPr>
                    <w:r>
                      <w:rPr>
                        <w:rFonts w:ascii="Arial" w:hAnsi="Arial" w:cs="Arial"/>
                        <w:b/>
                        <w:bCs/>
                        <w:i/>
                        <w:color w:val="000000"/>
                        <w:sz w:val="14"/>
                        <w:szCs w:val="14"/>
                        <w:lang w:val="en-US"/>
                      </w:rPr>
                      <w:t>Percentage of budget executed by level of education</w:t>
                    </w:r>
                  </w:p>
                </w:txbxContent>
              </v:textbox>
            </v:rect>
            <v:line id="_x0000_s2463" style="position:absolute" from="545,4459" to="8631,4460" strokeweight="0"/>
            <v:line id="_x0000_s2464" style="position:absolute" from="545,5514" to="8631,5515" strokeweight="0"/>
            <v:line id="_x0000_s2465" style="position:absolute" from="3054,4222" to="8631,4223" strokeweight="0"/>
            <v:line id="_x0000_s2467" style="position:absolute" from="3054,4222" to="3055,5514" strokeweight="0"/>
            <v:line id="_x0000_s2468" style="position:absolute" from="4170,4222" to="4171,5514" strokeweight="0"/>
            <v:line id="_x0000_s2469" style="position:absolute" from="5286,4222" to="5287,5514" strokeweight="0"/>
            <v:line id="_x0000_s2470" style="position:absolute" from="6400,4222" to="6401,5514" strokeweight="0"/>
            <v:line id="_x0000_s2471" style="position:absolute" from="7516,4222" to="7517,5514" strokeweight="0"/>
            <v:line id="_x0000_s2472" style="position:absolute" from="8631,4222" to="8632,5514" strokeweight="0"/>
            <v:rect id="_x0000_s2475" style="position:absolute;left:3539;top:3610;width:491;height:161" filled="f" stroked="f">
              <v:textbox style="mso-next-textbox:#_x0000_s2475" inset="0,0,0,0">
                <w:txbxContent>
                  <w:p w:rsidR="008A5877" w:rsidRDefault="008A5877">
                    <w:r>
                      <w:rPr>
                        <w:rFonts w:ascii="Arial" w:hAnsi="Arial" w:cs="Arial"/>
                        <w:color w:val="000000"/>
                        <w:sz w:val="14"/>
                        <w:szCs w:val="14"/>
                      </w:rPr>
                      <w:t>Nursery</w:t>
                    </w:r>
                  </w:p>
                </w:txbxContent>
              </v:textbox>
            </v:rect>
            <v:rect id="_x0000_s2476" style="position:absolute;left:3449;top:4496;width:320;height:161" filled="f" stroked="f">
              <v:textbox style="mso-next-textbox:#_x0000_s2476" inset="0,0,0,0">
                <w:txbxContent>
                  <w:p w:rsidR="008A5877" w:rsidRDefault="008A5877">
                    <w:r>
                      <w:rPr>
                        <w:rFonts w:ascii="Arial" w:hAnsi="Arial" w:cs="Arial"/>
                        <w:color w:val="000000"/>
                        <w:sz w:val="14"/>
                        <w:szCs w:val="14"/>
                        <w:lang w:val="en-US"/>
                      </w:rPr>
                      <w:t>6.0%</w:t>
                    </w:r>
                  </w:p>
                </w:txbxContent>
              </v:textbox>
            </v:rect>
            <v:rect id="_x0000_s2477" style="position:absolute;left:4565;top:4496;width:320;height:161" filled="f" stroked="f">
              <v:textbox style="mso-next-textbox:#_x0000_s2477" inset="0,0,0,0">
                <w:txbxContent>
                  <w:p w:rsidR="008A5877" w:rsidRDefault="008A5877">
                    <w:r>
                      <w:rPr>
                        <w:rFonts w:ascii="Arial" w:hAnsi="Arial" w:cs="Arial"/>
                        <w:color w:val="000000"/>
                        <w:sz w:val="14"/>
                        <w:szCs w:val="14"/>
                        <w:lang w:val="en-US"/>
                      </w:rPr>
                      <w:t>6.5%</w:t>
                    </w:r>
                  </w:p>
                </w:txbxContent>
              </v:textbox>
            </v:rect>
            <v:rect id="_x0000_s2478" style="position:absolute;left:5681;top:4496;width:320;height:161" filled="f" stroked="f">
              <v:textbox style="mso-next-textbox:#_x0000_s2478" inset="0,0,0,0">
                <w:txbxContent>
                  <w:p w:rsidR="008A5877" w:rsidRDefault="008A5877">
                    <w:r>
                      <w:rPr>
                        <w:rFonts w:ascii="Arial" w:hAnsi="Arial" w:cs="Arial"/>
                        <w:color w:val="000000"/>
                        <w:sz w:val="14"/>
                        <w:szCs w:val="14"/>
                        <w:lang w:val="en-US"/>
                      </w:rPr>
                      <w:t>7.0%</w:t>
                    </w:r>
                  </w:p>
                </w:txbxContent>
              </v:textbox>
            </v:rect>
            <v:rect id="_x0000_s2479" style="position:absolute;left:6795;top:4496;width:320;height:161" filled="f" stroked="f">
              <v:textbox style="mso-next-textbox:#_x0000_s2479" inset="0,0,0,0">
                <w:txbxContent>
                  <w:p w:rsidR="008A5877" w:rsidRDefault="008A5877">
                    <w:r>
                      <w:rPr>
                        <w:rFonts w:ascii="Arial" w:hAnsi="Arial" w:cs="Arial"/>
                        <w:color w:val="000000"/>
                        <w:sz w:val="14"/>
                        <w:szCs w:val="14"/>
                        <w:lang w:val="en-US"/>
                      </w:rPr>
                      <w:t>7.7%</w:t>
                    </w:r>
                  </w:p>
                </w:txbxContent>
              </v:textbox>
            </v:rect>
            <v:rect id="_x0000_s2480" style="position:absolute;left:7911;top:4496;width:320;height:161" filled="f" stroked="f">
              <v:textbox style="mso-next-textbox:#_x0000_s2480" inset="0,0,0,0">
                <w:txbxContent>
                  <w:p w:rsidR="008A5877" w:rsidRDefault="008A5877">
                    <w:r>
                      <w:rPr>
                        <w:rFonts w:ascii="Arial" w:hAnsi="Arial" w:cs="Arial"/>
                        <w:color w:val="000000"/>
                        <w:sz w:val="14"/>
                        <w:szCs w:val="14"/>
                        <w:lang w:val="en-US"/>
                      </w:rPr>
                      <w:t>7.3%</w:t>
                    </w:r>
                  </w:p>
                </w:txbxContent>
              </v:textbox>
            </v:rect>
            <v:line id="_x0000_s2481" style="position:absolute" from="546,4680" to="8630,4681" strokeweight="0"/>
            <v:rect id="_x0000_s2484" style="position:absolute;left:3674;top:2089;width:1552;height:161" filled="f" stroked="f">
              <v:textbox style="mso-next-textbox:#_x0000_s2484" inset="0,0,0,0">
                <w:txbxContent>
                  <w:p w:rsidR="008A5877" w:rsidRDefault="008A5877">
                    <w:r>
                      <w:rPr>
                        <w:rFonts w:ascii="Arial" w:hAnsi="Arial" w:cs="Arial"/>
                        <w:color w:val="000000"/>
                        <w:sz w:val="14"/>
                        <w:szCs w:val="14"/>
                      </w:rPr>
                      <w:t>Primary (grades 1 to 6)</w:t>
                    </w:r>
                  </w:p>
                </w:txbxContent>
              </v:textbox>
            </v:rect>
            <v:rect id="_x0000_s2485" style="position:absolute;left:3411;top:4716;width:397;height:161" filled="f" stroked="f">
              <v:textbox style="mso-next-textbox:#_x0000_s2485" inset="0,0,0,0">
                <w:txbxContent>
                  <w:p w:rsidR="008A5877" w:rsidRDefault="008A5877">
                    <w:r>
                      <w:rPr>
                        <w:rFonts w:ascii="Arial" w:hAnsi="Arial" w:cs="Arial"/>
                        <w:color w:val="000000"/>
                        <w:sz w:val="14"/>
                        <w:szCs w:val="14"/>
                        <w:lang w:val="en-US"/>
                      </w:rPr>
                      <w:t>49.7%</w:t>
                    </w:r>
                  </w:p>
                </w:txbxContent>
              </v:textbox>
            </v:rect>
            <v:rect id="_x0000_s2486" style="position:absolute;left:4526;top:4716;width:397;height:161" filled="f" stroked="f">
              <v:textbox style="mso-next-textbox:#_x0000_s2486" inset="0,0,0,0">
                <w:txbxContent>
                  <w:p w:rsidR="008A5877" w:rsidRDefault="008A5877">
                    <w:r>
                      <w:rPr>
                        <w:rFonts w:ascii="Arial" w:hAnsi="Arial" w:cs="Arial"/>
                        <w:color w:val="000000"/>
                        <w:sz w:val="14"/>
                        <w:szCs w:val="14"/>
                        <w:lang w:val="en-US"/>
                      </w:rPr>
                      <w:t>49.4%</w:t>
                    </w:r>
                  </w:p>
                </w:txbxContent>
              </v:textbox>
            </v:rect>
            <v:rect id="_x0000_s2487" style="position:absolute;left:5642;top:4716;width:397;height:161" filled="f" stroked="f">
              <v:textbox style="mso-next-textbox:#_x0000_s2487" inset="0,0,0,0">
                <w:txbxContent>
                  <w:p w:rsidR="008A5877" w:rsidRDefault="008A5877">
                    <w:r>
                      <w:rPr>
                        <w:rFonts w:ascii="Arial" w:hAnsi="Arial" w:cs="Arial"/>
                        <w:color w:val="000000"/>
                        <w:sz w:val="14"/>
                        <w:szCs w:val="14"/>
                        <w:lang w:val="en-US"/>
                      </w:rPr>
                      <w:t>47.1%</w:t>
                    </w:r>
                  </w:p>
                </w:txbxContent>
              </v:textbox>
            </v:rect>
            <v:rect id="_x0000_s2488" style="position:absolute;left:6756;top:4716;width:397;height:161" filled="f" stroked="f">
              <v:textbox style="mso-next-textbox:#_x0000_s2488" inset="0,0,0,0">
                <w:txbxContent>
                  <w:p w:rsidR="008A5877" w:rsidRDefault="008A5877">
                    <w:r>
                      <w:rPr>
                        <w:rFonts w:ascii="Arial" w:hAnsi="Arial" w:cs="Arial"/>
                        <w:color w:val="000000"/>
                        <w:sz w:val="14"/>
                        <w:szCs w:val="14"/>
                        <w:lang w:val="en-US"/>
                      </w:rPr>
                      <w:t>48.0%</w:t>
                    </w:r>
                  </w:p>
                </w:txbxContent>
              </v:textbox>
            </v:rect>
            <v:rect id="_x0000_s2489" style="position:absolute;left:7872;top:4716;width:397;height:161" filled="f" stroked="f">
              <v:textbox style="mso-next-textbox:#_x0000_s2489" inset="0,0,0,0">
                <w:txbxContent>
                  <w:p w:rsidR="008A5877" w:rsidRDefault="008A5877">
                    <w:r>
                      <w:rPr>
                        <w:rFonts w:ascii="Arial" w:hAnsi="Arial" w:cs="Arial"/>
                        <w:color w:val="000000"/>
                        <w:sz w:val="14"/>
                        <w:szCs w:val="14"/>
                        <w:lang w:val="en-US"/>
                      </w:rPr>
                      <w:t>47.3%</w:t>
                    </w:r>
                  </w:p>
                </w:txbxContent>
              </v:textbox>
            </v:rect>
            <v:line id="_x0000_s2490" style="position:absolute" from="546,4900" to="8630,4901" strokeweight="0"/>
            <v:rect id="_x0000_s2493" style="position:absolute;left:5350;top:3193;width:2565;height:209" filled="f" stroked="f">
              <v:textbox style="mso-next-textbox:#_x0000_s2493" inset="0,0,0,0">
                <w:txbxContent>
                  <w:p w:rsidR="008A5877" w:rsidRDefault="008A5877">
                    <w:pPr>
                      <w:rPr>
                        <w:lang w:val="en-US"/>
                      </w:rPr>
                    </w:pPr>
                    <w:r>
                      <w:rPr>
                        <w:rFonts w:ascii="Arial" w:hAnsi="Arial" w:cs="Arial"/>
                        <w:color w:val="000000"/>
                        <w:sz w:val="14"/>
                        <w:szCs w:val="14"/>
                        <w:lang w:val="en-US"/>
                      </w:rPr>
                      <w:t>Secondary (grade 7 to Baccalaureate III)</w:t>
                    </w:r>
                  </w:p>
                </w:txbxContent>
              </v:textbox>
            </v:rect>
            <v:rect id="_x0000_s2494" style="position:absolute;left:3411;top:4936;width:397;height:161" filled="f" stroked="f">
              <v:textbox style="mso-next-textbox:#_x0000_s2494" inset="0,0,0,0">
                <w:txbxContent>
                  <w:p w:rsidR="008A5877" w:rsidRDefault="008A5877">
                    <w:r>
                      <w:rPr>
                        <w:rFonts w:ascii="Arial" w:hAnsi="Arial" w:cs="Arial"/>
                        <w:color w:val="000000"/>
                        <w:sz w:val="14"/>
                        <w:szCs w:val="14"/>
                        <w:lang w:val="en-US"/>
                      </w:rPr>
                      <w:t>25.2%</w:t>
                    </w:r>
                  </w:p>
                </w:txbxContent>
              </v:textbox>
            </v:rect>
            <v:rect id="_x0000_s2495" style="position:absolute;left:4526;top:4936;width:397;height:161" filled="f" stroked="f">
              <v:textbox style="mso-next-textbox:#_x0000_s2495" inset="0,0,0,0">
                <w:txbxContent>
                  <w:p w:rsidR="008A5877" w:rsidRDefault="008A5877">
                    <w:r>
                      <w:rPr>
                        <w:rFonts w:ascii="Arial" w:hAnsi="Arial" w:cs="Arial"/>
                        <w:color w:val="000000"/>
                        <w:sz w:val="14"/>
                        <w:szCs w:val="14"/>
                        <w:lang w:val="en-US"/>
                      </w:rPr>
                      <w:t>28.6%</w:t>
                    </w:r>
                  </w:p>
                </w:txbxContent>
              </v:textbox>
            </v:rect>
            <v:rect id="_x0000_s2496" style="position:absolute;left:5642;top:4936;width:397;height:161" filled="f" stroked="f">
              <v:textbox style="mso-next-textbox:#_x0000_s2496" inset="0,0,0,0">
                <w:txbxContent>
                  <w:p w:rsidR="008A5877" w:rsidRDefault="008A5877">
                    <w:r>
                      <w:rPr>
                        <w:rFonts w:ascii="Arial" w:hAnsi="Arial" w:cs="Arial"/>
                        <w:color w:val="000000"/>
                        <w:sz w:val="14"/>
                        <w:szCs w:val="14"/>
                        <w:lang w:val="en-US"/>
                      </w:rPr>
                      <w:t>14.2%</w:t>
                    </w:r>
                  </w:p>
                </w:txbxContent>
              </v:textbox>
            </v:rect>
            <v:rect id="_x0000_s2497" style="position:absolute;left:6756;top:4936;width:397;height:161" filled="f" stroked="f">
              <v:textbox style="mso-next-textbox:#_x0000_s2497" inset="0,0,0,0">
                <w:txbxContent>
                  <w:p w:rsidR="008A5877" w:rsidRDefault="008A5877">
                    <w:r>
                      <w:rPr>
                        <w:rFonts w:ascii="Arial" w:hAnsi="Arial" w:cs="Arial"/>
                        <w:color w:val="000000"/>
                        <w:sz w:val="14"/>
                        <w:szCs w:val="14"/>
                        <w:lang w:val="en-US"/>
                      </w:rPr>
                      <w:t>10.8%</w:t>
                    </w:r>
                  </w:p>
                </w:txbxContent>
              </v:textbox>
            </v:rect>
            <v:rect id="_x0000_s2498" style="position:absolute;left:7872;top:4936;width:397;height:161" filled="f" stroked="f">
              <v:textbox style="mso-next-textbox:#_x0000_s2498" inset="0,0,0,0">
                <w:txbxContent>
                  <w:p w:rsidR="008A5877" w:rsidRDefault="008A5877">
                    <w:r>
                      <w:rPr>
                        <w:rFonts w:ascii="Arial" w:hAnsi="Arial" w:cs="Arial"/>
                        <w:color w:val="000000"/>
                        <w:sz w:val="14"/>
                        <w:szCs w:val="14"/>
                        <w:lang w:val="en-US"/>
                      </w:rPr>
                      <w:t>26.2%</w:t>
                    </w:r>
                  </w:p>
                </w:txbxContent>
              </v:textbox>
            </v:rect>
            <v:line id="_x0000_s2499" style="position:absolute" from="546,5120" to="8630,5121" strokeweight="0"/>
            <v:rect id="_x0000_s2502" style="position:absolute;left:157;top:5156;width:2854;height:238" filled="f" stroked="f">
              <v:textbox style="mso-next-textbox:#_x0000_s2502" inset="0,0,0,0">
                <w:txbxContent>
                  <w:p w:rsidR="008A5877" w:rsidRDefault="008A5877">
                    <w:pPr>
                      <w:rPr>
                        <w:lang w:val="en-US"/>
                      </w:rPr>
                    </w:pPr>
                    <w:r>
                      <w:rPr>
                        <w:rFonts w:ascii="Arial" w:hAnsi="Arial" w:cs="Arial"/>
                        <w:color w:val="000000"/>
                        <w:sz w:val="14"/>
                        <w:szCs w:val="14"/>
                        <w:lang w:val="en-US"/>
                      </w:rPr>
                      <w:t>Total spending from nursery to secondary</w:t>
                    </w:r>
                  </w:p>
                </w:txbxContent>
              </v:textbox>
            </v:rect>
            <v:rect id="_x0000_s2504" style="position:absolute;left:3411;top:5156;width:397;height:161" filled="f" stroked="f">
              <v:textbox style="mso-next-textbox:#_x0000_s2504" inset="0,0,0,0">
                <w:txbxContent>
                  <w:p w:rsidR="008A5877" w:rsidRDefault="008A5877">
                    <w:r>
                      <w:rPr>
                        <w:rFonts w:ascii="Arial" w:hAnsi="Arial" w:cs="Arial"/>
                        <w:color w:val="000000"/>
                        <w:sz w:val="14"/>
                        <w:szCs w:val="14"/>
                        <w:lang w:val="en-US"/>
                      </w:rPr>
                      <w:t>81.0%</w:t>
                    </w:r>
                  </w:p>
                </w:txbxContent>
              </v:textbox>
            </v:rect>
            <v:rect id="_x0000_s2505" style="position:absolute;left:4526;top:5156;width:397;height:161" filled="f" stroked="f">
              <v:textbox style="mso-next-textbox:#_x0000_s2505" inset="0,0,0,0">
                <w:txbxContent>
                  <w:p w:rsidR="008A5877" w:rsidRDefault="008A5877">
                    <w:r>
                      <w:rPr>
                        <w:rFonts w:ascii="Arial" w:hAnsi="Arial" w:cs="Arial"/>
                        <w:color w:val="000000"/>
                        <w:sz w:val="14"/>
                        <w:szCs w:val="14"/>
                        <w:lang w:val="en-US"/>
                      </w:rPr>
                      <w:t>84.6%</w:t>
                    </w:r>
                  </w:p>
                </w:txbxContent>
              </v:textbox>
            </v:rect>
            <v:rect id="_x0000_s2506" style="position:absolute;left:5642;top:5156;width:397;height:161" filled="f" stroked="f">
              <v:textbox style="mso-next-textbox:#_x0000_s2506" inset="0,0,0,0">
                <w:txbxContent>
                  <w:p w:rsidR="008A5877" w:rsidRDefault="008A5877">
                    <w:r>
                      <w:rPr>
                        <w:rFonts w:ascii="Arial" w:hAnsi="Arial" w:cs="Arial"/>
                        <w:color w:val="000000"/>
                        <w:sz w:val="14"/>
                        <w:szCs w:val="14"/>
                        <w:lang w:val="en-US"/>
                      </w:rPr>
                      <w:t>68.3%</w:t>
                    </w:r>
                  </w:p>
                </w:txbxContent>
              </v:textbox>
            </v:rect>
            <v:rect id="_x0000_s2507" style="position:absolute;left:6756;top:5156;width:397;height:161" filled="f" stroked="f">
              <v:textbox style="mso-next-textbox:#_x0000_s2507" inset="0,0,0,0">
                <w:txbxContent>
                  <w:p w:rsidR="008A5877" w:rsidRDefault="008A5877">
                    <w:r>
                      <w:rPr>
                        <w:rFonts w:ascii="Arial" w:hAnsi="Arial" w:cs="Arial"/>
                        <w:color w:val="000000"/>
                        <w:sz w:val="14"/>
                        <w:szCs w:val="14"/>
                        <w:lang w:val="en-US"/>
                      </w:rPr>
                      <w:t>66.5%</w:t>
                    </w:r>
                  </w:p>
                </w:txbxContent>
              </v:textbox>
            </v:rect>
            <v:rect id="_x0000_s2508" style="position:absolute;left:7872;top:5156;width:397;height:161" filled="f" stroked="f">
              <v:textbox style="mso-next-textbox:#_x0000_s2508" inset="0,0,0,0">
                <w:txbxContent>
                  <w:p w:rsidR="008A5877" w:rsidRDefault="008A5877">
                    <w:r>
                      <w:rPr>
                        <w:rFonts w:ascii="Arial" w:hAnsi="Arial" w:cs="Arial"/>
                        <w:color w:val="000000"/>
                        <w:sz w:val="14"/>
                        <w:szCs w:val="14"/>
                        <w:lang w:val="en-US"/>
                      </w:rPr>
                      <w:t>80.8%</w:t>
                    </w:r>
                  </w:p>
                </w:txbxContent>
              </v:textbox>
            </v:rect>
            <v:rect id="_x0000_s2509" style="position:absolute;left:3454;top:4257;width:312;height:161" filled="f" stroked="f">
              <v:textbox style="mso-next-textbox:#_x0000_s2509" inset="0,0,0,0">
                <w:txbxContent>
                  <w:p w:rsidR="008A5877" w:rsidRDefault="008A5877">
                    <w:r>
                      <w:rPr>
                        <w:rFonts w:ascii="Arial" w:hAnsi="Arial" w:cs="Arial"/>
                        <w:color w:val="000000"/>
                        <w:sz w:val="14"/>
                        <w:szCs w:val="14"/>
                        <w:lang w:val="en-US"/>
                      </w:rPr>
                      <w:t>2001</w:t>
                    </w:r>
                  </w:p>
                </w:txbxContent>
              </v:textbox>
            </v:rect>
            <v:rect id="_x0000_s2510" style="position:absolute;left:4569;top:4257;width:312;height:161" filled="f" stroked="f">
              <v:textbox style="mso-next-textbox:#_x0000_s2510" inset="0,0,0,0">
                <w:txbxContent>
                  <w:p w:rsidR="008A5877" w:rsidRDefault="008A5877">
                    <w:r>
                      <w:rPr>
                        <w:rFonts w:ascii="Arial" w:hAnsi="Arial" w:cs="Arial"/>
                        <w:color w:val="000000"/>
                        <w:sz w:val="14"/>
                        <w:szCs w:val="14"/>
                        <w:lang w:val="en-US"/>
                      </w:rPr>
                      <w:t>2002</w:t>
                    </w:r>
                  </w:p>
                </w:txbxContent>
              </v:textbox>
            </v:rect>
            <v:rect id="_x0000_s2511" style="position:absolute;left:5685;top:4257;width:312;height:161" filled="f" stroked="f">
              <v:textbox style="mso-next-textbox:#_x0000_s2511" inset="0,0,0,0">
                <w:txbxContent>
                  <w:p w:rsidR="008A5877" w:rsidRDefault="008A5877">
                    <w:r>
                      <w:rPr>
                        <w:rFonts w:ascii="Arial" w:hAnsi="Arial" w:cs="Arial"/>
                        <w:color w:val="000000"/>
                        <w:sz w:val="14"/>
                        <w:szCs w:val="14"/>
                        <w:lang w:val="en-US"/>
                      </w:rPr>
                      <w:t>2003</w:t>
                    </w:r>
                  </w:p>
                </w:txbxContent>
              </v:textbox>
            </v:rect>
            <v:rect id="_x0000_s2512" style="position:absolute;left:6799;top:4257;width:312;height:161" filled="f" stroked="f">
              <v:textbox style="mso-next-textbox:#_x0000_s2512" inset="0,0,0,0">
                <w:txbxContent>
                  <w:p w:rsidR="008A5877" w:rsidRDefault="008A5877">
                    <w:r>
                      <w:rPr>
                        <w:rFonts w:ascii="Arial" w:hAnsi="Arial" w:cs="Arial"/>
                        <w:color w:val="000000"/>
                        <w:sz w:val="14"/>
                        <w:szCs w:val="14"/>
                        <w:lang w:val="en-US"/>
                      </w:rPr>
                      <w:t>2004</w:t>
                    </w:r>
                  </w:p>
                </w:txbxContent>
              </v:textbox>
            </v:rect>
            <v:rect id="_x0000_s2513" style="position:absolute;left:7915;top:4257;width:312;height:161" filled="f" stroked="f">
              <v:textbox style="mso-next-textbox:#_x0000_s2513" inset="0,0,0,0">
                <w:txbxContent>
                  <w:p w:rsidR="008A5877" w:rsidRDefault="008A5877">
                    <w:r>
                      <w:rPr>
                        <w:rFonts w:ascii="Arial" w:hAnsi="Arial" w:cs="Arial"/>
                        <w:color w:val="000000"/>
                        <w:sz w:val="14"/>
                        <w:szCs w:val="14"/>
                        <w:lang w:val="en-US"/>
                      </w:rPr>
                      <w:t>2005</w:t>
                    </w:r>
                  </w:p>
                </w:txbxContent>
              </v:textbox>
            </v:rect>
            <v:rect id="_x0000_s2514" style="position:absolute;left:2173;top:4496;width:491;height:161" filled="f" stroked="f">
              <v:textbox style="mso-next-textbox:#_x0000_s2514" inset="0,0,0,0">
                <w:txbxContent>
                  <w:p w:rsidR="008A5877" w:rsidRDefault="008A5877">
                    <w:r>
                      <w:rPr>
                        <w:rFonts w:ascii="Arial" w:hAnsi="Arial" w:cs="Arial"/>
                        <w:color w:val="000000"/>
                        <w:sz w:val="14"/>
                        <w:szCs w:val="14"/>
                      </w:rPr>
                      <w:t>Nursery</w:t>
                    </w:r>
                  </w:p>
                </w:txbxContent>
              </v:textbox>
            </v:rect>
            <v:rect id="_x0000_s2515" style="position:absolute;left:1112;top:4681;width:1552;height:161" filled="f" stroked="f">
              <v:textbox style="mso-next-textbox:#_x0000_s2515" inset="0,0,0,0">
                <w:txbxContent>
                  <w:p w:rsidR="008A5877" w:rsidRDefault="008A5877">
                    <w:r>
                      <w:rPr>
                        <w:rFonts w:ascii="Arial" w:hAnsi="Arial" w:cs="Arial"/>
                        <w:color w:val="000000"/>
                        <w:sz w:val="14"/>
                        <w:szCs w:val="14"/>
                      </w:rPr>
                      <w:t>Primary (grades 1 to 6)</w:t>
                    </w:r>
                  </w:p>
                </w:txbxContent>
              </v:textbox>
            </v:rect>
            <v:rect id="_x0000_s2516" style="position:absolute;left:490;top:4936;width:2565;height:209" filled="f" stroked="f">
              <v:textbox style="mso-next-textbox:#_x0000_s2516" inset="0,0,0,0">
                <w:txbxContent>
                  <w:p w:rsidR="008A5877" w:rsidRDefault="008A5877">
                    <w:pPr>
                      <w:rPr>
                        <w:lang w:val="en-US"/>
                      </w:rPr>
                    </w:pPr>
                    <w:r>
                      <w:rPr>
                        <w:rFonts w:ascii="Arial" w:hAnsi="Arial" w:cs="Arial"/>
                        <w:color w:val="000000"/>
                        <w:sz w:val="14"/>
                        <w:szCs w:val="14"/>
                        <w:lang w:val="en-US"/>
                      </w:rPr>
                      <w:t>Secondary (grade 7 to Baccalaureate III)</w:t>
                    </w:r>
                  </w:p>
                </w:txbxContent>
              </v:textbox>
            </v:rect>
            <w10:anchorlock/>
          </v:group>
        </w:pict>
      </w:r>
    </w:p>
    <w:p w:rsidR="00CD2A5A" w:rsidRDefault="00CD2A5A">
      <w:pPr>
        <w:pStyle w:val="Source"/>
        <w:rPr>
          <w:lang w:val="es-SV"/>
        </w:rPr>
      </w:pPr>
      <w:r>
        <w:rPr>
          <w:i/>
        </w:rPr>
        <w:t>Source</w:t>
      </w:r>
      <w:r>
        <w:t>:</w:t>
      </w:r>
      <w:r>
        <w:rPr>
          <w:lang w:val="es-SV"/>
        </w:rPr>
        <w:t xml:space="preserve"> </w:t>
      </w:r>
      <w:r>
        <w:t>MINED, (2001-2005).</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In order to obtain an approximate figure for MINED spending, we took as a basis the enrolment figures broken down by area for the period 2001-2005, and estimated the amount of spending from the MINED budget for urban and rural areas at nursery, elementary and high-school levels.</w:t>
      </w:r>
      <w:r>
        <w:rPr>
          <w:lang w:val="en-US"/>
        </w:rPr>
        <w:t xml:space="preserve"> </w:t>
      </w:r>
      <w:r>
        <w:rPr>
          <w:lang w:val="en-GB"/>
        </w:rPr>
        <w:t>The data for spending on education for nursery and elementary pupils, broken down by geographical area of the schools in which they are enrolled, shows the following:</w:t>
      </w:r>
    </w:p>
    <w:p w:rsidR="00CD2A5A" w:rsidRDefault="00CD2A5A">
      <w:pPr>
        <w:numPr>
          <w:ilvl w:val="1"/>
          <w:numId w:val="3"/>
        </w:numPr>
        <w:tabs>
          <w:tab w:val="clear" w:pos="1200"/>
        </w:tabs>
        <w:suppressAutoHyphens/>
        <w:spacing w:after="240"/>
        <w:ind w:left="0" w:firstLine="567"/>
        <w:rPr>
          <w:lang w:val="es-SV"/>
        </w:rPr>
      </w:pPr>
      <w:r>
        <w:rPr>
          <w:lang w:val="en-GB"/>
        </w:rPr>
        <w:t>MINED spending in rural areas is tending to rise, from 44.7% in 2001 to 46.7% in 2005, as a proportion of total spending for students from nursery to high school in the public sector.</w:t>
      </w:r>
      <w:r>
        <w:rPr>
          <w:lang w:val="en-US"/>
        </w:rPr>
        <w:t xml:space="preserve"> </w:t>
      </w:r>
      <w:r>
        <w:rPr>
          <w:lang w:val="en-GB"/>
        </w:rPr>
        <w:t>The average for the period was 45.6%;</w:t>
      </w:r>
    </w:p>
    <w:p w:rsidR="00CD2A5A" w:rsidRDefault="00CD2A5A">
      <w:pPr>
        <w:numPr>
          <w:ilvl w:val="1"/>
          <w:numId w:val="3"/>
        </w:numPr>
        <w:tabs>
          <w:tab w:val="clear" w:pos="1200"/>
        </w:tabs>
        <w:suppressAutoHyphens/>
        <w:spacing w:after="240"/>
        <w:ind w:left="0" w:firstLine="567"/>
        <w:rPr>
          <w:lang w:val="en-US"/>
        </w:rPr>
      </w:pPr>
      <w:r>
        <w:rPr>
          <w:lang w:val="en-GB"/>
        </w:rPr>
        <w:t>Priority was given to schools in rural areas, which cater for poorer populations and have lower academic indicators than urban schools.</w:t>
      </w:r>
      <w:r>
        <w:rPr>
          <w:lang w:val="en-US"/>
        </w:rPr>
        <w:t xml:space="preserve"> </w:t>
      </w:r>
    </w:p>
    <w:p w:rsidR="00CD2A5A" w:rsidRDefault="00CD2A5A" w:rsidP="00A32998">
      <w:pPr>
        <w:pStyle w:val="Figure"/>
        <w:spacing w:after="120"/>
      </w:pPr>
      <w:r>
        <w:br w:type="page"/>
        <w:t>Figure 59</w:t>
      </w:r>
    </w:p>
    <w:p w:rsidR="00CD2A5A" w:rsidRDefault="00CD2A5A" w:rsidP="00A32998">
      <w:pPr>
        <w:pStyle w:val="Figure"/>
        <w:spacing w:after="120"/>
      </w:pPr>
      <w:r>
        <w:t xml:space="preserve">MINED spending by geographical area </w:t>
      </w:r>
    </w:p>
    <w:p w:rsidR="00CD2A5A" w:rsidRDefault="00CD2A5A">
      <w:pPr>
        <w:jc w:val="center"/>
        <w:rPr>
          <w:lang w:val="en-US"/>
        </w:rPr>
      </w:pPr>
      <w:r>
        <w:rPr>
          <w:noProof/>
          <w:lang w:val="fr-CH" w:eastAsia="fr-CH"/>
        </w:rPr>
      </w:r>
      <w:r>
        <w:rPr>
          <w:lang w:val="en-US"/>
        </w:rPr>
        <w:pict>
          <v:group id="_x0000_s3891" editas="canvas" style="width:447.35pt;height:251.95pt;mso-position-horizontal-relative:char;mso-position-vertical-relative:line" coordsize="8947,5039">
            <v:shape id="_x0000_s3892" type="#_x0000_t75" style="position:absolute;width:8947;height:5039" o:preferrelative="f" stroked="t" strokeweight=".5pt">
              <v:fill o:detectmouseclick="t"/>
              <v:path o:extrusionok="t" o:connecttype="none"/>
              <o:lock v:ext="edit" aspectratio="f" text="t"/>
            </v:shape>
            <v:rect id="_x0000_s3893" style="position:absolute;left:766;top:242;width:7309;height:4406" filled="f" stroked="f"/>
            <v:rect id="_x0000_s3894" style="position:absolute;left:766;top:242;width:7309;height:4406" filled="f" strokecolor="gray" strokeweight="31e-5mm"/>
            <v:rect id="_x0000_s3895" style="position:absolute;left:1079;top:566;width:418;height:4062" fillcolor="#d8d8d8" strokeweight="0"/>
            <v:rect id="_x0000_s3896" style="position:absolute;left:2541;top:585;width:418;height:4063" fillcolor="#d8d8d8" strokeweight="0"/>
            <v:rect id="_x0000_s3897" style="position:absolute;left:4003;top:596;width:418;height:4052" fillcolor="#d8d8d8" strokeweight="0"/>
            <v:rect id="_x0000_s3898" style="position:absolute;left:5464;top:759;width:418;height:3889" fillcolor="#d8d8d8" strokeweight="0"/>
            <v:rect id="_x0000_s3899" style="position:absolute;left:6926;top:732;width:418;height:3916" fillcolor="#d8d8d8" strokeweight="0"/>
            <v:rect id="_x0000_s3900" style="position:absolute;left:1497;top:1367;width:418;height:3281" fillcolor="#bfbfbf" strokeweight="0"/>
            <v:rect id="_x0000_s3901" style="position:absolute;left:2959;top:1368;width:418;height:3280" fillcolor="#bfbfbf" strokeweight="0"/>
            <v:rect id="_x0000_s3902" style="position:absolute;left:4421;top:1357;width:417;height:3291" fillcolor="#bfbfbf" strokeweight="0"/>
            <v:rect id="_x0000_s3903" style="position:absolute;left:5882;top:1194;width:418;height:3454" fillcolor="#bfbfbf" strokeweight="0"/>
            <v:rect id="_x0000_s3904" style="position:absolute;left:7344;top:1221;width:418;height:3427" fillcolor="#bfbfbf" strokeweight="0"/>
            <v:line id="_x0000_s3905" style="position:absolute" from="766,242" to="767,4648" strokeweight="0"/>
            <v:line id="_x0000_s3906" style="position:absolute" from="725,4648" to="806,4649" strokeweight="0"/>
            <v:line id="_x0000_s3907" style="position:absolute" from="725,3915" to="806,3916" strokeweight="0"/>
            <v:line id="_x0000_s3908" style="position:absolute" from="725,3180" to="806,3181" strokeweight="0"/>
            <v:line id="_x0000_s3909" style="position:absolute" from="725,2446" to="806,2447" strokeweight="0"/>
            <v:line id="_x0000_s3910" style="position:absolute" from="725,1711" to="806,1712" strokeweight="0"/>
            <v:line id="_x0000_s3911" style="position:absolute" from="725,977" to="806,978" strokeweight="0"/>
            <v:line id="_x0000_s3912" style="position:absolute" from="725,242" to="806,243" strokeweight="0"/>
            <v:line id="_x0000_s3913" style="position:absolute" from="766,4648" to="8075,4649" strokeweight="0"/>
            <v:line id="_x0000_s3914" style="position:absolute;flip:y" from="766,4608" to="767,4688" strokeweight="0"/>
            <v:line id="_x0000_s3915" style="position:absolute;flip:y" from="2228,4608" to="2229,4688" strokeweight="0"/>
            <v:line id="_x0000_s3916" style="position:absolute;flip:y" from="3690,4608" to="3691,4688" strokeweight="0"/>
            <v:line id="_x0000_s3917" style="position:absolute;flip:y" from="5151,4608" to="5152,4688" strokeweight="0"/>
            <v:line id="_x0000_s3918" style="position:absolute;flip:y" from="6613,4608" to="6614,4688" strokeweight="0"/>
            <v:line id="_x0000_s3919" style="position:absolute;flip:y" from="8075,4608" to="8076,4688" strokeweight="0"/>
            <v:line id="_x0000_s3920" style="position:absolute" from="8075,242" to="8076,4648" strokeweight="0"/>
            <v:line id="_x0000_s3921" style="position:absolute" from="8035,4648" to="8115,4649" strokeweight="0"/>
            <v:line id="_x0000_s3922" style="position:absolute" from="8035,4019" to="8115,4020" strokeweight="0"/>
            <v:line id="_x0000_s3923" style="position:absolute" from="8035,3389" to="8115,3390" strokeweight="0"/>
            <v:line id="_x0000_s3924" style="position:absolute" from="8035,2760" to="8115,2761" strokeweight="0"/>
            <v:line id="_x0000_s3925" style="position:absolute" from="8035,2131" to="8115,2132" strokeweight="0"/>
            <v:line id="_x0000_s3926" style="position:absolute" from="8035,1502" to="8115,1503" strokeweight="0"/>
            <v:line id="_x0000_s3927" style="position:absolute" from="8035,871" to="8115,872" strokeweight="0"/>
            <v:line id="_x0000_s3928" style="position:absolute" from="8035,242" to="8115,243" strokeweight="0"/>
            <v:shape id="_x0000_s3929" style="position:absolute;left:1497;top:608;width:5847;height:2561" coordsize="4071,1788" path="m,1776r1018,12l2036,1675,3053,,4071,291e" filled="f" strokeweight="0">
              <v:path arrowok="t"/>
            </v:shape>
            <v:shape id="_x0000_s3930" style="position:absolute;left:1455;top:3111;width:83;height:83" coordsize="83,83" path="m42,l83,83,,83,42,xe" fillcolor="red" strokecolor="red" strokeweight="31e-5mm">
              <v:path arrowok="t"/>
            </v:shape>
            <v:shape id="_x0000_s3931" style="position:absolute;left:2917;top:3128;width:84;height:83" coordsize="84,83" path="m42,l84,83,,83,42,xe" fillcolor="red" strokecolor="red" strokeweight="31e-5mm">
              <v:path arrowok="t"/>
            </v:shape>
            <v:shape id="_x0000_s3932" style="position:absolute;left:4379;top:2966;width:84;height:83" coordsize="84,83" path="m42,l84,83,,83,42,xe" fillcolor="red" strokecolor="red" strokeweight="31e-5mm">
              <v:path arrowok="t"/>
            </v:shape>
            <v:shape id="_x0000_s3933" style="position:absolute;left:5840;top:566;width:84;height:83" coordsize="84,83" path="m42,l84,83,,83,42,xe" fillcolor="red" strokecolor="red" strokeweight="31e-5mm">
              <v:path arrowok="t"/>
            </v:shape>
            <v:shape id="_x0000_s3934" style="position:absolute;left:7302;top:983;width:84;height:83" coordsize="84,83" path="m42,l84,83,,83,42,xe" fillcolor="red" strokecolor="red" strokeweight="31e-5mm">
              <v:path arrowok="t"/>
            </v:shape>
            <v:rect id="_x0000_s3935" style="position:absolute;left:475;top:4571;width:203;height:161" filled="f" stroked="f">
              <v:textbox style="mso-next-textbox:#_x0000_s3935" inset="0,0,0,0">
                <w:txbxContent>
                  <w:p w:rsidR="008A5877" w:rsidRDefault="008A5877">
                    <w:pPr>
                      <w:jc w:val="center"/>
                    </w:pPr>
                    <w:r>
                      <w:rPr>
                        <w:rFonts w:ascii="Arial" w:hAnsi="Arial" w:cs="Arial"/>
                        <w:color w:val="000000"/>
                        <w:sz w:val="14"/>
                        <w:szCs w:val="14"/>
                        <w:lang w:val="en-US"/>
                      </w:rPr>
                      <w:t>0%</w:t>
                    </w:r>
                  </w:p>
                </w:txbxContent>
              </v:textbox>
            </v:rect>
            <v:rect id="_x0000_s3936" style="position:absolute;left:402;top:3837;width:281;height:161" filled="f" stroked="f">
              <v:textbox style="mso-next-textbox:#_x0000_s3936" inset="0,0,0,0">
                <w:txbxContent>
                  <w:p w:rsidR="008A5877" w:rsidRDefault="008A5877">
                    <w:pPr>
                      <w:jc w:val="center"/>
                    </w:pPr>
                    <w:r>
                      <w:rPr>
                        <w:rFonts w:ascii="Arial" w:hAnsi="Arial" w:cs="Arial"/>
                        <w:color w:val="000000"/>
                        <w:sz w:val="14"/>
                        <w:szCs w:val="14"/>
                        <w:lang w:val="en-US"/>
                      </w:rPr>
                      <w:t>10%</w:t>
                    </w:r>
                  </w:p>
                </w:txbxContent>
              </v:textbox>
            </v:rect>
            <v:rect id="_x0000_s3937" style="position:absolute;left:402;top:3102;width:281;height:161" filled="f" stroked="f">
              <v:textbox style="mso-next-textbox:#_x0000_s3937" inset="0,0,0,0">
                <w:txbxContent>
                  <w:p w:rsidR="008A5877" w:rsidRDefault="008A5877">
                    <w:pPr>
                      <w:jc w:val="center"/>
                    </w:pPr>
                    <w:r>
                      <w:rPr>
                        <w:rFonts w:ascii="Arial" w:hAnsi="Arial" w:cs="Arial"/>
                        <w:color w:val="000000"/>
                        <w:sz w:val="14"/>
                        <w:szCs w:val="14"/>
                        <w:lang w:val="en-US"/>
                      </w:rPr>
                      <w:t>20%</w:t>
                    </w:r>
                  </w:p>
                </w:txbxContent>
              </v:textbox>
            </v:rect>
            <v:rect id="_x0000_s3938" style="position:absolute;left:402;top:2369;width:281;height:161" filled="f" stroked="f">
              <v:textbox style="mso-next-textbox:#_x0000_s3938" inset="0,0,0,0">
                <w:txbxContent>
                  <w:p w:rsidR="008A5877" w:rsidRDefault="008A5877">
                    <w:pPr>
                      <w:jc w:val="center"/>
                    </w:pPr>
                    <w:r>
                      <w:rPr>
                        <w:rFonts w:ascii="Arial" w:hAnsi="Arial" w:cs="Arial"/>
                        <w:color w:val="000000"/>
                        <w:sz w:val="14"/>
                        <w:szCs w:val="14"/>
                        <w:lang w:val="en-US"/>
                      </w:rPr>
                      <w:t>30%</w:t>
                    </w:r>
                  </w:p>
                </w:txbxContent>
              </v:textbox>
            </v:rect>
            <v:rect id="_x0000_s3939" style="position:absolute;left:402;top:1633;width:281;height:161" filled="f" stroked="f">
              <v:textbox style="mso-next-textbox:#_x0000_s3939" inset="0,0,0,0">
                <w:txbxContent>
                  <w:p w:rsidR="008A5877" w:rsidRDefault="008A5877">
                    <w:pPr>
                      <w:jc w:val="center"/>
                    </w:pPr>
                    <w:r>
                      <w:rPr>
                        <w:rFonts w:ascii="Arial" w:hAnsi="Arial" w:cs="Arial"/>
                        <w:color w:val="000000"/>
                        <w:sz w:val="14"/>
                        <w:szCs w:val="14"/>
                        <w:lang w:val="en-US"/>
                      </w:rPr>
                      <w:t>40%</w:t>
                    </w:r>
                  </w:p>
                </w:txbxContent>
              </v:textbox>
            </v:rect>
            <v:rect id="_x0000_s3940" style="position:absolute;left:402;top:900;width:281;height:161" filled="f" stroked="f">
              <v:textbox style="mso-next-textbox:#_x0000_s3940" inset="0,0,0,0">
                <w:txbxContent>
                  <w:p w:rsidR="008A5877" w:rsidRDefault="008A5877">
                    <w:pPr>
                      <w:jc w:val="center"/>
                    </w:pPr>
                    <w:r>
                      <w:rPr>
                        <w:rFonts w:ascii="Arial" w:hAnsi="Arial" w:cs="Arial"/>
                        <w:color w:val="000000"/>
                        <w:sz w:val="14"/>
                        <w:szCs w:val="14"/>
                        <w:lang w:val="en-US"/>
                      </w:rPr>
                      <w:t>50%</w:t>
                    </w:r>
                  </w:p>
                </w:txbxContent>
              </v:textbox>
            </v:rect>
            <v:rect id="_x0000_s3941" style="position:absolute;left:402;top:165;width:281;height:161" filled="f" stroked="f">
              <v:textbox style="mso-next-textbox:#_x0000_s3941" inset="0,0,0,0">
                <w:txbxContent>
                  <w:p w:rsidR="008A5877" w:rsidRDefault="008A5877">
                    <w:pPr>
                      <w:jc w:val="center"/>
                    </w:pPr>
                    <w:r>
                      <w:rPr>
                        <w:rFonts w:ascii="Arial" w:hAnsi="Arial" w:cs="Arial"/>
                        <w:color w:val="000000"/>
                        <w:sz w:val="14"/>
                        <w:szCs w:val="14"/>
                        <w:lang w:val="en-US"/>
                      </w:rPr>
                      <w:t>60%</w:t>
                    </w:r>
                  </w:p>
                </w:txbxContent>
              </v:textbox>
            </v:rect>
            <v:rect id="_x0000_s3942" style="position:absolute;left:1350;top:4761;width:312;height:161" filled="f" stroked="f">
              <v:textbox style="mso-next-textbox:#_x0000_s3942" inset="0,0,0,0">
                <w:txbxContent>
                  <w:p w:rsidR="008A5877" w:rsidRDefault="008A5877">
                    <w:pPr>
                      <w:jc w:val="center"/>
                    </w:pPr>
                    <w:r>
                      <w:rPr>
                        <w:rFonts w:ascii="Arial" w:hAnsi="Arial" w:cs="Arial"/>
                        <w:color w:val="000000"/>
                        <w:sz w:val="14"/>
                        <w:szCs w:val="14"/>
                        <w:lang w:val="en-US"/>
                      </w:rPr>
                      <w:t>2001</w:t>
                    </w:r>
                  </w:p>
                </w:txbxContent>
              </v:textbox>
            </v:rect>
            <v:rect id="_x0000_s3943" style="position:absolute;left:2812;top:4761;width:312;height:161" filled="f" stroked="f">
              <v:textbox style="mso-next-textbox:#_x0000_s3943" inset="0,0,0,0">
                <w:txbxContent>
                  <w:p w:rsidR="008A5877" w:rsidRDefault="008A5877">
                    <w:pPr>
                      <w:jc w:val="center"/>
                    </w:pPr>
                    <w:r>
                      <w:rPr>
                        <w:rFonts w:ascii="Arial" w:hAnsi="Arial" w:cs="Arial"/>
                        <w:color w:val="000000"/>
                        <w:sz w:val="14"/>
                        <w:szCs w:val="14"/>
                        <w:lang w:val="en-US"/>
                      </w:rPr>
                      <w:t>2002</w:t>
                    </w:r>
                  </w:p>
                </w:txbxContent>
              </v:textbox>
            </v:rect>
            <v:rect id="_x0000_s3944" style="position:absolute;left:4275;top:4761;width:312;height:161" filled="f" stroked="f">
              <v:textbox style="mso-next-textbox:#_x0000_s3944" inset="0,0,0,0">
                <w:txbxContent>
                  <w:p w:rsidR="008A5877" w:rsidRDefault="008A5877">
                    <w:pPr>
                      <w:jc w:val="center"/>
                    </w:pPr>
                    <w:r>
                      <w:rPr>
                        <w:rFonts w:ascii="Arial" w:hAnsi="Arial" w:cs="Arial"/>
                        <w:color w:val="000000"/>
                        <w:sz w:val="14"/>
                        <w:szCs w:val="14"/>
                        <w:lang w:val="en-US"/>
                      </w:rPr>
                      <w:t>2003</w:t>
                    </w:r>
                  </w:p>
                </w:txbxContent>
              </v:textbox>
            </v:rect>
            <v:rect id="_x0000_s3945" style="position:absolute;left:5735;top:4761;width:312;height:161" filled="f" stroked="f">
              <v:textbox style="mso-next-textbox:#_x0000_s3945" inset="0,0,0,0">
                <w:txbxContent>
                  <w:p w:rsidR="008A5877" w:rsidRDefault="008A5877">
                    <w:pPr>
                      <w:jc w:val="center"/>
                    </w:pPr>
                    <w:r>
                      <w:rPr>
                        <w:rFonts w:ascii="Arial" w:hAnsi="Arial" w:cs="Arial"/>
                        <w:color w:val="000000"/>
                        <w:sz w:val="14"/>
                        <w:szCs w:val="14"/>
                        <w:lang w:val="en-US"/>
                      </w:rPr>
                      <w:t>2004</w:t>
                    </w:r>
                  </w:p>
                </w:txbxContent>
              </v:textbox>
            </v:rect>
            <v:rect id="_x0000_s3946" style="position:absolute;left:7198;top:4761;width:312;height:161" filled="f" stroked="f">
              <v:textbox style="mso-next-textbox:#_x0000_s3946" inset="0,0,0,0">
                <w:txbxContent>
                  <w:p w:rsidR="008A5877" w:rsidRDefault="008A5877">
                    <w:pPr>
                      <w:jc w:val="center"/>
                    </w:pPr>
                    <w:r>
                      <w:rPr>
                        <w:rFonts w:ascii="Arial" w:hAnsi="Arial" w:cs="Arial"/>
                        <w:color w:val="000000"/>
                        <w:sz w:val="14"/>
                        <w:szCs w:val="14"/>
                        <w:lang w:val="en-US"/>
                      </w:rPr>
                      <w:t>2005</w:t>
                    </w:r>
                  </w:p>
                </w:txbxContent>
              </v:textbox>
            </v:rect>
            <v:rect id="_x0000_s3947" style="position:absolute;left:8174;top:4571;width:195;height:161" filled="f" stroked="f">
              <v:textbox style="mso-next-textbox:#_x0000_s3947" inset="0,0,0,0">
                <w:txbxContent>
                  <w:p w:rsidR="008A5877" w:rsidRDefault="008A5877">
                    <w:pPr>
                      <w:jc w:val="center"/>
                    </w:pPr>
                    <w:r>
                      <w:rPr>
                        <w:rFonts w:ascii="Arial" w:hAnsi="Arial" w:cs="Arial"/>
                        <w:color w:val="000000"/>
                        <w:sz w:val="14"/>
                        <w:szCs w:val="14"/>
                        <w:lang w:val="en-US"/>
                      </w:rPr>
                      <w:t>0.8</w:t>
                    </w:r>
                  </w:p>
                </w:txbxContent>
              </v:textbox>
            </v:rect>
            <v:rect id="_x0000_s3948" style="position:absolute;left:8174;top:3942;width:195;height:161" filled="f" stroked="f">
              <v:textbox style="mso-next-textbox:#_x0000_s3948" inset="0,0,0,0">
                <w:txbxContent>
                  <w:p w:rsidR="008A5877" w:rsidRDefault="008A5877">
                    <w:pPr>
                      <w:jc w:val="center"/>
                    </w:pPr>
                    <w:r>
                      <w:rPr>
                        <w:rFonts w:ascii="Arial" w:hAnsi="Arial" w:cs="Arial"/>
                        <w:color w:val="000000"/>
                        <w:sz w:val="14"/>
                        <w:szCs w:val="14"/>
                        <w:lang w:val="en-US"/>
                      </w:rPr>
                      <w:t>0.8</w:t>
                    </w:r>
                  </w:p>
                </w:txbxContent>
              </v:textbox>
            </v:rect>
            <v:rect id="_x0000_s3949" style="position:absolute;left:8174;top:3311;width:195;height:161" filled="f" stroked="f">
              <v:textbox style="mso-next-textbox:#_x0000_s3949" inset="0,0,0,0">
                <w:txbxContent>
                  <w:p w:rsidR="008A5877" w:rsidRDefault="008A5877">
                    <w:pPr>
                      <w:jc w:val="center"/>
                    </w:pPr>
                    <w:r>
                      <w:rPr>
                        <w:rFonts w:ascii="Arial" w:hAnsi="Arial" w:cs="Arial"/>
                        <w:color w:val="000000"/>
                        <w:sz w:val="14"/>
                        <w:szCs w:val="14"/>
                        <w:lang w:val="en-US"/>
                      </w:rPr>
                      <w:t>0.8</w:t>
                    </w:r>
                  </w:p>
                </w:txbxContent>
              </v:textbox>
            </v:rect>
            <v:rect id="_x0000_s3950" style="position:absolute;left:8174;top:2682;width:195;height:161" filled="f" stroked="f">
              <v:textbox style="mso-next-textbox:#_x0000_s3950" inset="0,0,0,0">
                <w:txbxContent>
                  <w:p w:rsidR="008A5877" w:rsidRDefault="008A5877">
                    <w:pPr>
                      <w:jc w:val="center"/>
                    </w:pPr>
                    <w:r>
                      <w:rPr>
                        <w:rFonts w:ascii="Arial" w:hAnsi="Arial" w:cs="Arial"/>
                        <w:color w:val="000000"/>
                        <w:sz w:val="14"/>
                        <w:szCs w:val="14"/>
                        <w:lang w:val="en-US"/>
                      </w:rPr>
                      <w:t>0.8</w:t>
                    </w:r>
                  </w:p>
                </w:txbxContent>
              </v:textbox>
            </v:rect>
            <v:rect id="_x0000_s3951" style="position:absolute;left:8174;top:2053;width:195;height:161" filled="f" stroked="f">
              <v:textbox style="mso-next-textbox:#_x0000_s3951" inset="0,0,0,0">
                <w:txbxContent>
                  <w:p w:rsidR="008A5877" w:rsidRDefault="008A5877">
                    <w:pPr>
                      <w:jc w:val="center"/>
                    </w:pPr>
                    <w:r>
                      <w:rPr>
                        <w:rFonts w:ascii="Arial" w:hAnsi="Arial" w:cs="Arial"/>
                        <w:color w:val="000000"/>
                        <w:sz w:val="14"/>
                        <w:szCs w:val="14"/>
                        <w:lang w:val="en-US"/>
                      </w:rPr>
                      <w:t>0.8</w:t>
                    </w:r>
                  </w:p>
                </w:txbxContent>
              </v:textbox>
            </v:rect>
            <v:rect id="_x0000_s3952" style="position:absolute;left:8174;top:1424;width:195;height:161" filled="f" stroked="f">
              <v:textbox style="mso-next-textbox:#_x0000_s3952" inset="0,0,0,0">
                <w:txbxContent>
                  <w:p w:rsidR="008A5877" w:rsidRDefault="008A5877">
                    <w:pPr>
                      <w:jc w:val="center"/>
                    </w:pPr>
                    <w:r>
                      <w:rPr>
                        <w:rFonts w:ascii="Arial" w:hAnsi="Arial" w:cs="Arial"/>
                        <w:color w:val="000000"/>
                        <w:sz w:val="14"/>
                        <w:szCs w:val="14"/>
                        <w:lang w:val="en-US"/>
                      </w:rPr>
                      <w:t>0.9</w:t>
                    </w:r>
                  </w:p>
                </w:txbxContent>
              </v:textbox>
            </v:rect>
            <v:rect id="_x0000_s3953" style="position:absolute;left:8174;top:794;width:195;height:161" filled="f" stroked="f">
              <v:textbox style="mso-next-textbox:#_x0000_s3953" inset="0,0,0,0">
                <w:txbxContent>
                  <w:p w:rsidR="008A5877" w:rsidRDefault="008A5877">
                    <w:pPr>
                      <w:jc w:val="center"/>
                    </w:pPr>
                    <w:r>
                      <w:rPr>
                        <w:rFonts w:ascii="Arial" w:hAnsi="Arial" w:cs="Arial"/>
                        <w:color w:val="000000"/>
                        <w:sz w:val="14"/>
                        <w:szCs w:val="14"/>
                        <w:lang w:val="en-US"/>
                      </w:rPr>
                      <w:t>0.9</w:t>
                    </w:r>
                  </w:p>
                </w:txbxContent>
              </v:textbox>
            </v:rect>
            <v:rect id="_x0000_s3954" style="position:absolute;left:8174;top:165;width:195;height:161" filled="f" stroked="f">
              <v:textbox style="mso-next-textbox:#_x0000_s3954" inset="0,0,0,0">
                <w:txbxContent>
                  <w:p w:rsidR="008A5877" w:rsidRDefault="008A5877">
                    <w:pPr>
                      <w:jc w:val="center"/>
                    </w:pPr>
                    <w:r>
                      <w:rPr>
                        <w:rFonts w:ascii="Arial" w:hAnsi="Arial" w:cs="Arial"/>
                        <w:color w:val="000000"/>
                        <w:sz w:val="14"/>
                        <w:szCs w:val="14"/>
                        <w:lang w:val="en-US"/>
                      </w:rPr>
                      <w:t>0.9</w:t>
                    </w:r>
                  </w:p>
                </w:txbxContent>
              </v:textbox>
            </v:rect>
            <v:rect id="_x0000_s3955" style="position:absolute;left:806;top:3958;width:1046;height:253;rotation:90" filled="f" stroked="f">
              <v:textbox style="layout-flow:vertical;mso-layout-flow-alt:bottom-to-top;mso-next-textbox:#_x0000_s3955" inset="0,0,0,0">
                <w:txbxContent>
                  <w:p w:rsidR="008A5877" w:rsidRDefault="008A5877">
                    <w:pPr>
                      <w:jc w:val="center"/>
                      <w:rPr>
                        <w:b/>
                      </w:rPr>
                    </w:pPr>
                    <w:r>
                      <w:rPr>
                        <w:rFonts w:ascii="Arial" w:hAnsi="Arial" w:cs="Arial"/>
                        <w:b/>
                        <w:color w:val="000000"/>
                        <w:sz w:val="14"/>
                        <w:szCs w:val="14"/>
                      </w:rPr>
                      <w:t>Urban area</w:t>
                    </w:r>
                  </w:p>
                </w:txbxContent>
              </v:textbox>
            </v:rect>
            <v:rect id="_x0000_s3956" style="position:absolute;left:1538;top:3639;width:261;height:962" filled="f" stroked="f">
              <v:textbox style="layout-flow:vertical;mso-layout-flow-alt:bottom-to-top;mso-next-textbox:#_x0000_s3956" inset="0,0,0,0">
                <w:txbxContent>
                  <w:p w:rsidR="008A5877" w:rsidRDefault="008A5877">
                    <w:pPr>
                      <w:jc w:val="center"/>
                      <w:rPr>
                        <w:b/>
                      </w:rPr>
                    </w:pPr>
                    <w:r>
                      <w:rPr>
                        <w:rFonts w:ascii="Arial" w:hAnsi="Arial" w:cs="Arial"/>
                        <w:b/>
                        <w:color w:val="000000"/>
                        <w:sz w:val="14"/>
                        <w:szCs w:val="14"/>
                      </w:rPr>
                      <w:t>Rural area</w:t>
                    </w:r>
                  </w:p>
                </w:txbxContent>
              </v:textbox>
            </v:rect>
            <v:rect id="_x0000_s3957" style="position:absolute;left:5924;top:405;width:1106;height:161" filled="f" stroked="f">
              <v:textbox style="mso-next-textbox:#_x0000_s3957" inset="0,0,0,0">
                <w:txbxContent>
                  <w:p w:rsidR="008A5877" w:rsidRDefault="008A5877">
                    <w:pPr>
                      <w:jc w:val="center"/>
                    </w:pPr>
                    <w:r>
                      <w:rPr>
                        <w:rFonts w:ascii="Arial" w:hAnsi="Arial" w:cs="Arial"/>
                        <w:color w:val="000000"/>
                        <w:sz w:val="14"/>
                        <w:szCs w:val="14"/>
                      </w:rPr>
                      <w:t>Rural/urban index</w:t>
                    </w:r>
                  </w:p>
                </w:txbxContent>
              </v:textbox>
            </v:rect>
            <w10:anchorlock/>
          </v:group>
        </w:pict>
      </w:r>
    </w:p>
    <w:p w:rsidR="00CD2A5A" w:rsidRDefault="00CD2A5A">
      <w:pPr>
        <w:pStyle w:val="Source"/>
      </w:pPr>
      <w:r>
        <w:rPr>
          <w:i/>
        </w:rPr>
        <w:t>Source</w:t>
      </w:r>
      <w:r>
        <w:t>: MINED. (2001-2005)</w:t>
      </w:r>
    </w:p>
    <w:p w:rsidR="00CD2A5A" w:rsidRDefault="00CD2A5A">
      <w:pPr>
        <w:pStyle w:val="Header"/>
        <w:numPr>
          <w:ilvl w:val="0"/>
          <w:numId w:val="3"/>
        </w:numPr>
        <w:tabs>
          <w:tab w:val="clear" w:pos="720"/>
          <w:tab w:val="clear" w:pos="4252"/>
        </w:tabs>
        <w:spacing w:after="240"/>
        <w:ind w:left="0" w:firstLine="0"/>
        <w:rPr>
          <w:lang w:val="en-US"/>
        </w:rPr>
      </w:pPr>
      <w:r>
        <w:rPr>
          <w:lang w:val="en-GB"/>
        </w:rPr>
        <w:t>Based on the enrolment data recorded by MINED for nursery to high-school levels, spending was estimated broken down by gender for those levels over the period 2001-2005.</w:t>
      </w:r>
      <w:r>
        <w:rPr>
          <w:lang w:val="en-US"/>
        </w:rPr>
        <w:t xml:space="preserve"> </w:t>
      </w:r>
      <w:r>
        <w:rPr>
          <w:lang w:val="en-GB"/>
        </w:rPr>
        <w:t>This exercise shows that spending by gender has remained equitable, since in 2001 48.7% was allocated to the female student population as against 51.3% to males, while the distribution was 49% on female enrolments and 51% on male enrolments in 2005.</w:t>
      </w:r>
      <w:r>
        <w:rPr>
          <w:lang w:val="en-US"/>
        </w:rPr>
        <w:t xml:space="preserve"> </w:t>
      </w:r>
      <w:r>
        <w:rPr>
          <w:lang w:val="en-GB"/>
        </w:rPr>
        <w:t>The ratio varied from 0.94 to 0.96 over the period, which is an acceptable index of gender parity in terms of spending.</w:t>
      </w:r>
      <w:r>
        <w:rPr>
          <w:lang w:val="en-US"/>
        </w:rPr>
        <w:t xml:space="preserve"> </w:t>
      </w:r>
    </w:p>
    <w:p w:rsidR="00CD2A5A" w:rsidRDefault="00CD2A5A" w:rsidP="00CD2A5A">
      <w:pPr>
        <w:pStyle w:val="Figure"/>
        <w:rPr>
          <w:lang w:val="es-SV"/>
        </w:rPr>
      </w:pPr>
      <w:r>
        <w:t>Figure 60</w:t>
      </w:r>
    </w:p>
    <w:p w:rsidR="00CD2A5A" w:rsidRDefault="00CD2A5A" w:rsidP="00CD2A5A">
      <w:pPr>
        <w:pStyle w:val="Figure"/>
        <w:rPr>
          <w:lang w:val="es-SV"/>
        </w:rPr>
      </w:pPr>
      <w:r>
        <w:t>MINED spending by gender</w:t>
      </w:r>
      <w:r>
        <w:rPr>
          <w:lang w:val="es-SV"/>
        </w:rPr>
        <w:t xml:space="preserve"> </w:t>
      </w:r>
    </w:p>
    <w:p w:rsidR="00CD2A5A" w:rsidRDefault="00CD2A5A">
      <w:pPr>
        <w:jc w:val="center"/>
        <w:rPr>
          <w:lang w:val="es-SV"/>
        </w:rPr>
      </w:pPr>
      <w:r>
        <w:rPr>
          <w:noProof/>
          <w:lang w:val="fr-CH" w:eastAsia="fr-CH"/>
        </w:rPr>
      </w:r>
      <w:r>
        <w:rPr>
          <w:lang w:val="es-SV"/>
        </w:rPr>
        <w:pict>
          <v:group id="_x0000_s3958" editas="canvas" style="width:340.15pt;height:196.2pt;mso-position-horizontal-relative:char;mso-position-vertical-relative:line" coordorigin="1260,10681" coordsize="6803,3924">
            <o:lock v:ext="edit" aspectratio="t"/>
            <v:shape id="_x0000_s3959" type="#_x0000_t75" style="position:absolute;left:1260;top:10681;width:6803;height:3924" o:preferrelative="f" stroked="t" strokeweight=".5pt">
              <v:fill o:detectmouseclick="t"/>
              <v:path o:extrusionok="t" o:connecttype="none"/>
              <o:lock v:ext="edit" text="t"/>
            </v:shape>
            <v:rect id="_x0000_s3960" style="position:absolute;left:1976;top:10814;width:5140;height:3240" filled="f" stroked="f"/>
            <v:rect id="_x0000_s3961" style="position:absolute;left:1976;top:10814;width:5140;height:3240" filled="f" strokecolor="gray" strokeweight="31e-5mm"/>
            <v:rect id="_x0000_s3962" style="position:absolute;left:2196;top:12972;width:295;height:1082" fillcolor="#d8d8d8" strokeweight="0"/>
            <v:rect id="_x0000_s3963" style="position:absolute;left:3264;top:12776;width:294;height:1310" fillcolor="#d8d8d8" strokeweight="0"/>
            <v:rect id="_x0000_s3964" style="position:absolute;left:4252;top:12752;width:295;height:1302" fillcolor="#d8d8d8" strokeweight="0"/>
            <v:rect id="_x0000_s3965" style="position:absolute;left:5280;top:12776;width:294;height:1278" fillcolor="#d8d8d8" strokeweight="0"/>
            <v:rect id="_x0000_s3966" style="position:absolute;left:6308;top:12766;width:295;height:1288" fillcolor="#d8d8d8" strokeweight="0"/>
            <v:rect id="_x0000_s3967" style="position:absolute;left:2491;top:11248;width:293;height:2806" fillcolor="#99f" strokeweight="31e-5mm"/>
            <v:rect id="_x0000_s3968" style="position:absolute;left:3518;top:11477;width:294;height:2577" fillcolor="#99f" strokeweight="31e-5mm"/>
            <v:rect id="_x0000_s3969" style="position:absolute;left:4547;top:11468;width:293;height:2586" fillcolor="#99f" strokeweight="31e-5mm"/>
            <v:rect id="_x0000_s3970" style="position:absolute;left:5574;top:11444;width:294;height:2610" fillcolor="#99f" strokeweight="31e-5mm"/>
            <v:rect id="_x0000_s3971" style="position:absolute;left:6603;top:11454;width:293;height:2600" fillcolor="#99f" strokeweight="31e-5mm"/>
            <v:line id="_x0000_s3972" style="position:absolute" from="1976,10814" to="1977,14054" strokeweight="0"/>
            <v:line id="_x0000_s3973" style="position:absolute" from="1947,14054" to="2005,14055" strokeweight="0"/>
            <v:line id="_x0000_s3974" style="position:absolute" from="1947,13730" to="2005,13731" strokeweight="0"/>
            <v:line id="_x0000_s3975" style="position:absolute" from="1947,13406" to="2005,13406" strokeweight="0"/>
            <v:line id="_x0000_s3976" style="position:absolute" from="1947,13082" to="2005,13083" strokeweight="0"/>
            <v:line id="_x0000_s3977" style="position:absolute" from="1947,12758" to="2005,12759" strokeweight="0"/>
            <v:line id="_x0000_s3978" style="position:absolute" from="1947,12434" to="2005,12434" strokeweight="0"/>
            <v:line id="_x0000_s3979" style="position:absolute" from="1947,12109" to="2005,12110" strokeweight="0"/>
            <v:line id="_x0000_s3980" style="position:absolute" from="1947,11785" to="2005,11786" strokeweight="0"/>
            <v:line id="_x0000_s3981" style="position:absolute" from="1947,11462" to="2005,11463" strokeweight="0"/>
            <v:line id="_x0000_s3982" style="position:absolute" from="1947,11138" to="2005,11139" strokeweight="0"/>
            <v:line id="_x0000_s3983" style="position:absolute" from="1947,10814" to="2005,10815" strokeweight="0"/>
            <v:line id="_x0000_s3984" style="position:absolute" from="1976,14054" to="7116,14055" strokeweight="0"/>
            <v:line id="_x0000_s3985" style="position:absolute;flip:y" from="1976,14025" to="1977,14083" strokeweight="0"/>
            <v:line id="_x0000_s3986" style="position:absolute;flip:y" from="3004,14025" to="3005,14083" strokeweight="0"/>
            <v:line id="_x0000_s3987" style="position:absolute;flip:y" from="4032,14025" to="4033,14083" strokeweight="0"/>
            <v:line id="_x0000_s3988" style="position:absolute;flip:y" from="5060,14025" to="5061,14083" strokeweight="0"/>
            <v:line id="_x0000_s3989" style="position:absolute;flip:y" from="6087,14025" to="6088,14083" strokeweight="0"/>
            <v:line id="_x0000_s3990" style="position:absolute;flip:y" from="7116,14025" to="7116,14083" strokeweight="0"/>
            <v:line id="_x0000_s3991" style="position:absolute" from="7116,10814" to="7116,14054" strokeweight="0"/>
            <v:line id="_x0000_s3992" style="position:absolute" from="7090,14054" to="7142,14055" strokeweight="0"/>
            <v:line id="_x0000_s3993" style="position:absolute" from="7090,13406" to="7142,13406" strokeweight="0"/>
            <v:line id="_x0000_s3994" style="position:absolute" from="7090,12758" to="7142,12759" strokeweight="0"/>
            <v:line id="_x0000_s3995" style="position:absolute" from="7090,12109" to="7142,12110" strokeweight="0"/>
            <v:line id="_x0000_s3996" style="position:absolute" from="7090,11462" to="7142,11463" strokeweight="0"/>
            <v:line id="_x0000_s3997" style="position:absolute" from="7090,10814" to="7142,10815" strokeweight="0"/>
            <v:shape id="_x0000_s3998" style="position:absolute;left:2490;top:11247;width:4113;height:1751" coordsize="3923,1674" path="m,1674l981,r981,69l2942,237r981,-73e" filled="f" strokecolor="red" strokeweight="94e-5mm">
              <v:path arrowok="t"/>
            </v:shape>
            <v:shape id="_x0000_s3999" style="position:absolute;left:2450;top:12958;width:79;height:79" coordsize="109,109" path="m55,r54,109l,109,55,xe" fillcolor="red" strokecolor="red" strokeweight="31e-5mm">
              <v:path arrowok="t"/>
            </v:shape>
            <v:shape id="_x0000_s4000" style="position:absolute;left:3478;top:11207;width:80;height:80" coordsize="109,109" path="m55,r54,109l,109,55,xe" fillcolor="red" strokecolor="red" strokeweight="31e-5mm">
              <v:path arrowok="t"/>
            </v:shape>
            <v:shape id="_x0000_s4001" style="position:absolute;left:4506;top:11280;width:81;height:78" coordsize="110,108" path="m55,r55,108l,108,55,xe" fillcolor="red" strokecolor="red" strokeweight="31e-5mm">
              <v:path arrowok="t"/>
            </v:shape>
            <v:shape id="_x0000_s4002" style="position:absolute;left:5534;top:11455;width:80;height:79" coordsize="109,109" path="m55,r54,109l,109,55,xe" fillcolor="red" strokecolor="red" strokeweight="31e-5mm">
              <v:path arrowok="t"/>
            </v:shape>
            <v:shape id="_x0000_s4003" style="position:absolute;left:6562;top:11379;width:80;height:79" coordsize="109,109" path="m55,r54,109l,109,55,xe" fillcolor="red" strokecolor="red" strokeweight="31e-5mm">
              <v:path arrowok="t"/>
            </v:shape>
            <v:rect id="_x0000_s4004" style="position:absolute;left:1711;top:13998;width:281;height:161" filled="f" stroked="f">
              <v:textbox style="mso-next-textbox:#_x0000_s4004" inset="0,0,0,0">
                <w:txbxContent>
                  <w:p w:rsidR="008A5877" w:rsidRDefault="008A5877">
                    <w:pPr>
                      <w:rPr>
                        <w:sz w:val="14"/>
                        <w:szCs w:val="14"/>
                      </w:rPr>
                    </w:pPr>
                    <w:r>
                      <w:rPr>
                        <w:rFonts w:ascii="Arial" w:hAnsi="Arial" w:cs="Arial"/>
                        <w:color w:val="000000"/>
                        <w:sz w:val="14"/>
                        <w:szCs w:val="14"/>
                        <w:lang w:val="en-US"/>
                      </w:rPr>
                      <w:t>47%</w:t>
                    </w:r>
                  </w:p>
                </w:txbxContent>
              </v:textbox>
            </v:rect>
            <v:rect id="_x0000_s4005" style="position:absolute;left:1711;top:13673;width:281;height:161" filled="f" stroked="f">
              <v:textbox style="mso-next-textbox:#_x0000_s4005" inset="0,0,0,0">
                <w:txbxContent>
                  <w:p w:rsidR="008A5877" w:rsidRDefault="008A5877">
                    <w:pPr>
                      <w:rPr>
                        <w:sz w:val="14"/>
                        <w:szCs w:val="14"/>
                      </w:rPr>
                    </w:pPr>
                    <w:r>
                      <w:rPr>
                        <w:rFonts w:ascii="Arial" w:hAnsi="Arial" w:cs="Arial"/>
                        <w:color w:val="000000"/>
                        <w:sz w:val="14"/>
                        <w:szCs w:val="14"/>
                        <w:lang w:val="en-US"/>
                      </w:rPr>
                      <w:t>48%</w:t>
                    </w:r>
                  </w:p>
                </w:txbxContent>
              </v:textbox>
            </v:rect>
            <v:rect id="_x0000_s4006" style="position:absolute;left:1711;top:13349;width:281;height:161" filled="f" stroked="f">
              <v:textbox style="mso-next-textbox:#_x0000_s4006" inset="0,0,0,0">
                <w:txbxContent>
                  <w:p w:rsidR="008A5877" w:rsidRDefault="008A5877">
                    <w:pPr>
                      <w:rPr>
                        <w:sz w:val="14"/>
                        <w:szCs w:val="14"/>
                      </w:rPr>
                    </w:pPr>
                    <w:r>
                      <w:rPr>
                        <w:rFonts w:ascii="Arial" w:hAnsi="Arial" w:cs="Arial"/>
                        <w:color w:val="000000"/>
                        <w:sz w:val="14"/>
                        <w:szCs w:val="14"/>
                        <w:lang w:val="en-US"/>
                      </w:rPr>
                      <w:t>48%</w:t>
                    </w:r>
                  </w:p>
                </w:txbxContent>
              </v:textbox>
            </v:rect>
            <v:rect id="_x0000_s4007" style="position:absolute;left:1711;top:13025;width:281;height:161" filled="f" stroked="f">
              <v:textbox style="mso-next-textbox:#_x0000_s4007" inset="0,0,0,0">
                <w:txbxContent>
                  <w:p w:rsidR="008A5877" w:rsidRDefault="008A5877">
                    <w:pPr>
                      <w:rPr>
                        <w:sz w:val="14"/>
                        <w:szCs w:val="14"/>
                      </w:rPr>
                    </w:pPr>
                    <w:r>
                      <w:rPr>
                        <w:rFonts w:ascii="Arial" w:hAnsi="Arial" w:cs="Arial"/>
                        <w:color w:val="000000"/>
                        <w:sz w:val="14"/>
                        <w:szCs w:val="14"/>
                        <w:lang w:val="en-US"/>
                      </w:rPr>
                      <w:t>49%</w:t>
                    </w:r>
                  </w:p>
                </w:txbxContent>
              </v:textbox>
            </v:rect>
            <v:rect id="_x0000_s4008" style="position:absolute;left:1711;top:12701;width:281;height:161" filled="f" stroked="f">
              <v:textbox style="mso-next-textbox:#_x0000_s4008" inset="0,0,0,0">
                <w:txbxContent>
                  <w:p w:rsidR="008A5877" w:rsidRDefault="008A5877">
                    <w:pPr>
                      <w:rPr>
                        <w:sz w:val="14"/>
                        <w:szCs w:val="14"/>
                      </w:rPr>
                    </w:pPr>
                    <w:r>
                      <w:rPr>
                        <w:rFonts w:ascii="Arial" w:hAnsi="Arial" w:cs="Arial"/>
                        <w:color w:val="000000"/>
                        <w:sz w:val="14"/>
                        <w:szCs w:val="14"/>
                        <w:lang w:val="en-US"/>
                      </w:rPr>
                      <w:t>49%</w:t>
                    </w:r>
                  </w:p>
                </w:txbxContent>
              </v:textbox>
            </v:rect>
            <v:rect id="_x0000_s4009" style="position:absolute;left:1711;top:12377;width:281;height:161" filled="f" stroked="f">
              <v:textbox style="mso-next-textbox:#_x0000_s4009" inset="0,0,0,0">
                <w:txbxContent>
                  <w:p w:rsidR="008A5877" w:rsidRDefault="008A5877">
                    <w:pPr>
                      <w:rPr>
                        <w:sz w:val="14"/>
                        <w:szCs w:val="14"/>
                      </w:rPr>
                    </w:pPr>
                    <w:r>
                      <w:rPr>
                        <w:rFonts w:ascii="Arial" w:hAnsi="Arial" w:cs="Arial"/>
                        <w:color w:val="000000"/>
                        <w:sz w:val="14"/>
                        <w:szCs w:val="14"/>
                        <w:lang w:val="en-US"/>
                      </w:rPr>
                      <w:t>50%</w:t>
                    </w:r>
                  </w:p>
                </w:txbxContent>
              </v:textbox>
            </v:rect>
            <v:rect id="_x0000_s4010" style="position:absolute;left:1711;top:12053;width:281;height:161" filled="f" stroked="f">
              <v:textbox style="mso-next-textbox:#_x0000_s4010" inset="0,0,0,0">
                <w:txbxContent>
                  <w:p w:rsidR="008A5877" w:rsidRDefault="008A5877">
                    <w:pPr>
                      <w:rPr>
                        <w:sz w:val="14"/>
                        <w:szCs w:val="14"/>
                      </w:rPr>
                    </w:pPr>
                    <w:r>
                      <w:rPr>
                        <w:rFonts w:ascii="Arial" w:hAnsi="Arial" w:cs="Arial"/>
                        <w:color w:val="000000"/>
                        <w:sz w:val="14"/>
                        <w:szCs w:val="14"/>
                        <w:lang w:val="en-US"/>
                      </w:rPr>
                      <w:t>50%</w:t>
                    </w:r>
                  </w:p>
                </w:txbxContent>
              </v:textbox>
            </v:rect>
            <v:rect id="_x0000_s4011" style="position:absolute;left:1711;top:11729;width:281;height:161" filled="f" stroked="f">
              <v:textbox style="mso-next-textbox:#_x0000_s4011" inset="0,0,0,0">
                <w:txbxContent>
                  <w:p w:rsidR="008A5877" w:rsidRDefault="008A5877">
                    <w:pPr>
                      <w:rPr>
                        <w:sz w:val="14"/>
                        <w:szCs w:val="14"/>
                      </w:rPr>
                    </w:pPr>
                    <w:r>
                      <w:rPr>
                        <w:rFonts w:ascii="Arial" w:hAnsi="Arial" w:cs="Arial"/>
                        <w:color w:val="000000"/>
                        <w:sz w:val="14"/>
                        <w:szCs w:val="14"/>
                        <w:lang w:val="en-US"/>
                      </w:rPr>
                      <w:t>51%</w:t>
                    </w:r>
                  </w:p>
                </w:txbxContent>
              </v:textbox>
            </v:rect>
            <v:rect id="_x0000_s4012" style="position:absolute;left:1711;top:11406;width:281;height:161" filled="f" stroked="f">
              <v:textbox style="mso-next-textbox:#_x0000_s4012" inset="0,0,0,0">
                <w:txbxContent>
                  <w:p w:rsidR="008A5877" w:rsidRDefault="008A5877">
                    <w:pPr>
                      <w:rPr>
                        <w:sz w:val="14"/>
                        <w:szCs w:val="14"/>
                      </w:rPr>
                    </w:pPr>
                    <w:r>
                      <w:rPr>
                        <w:rFonts w:ascii="Arial" w:hAnsi="Arial" w:cs="Arial"/>
                        <w:color w:val="000000"/>
                        <w:sz w:val="14"/>
                        <w:szCs w:val="14"/>
                        <w:lang w:val="en-US"/>
                      </w:rPr>
                      <w:t>51%</w:t>
                    </w:r>
                  </w:p>
                </w:txbxContent>
              </v:textbox>
            </v:rect>
            <v:rect id="_x0000_s4013" style="position:absolute;left:1711;top:11082;width:281;height:161" filled="f" stroked="f">
              <v:textbox style="mso-next-textbox:#_x0000_s4013" inset="0,0,0,0">
                <w:txbxContent>
                  <w:p w:rsidR="008A5877" w:rsidRDefault="008A5877">
                    <w:pPr>
                      <w:rPr>
                        <w:sz w:val="14"/>
                        <w:szCs w:val="14"/>
                      </w:rPr>
                    </w:pPr>
                    <w:r>
                      <w:rPr>
                        <w:rFonts w:ascii="Arial" w:hAnsi="Arial" w:cs="Arial"/>
                        <w:color w:val="000000"/>
                        <w:sz w:val="14"/>
                        <w:szCs w:val="14"/>
                        <w:lang w:val="en-US"/>
                      </w:rPr>
                      <w:t>52%</w:t>
                    </w:r>
                  </w:p>
                </w:txbxContent>
              </v:textbox>
            </v:rect>
            <v:rect id="_x0000_s4014" style="position:absolute;left:1711;top:10758;width:281;height:161" filled="f" stroked="f">
              <v:textbox style="mso-next-textbox:#_x0000_s4014" inset="0,0,0,0">
                <w:txbxContent>
                  <w:p w:rsidR="008A5877" w:rsidRDefault="008A5877">
                    <w:pPr>
                      <w:rPr>
                        <w:sz w:val="14"/>
                        <w:szCs w:val="14"/>
                      </w:rPr>
                    </w:pPr>
                    <w:r>
                      <w:rPr>
                        <w:rFonts w:ascii="Arial" w:hAnsi="Arial" w:cs="Arial"/>
                        <w:color w:val="000000"/>
                        <w:sz w:val="14"/>
                        <w:szCs w:val="14"/>
                        <w:lang w:val="en-US"/>
                      </w:rPr>
                      <w:t>52%</w:t>
                    </w:r>
                  </w:p>
                </w:txbxContent>
              </v:textbox>
            </v:rect>
            <v:rect id="_x0000_s4015" style="position:absolute;left:2383;top:14136;width:312;height:161" filled="f" stroked="f">
              <v:textbox style="mso-next-textbox:#_x0000_s4015" inset="0,0,0,0">
                <w:txbxContent>
                  <w:p w:rsidR="008A5877" w:rsidRDefault="008A5877">
                    <w:pPr>
                      <w:rPr>
                        <w:sz w:val="14"/>
                        <w:szCs w:val="14"/>
                      </w:rPr>
                    </w:pPr>
                    <w:r>
                      <w:rPr>
                        <w:rFonts w:ascii="Arial" w:hAnsi="Arial" w:cs="Arial"/>
                        <w:color w:val="000000"/>
                        <w:sz w:val="14"/>
                        <w:szCs w:val="14"/>
                        <w:lang w:val="en-US"/>
                      </w:rPr>
                      <w:t>2001</w:t>
                    </w:r>
                  </w:p>
                </w:txbxContent>
              </v:textbox>
            </v:rect>
            <v:rect id="_x0000_s4016" style="position:absolute;left:3411;top:14136;width:312;height:161" filled="f" stroked="f">
              <v:textbox style="mso-next-textbox:#_x0000_s4016" inset="0,0,0,0">
                <w:txbxContent>
                  <w:p w:rsidR="008A5877" w:rsidRDefault="008A5877">
                    <w:pPr>
                      <w:rPr>
                        <w:sz w:val="14"/>
                        <w:szCs w:val="14"/>
                      </w:rPr>
                    </w:pPr>
                    <w:r>
                      <w:rPr>
                        <w:rFonts w:ascii="Arial" w:hAnsi="Arial" w:cs="Arial"/>
                        <w:color w:val="000000"/>
                        <w:sz w:val="14"/>
                        <w:szCs w:val="14"/>
                        <w:lang w:val="en-US"/>
                      </w:rPr>
                      <w:t>2002</w:t>
                    </w:r>
                  </w:p>
                </w:txbxContent>
              </v:textbox>
            </v:rect>
            <v:rect id="_x0000_s4017" style="position:absolute;left:4439;top:14136;width:312;height:161" filled="f" stroked="f">
              <v:textbox style="mso-next-textbox:#_x0000_s4017" inset="0,0,0,0">
                <w:txbxContent>
                  <w:p w:rsidR="008A5877" w:rsidRDefault="008A5877">
                    <w:pPr>
                      <w:rPr>
                        <w:sz w:val="14"/>
                        <w:szCs w:val="14"/>
                      </w:rPr>
                    </w:pPr>
                    <w:r>
                      <w:rPr>
                        <w:rFonts w:ascii="Arial" w:hAnsi="Arial" w:cs="Arial"/>
                        <w:color w:val="000000"/>
                        <w:sz w:val="14"/>
                        <w:szCs w:val="14"/>
                        <w:lang w:val="en-US"/>
                      </w:rPr>
                      <w:t>2003</w:t>
                    </w:r>
                  </w:p>
                </w:txbxContent>
              </v:textbox>
            </v:rect>
            <v:rect id="_x0000_s4018" style="position:absolute;left:5467;top:14136;width:312;height:161" filled="f" stroked="f">
              <v:textbox style="mso-next-textbox:#_x0000_s4018" inset="0,0,0,0">
                <w:txbxContent>
                  <w:p w:rsidR="008A5877" w:rsidRDefault="008A5877">
                    <w:pPr>
                      <w:rPr>
                        <w:sz w:val="14"/>
                        <w:szCs w:val="14"/>
                      </w:rPr>
                    </w:pPr>
                    <w:r>
                      <w:rPr>
                        <w:rFonts w:ascii="Arial" w:hAnsi="Arial" w:cs="Arial"/>
                        <w:color w:val="000000"/>
                        <w:sz w:val="14"/>
                        <w:szCs w:val="14"/>
                        <w:lang w:val="en-US"/>
                      </w:rPr>
                      <w:t>2004</w:t>
                    </w:r>
                  </w:p>
                </w:txbxContent>
              </v:textbox>
            </v:rect>
            <v:rect id="_x0000_s4019" style="position:absolute;left:6495;top:14136;width:312;height:161" filled="f" stroked="f">
              <v:textbox style="mso-next-textbox:#_x0000_s4019" inset="0,0,0,0">
                <w:txbxContent>
                  <w:p w:rsidR="008A5877" w:rsidRDefault="008A5877">
                    <w:pPr>
                      <w:rPr>
                        <w:sz w:val="14"/>
                        <w:szCs w:val="14"/>
                      </w:rPr>
                    </w:pPr>
                    <w:r>
                      <w:rPr>
                        <w:rFonts w:ascii="Arial" w:hAnsi="Arial" w:cs="Arial"/>
                        <w:color w:val="000000"/>
                        <w:sz w:val="14"/>
                        <w:szCs w:val="14"/>
                        <w:lang w:val="en-US"/>
                      </w:rPr>
                      <w:t>2005</w:t>
                    </w:r>
                  </w:p>
                </w:txbxContent>
              </v:textbox>
            </v:rect>
            <v:rect id="_x0000_s4020" style="position:absolute;left:7181;top:14004;width:195;height:161" filled="f" stroked="f">
              <v:textbox style="mso-next-textbox:#_x0000_s4020" inset="0,0,0,0">
                <w:txbxContent>
                  <w:p w:rsidR="008A5877" w:rsidRDefault="008A5877">
                    <w:pPr>
                      <w:rPr>
                        <w:sz w:val="14"/>
                        <w:szCs w:val="14"/>
                      </w:rPr>
                    </w:pPr>
                    <w:r>
                      <w:rPr>
                        <w:rFonts w:ascii="Arial" w:hAnsi="Arial" w:cs="Arial"/>
                        <w:color w:val="000000"/>
                        <w:sz w:val="14"/>
                        <w:szCs w:val="14"/>
                        <w:lang w:val="en-US"/>
                      </w:rPr>
                      <w:t>0.9</w:t>
                    </w:r>
                  </w:p>
                </w:txbxContent>
              </v:textbox>
            </v:rect>
            <v:rect id="_x0000_s4021" style="position:absolute;left:7181;top:13355;width:195;height:161" filled="f" stroked="f">
              <v:textbox style="mso-next-textbox:#_x0000_s4021" inset="0,0,0,0">
                <w:txbxContent>
                  <w:p w:rsidR="008A5877" w:rsidRDefault="008A5877">
                    <w:pPr>
                      <w:rPr>
                        <w:sz w:val="14"/>
                        <w:szCs w:val="14"/>
                      </w:rPr>
                    </w:pPr>
                    <w:r>
                      <w:rPr>
                        <w:rFonts w:ascii="Arial" w:hAnsi="Arial" w:cs="Arial"/>
                        <w:color w:val="000000"/>
                        <w:sz w:val="14"/>
                        <w:szCs w:val="14"/>
                        <w:lang w:val="en-US"/>
                      </w:rPr>
                      <w:t>0.9</w:t>
                    </w:r>
                  </w:p>
                </w:txbxContent>
              </v:textbox>
            </v:rect>
            <v:rect id="_x0000_s4022" style="position:absolute;left:7181;top:12708;width:195;height:161" filled="f" stroked="f">
              <v:textbox style="mso-next-textbox:#_x0000_s4022" inset="0,0,0,0">
                <w:txbxContent>
                  <w:p w:rsidR="008A5877" w:rsidRDefault="008A5877">
                    <w:pPr>
                      <w:rPr>
                        <w:sz w:val="14"/>
                        <w:szCs w:val="14"/>
                      </w:rPr>
                    </w:pPr>
                    <w:r>
                      <w:rPr>
                        <w:rFonts w:ascii="Arial" w:hAnsi="Arial" w:cs="Arial"/>
                        <w:color w:val="000000"/>
                        <w:sz w:val="14"/>
                        <w:szCs w:val="14"/>
                        <w:lang w:val="en-US"/>
                      </w:rPr>
                      <w:t>1.0</w:t>
                    </w:r>
                  </w:p>
                </w:txbxContent>
              </v:textbox>
            </v:rect>
            <v:rect id="_x0000_s4023" style="position:absolute;left:7181;top:12060;width:195;height:161" filled="f" stroked="f">
              <v:textbox style="mso-next-textbox:#_x0000_s4023" inset="0,0,0,0">
                <w:txbxContent>
                  <w:p w:rsidR="008A5877" w:rsidRDefault="008A5877">
                    <w:pPr>
                      <w:rPr>
                        <w:sz w:val="14"/>
                        <w:szCs w:val="14"/>
                      </w:rPr>
                    </w:pPr>
                    <w:r>
                      <w:rPr>
                        <w:rFonts w:ascii="Arial" w:hAnsi="Arial" w:cs="Arial"/>
                        <w:color w:val="000000"/>
                        <w:sz w:val="14"/>
                        <w:szCs w:val="14"/>
                        <w:lang w:val="en-US"/>
                      </w:rPr>
                      <w:t>1.0</w:t>
                    </w:r>
                  </w:p>
                </w:txbxContent>
              </v:textbox>
            </v:rect>
            <v:rect id="_x0000_s4024" style="position:absolute;left:7181;top:11412;width:195;height:161" filled="f" stroked="f">
              <v:textbox style="mso-next-textbox:#_x0000_s4024" inset="0,0,0,0">
                <w:txbxContent>
                  <w:p w:rsidR="008A5877" w:rsidRDefault="008A5877">
                    <w:pPr>
                      <w:rPr>
                        <w:sz w:val="14"/>
                        <w:szCs w:val="14"/>
                      </w:rPr>
                    </w:pPr>
                    <w:r>
                      <w:rPr>
                        <w:rFonts w:ascii="Arial" w:hAnsi="Arial" w:cs="Arial"/>
                        <w:color w:val="000000"/>
                        <w:sz w:val="14"/>
                        <w:szCs w:val="14"/>
                        <w:lang w:val="en-US"/>
                      </w:rPr>
                      <w:t>1.0</w:t>
                    </w:r>
                  </w:p>
                </w:txbxContent>
              </v:textbox>
            </v:rect>
            <v:rect id="_x0000_s4025" style="position:absolute;left:7181;top:10763;width:195;height:161" filled="f" stroked="f">
              <v:textbox style="mso-next-textbox:#_x0000_s4025" inset="0,0,0,0">
                <w:txbxContent>
                  <w:p w:rsidR="008A5877" w:rsidRDefault="008A5877">
                    <w:pPr>
                      <w:rPr>
                        <w:sz w:val="14"/>
                        <w:szCs w:val="14"/>
                      </w:rPr>
                    </w:pPr>
                    <w:r>
                      <w:rPr>
                        <w:rFonts w:ascii="Arial" w:hAnsi="Arial" w:cs="Arial"/>
                        <w:color w:val="000000"/>
                        <w:sz w:val="14"/>
                        <w:szCs w:val="14"/>
                        <w:lang w:val="en-US"/>
                      </w:rPr>
                      <w:t>1.0</w:t>
                    </w:r>
                  </w:p>
                </w:txbxContent>
              </v:textbox>
            </v:rect>
            <v:rect id="_x0000_s4026" style="position:absolute;left:2899;top:14331;width:3182;height:140" stroked="f"/>
            <v:rect id="_x0000_s4027" style="position:absolute;left:2231;top:13025;width:254;height:1017" filled="f" stroked="f">
              <v:textbox style="layout-flow:vertical;mso-layout-flow-alt:bottom-to-top;mso-next-textbox:#_x0000_s4027" inset="0,0,0,0">
                <w:txbxContent>
                  <w:p w:rsidR="008A5877" w:rsidRDefault="008A5877">
                    <w:pPr>
                      <w:rPr>
                        <w:b/>
                        <w:sz w:val="11"/>
                        <w:szCs w:val="11"/>
                        <w:lang w:val="fr-CH"/>
                      </w:rPr>
                    </w:pPr>
                    <w:r>
                      <w:rPr>
                        <w:rFonts w:ascii="Arial" w:hAnsi="Arial" w:cs="Arial"/>
                        <w:b/>
                        <w:color w:val="000000"/>
                        <w:sz w:val="11"/>
                        <w:szCs w:val="11"/>
                      </w:rPr>
                      <w:t>Female enrolments</w:t>
                    </w:r>
                  </w:p>
                </w:txbxContent>
              </v:textbox>
            </v:rect>
            <v:rect id="_x0000_s4028" style="position:absolute;left:2525;top:13051;width:246;height:947" filled="f" stroked="f">
              <v:textbox style="layout-flow:vertical;mso-layout-flow-alt:bottom-to-top;mso-next-textbox:#_x0000_s4028" inset="0,0,0,0">
                <w:txbxContent>
                  <w:p w:rsidR="008A5877" w:rsidRDefault="008A5877">
                    <w:pPr>
                      <w:rPr>
                        <w:b/>
                        <w:sz w:val="12"/>
                        <w:szCs w:val="12"/>
                      </w:rPr>
                    </w:pPr>
                    <w:r>
                      <w:rPr>
                        <w:rFonts w:ascii="Arial" w:hAnsi="Arial" w:cs="Arial"/>
                        <w:b/>
                        <w:color w:val="000000"/>
                        <w:sz w:val="12"/>
                        <w:szCs w:val="12"/>
                      </w:rPr>
                      <w:t>Male enrolments</w:t>
                    </w:r>
                  </w:p>
                </w:txbxContent>
              </v:textbox>
            </v:rect>
            <v:rect id="_x0000_s4029" style="position:absolute;left:4587;top:11021;width:1494;height:186" filled="f" stroked="f">
              <v:textbox style="mso-next-textbox:#_x0000_s4029" inset="0,0,0,0">
                <w:txbxContent>
                  <w:p w:rsidR="008A5877" w:rsidRDefault="008A5877">
                    <w:pPr>
                      <w:rPr>
                        <w:sz w:val="14"/>
                        <w:szCs w:val="14"/>
                      </w:rPr>
                    </w:pPr>
                    <w:r>
                      <w:rPr>
                        <w:rFonts w:ascii="Arial" w:hAnsi="Arial" w:cs="Arial"/>
                        <w:color w:val="000000"/>
                        <w:sz w:val="14"/>
                        <w:szCs w:val="14"/>
                      </w:rPr>
                      <w:t>GPI (female/male)</w:t>
                    </w:r>
                  </w:p>
                </w:txbxContent>
              </v:textbox>
            </v:rect>
            <w10:anchorlock/>
          </v:group>
        </w:pict>
      </w:r>
    </w:p>
    <w:p w:rsidR="00CD2A5A" w:rsidRDefault="00CD2A5A">
      <w:pPr>
        <w:pStyle w:val="Source"/>
        <w:ind w:left="1134"/>
      </w:pPr>
      <w:r>
        <w:rPr>
          <w:i/>
        </w:rPr>
        <w:t>Source</w:t>
      </w:r>
      <w:r>
        <w:t>: MINED. (2001-2005)</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average cost to MINED of a student in the various levels of education was estimated using the spending data recorded by the Administration Department of MINED, divided by total enrolments for each level of education taken from the enrolment survey. The following average annual costs were obtained for the period 2001-2005:</w:t>
      </w:r>
    </w:p>
    <w:p w:rsidR="00CD2A5A" w:rsidRDefault="00CD2A5A">
      <w:pPr>
        <w:numPr>
          <w:ilvl w:val="1"/>
          <w:numId w:val="3"/>
        </w:numPr>
        <w:tabs>
          <w:tab w:val="clear" w:pos="1200"/>
        </w:tabs>
        <w:suppressAutoHyphens/>
        <w:spacing w:after="240"/>
        <w:ind w:left="0" w:firstLine="567"/>
        <w:rPr>
          <w:lang w:val="en-US"/>
        </w:rPr>
      </w:pPr>
      <w:r>
        <w:rPr>
          <w:lang w:val="en-GB"/>
        </w:rPr>
        <w:t>The average annual cost per nursery pupils was $140 for the reporting period, with a rising trend in average costs of budget execution, leading to a higher cost for 2005 of $151;</w:t>
      </w:r>
    </w:p>
    <w:p w:rsidR="00CD2A5A" w:rsidRDefault="00CD2A5A">
      <w:pPr>
        <w:numPr>
          <w:ilvl w:val="1"/>
          <w:numId w:val="3"/>
        </w:numPr>
        <w:tabs>
          <w:tab w:val="clear" w:pos="1200"/>
        </w:tabs>
        <w:suppressAutoHyphens/>
        <w:spacing w:after="240"/>
        <w:ind w:left="0" w:firstLine="567"/>
        <w:rPr>
          <w:lang w:val="en-US"/>
        </w:rPr>
      </w:pPr>
      <w:r>
        <w:rPr>
          <w:lang w:val="en-GB"/>
        </w:rPr>
        <w:t>In elementary education, the average annual cost was $227 over the reporting period;</w:t>
      </w:r>
    </w:p>
    <w:p w:rsidR="00CD2A5A" w:rsidRDefault="00CD2A5A">
      <w:pPr>
        <w:numPr>
          <w:ilvl w:val="1"/>
          <w:numId w:val="3"/>
        </w:numPr>
        <w:tabs>
          <w:tab w:val="clear" w:pos="1200"/>
        </w:tabs>
        <w:suppressAutoHyphens/>
        <w:spacing w:after="240"/>
        <w:ind w:left="0" w:firstLine="567"/>
        <w:rPr>
          <w:lang w:val="en-US"/>
        </w:rPr>
      </w:pPr>
      <w:r>
        <w:rPr>
          <w:lang w:val="en-GB"/>
        </w:rPr>
        <w:t>For high school, the average annual cost is estimated at $341 over the reporting period.</w:t>
      </w:r>
      <w:r>
        <w:rPr>
          <w:lang w:val="en-US"/>
        </w:rPr>
        <w:t xml:space="preserve"> </w:t>
      </w:r>
    </w:p>
    <w:p w:rsidR="00CD2A5A" w:rsidRDefault="00CD2A5A" w:rsidP="00CD2A5A">
      <w:pPr>
        <w:pStyle w:val="Figure"/>
        <w:rPr>
          <w:lang w:val="en-US"/>
        </w:rPr>
      </w:pPr>
      <w:r>
        <w:t>Figure 61</w:t>
      </w:r>
    </w:p>
    <w:p w:rsidR="00CD2A5A" w:rsidRDefault="00CD2A5A" w:rsidP="00CD2A5A">
      <w:pPr>
        <w:pStyle w:val="Figure"/>
      </w:pPr>
      <w:r>
        <w:t>Average cost by level of education.</w:t>
      </w:r>
      <w:r>
        <w:rPr>
          <w:lang w:val="en-US"/>
        </w:rPr>
        <w:t xml:space="preserve"> </w:t>
      </w:r>
      <w:r>
        <w:t>Amounts in US dollars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82"/>
        <w:gridCol w:w="1566"/>
        <w:gridCol w:w="1566"/>
        <w:gridCol w:w="1566"/>
        <w:gridCol w:w="1566"/>
        <w:gridCol w:w="1566"/>
      </w:tblGrid>
      <w:tr w:rsidR="00CD2A5A">
        <w:trPr>
          <w:jc w:val="center"/>
        </w:trPr>
        <w:tc>
          <w:tcPr>
            <w:tcW w:w="1595" w:type="dxa"/>
            <w:vAlign w:val="center"/>
          </w:tcPr>
          <w:p w:rsidR="00CD2A5A" w:rsidRDefault="00CD2A5A">
            <w:pPr>
              <w:spacing w:before="40" w:after="40"/>
              <w:jc w:val="center"/>
              <w:rPr>
                <w:b/>
                <w:i/>
                <w:sz w:val="20"/>
                <w:szCs w:val="20"/>
                <w:lang w:val="es-SV"/>
              </w:rPr>
            </w:pPr>
            <w:r>
              <w:rPr>
                <w:b/>
                <w:i/>
                <w:sz w:val="20"/>
                <w:szCs w:val="20"/>
                <w:lang w:val="es-SV"/>
              </w:rPr>
              <w:t>Level</w:t>
            </w:r>
          </w:p>
        </w:tc>
        <w:tc>
          <w:tcPr>
            <w:tcW w:w="1595" w:type="dxa"/>
            <w:vAlign w:val="center"/>
          </w:tcPr>
          <w:p w:rsidR="00CD2A5A" w:rsidRDefault="00CD2A5A">
            <w:pPr>
              <w:spacing w:before="40" w:after="40"/>
              <w:jc w:val="center"/>
              <w:rPr>
                <w:b/>
                <w:i/>
                <w:sz w:val="20"/>
                <w:szCs w:val="20"/>
                <w:lang w:val="es-SV"/>
              </w:rPr>
            </w:pPr>
            <w:r>
              <w:rPr>
                <w:b/>
                <w:i/>
                <w:sz w:val="20"/>
                <w:szCs w:val="20"/>
                <w:lang w:val="es-SV"/>
              </w:rPr>
              <w:t>2001</w:t>
            </w:r>
          </w:p>
        </w:tc>
        <w:tc>
          <w:tcPr>
            <w:tcW w:w="1595" w:type="dxa"/>
            <w:vAlign w:val="center"/>
          </w:tcPr>
          <w:p w:rsidR="00CD2A5A" w:rsidRDefault="00CD2A5A">
            <w:pPr>
              <w:spacing w:before="40" w:after="40"/>
              <w:jc w:val="center"/>
              <w:rPr>
                <w:b/>
                <w:i/>
                <w:sz w:val="20"/>
                <w:szCs w:val="20"/>
                <w:lang w:val="es-SV"/>
              </w:rPr>
            </w:pPr>
            <w:r>
              <w:rPr>
                <w:b/>
                <w:i/>
                <w:sz w:val="20"/>
                <w:szCs w:val="20"/>
                <w:lang w:val="es-SV"/>
              </w:rPr>
              <w:t>2002</w:t>
            </w:r>
          </w:p>
        </w:tc>
        <w:tc>
          <w:tcPr>
            <w:tcW w:w="1595" w:type="dxa"/>
            <w:vAlign w:val="center"/>
          </w:tcPr>
          <w:p w:rsidR="00CD2A5A" w:rsidRDefault="00CD2A5A">
            <w:pPr>
              <w:spacing w:before="40" w:after="40"/>
              <w:jc w:val="center"/>
              <w:rPr>
                <w:b/>
                <w:i/>
                <w:sz w:val="20"/>
                <w:szCs w:val="20"/>
                <w:lang w:val="es-SV"/>
              </w:rPr>
            </w:pPr>
            <w:r>
              <w:rPr>
                <w:b/>
                <w:i/>
                <w:sz w:val="20"/>
                <w:szCs w:val="20"/>
                <w:lang w:val="es-SV"/>
              </w:rPr>
              <w:t>2003</w:t>
            </w:r>
          </w:p>
        </w:tc>
        <w:tc>
          <w:tcPr>
            <w:tcW w:w="1595" w:type="dxa"/>
            <w:vAlign w:val="center"/>
          </w:tcPr>
          <w:p w:rsidR="00CD2A5A" w:rsidRDefault="00CD2A5A">
            <w:pPr>
              <w:spacing w:before="40" w:after="40"/>
              <w:jc w:val="center"/>
              <w:rPr>
                <w:b/>
                <w:i/>
                <w:sz w:val="20"/>
                <w:szCs w:val="20"/>
                <w:lang w:val="es-SV"/>
              </w:rPr>
            </w:pPr>
            <w:r>
              <w:rPr>
                <w:b/>
                <w:i/>
                <w:sz w:val="20"/>
                <w:szCs w:val="20"/>
                <w:lang w:val="es-SV"/>
              </w:rPr>
              <w:t>2004</w:t>
            </w:r>
          </w:p>
        </w:tc>
        <w:tc>
          <w:tcPr>
            <w:tcW w:w="1595" w:type="dxa"/>
            <w:vAlign w:val="center"/>
          </w:tcPr>
          <w:p w:rsidR="00CD2A5A" w:rsidRDefault="00CD2A5A">
            <w:pPr>
              <w:spacing w:before="40" w:after="40"/>
              <w:jc w:val="center"/>
              <w:rPr>
                <w:b/>
                <w:i/>
                <w:sz w:val="20"/>
                <w:szCs w:val="20"/>
                <w:lang w:val="es-SV"/>
              </w:rPr>
            </w:pPr>
            <w:r>
              <w:rPr>
                <w:b/>
                <w:i/>
                <w:sz w:val="20"/>
                <w:szCs w:val="20"/>
                <w:lang w:val="es-SV"/>
              </w:rPr>
              <w:t>2005</w:t>
            </w:r>
          </w:p>
        </w:tc>
      </w:tr>
      <w:tr w:rsidR="00CD2A5A">
        <w:trPr>
          <w:jc w:val="center"/>
        </w:trPr>
        <w:tc>
          <w:tcPr>
            <w:tcW w:w="1595" w:type="dxa"/>
          </w:tcPr>
          <w:p w:rsidR="00CD2A5A" w:rsidRDefault="00CD2A5A">
            <w:pPr>
              <w:spacing w:before="40" w:after="40"/>
              <w:rPr>
                <w:sz w:val="20"/>
                <w:szCs w:val="20"/>
                <w:lang w:val="es-SV"/>
              </w:rPr>
            </w:pPr>
            <w:r>
              <w:rPr>
                <w:sz w:val="20"/>
                <w:szCs w:val="20"/>
                <w:lang w:val="es-SV"/>
              </w:rPr>
              <w:t>Nursery</w:t>
            </w:r>
          </w:p>
        </w:tc>
        <w:tc>
          <w:tcPr>
            <w:tcW w:w="1595" w:type="dxa"/>
          </w:tcPr>
          <w:p w:rsidR="00CD2A5A" w:rsidRDefault="00CD2A5A">
            <w:pPr>
              <w:spacing w:before="40" w:after="40"/>
              <w:jc w:val="center"/>
              <w:rPr>
                <w:sz w:val="20"/>
                <w:szCs w:val="20"/>
                <w:lang w:val="es-SV"/>
              </w:rPr>
            </w:pPr>
            <w:r>
              <w:rPr>
                <w:sz w:val="20"/>
                <w:szCs w:val="20"/>
                <w:lang w:val="es-SV"/>
              </w:rPr>
              <w:t>133</w:t>
            </w:r>
          </w:p>
        </w:tc>
        <w:tc>
          <w:tcPr>
            <w:tcW w:w="1595" w:type="dxa"/>
          </w:tcPr>
          <w:p w:rsidR="00CD2A5A" w:rsidRDefault="00CD2A5A">
            <w:pPr>
              <w:spacing w:before="40" w:after="40"/>
              <w:jc w:val="center"/>
              <w:rPr>
                <w:sz w:val="20"/>
                <w:szCs w:val="20"/>
                <w:lang w:val="es-SV"/>
              </w:rPr>
            </w:pPr>
            <w:r>
              <w:rPr>
                <w:sz w:val="20"/>
                <w:szCs w:val="20"/>
                <w:lang w:val="es-SV"/>
              </w:rPr>
              <w:t>135</w:t>
            </w:r>
          </w:p>
        </w:tc>
        <w:tc>
          <w:tcPr>
            <w:tcW w:w="1595" w:type="dxa"/>
          </w:tcPr>
          <w:p w:rsidR="00CD2A5A" w:rsidRDefault="00CD2A5A">
            <w:pPr>
              <w:spacing w:before="40" w:after="40"/>
              <w:jc w:val="center"/>
              <w:rPr>
                <w:sz w:val="20"/>
                <w:szCs w:val="20"/>
                <w:lang w:val="es-SV"/>
              </w:rPr>
            </w:pPr>
            <w:r>
              <w:rPr>
                <w:sz w:val="20"/>
                <w:szCs w:val="20"/>
                <w:lang w:val="es-SV"/>
              </w:rPr>
              <w:t>138</w:t>
            </w:r>
          </w:p>
        </w:tc>
        <w:tc>
          <w:tcPr>
            <w:tcW w:w="1595" w:type="dxa"/>
          </w:tcPr>
          <w:p w:rsidR="00CD2A5A" w:rsidRDefault="00CD2A5A">
            <w:pPr>
              <w:spacing w:before="40" w:after="40"/>
              <w:jc w:val="center"/>
              <w:rPr>
                <w:sz w:val="20"/>
                <w:szCs w:val="20"/>
                <w:lang w:val="es-SV"/>
              </w:rPr>
            </w:pPr>
            <w:r>
              <w:rPr>
                <w:sz w:val="20"/>
                <w:szCs w:val="20"/>
                <w:lang w:val="es-SV"/>
              </w:rPr>
              <w:t>145</w:t>
            </w:r>
          </w:p>
        </w:tc>
        <w:tc>
          <w:tcPr>
            <w:tcW w:w="1595" w:type="dxa"/>
          </w:tcPr>
          <w:p w:rsidR="00CD2A5A" w:rsidRDefault="00CD2A5A">
            <w:pPr>
              <w:spacing w:before="40" w:after="40"/>
              <w:jc w:val="center"/>
              <w:rPr>
                <w:sz w:val="20"/>
                <w:szCs w:val="20"/>
                <w:lang w:val="es-SV"/>
              </w:rPr>
            </w:pPr>
            <w:r>
              <w:rPr>
                <w:sz w:val="20"/>
                <w:szCs w:val="20"/>
                <w:lang w:val="es-SV"/>
              </w:rPr>
              <w:t>151</w:t>
            </w:r>
          </w:p>
        </w:tc>
      </w:tr>
      <w:tr w:rsidR="00CD2A5A">
        <w:trPr>
          <w:jc w:val="center"/>
        </w:trPr>
        <w:tc>
          <w:tcPr>
            <w:tcW w:w="1595" w:type="dxa"/>
          </w:tcPr>
          <w:p w:rsidR="00CD2A5A" w:rsidRDefault="00CD2A5A">
            <w:pPr>
              <w:spacing w:before="40" w:after="40"/>
              <w:rPr>
                <w:sz w:val="20"/>
                <w:szCs w:val="20"/>
                <w:lang w:val="es-SV"/>
              </w:rPr>
            </w:pPr>
            <w:r>
              <w:rPr>
                <w:sz w:val="20"/>
                <w:szCs w:val="20"/>
                <w:lang w:val="es-SV"/>
              </w:rPr>
              <w:t>Elementary</w:t>
            </w:r>
          </w:p>
        </w:tc>
        <w:tc>
          <w:tcPr>
            <w:tcW w:w="1595" w:type="dxa"/>
          </w:tcPr>
          <w:p w:rsidR="00CD2A5A" w:rsidRDefault="00CD2A5A">
            <w:pPr>
              <w:spacing w:before="40" w:after="40"/>
              <w:jc w:val="center"/>
              <w:rPr>
                <w:sz w:val="20"/>
                <w:szCs w:val="20"/>
                <w:lang w:val="es-SV"/>
              </w:rPr>
            </w:pPr>
            <w:r>
              <w:rPr>
                <w:sz w:val="20"/>
                <w:szCs w:val="20"/>
                <w:lang w:val="es-SV"/>
              </w:rPr>
              <w:t>243</w:t>
            </w:r>
          </w:p>
        </w:tc>
        <w:tc>
          <w:tcPr>
            <w:tcW w:w="1595" w:type="dxa"/>
          </w:tcPr>
          <w:p w:rsidR="00CD2A5A" w:rsidRDefault="00CD2A5A">
            <w:pPr>
              <w:spacing w:before="40" w:after="40"/>
              <w:jc w:val="center"/>
              <w:rPr>
                <w:sz w:val="20"/>
                <w:szCs w:val="20"/>
                <w:lang w:val="es-SV"/>
              </w:rPr>
            </w:pPr>
            <w:r>
              <w:rPr>
                <w:sz w:val="20"/>
                <w:szCs w:val="20"/>
                <w:lang w:val="es-SV"/>
              </w:rPr>
              <w:t>234</w:t>
            </w:r>
          </w:p>
        </w:tc>
        <w:tc>
          <w:tcPr>
            <w:tcW w:w="1595" w:type="dxa"/>
          </w:tcPr>
          <w:p w:rsidR="00CD2A5A" w:rsidRDefault="00CD2A5A">
            <w:pPr>
              <w:spacing w:before="40" w:after="40"/>
              <w:jc w:val="center"/>
              <w:rPr>
                <w:sz w:val="20"/>
                <w:szCs w:val="20"/>
                <w:lang w:val="es-SV"/>
              </w:rPr>
            </w:pPr>
            <w:r>
              <w:rPr>
                <w:sz w:val="20"/>
                <w:szCs w:val="20"/>
                <w:lang w:val="es-SV"/>
              </w:rPr>
              <w:t>216</w:t>
            </w:r>
          </w:p>
        </w:tc>
        <w:tc>
          <w:tcPr>
            <w:tcW w:w="1595" w:type="dxa"/>
          </w:tcPr>
          <w:p w:rsidR="00CD2A5A" w:rsidRDefault="00CD2A5A">
            <w:pPr>
              <w:spacing w:before="40" w:after="40"/>
              <w:jc w:val="center"/>
              <w:rPr>
                <w:sz w:val="20"/>
                <w:szCs w:val="20"/>
                <w:lang w:val="es-SV"/>
              </w:rPr>
            </w:pPr>
            <w:r>
              <w:rPr>
                <w:sz w:val="20"/>
                <w:szCs w:val="20"/>
                <w:lang w:val="es-SV"/>
              </w:rPr>
              <w:t>213</w:t>
            </w:r>
          </w:p>
        </w:tc>
        <w:tc>
          <w:tcPr>
            <w:tcW w:w="1595" w:type="dxa"/>
          </w:tcPr>
          <w:p w:rsidR="00CD2A5A" w:rsidRDefault="00CD2A5A">
            <w:pPr>
              <w:spacing w:before="40" w:after="40"/>
              <w:jc w:val="center"/>
              <w:rPr>
                <w:sz w:val="20"/>
                <w:szCs w:val="20"/>
                <w:lang w:val="es-SV"/>
              </w:rPr>
            </w:pPr>
            <w:r>
              <w:rPr>
                <w:sz w:val="20"/>
                <w:szCs w:val="20"/>
                <w:lang w:val="es-SV"/>
              </w:rPr>
              <w:t>227</w:t>
            </w:r>
          </w:p>
        </w:tc>
      </w:tr>
      <w:tr w:rsidR="00CD2A5A">
        <w:trPr>
          <w:jc w:val="center"/>
        </w:trPr>
        <w:tc>
          <w:tcPr>
            <w:tcW w:w="1595" w:type="dxa"/>
          </w:tcPr>
          <w:p w:rsidR="00CD2A5A" w:rsidRDefault="00CD2A5A">
            <w:pPr>
              <w:spacing w:before="40" w:after="40"/>
              <w:rPr>
                <w:sz w:val="20"/>
                <w:szCs w:val="20"/>
                <w:lang w:val="es-SV"/>
              </w:rPr>
            </w:pPr>
            <w:r>
              <w:rPr>
                <w:sz w:val="20"/>
                <w:szCs w:val="20"/>
                <w:lang w:val="es-SV"/>
              </w:rPr>
              <w:t>High school</w:t>
            </w:r>
          </w:p>
        </w:tc>
        <w:tc>
          <w:tcPr>
            <w:tcW w:w="1595" w:type="dxa"/>
          </w:tcPr>
          <w:p w:rsidR="00CD2A5A" w:rsidRDefault="00CD2A5A">
            <w:pPr>
              <w:spacing w:before="40" w:after="40"/>
              <w:jc w:val="center"/>
              <w:rPr>
                <w:sz w:val="20"/>
                <w:szCs w:val="20"/>
                <w:lang w:val="es-SV"/>
              </w:rPr>
            </w:pPr>
            <w:r>
              <w:rPr>
                <w:sz w:val="20"/>
                <w:szCs w:val="20"/>
                <w:lang w:val="es-SV"/>
              </w:rPr>
              <w:t>333</w:t>
            </w:r>
          </w:p>
        </w:tc>
        <w:tc>
          <w:tcPr>
            <w:tcW w:w="1595" w:type="dxa"/>
          </w:tcPr>
          <w:p w:rsidR="00CD2A5A" w:rsidRDefault="00CD2A5A">
            <w:pPr>
              <w:spacing w:before="40" w:after="40"/>
              <w:jc w:val="center"/>
              <w:rPr>
                <w:sz w:val="20"/>
                <w:szCs w:val="20"/>
                <w:lang w:val="es-SV"/>
              </w:rPr>
            </w:pPr>
            <w:r>
              <w:rPr>
                <w:sz w:val="20"/>
                <w:szCs w:val="20"/>
                <w:lang w:val="es-SV"/>
              </w:rPr>
              <w:t>398</w:t>
            </w:r>
          </w:p>
        </w:tc>
        <w:tc>
          <w:tcPr>
            <w:tcW w:w="1595" w:type="dxa"/>
          </w:tcPr>
          <w:p w:rsidR="00CD2A5A" w:rsidRDefault="00CD2A5A">
            <w:pPr>
              <w:spacing w:before="40" w:after="40"/>
              <w:jc w:val="center"/>
              <w:rPr>
                <w:sz w:val="20"/>
                <w:szCs w:val="20"/>
                <w:lang w:val="es-SV"/>
              </w:rPr>
            </w:pPr>
            <w:r>
              <w:rPr>
                <w:sz w:val="20"/>
                <w:szCs w:val="20"/>
                <w:lang w:val="es-SV"/>
              </w:rPr>
              <w:t>396</w:t>
            </w:r>
          </w:p>
        </w:tc>
        <w:tc>
          <w:tcPr>
            <w:tcW w:w="1595" w:type="dxa"/>
          </w:tcPr>
          <w:p w:rsidR="00CD2A5A" w:rsidRDefault="00CD2A5A">
            <w:pPr>
              <w:spacing w:before="40" w:after="40"/>
              <w:jc w:val="center"/>
              <w:rPr>
                <w:sz w:val="20"/>
                <w:szCs w:val="20"/>
                <w:lang w:val="es-SV"/>
              </w:rPr>
            </w:pPr>
            <w:r>
              <w:rPr>
                <w:sz w:val="20"/>
                <w:szCs w:val="20"/>
                <w:lang w:val="es-SV"/>
              </w:rPr>
              <w:t>283</w:t>
            </w:r>
          </w:p>
        </w:tc>
        <w:tc>
          <w:tcPr>
            <w:tcW w:w="1595" w:type="dxa"/>
          </w:tcPr>
          <w:p w:rsidR="00CD2A5A" w:rsidRDefault="00CD2A5A">
            <w:pPr>
              <w:spacing w:before="40" w:after="40"/>
              <w:jc w:val="center"/>
              <w:rPr>
                <w:sz w:val="20"/>
                <w:szCs w:val="20"/>
                <w:lang w:val="es-SV"/>
              </w:rPr>
            </w:pPr>
            <w:r>
              <w:rPr>
                <w:sz w:val="20"/>
                <w:szCs w:val="20"/>
                <w:lang w:val="es-SV"/>
              </w:rPr>
              <w:t>293</w:t>
            </w:r>
          </w:p>
        </w:tc>
      </w:tr>
    </w:tbl>
    <w:p w:rsidR="00CD2A5A" w:rsidRDefault="00CD2A5A">
      <w:pPr>
        <w:pStyle w:val="Source"/>
      </w:pPr>
      <w:r>
        <w:rPr>
          <w:i/>
        </w:rPr>
        <w:t>Source</w:t>
      </w:r>
      <w:r>
        <w:t>: MINED. (2001-2005)</w:t>
      </w:r>
    </w:p>
    <w:p w:rsidR="00CD2A5A" w:rsidRDefault="00CD2A5A" w:rsidP="006228EF">
      <w:pPr>
        <w:pStyle w:val="A0"/>
        <w:rPr>
          <w:lang w:val="en-US"/>
        </w:rPr>
      </w:pPr>
      <w:r>
        <w:t>B.  Activities to improve the coverage and quality of education</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bCs/>
          <w:lang w:val="en-US"/>
        </w:rPr>
      </w:pPr>
      <w:r>
        <w:rPr>
          <w:rFonts w:ascii="Times New Roman" w:hAnsi="Times New Roman" w:cs="Times New Roman"/>
          <w:bCs/>
          <w:lang w:val="en-GB"/>
        </w:rPr>
        <w:t>The challenge facing the Ministry of Education in terms of coverage is to reduce the percentage of the population that does not attend school by expanding the coverage of nursery, elementary and high-school education, raising literacy levels and catering for the whole poor and above-age population.</w:t>
      </w:r>
      <w:r>
        <w:rPr>
          <w:rFonts w:ascii="Times New Roman" w:hAnsi="Times New Roman" w:cs="Times New Roman"/>
          <w:bCs/>
          <w:lang w:val="en-US"/>
        </w:rPr>
        <w:t xml:space="preserve"> </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bCs/>
          <w:lang w:val="es-SV"/>
        </w:rPr>
      </w:pPr>
      <w:r>
        <w:rPr>
          <w:rFonts w:ascii="Times New Roman" w:hAnsi="Times New Roman" w:cs="Times New Roman"/>
          <w:bCs/>
          <w:lang w:val="en-GB"/>
        </w:rPr>
        <w:t>Among the activities designed to close the gap in coverage and quality under the Educo programme, enrolments of students from nursery to baccalaureate level have been maintained at more than 320,000 since 2004.</w:t>
      </w:r>
      <w:r>
        <w:rPr>
          <w:rFonts w:ascii="Times New Roman" w:hAnsi="Times New Roman" w:cs="Times New Roman"/>
          <w:bCs/>
          <w:lang w:val="en-US"/>
        </w:rPr>
        <w:t xml:space="preserve"> </w:t>
      </w:r>
      <w:r>
        <w:rPr>
          <w:rFonts w:ascii="Times New Roman" w:hAnsi="Times New Roman" w:cs="Times New Roman"/>
          <w:bCs/>
          <w:lang w:val="en-GB"/>
        </w:rPr>
        <w:t>The programme has 17 educational establishments that have expanded educational services to the baccalaureate in rural areas, administered by the community, including a National High-School Institute.</w:t>
      </w:r>
      <w:r>
        <w:rPr>
          <w:rFonts w:ascii="Times New Roman" w:hAnsi="Times New Roman" w:cs="Times New Roman"/>
          <w:bCs/>
          <w:lang w:val="en-US"/>
        </w:rPr>
        <w:t xml:space="preserve"> </w:t>
      </w:r>
      <w:r>
        <w:rPr>
          <w:rFonts w:ascii="Times New Roman" w:hAnsi="Times New Roman" w:cs="Times New Roman"/>
          <w:bCs/>
          <w:lang w:val="en-GB"/>
        </w:rPr>
        <w:t>From 2005 a strategy was implemented of remedial classes, especially in first grade, to enable pupils to successfully complete first grade and be moved up to second grade.</w:t>
      </w:r>
      <w:r>
        <w:rPr>
          <w:rFonts w:ascii="Times New Roman" w:hAnsi="Times New Roman" w:cs="Times New Roman"/>
          <w:bCs/>
          <w:lang w:val="en-US"/>
        </w:rPr>
        <w:t xml:space="preserve"> </w:t>
      </w:r>
      <w:r>
        <w:rPr>
          <w:rFonts w:ascii="Times New Roman" w:hAnsi="Times New Roman" w:cs="Times New Roman"/>
          <w:bCs/>
          <w:lang w:val="en-GB"/>
        </w:rPr>
        <w:t>This strategy is being extended to the higher grades.</w:t>
      </w:r>
      <w:r>
        <w:rPr>
          <w:rFonts w:ascii="Times New Roman" w:hAnsi="Times New Roman" w:cs="Times New Roman"/>
          <w:bCs/>
          <w:lang w:val="es-SV"/>
        </w:rPr>
        <w:t xml:space="preserve"> </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bCs/>
          <w:lang w:val="en-US"/>
        </w:rPr>
      </w:pPr>
      <w:r>
        <w:rPr>
          <w:rFonts w:ascii="Times New Roman" w:hAnsi="Times New Roman" w:cs="Times New Roman"/>
          <w:bCs/>
          <w:lang w:val="en-GB"/>
        </w:rPr>
        <w:t>Under the Opportunities Programme and the National Education Plan 2021, since 2005 the Ministry of Education has been implementing the Effective schooling Network programme, one of the main Government management initiatives for the 2004-2009 period.</w:t>
      </w:r>
      <w:r>
        <w:rPr>
          <w:rFonts w:ascii="Times New Roman" w:hAnsi="Times New Roman" w:cs="Times New Roman"/>
          <w:bCs/>
          <w:lang w:val="en-US"/>
        </w:rPr>
        <w:t xml:space="preserve"> </w:t>
      </w:r>
      <w:r>
        <w:rPr>
          <w:rFonts w:ascii="Times New Roman" w:hAnsi="Times New Roman" w:cs="Times New Roman"/>
          <w:bCs/>
          <w:lang w:val="en-GB"/>
        </w:rPr>
        <w:t>The Effective schooling Network aims to improve efficiency in the provision of educational services and to enable children and young people to gain access to high quality education.</w:t>
      </w:r>
      <w:r>
        <w:rPr>
          <w:rFonts w:ascii="Times New Roman" w:hAnsi="Times New Roman" w:cs="Times New Roman"/>
          <w:bCs/>
          <w:lang w:val="en-US"/>
        </w:rPr>
        <w:t xml:space="preserve"> </w:t>
      </w:r>
      <w:r>
        <w:rPr>
          <w:rFonts w:ascii="Times New Roman" w:hAnsi="Times New Roman" w:cs="Times New Roman"/>
          <w:bCs/>
          <w:lang w:val="en-GB"/>
        </w:rPr>
        <w:t>In the 100 municipalities in extreme poverty and with the highest repetition and dropout rate in the country, 105 Effective Schooling Networks were set up, involving 780 educational establishments with enrolments of about 124,243 students, and 3,436 teachers.</w:t>
      </w:r>
      <w:r>
        <w:rPr>
          <w:rFonts w:ascii="Times New Roman" w:hAnsi="Times New Roman" w:cs="Times New Roman"/>
          <w:bCs/>
          <w:lang w:val="en-US"/>
        </w:rPr>
        <w:t xml:space="preserve"> </w:t>
      </w:r>
      <w:r>
        <w:rPr>
          <w:rFonts w:ascii="Times New Roman" w:hAnsi="Times New Roman" w:cs="Times New Roman"/>
          <w:bCs/>
          <w:lang w:val="en-GB"/>
        </w:rPr>
        <w:t>As at 2006, the 66 networks organized brought 4,460 new students into the national education system, mainly as a result of the conditional money transfers to families benefiting under the Solidarity Network programme.</w:t>
      </w:r>
      <w:r>
        <w:rPr>
          <w:rFonts w:ascii="Times New Roman" w:hAnsi="Times New Roman" w:cs="Times New Roman"/>
          <w:bCs/>
          <w:lang w:val="en-US"/>
        </w:rPr>
        <w:t xml:space="preserve"> </w:t>
      </w:r>
      <w:r>
        <w:rPr>
          <w:rFonts w:ascii="Times New Roman" w:hAnsi="Times New Roman" w:cs="Times New Roman"/>
          <w:bCs/>
          <w:lang w:val="en-GB"/>
        </w:rPr>
        <w:t>The networks receive technical assistance with teaching and administration to improve access and help students to stay in school.</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bCs/>
          <w:lang w:val="en-US"/>
        </w:rPr>
      </w:pPr>
      <w:r>
        <w:rPr>
          <w:rFonts w:ascii="Times New Roman" w:hAnsi="Times New Roman" w:cs="Times New Roman"/>
          <w:bCs/>
          <w:lang w:val="en-GB"/>
        </w:rPr>
        <w:t>The network steering committees coordinate the various activities for the benefit of the network, and receive the relevant guidelines for implementing common initiatives to help improve integration of the member schools.</w:t>
      </w:r>
      <w:r>
        <w:rPr>
          <w:rFonts w:ascii="Times New Roman" w:hAnsi="Times New Roman" w:cs="Times New Roman"/>
          <w:bCs/>
          <w:lang w:val="en-US"/>
        </w:rPr>
        <w:t xml:space="preserve"> </w:t>
      </w:r>
      <w:r>
        <w:rPr>
          <w:rFonts w:ascii="Times New Roman" w:hAnsi="Times New Roman" w:cs="Times New Roman"/>
          <w:bCs/>
          <w:lang w:val="en-GB"/>
        </w:rPr>
        <w:t>Some 500 first- and second-cycle teachers have begun a process of specialization in the areas of language and mathematics so as to serve students better and improve their learning experience.</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bCs/>
          <w:lang w:val="en-US"/>
        </w:rPr>
      </w:pPr>
      <w:r>
        <w:rPr>
          <w:rFonts w:ascii="Times New Roman" w:hAnsi="Times New Roman" w:cs="Times New Roman"/>
          <w:bCs/>
          <w:lang w:val="en-GB"/>
        </w:rPr>
        <w:t>Pupils from nursery to sixth grade receive a daily snack at school.</w:t>
      </w:r>
      <w:r>
        <w:rPr>
          <w:rFonts w:ascii="Times New Roman" w:hAnsi="Times New Roman" w:cs="Times New Roman"/>
          <w:bCs/>
          <w:lang w:val="en-US"/>
        </w:rPr>
        <w:t xml:space="preserve"> </w:t>
      </w:r>
      <w:r>
        <w:rPr>
          <w:rFonts w:ascii="Times New Roman" w:hAnsi="Times New Roman" w:cs="Times New Roman"/>
          <w:bCs/>
          <w:lang w:val="en-GB"/>
        </w:rPr>
        <w:t>Language and mathematics books have also been supplied to all first- and second-grade pupils, to support and help them learn to read and write and perform arithmetic.</w:t>
      </w:r>
      <w:r>
        <w:rPr>
          <w:rFonts w:ascii="Times New Roman" w:hAnsi="Times New Roman" w:cs="Times New Roman"/>
          <w:bCs/>
          <w:lang w:val="en-US"/>
        </w:rPr>
        <w:t xml:space="preserve"> </w:t>
      </w:r>
      <w:r>
        <w:rPr>
          <w:rFonts w:ascii="Times New Roman" w:hAnsi="Times New Roman" w:cs="Times New Roman"/>
          <w:bCs/>
          <w:lang w:val="en-GB"/>
        </w:rPr>
        <w:t>Pupils, mainly in first grade, receive remedial teaching to help them learn to read and write.</w:t>
      </w:r>
      <w:r>
        <w:rPr>
          <w:rFonts w:ascii="Times New Roman" w:hAnsi="Times New Roman" w:cs="Times New Roman"/>
          <w:bCs/>
          <w:lang w:val="en-US"/>
        </w:rPr>
        <w:t xml:space="preserve"> </w:t>
      </w:r>
      <w:r>
        <w:rPr>
          <w:rFonts w:ascii="Times New Roman" w:hAnsi="Times New Roman" w:cs="Times New Roman"/>
          <w:bCs/>
          <w:lang w:val="en-GB"/>
        </w:rPr>
        <w:t>In elementary education, the following measures safeguard the children’s right to education:</w:t>
      </w:r>
      <w:r>
        <w:rPr>
          <w:rFonts w:ascii="Times New Roman" w:hAnsi="Times New Roman" w:cs="Times New Roman"/>
          <w:bCs/>
          <w:lang w:val="en-US"/>
        </w:rPr>
        <w:t xml:space="preserve"> </w:t>
      </w:r>
      <w:r>
        <w:rPr>
          <w:rFonts w:ascii="Times New Roman" w:hAnsi="Times New Roman" w:cs="Times New Roman"/>
          <w:bCs/>
          <w:lang w:val="en-GB"/>
        </w:rPr>
        <w:t>new regulations to encourage access to elementary education; ensuring that the necessary conditions are met to guarantee a suitable environment for a good education that encourages students to continue their studies;</w:t>
      </w:r>
      <w:r>
        <w:rPr>
          <w:rFonts w:ascii="Times New Roman" w:hAnsi="Times New Roman" w:cs="Times New Roman"/>
          <w:bCs/>
          <w:lang w:val="en-US"/>
        </w:rPr>
        <w:t xml:space="preserve"> </w:t>
      </w:r>
      <w:r>
        <w:rPr>
          <w:rFonts w:ascii="Times New Roman" w:hAnsi="Times New Roman" w:cs="Times New Roman"/>
          <w:bCs/>
          <w:lang w:val="en-GB"/>
        </w:rPr>
        <w:t>facilitating the processes of providing teaching resources in schools; facilitating processes of long-term (PEI) and short-term (PEA) planning to create a culture of educational planning based on children’s learning;</w:t>
      </w:r>
      <w:r>
        <w:rPr>
          <w:rFonts w:ascii="Times New Roman" w:hAnsi="Times New Roman" w:cs="Times New Roman"/>
          <w:bCs/>
          <w:lang w:val="en-US"/>
        </w:rPr>
        <w:t xml:space="preserve"> </w:t>
      </w:r>
      <w:r>
        <w:rPr>
          <w:rFonts w:ascii="Times New Roman" w:hAnsi="Times New Roman" w:cs="Times New Roman"/>
          <w:bCs/>
          <w:lang w:val="en-GB"/>
        </w:rPr>
        <w:t>supporting all institutional and international efforts that are of educational benefit to pupils in the level;</w:t>
      </w:r>
      <w:r>
        <w:rPr>
          <w:rFonts w:ascii="Times New Roman" w:hAnsi="Times New Roman" w:cs="Times New Roman"/>
          <w:bCs/>
          <w:lang w:val="en-US"/>
        </w:rPr>
        <w:t xml:space="preserve"> </w:t>
      </w:r>
      <w:r>
        <w:rPr>
          <w:rFonts w:ascii="Times New Roman" w:hAnsi="Times New Roman" w:cs="Times New Roman"/>
          <w:bCs/>
          <w:lang w:val="en-GB"/>
        </w:rPr>
        <w:t>set up school registers to ensure that promoted students retain their legal entitlement; orientating departmental quality monitoring teams towards the improvement of school management in a way that favours elementary education;</w:t>
      </w:r>
      <w:r>
        <w:rPr>
          <w:rFonts w:ascii="Times New Roman" w:hAnsi="Times New Roman" w:cs="Times New Roman"/>
          <w:bCs/>
          <w:lang w:val="en-US"/>
        </w:rPr>
        <w:t xml:space="preserve"> </w:t>
      </w:r>
      <w:r>
        <w:rPr>
          <w:rFonts w:ascii="Times New Roman" w:hAnsi="Times New Roman" w:cs="Times New Roman"/>
          <w:bCs/>
          <w:lang w:val="en-GB"/>
        </w:rPr>
        <w:t>checking that the 200 school days per year are taught and that the study hours are in accordance with the regulations and academic workload of the level;</w:t>
      </w:r>
      <w:r>
        <w:rPr>
          <w:rFonts w:ascii="Times New Roman" w:hAnsi="Times New Roman" w:cs="Times New Roman"/>
          <w:bCs/>
          <w:lang w:val="en-US"/>
        </w:rPr>
        <w:t xml:space="preserve"> </w:t>
      </w:r>
      <w:r>
        <w:rPr>
          <w:rFonts w:ascii="Times New Roman" w:hAnsi="Times New Roman" w:cs="Times New Roman"/>
          <w:bCs/>
          <w:lang w:val="en-GB"/>
        </w:rPr>
        <w:t>supporting the process of creating new sections in elementary education;</w:t>
      </w:r>
      <w:r>
        <w:rPr>
          <w:rFonts w:ascii="Times New Roman" w:hAnsi="Times New Roman" w:cs="Times New Roman"/>
          <w:bCs/>
          <w:lang w:val="en-US"/>
        </w:rPr>
        <w:t xml:space="preserve"> </w:t>
      </w:r>
      <w:r>
        <w:rPr>
          <w:rFonts w:ascii="Times New Roman" w:hAnsi="Times New Roman" w:cs="Times New Roman"/>
          <w:bCs/>
          <w:lang w:val="en-GB"/>
        </w:rPr>
        <w:t>investigate and solve cases where children are denied the right to education; and incorporate into circulars information on the development of family involvement in learning.</w:t>
      </w:r>
    </w:p>
    <w:p w:rsidR="00CD2A5A" w:rsidRDefault="00CD2A5A">
      <w:pPr>
        <w:pStyle w:val="BodyText"/>
        <w:widowControl/>
        <w:numPr>
          <w:ilvl w:val="0"/>
          <w:numId w:val="3"/>
        </w:numPr>
        <w:tabs>
          <w:tab w:val="clear" w:pos="720"/>
        </w:tabs>
        <w:snapToGrid/>
        <w:spacing w:before="0" w:after="240"/>
        <w:ind w:left="0" w:firstLine="0"/>
        <w:jc w:val="left"/>
        <w:rPr>
          <w:bCs/>
          <w:sz w:val="24"/>
          <w:lang w:val="en-US"/>
        </w:rPr>
      </w:pPr>
      <w:r>
        <w:rPr>
          <w:bCs/>
          <w:sz w:val="24"/>
          <w:lang w:val="en-GB"/>
        </w:rPr>
        <w:t>The Ministry of Education has taken some important steps that have enabled coverage to be expanded in the third cycle and high school.</w:t>
      </w:r>
      <w:r>
        <w:rPr>
          <w:bCs/>
          <w:sz w:val="24"/>
          <w:lang w:val="en-US"/>
        </w:rPr>
        <w:t xml:space="preserve"> </w:t>
      </w:r>
      <w:r>
        <w:rPr>
          <w:bCs/>
          <w:sz w:val="24"/>
          <w:lang w:val="en-GB"/>
        </w:rPr>
        <w:t>For 2006, 826 grants were awarded to baccalaureate students, 502 to women and 326 to men.</w:t>
      </w:r>
      <w:r>
        <w:rPr>
          <w:bCs/>
          <w:sz w:val="24"/>
          <w:lang w:val="en-US"/>
        </w:rPr>
        <w:t xml:space="preserve"> </w:t>
      </w:r>
      <w:r>
        <w:rPr>
          <w:bCs/>
          <w:sz w:val="24"/>
          <w:lang w:val="en-GB"/>
        </w:rPr>
        <w:t>These grants were awarded on the basis of the following criteria:</w:t>
      </w:r>
      <w:r>
        <w:rPr>
          <w:bCs/>
          <w:sz w:val="24"/>
          <w:lang w:val="en-US"/>
        </w:rPr>
        <w:t xml:space="preserve"> </w:t>
      </w:r>
      <w:r>
        <w:rPr>
          <w:bCs/>
          <w:sz w:val="24"/>
          <w:lang w:val="en-GB"/>
        </w:rPr>
        <w:t>the level of poverty of the applicant; child of a single mother; applicant from a municipality in the Solidarity Network; applicant students attend one of the establishments in the Megatec network or National Technology Institutes.</w:t>
      </w:r>
      <w:r>
        <w:rPr>
          <w:bCs/>
          <w:sz w:val="24"/>
          <w:lang w:val="en-US"/>
        </w:rPr>
        <w:t xml:space="preserve"> </w:t>
      </w:r>
    </w:p>
    <w:p w:rsidR="00CD2A5A" w:rsidRDefault="00CD2A5A">
      <w:pPr>
        <w:keepNext/>
        <w:numPr>
          <w:ilvl w:val="0"/>
          <w:numId w:val="3"/>
        </w:numPr>
        <w:tabs>
          <w:tab w:val="clear" w:pos="720"/>
        </w:tabs>
        <w:spacing w:after="240"/>
        <w:ind w:left="0" w:firstLine="0"/>
        <w:rPr>
          <w:lang w:val="en-US"/>
        </w:rPr>
      </w:pPr>
      <w:r>
        <w:rPr>
          <w:lang w:val="en-GB"/>
        </w:rPr>
        <w:t>Other similar measures and activities included:</w:t>
      </w:r>
    </w:p>
    <w:p w:rsidR="00CD2A5A" w:rsidRDefault="00CD2A5A">
      <w:pPr>
        <w:numPr>
          <w:ilvl w:val="1"/>
          <w:numId w:val="3"/>
        </w:numPr>
        <w:tabs>
          <w:tab w:val="clear" w:pos="1200"/>
        </w:tabs>
        <w:spacing w:after="240"/>
        <w:ind w:left="0" w:firstLine="567"/>
        <w:rPr>
          <w:lang w:val="en-US"/>
        </w:rPr>
      </w:pPr>
      <w:r>
        <w:rPr>
          <w:lang w:val="en-GB"/>
        </w:rPr>
        <w:t>The topic of non-discrimination against pregnant teenagers was included in the Operating Regulations document for elementary educational establishments, which is supplied to head teachers.</w:t>
      </w:r>
      <w:r>
        <w:rPr>
          <w:lang w:val="en-US"/>
        </w:rPr>
        <w:t xml:space="preserve"> </w:t>
      </w:r>
      <w:r>
        <w:rPr>
          <w:lang w:val="en-GB"/>
        </w:rPr>
        <w:t>In most schools, pregnant teenagers are now able to attend in normal school hours and are not expelled or subject to arbitrary measures that violate their rights;</w:t>
      </w:r>
    </w:p>
    <w:p w:rsidR="00CD2A5A" w:rsidRDefault="00CD2A5A">
      <w:pPr>
        <w:numPr>
          <w:ilvl w:val="1"/>
          <w:numId w:val="3"/>
        </w:numPr>
        <w:tabs>
          <w:tab w:val="clear" w:pos="1200"/>
        </w:tabs>
        <w:spacing w:after="240"/>
        <w:ind w:left="0" w:firstLine="567"/>
        <w:rPr>
          <w:lang w:val="en-US"/>
        </w:rPr>
      </w:pPr>
      <w:r>
        <w:rPr>
          <w:lang w:val="en-GB"/>
        </w:rPr>
        <w:t>The Committee on the Family, Women and Children of the Legislative Assembly is considering a reform of the General Education Act, aimed at eradicating discriminatory measures against pregnant girls;</w:t>
      </w:r>
      <w:r>
        <w:rPr>
          <w:rStyle w:val="FootnoteReference"/>
          <w:lang w:val="en-GB"/>
        </w:rPr>
        <w:footnoteReference w:id="37"/>
      </w:r>
    </w:p>
    <w:p w:rsidR="00CD2A5A" w:rsidRDefault="00CD2A5A">
      <w:pPr>
        <w:numPr>
          <w:ilvl w:val="1"/>
          <w:numId w:val="3"/>
        </w:numPr>
        <w:tabs>
          <w:tab w:val="clear" w:pos="1200"/>
        </w:tabs>
        <w:spacing w:after="240"/>
        <w:ind w:left="0" w:firstLine="567"/>
        <w:rPr>
          <w:lang w:val="en-US"/>
        </w:rPr>
      </w:pPr>
      <w:r>
        <w:rPr>
          <w:lang w:val="en-GB"/>
        </w:rPr>
        <w:t>For 2006, 345 grants were awarded for the third cycle and 352 for high school;</w:t>
      </w:r>
    </w:p>
    <w:p w:rsidR="00CD2A5A" w:rsidRDefault="00CD2A5A">
      <w:pPr>
        <w:numPr>
          <w:ilvl w:val="1"/>
          <w:numId w:val="3"/>
        </w:numPr>
        <w:tabs>
          <w:tab w:val="clear" w:pos="1200"/>
        </w:tabs>
        <w:spacing w:after="240"/>
        <w:ind w:left="0" w:firstLine="567"/>
        <w:rPr>
          <w:lang w:val="en-US"/>
        </w:rPr>
      </w:pPr>
      <w:r>
        <w:rPr>
          <w:lang w:val="en-GB"/>
        </w:rPr>
        <w:t>The provision of educational services in the department of La Unión was expanded in five urban educational establishments, equipping them with classrooms, furniture and teachers, which allowed coverage to be increased by 40 per cent in elementary education and also in high school;</w:t>
      </w:r>
    </w:p>
    <w:p w:rsidR="00CD2A5A" w:rsidRDefault="00CD2A5A">
      <w:pPr>
        <w:numPr>
          <w:ilvl w:val="1"/>
          <w:numId w:val="3"/>
        </w:numPr>
        <w:tabs>
          <w:tab w:val="clear" w:pos="1200"/>
        </w:tabs>
        <w:spacing w:after="240"/>
        <w:ind w:left="0" w:firstLine="567"/>
        <w:rPr>
          <w:lang w:val="en-US"/>
        </w:rPr>
      </w:pPr>
      <w:r>
        <w:rPr>
          <w:lang w:val="en-GB"/>
        </w:rPr>
        <w:t>A network of 36 elementary and high schools has been formed and for 2007 it is planned to upgrade students’ vocational skills by means of careers guidance and vocational training projects;</w:t>
      </w:r>
    </w:p>
    <w:p w:rsidR="00CD2A5A" w:rsidRDefault="00CD2A5A">
      <w:pPr>
        <w:numPr>
          <w:ilvl w:val="1"/>
          <w:numId w:val="3"/>
        </w:numPr>
        <w:tabs>
          <w:tab w:val="clear" w:pos="1200"/>
        </w:tabs>
        <w:spacing w:after="240"/>
        <w:ind w:left="0" w:firstLine="567"/>
        <w:rPr>
          <w:lang w:val="en-US"/>
        </w:rPr>
      </w:pPr>
      <w:r>
        <w:rPr>
          <w:lang w:val="en-GB"/>
        </w:rPr>
        <w:t>The range of educational services provided has been expanded in 52 high schools nationwide.</w:t>
      </w:r>
      <w:r>
        <w:rPr>
          <w:lang w:val="en-US"/>
        </w:rPr>
        <w:t xml:space="preserve"> </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lang w:val="en-US"/>
        </w:rPr>
      </w:pPr>
      <w:r>
        <w:rPr>
          <w:rFonts w:ascii="Times New Roman" w:hAnsi="Times New Roman" w:cs="Times New Roman"/>
          <w:lang w:val="en-GB"/>
        </w:rPr>
        <w:t>We should also mention the Accelerated Elementary Education Programme which is a teaching strategy supporting the development of the seventh-, eighth- and ninth-grade curriculum in the third cycle of elementary education, catering for young people in areas of extreme poverty.</w:t>
      </w:r>
      <w:r>
        <w:rPr>
          <w:rFonts w:ascii="Times New Roman" w:hAnsi="Times New Roman" w:cs="Times New Roman"/>
          <w:lang w:val="en-US"/>
        </w:rPr>
        <w:t xml:space="preserve"> </w:t>
      </w:r>
      <w:r>
        <w:rPr>
          <w:rFonts w:ascii="Times New Roman" w:hAnsi="Times New Roman" w:cs="Times New Roman"/>
          <w:lang w:val="en-GB"/>
        </w:rPr>
        <w:t>The accelerated education strategy is a measure designed to increase educational coverage, mainly in marginal rural and urban areas, and aims to improve quality in education of the over-age elementary education population, offering a process enabling them to advance to a high level of schooling and develop skills and attitudes for improved personal and social development.</w:t>
      </w:r>
      <w:r>
        <w:rPr>
          <w:rFonts w:ascii="Times New Roman" w:hAnsi="Times New Roman" w:cs="Times New Roman"/>
          <w:bCs/>
          <w:lang w:val="en-US"/>
        </w:rPr>
        <w:t xml:space="preserve"> </w:t>
      </w:r>
      <w:r>
        <w:rPr>
          <w:rFonts w:ascii="Times New Roman" w:hAnsi="Times New Roman" w:cs="Times New Roman"/>
          <w:bCs/>
          <w:lang w:val="en-GB"/>
        </w:rPr>
        <w:t>Young people are expected to join the formal education system within one or two years and this is an opportunity to obtain certificates for grades two to six of elementary education.</w:t>
      </w:r>
      <w:r>
        <w:rPr>
          <w:rFonts w:ascii="Times New Roman" w:hAnsi="Times New Roman" w:cs="Times New Roman"/>
          <w:bCs/>
          <w:lang w:val="en-US"/>
        </w:rPr>
        <w:t xml:space="preserve"> </w:t>
      </w:r>
      <w:r>
        <w:rPr>
          <w:rFonts w:ascii="Times New Roman" w:hAnsi="Times New Roman" w:cs="Times New Roman"/>
          <w:bCs/>
          <w:lang w:val="en-GB"/>
        </w:rPr>
        <w:t xml:space="preserve">The programme offers the </w:t>
      </w:r>
      <w:r>
        <w:rPr>
          <w:rFonts w:ascii="Times New Roman" w:hAnsi="Times New Roman" w:cs="Times New Roman"/>
          <w:lang w:val="en-GB"/>
        </w:rPr>
        <w:t>target population an educational service based on electronic and online media and caters for demand for elementary education in rural areas where, for geographical and financial reasons, it is not possible for young people to move to urban areas to continue their studies.</w:t>
      </w:r>
      <w:r>
        <w:rPr>
          <w:rFonts w:ascii="Times New Roman" w:hAnsi="Times New Roman" w:cs="Times New Roman"/>
          <w:lang w:val="en-US"/>
        </w:rPr>
        <w:t xml:space="preserve"> </w:t>
      </w:r>
      <w:r>
        <w:rPr>
          <w:rFonts w:ascii="Times New Roman" w:hAnsi="Times New Roman" w:cs="Times New Roman"/>
          <w:lang w:val="en-GB"/>
        </w:rPr>
        <w:t>In 2006 it served a population of 26,400 pupils in 352 schools nationwide.</w:t>
      </w:r>
      <w:r>
        <w:rPr>
          <w:rFonts w:ascii="Times New Roman" w:hAnsi="Times New Roman" w:cs="Times New Roman"/>
          <w:lang w:val="en-US"/>
        </w:rPr>
        <w:t xml:space="preserve"> </w:t>
      </w:r>
      <w:r>
        <w:rPr>
          <w:rFonts w:ascii="Times New Roman" w:hAnsi="Times New Roman" w:cs="Times New Roman"/>
          <w:bCs/>
          <w:lang w:val="en-GB"/>
        </w:rPr>
        <w:t xml:space="preserve">The programme is being implemented at national level, and in 2006 it catered for 589 students within the Effective schooling Network </w:t>
      </w:r>
      <w:r>
        <w:rPr>
          <w:rFonts w:ascii="Times New Roman" w:hAnsi="Times New Roman" w:cs="Times New Roman"/>
          <w:lang w:val="en-GB"/>
        </w:rPr>
        <w:t>(REE),</w:t>
      </w:r>
      <w:r>
        <w:rPr>
          <w:rFonts w:ascii="Times New Roman" w:hAnsi="Times New Roman" w:cs="Times New Roman"/>
          <w:bCs/>
          <w:lang w:val="en-GB"/>
        </w:rPr>
        <w:t xml:space="preserve"> and 2,586 outside it, benefiting a total population of 3,175 students from grades two to six of elementary education.</w:t>
      </w:r>
    </w:p>
    <w:p w:rsidR="00CD2A5A" w:rsidRDefault="00CD2A5A">
      <w:pPr>
        <w:pStyle w:val="Header"/>
        <w:numPr>
          <w:ilvl w:val="0"/>
          <w:numId w:val="3"/>
        </w:numPr>
        <w:tabs>
          <w:tab w:val="clear" w:pos="720"/>
          <w:tab w:val="clear" w:pos="4252"/>
        </w:tabs>
        <w:spacing w:after="240"/>
        <w:ind w:left="0" w:firstLine="0"/>
        <w:rPr>
          <w:bCs/>
          <w:lang w:val="es-SV"/>
        </w:rPr>
      </w:pPr>
      <w:r>
        <w:rPr>
          <w:lang w:val="en-GB"/>
        </w:rPr>
        <w:t>The Alternative Classrooms programme is a strategy designed for students enrolled at schools with a low student population, allowing differentiated education to be provided that takes account of students’ potential and limits; it is run at the same time but separately by a single teacher for students in different grades, specifically in grades two to six of elementary education where the curriculum is suited to the grade and level of each student.</w:t>
      </w:r>
      <w:r>
        <w:rPr>
          <w:lang w:val="en-US"/>
        </w:rPr>
        <w:t xml:space="preserve"> </w:t>
      </w:r>
      <w:r>
        <w:rPr>
          <w:lang w:val="en-GB"/>
        </w:rPr>
        <w:t>The objective of the programme is to devise a participatory and dynamic methodology focusing on the student as the main player in the learning process.</w:t>
      </w:r>
      <w:r>
        <w:rPr>
          <w:lang w:val="en-US"/>
        </w:rPr>
        <w:t xml:space="preserve"> </w:t>
      </w:r>
      <w:r>
        <w:rPr>
          <w:lang w:val="en-GB"/>
        </w:rPr>
        <w:t>It is being implemented nationwide, and in 2006 it served a population of 123,456 students in grades two to six of elementary education.</w:t>
      </w:r>
      <w:r>
        <w:rPr>
          <w:lang w:val="en-US"/>
        </w:rPr>
        <w:t xml:space="preserve"> </w:t>
      </w:r>
      <w:r>
        <w:rPr>
          <w:bCs/>
          <w:lang w:val="en-GB"/>
        </w:rPr>
        <w:t>The programme catered for 1,875 students within the REE, and 125,340 in the population at large.</w:t>
      </w:r>
      <w:r>
        <w:rPr>
          <w:bCs/>
          <w:lang w:val="en-US"/>
        </w:rPr>
        <w:t xml:space="preserve"> </w:t>
      </w:r>
      <w:r>
        <w:rPr>
          <w:bCs/>
          <w:lang w:val="en-GB"/>
        </w:rPr>
        <w:t>See annex XV in this respect.</w:t>
      </w:r>
    </w:p>
    <w:p w:rsidR="00CD2A5A" w:rsidRDefault="00CD2A5A">
      <w:pPr>
        <w:pStyle w:val="BodyTextIndent2"/>
        <w:numPr>
          <w:ilvl w:val="0"/>
          <w:numId w:val="3"/>
        </w:numPr>
        <w:tabs>
          <w:tab w:val="clear" w:pos="720"/>
        </w:tabs>
        <w:spacing w:after="240"/>
        <w:ind w:left="0" w:firstLine="0"/>
        <w:jc w:val="left"/>
        <w:rPr>
          <w:rFonts w:ascii="Times New Roman" w:hAnsi="Times New Roman" w:cs="Times New Roman"/>
          <w:lang w:val="en-US"/>
        </w:rPr>
      </w:pPr>
      <w:r>
        <w:rPr>
          <w:rFonts w:ascii="Times New Roman" w:hAnsi="Times New Roman" w:cs="Times New Roman"/>
          <w:lang w:val="en-GB"/>
        </w:rPr>
        <w:t>We should also mention the Distance-Learning Programme which is a teaching strategy supporting the development of the seventh-, eighth- and ninth-grade curriculum in the third cycle of elementary education, catering for young people in areas of extreme poverty.</w:t>
      </w:r>
      <w:r>
        <w:rPr>
          <w:rFonts w:ascii="Times New Roman" w:hAnsi="Times New Roman" w:cs="Times New Roman"/>
          <w:lang w:val="en-US"/>
        </w:rPr>
        <w:t xml:space="preserve"> </w:t>
      </w:r>
      <w:r>
        <w:rPr>
          <w:rFonts w:ascii="Times New Roman" w:hAnsi="Times New Roman" w:cs="Times New Roman"/>
          <w:bCs/>
          <w:lang w:val="en-GB"/>
        </w:rPr>
        <w:t>The programme offers the target population an educational service based on electronic and online media and caters for demand for elementary education in rural areas where, for geographical and financial reasons, it is not possible for young people to move to urban areas to continue their studies.</w:t>
      </w:r>
      <w:r>
        <w:rPr>
          <w:rFonts w:ascii="Times New Roman" w:hAnsi="Times New Roman" w:cs="Times New Roman"/>
          <w:lang w:val="en-US"/>
        </w:rPr>
        <w:t xml:space="preserve"> </w:t>
      </w:r>
      <w:r>
        <w:rPr>
          <w:rFonts w:ascii="Times New Roman" w:hAnsi="Times New Roman" w:cs="Times New Roman"/>
          <w:lang w:val="en-GB"/>
        </w:rPr>
        <w:t>In 2006 it served a population of 26,400 pupils in 352 schools nationwide.</w:t>
      </w:r>
    </w:p>
    <w:p w:rsidR="00CD2A5A" w:rsidRDefault="00CD2A5A">
      <w:pPr>
        <w:pStyle w:val="Header"/>
        <w:numPr>
          <w:ilvl w:val="0"/>
          <w:numId w:val="3"/>
        </w:numPr>
        <w:tabs>
          <w:tab w:val="clear" w:pos="720"/>
          <w:tab w:val="clear" w:pos="4252"/>
        </w:tabs>
        <w:spacing w:after="240"/>
        <w:ind w:left="0" w:firstLine="0"/>
        <w:rPr>
          <w:lang w:val="en-US"/>
        </w:rPr>
      </w:pPr>
      <w:r>
        <w:rPr>
          <w:lang w:val="en-GB"/>
        </w:rPr>
        <w:t>The issue of teenage pregnancies has always been a highly controversial one in the country’s educational establishments, especially on the cultural level and the myths surrounding the issue.</w:t>
      </w:r>
      <w:r>
        <w:rPr>
          <w:lang w:val="en-US"/>
        </w:rPr>
        <w:t xml:space="preserve"> </w:t>
      </w:r>
      <w:r>
        <w:rPr>
          <w:lang w:val="en-GB"/>
        </w:rPr>
        <w:t>Much of the work involves raising awareness among teaching staff, parents and students, and has achieved much in recent years.</w:t>
      </w:r>
      <w:r>
        <w:rPr>
          <w:lang w:val="en-US"/>
        </w:rPr>
        <w:t xml:space="preserve"> </w:t>
      </w:r>
      <w:r>
        <w:rPr>
          <w:lang w:val="en-GB"/>
        </w:rPr>
        <w:t>Beginning in 1999, head teachers of public- and private-sector elementary schools were invited to devise awareness campaigns on the issue of teenage pregnancy.</w:t>
      </w:r>
      <w:r>
        <w:rPr>
          <w:lang w:val="en-US"/>
        </w:rPr>
        <w:t xml:space="preserve"> </w:t>
      </w:r>
      <w:r>
        <w:rPr>
          <w:lang w:val="en-GB"/>
        </w:rPr>
        <w:t>Over that period, this measure improved the position of pregnant girls in schools.</w:t>
      </w:r>
      <w:r>
        <w:rPr>
          <w:lang w:val="en-US"/>
        </w:rPr>
        <w:t xml:space="preserve">  </w:t>
      </w:r>
      <w:r>
        <w:rPr>
          <w:lang w:val="en-GB"/>
        </w:rPr>
        <w:t>In 2001, a national research project was carried out involving 138 elementary schools.</w:t>
      </w:r>
      <w:r>
        <w:rPr>
          <w:lang w:val="en-US"/>
        </w:rPr>
        <w:t xml:space="preserve"> </w:t>
      </w:r>
      <w:r>
        <w:rPr>
          <w:lang w:val="en-GB"/>
        </w:rPr>
        <w:t>It brought to light very important data on the reasons why pupils drop out of school,</w:t>
      </w:r>
      <w:r>
        <w:rPr>
          <w:lang w:val="en-US"/>
        </w:rPr>
        <w:t xml:space="preserve"> </w:t>
      </w:r>
      <w:r>
        <w:rPr>
          <w:lang w:val="en-GB"/>
        </w:rPr>
        <w:t>one reason being teenage pregnancy.</w:t>
      </w:r>
      <w:r>
        <w:rPr>
          <w:lang w:val="en-US"/>
        </w:rPr>
        <w:t xml:space="preserve"> </w:t>
      </w:r>
      <w:r>
        <w:rPr>
          <w:lang w:val="en-GB"/>
        </w:rPr>
        <w:t>A sample of 101 regulations from elementary schools was reviewed, 87% of which did not require expulsion on grounds of pregnancy.</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This research on pregnancy concluded that although awareness-raising days had been held on the rights of adolescents, the aim was to ensure that all institutions should allow any pregnant pupils to continue studying.</w:t>
      </w:r>
      <w:r>
        <w:rPr>
          <w:lang w:val="en-US"/>
        </w:rPr>
        <w:t xml:space="preserve"> </w:t>
      </w:r>
      <w:r>
        <w:rPr>
          <w:lang w:val="en-GB"/>
        </w:rPr>
        <w:t>The research enabled action such as the following to be taken:</w:t>
      </w:r>
    </w:p>
    <w:p w:rsidR="00CD2A5A" w:rsidRDefault="00CD2A5A">
      <w:pPr>
        <w:pStyle w:val="BodyText2"/>
        <w:numPr>
          <w:ilvl w:val="1"/>
          <w:numId w:val="3"/>
        </w:numPr>
        <w:tabs>
          <w:tab w:val="clear" w:pos="1200"/>
        </w:tabs>
        <w:spacing w:after="240"/>
        <w:ind w:left="0" w:firstLine="567"/>
        <w:jc w:val="left"/>
        <w:rPr>
          <w:lang w:val="en-US"/>
        </w:rPr>
      </w:pPr>
      <w:r>
        <w:rPr>
          <w:lang w:val="en-GB"/>
        </w:rPr>
        <w:t>Awareness-raising workshops with school authorities, describing the legal measures to ensure that the rights of pregnant girls were respected and that efforts were made to prevent teenage pregnancies.</w:t>
      </w:r>
      <w:r>
        <w:rPr>
          <w:lang w:val="en-US"/>
        </w:rPr>
        <w:t xml:space="preserve"> </w:t>
      </w:r>
      <w:r>
        <w:rPr>
          <w:lang w:val="en-GB"/>
        </w:rPr>
        <w:t>These workshops laid emphasis on the legal basis of protection for women;</w:t>
      </w:r>
    </w:p>
    <w:p w:rsidR="00CD2A5A" w:rsidRDefault="00CD2A5A">
      <w:pPr>
        <w:pStyle w:val="BodyText2"/>
        <w:numPr>
          <w:ilvl w:val="1"/>
          <w:numId w:val="3"/>
        </w:numPr>
        <w:tabs>
          <w:tab w:val="clear" w:pos="1200"/>
        </w:tabs>
        <w:spacing w:after="240"/>
        <w:ind w:left="0" w:firstLine="567"/>
        <w:jc w:val="left"/>
        <w:rPr>
          <w:lang w:val="en-US"/>
        </w:rPr>
      </w:pPr>
      <w:r>
        <w:rPr>
          <w:lang w:val="en-GB"/>
        </w:rPr>
        <w:t>Provision of guidelines to schools to keep records of causes of pupils dropping out, and to strive to retain these students.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In 2005, a sample of 50 public schools was provided with tools for collecting information on teenage pregnancy, to provide a reliable database on the issue.</w:t>
      </w:r>
      <w:r>
        <w:rPr>
          <w:lang w:val="en-US"/>
        </w:rPr>
        <w:t xml:space="preserve"> </w:t>
      </w:r>
      <w:r>
        <w:rPr>
          <w:lang w:val="en-GB"/>
        </w:rPr>
        <w:t>The main outcome of this survey was as follows:</w:t>
      </w:r>
      <w:r>
        <w:rPr>
          <w:lang w:val="en-US"/>
        </w:rPr>
        <w:t xml:space="preserve"> </w:t>
      </w:r>
      <w:r>
        <w:rPr>
          <w:lang w:val="en-GB"/>
        </w:rPr>
        <w:t>in 49 shools in the sample there were 198 cases of teenage pregnancy; in the 49 schools in the sample, there was an average of 4.0 pregnant teenagers; 55% of the pregnant pupils were aged between 17 and 18; 81% of pregnant pupils were in the second or third year of the baccalaureate; 63% of the pregnant pupils stayed at the school, which is a success for the awareness-raising campaign among authorities and teachers; and 37% of pregnant pupils left the school at their own choice.</w:t>
      </w:r>
    </w:p>
    <w:p w:rsidR="00CD2A5A" w:rsidRDefault="00CD2A5A">
      <w:pPr>
        <w:pStyle w:val="Header"/>
        <w:numPr>
          <w:ilvl w:val="0"/>
          <w:numId w:val="3"/>
        </w:numPr>
        <w:tabs>
          <w:tab w:val="clear" w:pos="720"/>
          <w:tab w:val="clear" w:pos="4252"/>
        </w:tabs>
        <w:spacing w:after="240"/>
        <w:ind w:left="0" w:firstLine="0"/>
        <w:rPr>
          <w:lang w:val="en-US"/>
        </w:rPr>
      </w:pPr>
      <w:r>
        <w:rPr>
          <w:lang w:val="en-GB"/>
        </w:rPr>
        <w:t>As a result of these strategies, in most educational establishments, the girls are now able to attend in normal school hours and are not expelled or subject to arbitrary measures that violate their rights;</w:t>
      </w:r>
      <w:r>
        <w:rPr>
          <w:lang w:val="en-US"/>
        </w:rPr>
        <w:t xml:space="preserve"> </w:t>
      </w:r>
    </w:p>
    <w:p w:rsidR="00CD2A5A" w:rsidRDefault="00CD2A5A">
      <w:pPr>
        <w:pStyle w:val="Header"/>
        <w:numPr>
          <w:ilvl w:val="0"/>
          <w:numId w:val="3"/>
        </w:numPr>
        <w:tabs>
          <w:tab w:val="clear" w:pos="720"/>
          <w:tab w:val="clear" w:pos="4252"/>
        </w:tabs>
        <w:spacing w:after="240"/>
        <w:ind w:left="0" w:firstLine="0"/>
        <w:rPr>
          <w:spacing w:val="-2"/>
          <w:lang w:val="en-US"/>
        </w:rPr>
      </w:pPr>
      <w:r>
        <w:rPr>
          <w:spacing w:val="-2"/>
          <w:lang w:val="en-GB"/>
        </w:rPr>
        <w:t>In 2006 research was carried out with the aim of collecting information to build a reliable database on educational efficiency indicators, such as</w:t>
      </w:r>
      <w:r>
        <w:rPr>
          <w:spacing w:val="-2"/>
          <w:lang w:val="en-US"/>
        </w:rPr>
        <w:t xml:space="preserve"> </w:t>
      </w:r>
      <w:r>
        <w:rPr>
          <w:spacing w:val="-2"/>
          <w:lang w:val="en-GB"/>
        </w:rPr>
        <w:t>school drop outs and truancy.</w:t>
      </w:r>
      <w:r>
        <w:rPr>
          <w:spacing w:val="-2"/>
          <w:lang w:val="en-US"/>
        </w:rPr>
        <w:t xml:space="preserve"> </w:t>
      </w:r>
      <w:r>
        <w:rPr>
          <w:spacing w:val="-2"/>
          <w:lang w:val="en-GB"/>
        </w:rPr>
        <w:t>Head teachers were provided with a tool for collecting data on the number of pregnant teenagers, their age, school grade and whether they were currently studying in the establishment, with a view to making an analysis and update the database on this issue which is linked to the causes of school drop-outs in the country.</w:t>
      </w:r>
      <w:r>
        <w:rPr>
          <w:spacing w:val="-2"/>
          <w:lang w:val="en-US"/>
        </w:rPr>
        <w:t xml:space="preserve"> </w:t>
      </w:r>
      <w:r>
        <w:rPr>
          <w:spacing w:val="-2"/>
          <w:lang w:val="en-GB"/>
        </w:rPr>
        <w:t>This database will help elementary school coordination, whether supported by or supporting other MINED bodies, to define some strategies with a view to ensuring that schools take measures to enable young girls to continue their studies and complete their baccalaureate.</w:t>
      </w:r>
      <w:r>
        <w:rPr>
          <w:spacing w:val="-2"/>
          <w:lang w:val="en-US"/>
        </w:rPr>
        <w:t xml:space="preserve"> </w:t>
      </w:r>
      <w:r>
        <w:rPr>
          <w:spacing w:val="-2"/>
          <w:lang w:val="en-GB"/>
        </w:rPr>
        <w:t>See Annex XVI for more information on articles 14 and 15 of the Family Code which determine who may or may not contract marriage and the requirements applying to minors.</w:t>
      </w:r>
    </w:p>
    <w:p w:rsidR="00CD2A5A" w:rsidRDefault="00CD2A5A">
      <w:pPr>
        <w:numPr>
          <w:ilvl w:val="0"/>
          <w:numId w:val="3"/>
        </w:numPr>
        <w:tabs>
          <w:tab w:val="clear" w:pos="720"/>
        </w:tabs>
        <w:spacing w:after="240"/>
        <w:ind w:left="0" w:firstLine="0"/>
        <w:rPr>
          <w:lang w:val="en-US"/>
        </w:rPr>
      </w:pPr>
      <w:r>
        <w:rPr>
          <w:lang w:val="en-GB"/>
        </w:rPr>
        <w:t>The Ministry of Education, under a cooperation agreement with the Salvadoran Education and Labour Foundation (Editar), is implementing a project entitled “The Don Bosco Industrial Estate – an alternative education”, with the aim of facilitating access to education by the young population at social risk, by creating opportunities for a quality academic, vocational or business training and the training of business leaders.</w:t>
      </w:r>
      <w:r>
        <w:rPr>
          <w:lang w:val="en-US"/>
        </w:rPr>
        <w:t xml:space="preserve"> </w:t>
      </w:r>
      <w:r>
        <w:rPr>
          <w:lang w:val="en-GB"/>
        </w:rPr>
        <w:t>Since 2003, MINED – in cooperation with Editar – has been awarding grants for academic training at elementary and high-school level; training and work experience in sales, finance, production and management in aluminium, footwear, printing, bakery, die-stamping, and engineering businesses; and vocational training in carpentry, engineering, cutting, textile and electrical workshops.</w:t>
      </w:r>
      <w:r>
        <w:rPr>
          <w:lang w:val="en-US"/>
        </w:rPr>
        <w:t xml:space="preserve"> </w:t>
      </w:r>
      <w:r>
        <w:rPr>
          <w:lang w:val="en-GB"/>
        </w:rPr>
        <w:t>Young people receive the academic, vocation and practical business training, and also receive medical and psychological care, family and legal counselling, food, uniforms, shoes, teaching materials, personal items, and the boarders receive full board and lodging throughout the year.</w:t>
      </w:r>
    </w:p>
    <w:p w:rsidR="00CD2A5A" w:rsidRDefault="00CD2A5A">
      <w:pPr>
        <w:numPr>
          <w:ilvl w:val="0"/>
          <w:numId w:val="3"/>
        </w:numPr>
        <w:tabs>
          <w:tab w:val="clear" w:pos="720"/>
        </w:tabs>
        <w:spacing w:after="240"/>
        <w:ind w:left="0" w:firstLine="0"/>
        <w:rPr>
          <w:lang w:val="es-SV"/>
        </w:rPr>
      </w:pPr>
      <w:r>
        <w:rPr>
          <w:lang w:val="en-GB"/>
        </w:rPr>
        <w:t>In 2006 MINED also promoted the implementation of two relevant activities at national level:</w:t>
      </w:r>
      <w:r>
        <w:rPr>
          <w:lang w:val="en-US"/>
        </w:rPr>
        <w:t xml:space="preserve"> </w:t>
      </w:r>
      <w:r>
        <w:rPr>
          <w:lang w:val="en-GB"/>
        </w:rPr>
        <w:t>“Leisure mornings” and “Art festivals”, involving parents and significant adults, which focus on child rights.</w:t>
      </w:r>
      <w:r>
        <w:rPr>
          <w:lang w:val="en-US"/>
        </w:rPr>
        <w:t xml:space="preserve"> </w:t>
      </w:r>
      <w:r>
        <w:rPr>
          <w:lang w:val="en-GB"/>
        </w:rPr>
        <w:t>A total of 242,414 children took part.</w:t>
      </w:r>
    </w:p>
    <w:p w:rsidR="00CD2A5A" w:rsidRDefault="00CD2A5A">
      <w:pPr>
        <w:numPr>
          <w:ilvl w:val="0"/>
          <w:numId w:val="3"/>
        </w:numPr>
        <w:tabs>
          <w:tab w:val="clear" w:pos="720"/>
        </w:tabs>
        <w:spacing w:after="240"/>
        <w:ind w:left="0" w:firstLine="0"/>
        <w:rPr>
          <w:lang w:val="en-US"/>
        </w:rPr>
      </w:pPr>
      <w:r>
        <w:rPr>
          <w:lang w:val="en-GB"/>
        </w:rPr>
        <w:t>Furthermore, the ten priority programmes of the National Education Plan 2021 include nursery education under the “</w:t>
      </w:r>
      <w:r>
        <w:rPr>
          <w:i/>
          <w:lang w:val="en-GB"/>
        </w:rPr>
        <w:t>Juega Leyendo</w:t>
      </w:r>
      <w:r>
        <w:rPr>
          <w:lang w:val="en-GB"/>
        </w:rPr>
        <w:t>” (Reading though Play) programme.</w:t>
      </w:r>
      <w:r>
        <w:rPr>
          <w:lang w:val="en-US"/>
        </w:rPr>
        <w:t xml:space="preserve"> </w:t>
      </w:r>
      <w:r>
        <w:rPr>
          <w:lang w:val="en-GB"/>
        </w:rPr>
        <w:t xml:space="preserve">The </w:t>
      </w:r>
      <w:r>
        <w:rPr>
          <w:i/>
          <w:lang w:val="en-GB"/>
        </w:rPr>
        <w:t xml:space="preserve">Juega Leyendo </w:t>
      </w:r>
      <w:r>
        <w:rPr>
          <w:lang w:val="en-GB"/>
        </w:rPr>
        <w:t>programme consists of two strategies:</w:t>
      </w:r>
      <w:r>
        <w:rPr>
          <w:lang w:val="en-US"/>
        </w:rPr>
        <w:t xml:space="preserve"> </w:t>
      </w:r>
      <w:r>
        <w:rPr>
          <w:i/>
          <w:iCs/>
          <w:lang w:val="en-GB"/>
        </w:rPr>
        <w:t>a</w:t>
      </w:r>
      <w:r>
        <w:rPr>
          <w:lang w:val="en-GB"/>
        </w:rPr>
        <w:t xml:space="preserve">) one-year community nursery education sections, and </w:t>
      </w:r>
      <w:r>
        <w:rPr>
          <w:i/>
          <w:iCs/>
          <w:lang w:val="en-GB"/>
        </w:rPr>
        <w:t>b</w:t>
      </w:r>
      <w:r>
        <w:rPr>
          <w:lang w:val="en-GB"/>
        </w:rPr>
        <w:t>) sections to prepare for entering first grade of elementary school, lasting three months, both in their own right and as part of the National Education Plan, focusing on six-year-olds, especially those in rural areas classed as extremely poor, difficult to access and with the highest repetition and dropout rates.</w:t>
      </w:r>
      <w:r>
        <w:rPr>
          <w:lang w:val="en-US"/>
        </w:rPr>
        <w:t xml:space="preserve"> </w:t>
      </w:r>
      <w:r>
        <w:rPr>
          <w:lang w:val="en-GB"/>
        </w:rPr>
        <w:t xml:space="preserve">As things stand at this point in 2007, the </w:t>
      </w:r>
      <w:r>
        <w:rPr>
          <w:i/>
          <w:lang w:val="en-GB"/>
        </w:rPr>
        <w:t xml:space="preserve">Juega Leyendo </w:t>
      </w:r>
      <w:r>
        <w:rPr>
          <w:lang w:val="en-GB"/>
        </w:rPr>
        <w:t>programme operates in 76 of the poorest 100 municipalities in El Salvador, across 14 departments.</w:t>
      </w:r>
      <w:r>
        <w:rPr>
          <w:lang w:val="en-US"/>
        </w:rPr>
        <w:t xml:space="preserve"> </w:t>
      </w:r>
      <w:r>
        <w:rPr>
          <w:lang w:val="en-GB"/>
        </w:rPr>
        <w:t>The programme has benefited children who have no access to nursery education, as the following table shows:</w:t>
      </w:r>
    </w:p>
    <w:p w:rsidR="00CD2A5A" w:rsidRDefault="00CD2A5A" w:rsidP="00CD2A5A">
      <w:pPr>
        <w:pStyle w:val="Figure"/>
        <w:rPr>
          <w:lang w:val="en-US"/>
        </w:rPr>
      </w:pPr>
      <w:r>
        <w:t>Figure 62</w:t>
      </w:r>
    </w:p>
    <w:p w:rsidR="00CD2A5A" w:rsidRDefault="00CD2A5A" w:rsidP="00CD2A5A">
      <w:pPr>
        <w:pStyle w:val="Figure"/>
        <w:rPr>
          <w:lang w:val="en-US"/>
        </w:rPr>
      </w:pPr>
      <w:r>
        <w:t xml:space="preserve">Children benefiting under the </w:t>
      </w:r>
      <w:r>
        <w:rPr>
          <w:i/>
        </w:rPr>
        <w:t xml:space="preserve">Juega Leyendo </w:t>
      </w:r>
      <w:r>
        <w:t>programme (2005–2007)</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3"/>
        <w:gridCol w:w="6140"/>
        <w:gridCol w:w="1899"/>
      </w:tblGrid>
      <w:tr w:rsidR="00CD2A5A">
        <w:tblPrEx>
          <w:tblCellMar>
            <w:top w:w="0" w:type="dxa"/>
            <w:bottom w:w="0" w:type="dxa"/>
          </w:tblCellMar>
        </w:tblPrEx>
        <w:trPr>
          <w:jc w:val="center"/>
        </w:trPr>
        <w:tc>
          <w:tcPr>
            <w:tcW w:w="1373" w:type="dxa"/>
            <w:vAlign w:val="center"/>
          </w:tcPr>
          <w:p w:rsidR="00CD2A5A" w:rsidRDefault="00CD2A5A">
            <w:pPr>
              <w:spacing w:before="40" w:after="40"/>
              <w:jc w:val="center"/>
              <w:rPr>
                <w:b/>
                <w:i/>
                <w:sz w:val="20"/>
                <w:szCs w:val="20"/>
                <w:lang w:val="es-SV"/>
              </w:rPr>
            </w:pPr>
            <w:r>
              <w:rPr>
                <w:b/>
                <w:i/>
                <w:sz w:val="20"/>
                <w:szCs w:val="20"/>
                <w:lang w:val="en-GB"/>
              </w:rPr>
              <w:t>Year</w:t>
            </w:r>
          </w:p>
        </w:tc>
        <w:tc>
          <w:tcPr>
            <w:tcW w:w="6140" w:type="dxa"/>
            <w:vAlign w:val="center"/>
          </w:tcPr>
          <w:p w:rsidR="00CD2A5A" w:rsidRDefault="00CD2A5A">
            <w:pPr>
              <w:spacing w:before="40" w:after="40"/>
              <w:jc w:val="center"/>
              <w:rPr>
                <w:b/>
                <w:i/>
                <w:sz w:val="20"/>
                <w:szCs w:val="20"/>
                <w:lang w:val="es-SV"/>
              </w:rPr>
            </w:pPr>
            <w:r>
              <w:rPr>
                <w:b/>
                <w:i/>
                <w:sz w:val="20"/>
                <w:szCs w:val="20"/>
                <w:lang w:val="en-GB"/>
              </w:rPr>
              <w:t>Strategy</w:t>
            </w:r>
          </w:p>
        </w:tc>
        <w:tc>
          <w:tcPr>
            <w:tcW w:w="1899" w:type="dxa"/>
            <w:vAlign w:val="center"/>
          </w:tcPr>
          <w:p w:rsidR="00CD2A5A" w:rsidRDefault="00CD2A5A">
            <w:pPr>
              <w:spacing w:before="40" w:after="40"/>
              <w:jc w:val="center"/>
              <w:rPr>
                <w:b/>
                <w:i/>
                <w:sz w:val="20"/>
                <w:szCs w:val="20"/>
                <w:lang w:val="es-SV"/>
              </w:rPr>
            </w:pPr>
            <w:r>
              <w:rPr>
                <w:b/>
                <w:i/>
                <w:sz w:val="20"/>
                <w:szCs w:val="20"/>
                <w:lang w:val="en-GB"/>
              </w:rPr>
              <w:t>Children</w:t>
            </w:r>
          </w:p>
        </w:tc>
      </w:tr>
      <w:tr w:rsidR="00CD2A5A">
        <w:tblPrEx>
          <w:tblCellMar>
            <w:top w:w="0" w:type="dxa"/>
            <w:bottom w:w="0" w:type="dxa"/>
          </w:tblCellMar>
        </w:tblPrEx>
        <w:trPr>
          <w:jc w:val="center"/>
        </w:trPr>
        <w:tc>
          <w:tcPr>
            <w:tcW w:w="1373" w:type="dxa"/>
          </w:tcPr>
          <w:p w:rsidR="00CD2A5A" w:rsidRDefault="00CD2A5A">
            <w:pPr>
              <w:spacing w:before="40" w:after="40"/>
              <w:rPr>
                <w:sz w:val="20"/>
                <w:szCs w:val="20"/>
                <w:lang w:val="es-SV"/>
              </w:rPr>
            </w:pPr>
            <w:r>
              <w:rPr>
                <w:sz w:val="20"/>
                <w:szCs w:val="20"/>
                <w:lang w:val="es-SV"/>
              </w:rPr>
              <w:t>2005</w:t>
            </w:r>
          </w:p>
        </w:tc>
        <w:tc>
          <w:tcPr>
            <w:tcW w:w="6140" w:type="dxa"/>
          </w:tcPr>
          <w:p w:rsidR="00CD2A5A" w:rsidRDefault="00CD2A5A">
            <w:pPr>
              <w:spacing w:before="40" w:after="40"/>
              <w:rPr>
                <w:sz w:val="20"/>
                <w:szCs w:val="20"/>
                <w:lang w:val="en-US"/>
              </w:rPr>
            </w:pPr>
            <w:r>
              <w:rPr>
                <w:sz w:val="20"/>
                <w:szCs w:val="20"/>
                <w:lang w:val="en-GB"/>
              </w:rPr>
              <w:t xml:space="preserve">25 three-month preparatory sections for entering first grade </w:t>
            </w:r>
            <w:r>
              <w:rPr>
                <w:sz w:val="20"/>
                <w:szCs w:val="20"/>
                <w:lang w:val="en-GB"/>
              </w:rPr>
              <w:br/>
              <w:t>(October 2005 to January 2006)</w:t>
            </w:r>
          </w:p>
        </w:tc>
        <w:tc>
          <w:tcPr>
            <w:tcW w:w="1899" w:type="dxa"/>
            <w:vAlign w:val="center"/>
          </w:tcPr>
          <w:p w:rsidR="00CD2A5A" w:rsidRDefault="00CD2A5A" w:rsidP="00A32998">
            <w:pPr>
              <w:pStyle w:val="TOC1"/>
            </w:pPr>
            <w:r>
              <w:t>401</w:t>
            </w:r>
          </w:p>
        </w:tc>
      </w:tr>
      <w:tr w:rsidR="00CD2A5A">
        <w:tblPrEx>
          <w:tblCellMar>
            <w:top w:w="0" w:type="dxa"/>
            <w:bottom w:w="0" w:type="dxa"/>
          </w:tblCellMar>
        </w:tblPrEx>
        <w:trPr>
          <w:cantSplit/>
          <w:jc w:val="center"/>
        </w:trPr>
        <w:tc>
          <w:tcPr>
            <w:tcW w:w="1373" w:type="dxa"/>
            <w:vMerge w:val="restart"/>
          </w:tcPr>
          <w:p w:rsidR="00CD2A5A" w:rsidRDefault="00CD2A5A">
            <w:pPr>
              <w:spacing w:before="40" w:after="40"/>
              <w:rPr>
                <w:sz w:val="20"/>
                <w:szCs w:val="20"/>
                <w:lang w:val="en-US"/>
              </w:rPr>
            </w:pPr>
            <w:r>
              <w:rPr>
                <w:sz w:val="20"/>
                <w:szCs w:val="20"/>
                <w:lang w:val="en-US"/>
              </w:rPr>
              <w:t>2006</w:t>
            </w:r>
          </w:p>
        </w:tc>
        <w:tc>
          <w:tcPr>
            <w:tcW w:w="6140" w:type="dxa"/>
          </w:tcPr>
          <w:p w:rsidR="00CD2A5A" w:rsidRDefault="00CD2A5A">
            <w:pPr>
              <w:spacing w:before="40" w:after="40"/>
              <w:rPr>
                <w:sz w:val="20"/>
                <w:szCs w:val="20"/>
                <w:lang w:val="en-US"/>
              </w:rPr>
            </w:pPr>
            <w:r>
              <w:rPr>
                <w:sz w:val="20"/>
                <w:szCs w:val="20"/>
                <w:lang w:val="en-GB"/>
              </w:rPr>
              <w:t>50 ten-month community nursery education sections</w:t>
            </w:r>
            <w:r>
              <w:rPr>
                <w:sz w:val="20"/>
                <w:szCs w:val="20"/>
                <w:lang w:val="en-US"/>
              </w:rPr>
              <w:t xml:space="preserve"> </w:t>
            </w:r>
          </w:p>
        </w:tc>
        <w:tc>
          <w:tcPr>
            <w:tcW w:w="1899" w:type="dxa"/>
            <w:vAlign w:val="center"/>
          </w:tcPr>
          <w:p w:rsidR="00CD2A5A" w:rsidRDefault="00CD2A5A">
            <w:pPr>
              <w:spacing w:before="40" w:after="40"/>
              <w:ind w:right="695"/>
              <w:jc w:val="right"/>
              <w:rPr>
                <w:sz w:val="20"/>
                <w:szCs w:val="20"/>
                <w:lang w:val="en-US"/>
              </w:rPr>
            </w:pPr>
            <w:r>
              <w:rPr>
                <w:sz w:val="20"/>
                <w:szCs w:val="20"/>
                <w:lang w:val="en-US"/>
              </w:rPr>
              <w:t>856</w:t>
            </w:r>
          </w:p>
        </w:tc>
      </w:tr>
      <w:tr w:rsidR="00CD2A5A">
        <w:tblPrEx>
          <w:tblCellMar>
            <w:top w:w="0" w:type="dxa"/>
            <w:bottom w:w="0" w:type="dxa"/>
          </w:tblCellMar>
        </w:tblPrEx>
        <w:trPr>
          <w:cantSplit/>
          <w:jc w:val="center"/>
        </w:trPr>
        <w:tc>
          <w:tcPr>
            <w:tcW w:w="1373" w:type="dxa"/>
            <w:vMerge/>
          </w:tcPr>
          <w:p w:rsidR="00CD2A5A" w:rsidRDefault="00CD2A5A">
            <w:pPr>
              <w:spacing w:before="40" w:after="40"/>
              <w:rPr>
                <w:sz w:val="20"/>
                <w:szCs w:val="20"/>
                <w:lang w:val="en-US"/>
              </w:rPr>
            </w:pPr>
          </w:p>
        </w:tc>
        <w:tc>
          <w:tcPr>
            <w:tcW w:w="6140" w:type="dxa"/>
          </w:tcPr>
          <w:p w:rsidR="00CD2A5A" w:rsidRDefault="00CD2A5A">
            <w:pPr>
              <w:spacing w:before="40" w:after="40"/>
              <w:rPr>
                <w:sz w:val="20"/>
                <w:szCs w:val="20"/>
                <w:lang w:val="en-US"/>
              </w:rPr>
            </w:pPr>
            <w:r>
              <w:rPr>
                <w:sz w:val="20"/>
                <w:szCs w:val="20"/>
                <w:lang w:val="en-GB"/>
              </w:rPr>
              <w:t xml:space="preserve">30 three-month preparatory sections for entering first grade </w:t>
            </w:r>
            <w:r>
              <w:rPr>
                <w:sz w:val="20"/>
                <w:szCs w:val="20"/>
                <w:lang w:val="en-GB"/>
              </w:rPr>
              <w:br/>
              <w:t>(October 2006 to January 2007)</w:t>
            </w:r>
          </w:p>
        </w:tc>
        <w:tc>
          <w:tcPr>
            <w:tcW w:w="1899" w:type="dxa"/>
            <w:vAlign w:val="center"/>
          </w:tcPr>
          <w:p w:rsidR="00CD2A5A" w:rsidRDefault="00CD2A5A">
            <w:pPr>
              <w:spacing w:before="40" w:after="40"/>
              <w:ind w:right="695"/>
              <w:jc w:val="right"/>
              <w:rPr>
                <w:sz w:val="20"/>
                <w:szCs w:val="20"/>
                <w:lang w:val="en-US"/>
              </w:rPr>
            </w:pPr>
            <w:r>
              <w:rPr>
                <w:sz w:val="20"/>
                <w:szCs w:val="20"/>
                <w:lang w:val="en-US"/>
              </w:rPr>
              <w:t>476</w:t>
            </w:r>
          </w:p>
        </w:tc>
      </w:tr>
      <w:tr w:rsidR="00CD2A5A">
        <w:tblPrEx>
          <w:tblCellMar>
            <w:top w:w="0" w:type="dxa"/>
            <w:bottom w:w="0" w:type="dxa"/>
          </w:tblCellMar>
        </w:tblPrEx>
        <w:trPr>
          <w:jc w:val="center"/>
        </w:trPr>
        <w:tc>
          <w:tcPr>
            <w:tcW w:w="1373" w:type="dxa"/>
          </w:tcPr>
          <w:p w:rsidR="00CD2A5A" w:rsidRDefault="00CD2A5A">
            <w:pPr>
              <w:spacing w:before="40" w:after="40"/>
              <w:rPr>
                <w:sz w:val="20"/>
                <w:szCs w:val="20"/>
                <w:lang w:val="en-US"/>
              </w:rPr>
            </w:pPr>
            <w:r>
              <w:rPr>
                <w:sz w:val="20"/>
                <w:szCs w:val="20"/>
                <w:lang w:val="en-US"/>
              </w:rPr>
              <w:t>2007</w:t>
            </w:r>
          </w:p>
        </w:tc>
        <w:tc>
          <w:tcPr>
            <w:tcW w:w="6140" w:type="dxa"/>
          </w:tcPr>
          <w:p w:rsidR="00CD2A5A" w:rsidRDefault="00CD2A5A">
            <w:pPr>
              <w:spacing w:before="40" w:after="40"/>
              <w:rPr>
                <w:sz w:val="20"/>
                <w:szCs w:val="20"/>
                <w:lang w:val="en-US"/>
              </w:rPr>
            </w:pPr>
            <w:r>
              <w:rPr>
                <w:sz w:val="20"/>
                <w:szCs w:val="20"/>
                <w:lang w:val="en-GB"/>
              </w:rPr>
              <w:t>96 ten-month community nursery education sections</w:t>
            </w:r>
            <w:r>
              <w:rPr>
                <w:sz w:val="20"/>
                <w:szCs w:val="20"/>
                <w:lang w:val="en-US"/>
              </w:rPr>
              <w:t xml:space="preserve"> </w:t>
            </w:r>
          </w:p>
        </w:tc>
        <w:tc>
          <w:tcPr>
            <w:tcW w:w="1899" w:type="dxa"/>
            <w:vAlign w:val="center"/>
          </w:tcPr>
          <w:p w:rsidR="00CD2A5A" w:rsidRDefault="00CD2A5A">
            <w:pPr>
              <w:spacing w:before="40" w:after="40"/>
              <w:ind w:right="695"/>
              <w:jc w:val="right"/>
              <w:rPr>
                <w:sz w:val="20"/>
                <w:szCs w:val="20"/>
                <w:lang w:val="en-US"/>
              </w:rPr>
            </w:pPr>
            <w:r>
              <w:rPr>
                <w:sz w:val="20"/>
                <w:szCs w:val="20"/>
                <w:lang w:val="en-US"/>
              </w:rPr>
              <w:t>1440</w:t>
            </w:r>
          </w:p>
        </w:tc>
      </w:tr>
      <w:tr w:rsidR="00CD2A5A">
        <w:tblPrEx>
          <w:tblCellMar>
            <w:top w:w="0" w:type="dxa"/>
            <w:bottom w:w="0" w:type="dxa"/>
          </w:tblCellMar>
        </w:tblPrEx>
        <w:trPr>
          <w:jc w:val="center"/>
        </w:trPr>
        <w:tc>
          <w:tcPr>
            <w:tcW w:w="1373" w:type="dxa"/>
          </w:tcPr>
          <w:p w:rsidR="00CD2A5A" w:rsidRDefault="00CD2A5A">
            <w:pPr>
              <w:spacing w:before="40" w:after="40"/>
              <w:rPr>
                <w:sz w:val="20"/>
                <w:szCs w:val="20"/>
                <w:lang w:val="en-US"/>
              </w:rPr>
            </w:pPr>
            <w:r>
              <w:rPr>
                <w:sz w:val="20"/>
                <w:szCs w:val="20"/>
                <w:lang w:val="en-GB"/>
              </w:rPr>
              <w:t xml:space="preserve">  Total</w:t>
            </w:r>
          </w:p>
        </w:tc>
        <w:tc>
          <w:tcPr>
            <w:tcW w:w="6140" w:type="dxa"/>
          </w:tcPr>
          <w:p w:rsidR="00CD2A5A" w:rsidRDefault="00CD2A5A">
            <w:pPr>
              <w:spacing w:before="40" w:after="40"/>
              <w:rPr>
                <w:sz w:val="20"/>
                <w:szCs w:val="20"/>
                <w:lang w:val="en-US"/>
              </w:rPr>
            </w:pPr>
          </w:p>
        </w:tc>
        <w:tc>
          <w:tcPr>
            <w:tcW w:w="1899" w:type="dxa"/>
          </w:tcPr>
          <w:p w:rsidR="00CD2A5A" w:rsidRDefault="00CD2A5A">
            <w:pPr>
              <w:spacing w:before="40" w:after="40"/>
              <w:ind w:right="695"/>
              <w:jc w:val="right"/>
              <w:rPr>
                <w:bCs/>
                <w:sz w:val="20"/>
                <w:szCs w:val="20"/>
                <w:lang w:val="en-US"/>
              </w:rPr>
            </w:pPr>
            <w:r>
              <w:rPr>
                <w:bCs/>
                <w:sz w:val="20"/>
                <w:szCs w:val="20"/>
                <w:lang w:val="en-US"/>
              </w:rPr>
              <w:t>3173</w:t>
            </w:r>
          </w:p>
        </w:tc>
      </w:tr>
    </w:tbl>
    <w:p w:rsidR="00CD2A5A" w:rsidRDefault="00CD2A5A">
      <w:pPr>
        <w:spacing w:after="240"/>
        <w:rPr>
          <w:lang w:val="en-US"/>
        </w:rPr>
      </w:pPr>
    </w:p>
    <w:p w:rsidR="00CD2A5A" w:rsidRDefault="00CD2A5A">
      <w:pPr>
        <w:pStyle w:val="Header"/>
        <w:numPr>
          <w:ilvl w:val="0"/>
          <w:numId w:val="3"/>
        </w:numPr>
        <w:tabs>
          <w:tab w:val="clear" w:pos="720"/>
          <w:tab w:val="clear" w:pos="4252"/>
        </w:tabs>
        <w:spacing w:after="240"/>
        <w:ind w:left="0" w:firstLine="0"/>
        <w:rPr>
          <w:lang w:val="en-US"/>
        </w:rPr>
      </w:pPr>
      <w:r>
        <w:rPr>
          <w:lang w:val="en-GB"/>
        </w:rPr>
        <w:t>This programme equips teachers with the tools to give children basic preparation in reading and arithmetic and also enables them to explain parents’ and guardians’ obligations towards their children.</w:t>
      </w:r>
    </w:p>
    <w:p w:rsidR="00CD2A5A" w:rsidRDefault="00CD2A5A">
      <w:pPr>
        <w:numPr>
          <w:ilvl w:val="0"/>
          <w:numId w:val="3"/>
        </w:numPr>
        <w:tabs>
          <w:tab w:val="clear" w:pos="720"/>
        </w:tabs>
        <w:spacing w:after="240"/>
        <w:ind w:left="0" w:firstLine="0"/>
        <w:rPr>
          <w:lang w:val="en-US"/>
        </w:rPr>
      </w:pPr>
      <w:r>
        <w:rPr>
          <w:lang w:val="en-GB"/>
        </w:rPr>
        <w:t>The Ministry of Education’s Department of Initial and Nursery Education has joined an interinstitutional effort with UNICEF, the Ministry of Health, the Salvadoran Institute for the Full Development of Children and Adolescents and other bodies concerned to draw more attention to children through the programme</w:t>
      </w:r>
      <w:r>
        <w:rPr>
          <w:lang w:val="en-US"/>
        </w:rPr>
        <w:t xml:space="preserve"> </w:t>
      </w:r>
      <w:r>
        <w:rPr>
          <w:i/>
          <w:lang w:val="en-GB"/>
        </w:rPr>
        <w:t>También soy Persona</w:t>
      </w:r>
      <w:r>
        <w:rPr>
          <w:lang w:val="en-GB"/>
        </w:rPr>
        <w:t xml:space="preserve"> (I’m a Person Too), aimed at families. Phase I has already been launched in six educational communities in the country through “Parents’ Schools” implemented nationwide with financial support from UNICEF.</w:t>
      </w:r>
    </w:p>
    <w:p w:rsidR="00CD2A5A" w:rsidRDefault="00CD2A5A">
      <w:pPr>
        <w:numPr>
          <w:ilvl w:val="0"/>
          <w:numId w:val="3"/>
        </w:numPr>
        <w:tabs>
          <w:tab w:val="clear" w:pos="720"/>
        </w:tabs>
        <w:spacing w:after="240"/>
        <w:ind w:left="0" w:firstLine="0"/>
        <w:rPr>
          <w:lang w:val="es-SV"/>
        </w:rPr>
      </w:pPr>
      <w:r>
        <w:rPr>
          <w:lang w:val="en-GB"/>
        </w:rPr>
        <w:t>Even though we have a gross coverage of 50.4% and a net 42.7% rate in nursery education,</w:t>
      </w:r>
      <w:r>
        <w:rPr>
          <w:rStyle w:val="FootnoteReference"/>
          <w:lang w:val="en-GB"/>
        </w:rPr>
        <w:footnoteReference w:id="38"/>
      </w:r>
      <w:r>
        <w:rPr>
          <w:lang w:val="en-GB"/>
        </w:rPr>
        <w:t xml:space="preserve"> attendance at this level has been improving year after year in the communities and parents are therefore inceasingly keen to send their children to nursery school.</w:t>
      </w:r>
      <w:r>
        <w:rPr>
          <w:lang w:val="en-US"/>
        </w:rPr>
        <w:t xml:space="preserve"> </w:t>
      </w:r>
      <w:r>
        <w:rPr>
          <w:lang w:val="en-GB"/>
        </w:rPr>
        <w:t>In 2006, 239,638 children were enrolled on this basis.</w:t>
      </w:r>
      <w:r>
        <w:rPr>
          <w:rStyle w:val="FootnoteReference"/>
          <w:lang w:val="es-SV"/>
        </w:rPr>
        <w:footnoteReference w:id="39"/>
      </w:r>
    </w:p>
    <w:p w:rsidR="00CD2A5A" w:rsidRDefault="00CD2A5A">
      <w:pPr>
        <w:numPr>
          <w:ilvl w:val="0"/>
          <w:numId w:val="3"/>
        </w:numPr>
        <w:tabs>
          <w:tab w:val="clear" w:pos="720"/>
        </w:tabs>
        <w:spacing w:after="240"/>
        <w:ind w:left="0" w:firstLine="0"/>
        <w:rPr>
          <w:lang w:val="en-US"/>
        </w:rPr>
      </w:pPr>
      <w:r>
        <w:rPr>
          <w:lang w:val="en-GB"/>
        </w:rPr>
        <w:t xml:space="preserve">With the </w:t>
      </w:r>
      <w:r>
        <w:rPr>
          <w:i/>
          <w:lang w:val="en-GB"/>
        </w:rPr>
        <w:t xml:space="preserve">Juega Leyendo </w:t>
      </w:r>
      <w:r>
        <w:rPr>
          <w:lang w:val="en-GB"/>
        </w:rPr>
        <w:t>programme of the National Education Plan 2021, there was an increase in coverage of nursery level, especially in communities with the highest repetition and dropout rates and in those which have educational services but no nursery level.</w:t>
      </w:r>
      <w:r>
        <w:rPr>
          <w:lang w:val="en-US"/>
        </w:rPr>
        <w:t xml:space="preserve"> </w:t>
      </w:r>
      <w:r>
        <w:rPr>
          <w:lang w:val="en-GB"/>
        </w:rPr>
        <w:t>In 2006, 856 children were enrolled under the “Community Nursery Education Sections” strategy, and 476 under the “First-Grade Preparatory Sections” strategy, covering a total of 1,332 children of nursery age.</w:t>
      </w:r>
      <w:r>
        <w:rPr>
          <w:lang w:val="en-US"/>
        </w:rPr>
        <w:t xml:space="preserve"> </w:t>
      </w:r>
      <w:r>
        <w:rPr>
          <w:lang w:val="en-GB"/>
        </w:rPr>
        <w:t>For 2007, 1,290 children will come under the</w:t>
      </w:r>
      <w:r>
        <w:rPr>
          <w:lang w:val="en-US"/>
        </w:rPr>
        <w:t xml:space="preserve"> </w:t>
      </w:r>
      <w:r>
        <w:rPr>
          <w:lang w:val="en-GB"/>
        </w:rPr>
        <w:t>“Community Nursery Education Sections” strategy, and 810 under the “First-Grade Preparatory Sections” strategy, covering a total 2,100 children in the system.</w:t>
      </w:r>
      <w:r>
        <w:rPr>
          <w:lang w:val="en-US"/>
        </w:rPr>
        <w:t xml:space="preserve"> </w:t>
      </w:r>
      <w:r>
        <w:rPr>
          <w:lang w:val="en-GB"/>
        </w:rPr>
        <w:t xml:space="preserve">The </w:t>
      </w:r>
      <w:r>
        <w:rPr>
          <w:i/>
          <w:lang w:val="en-GB"/>
        </w:rPr>
        <w:t>Juega Leyendo</w:t>
      </w:r>
      <w:r>
        <w:rPr>
          <w:lang w:val="en-GB"/>
        </w:rPr>
        <w:t xml:space="preserve"> programme equips teachers with the tools to give children basic preparation in reading and arithmetic and also to explain parents’ and guardians’ obligations towards their children.</w:t>
      </w:r>
      <w:r>
        <w:rPr>
          <w:lang w:val="en-US"/>
        </w:rPr>
        <w:t xml:space="preserve"> </w:t>
      </w:r>
      <w:r>
        <w:rPr>
          <w:lang w:val="en-GB"/>
        </w:rPr>
        <w:t>The Initial Education programme, aimed at parents and operating in 568 schools, continues to offer guidelines and improve the growth of their children, especially those aged four and under, and who have no systematic institutionalized care.</w:t>
      </w:r>
      <w:r>
        <w:rPr>
          <w:lang w:val="en-US"/>
        </w:rPr>
        <w:t xml:space="preserve"> </w:t>
      </w:r>
      <w:r>
        <w:rPr>
          <w:lang w:val="en-GB"/>
        </w:rPr>
        <w:t>The aim is to start introducing them to education before they enter nursery school, and 39,375 children under four have benefited since 2005.</w:t>
      </w:r>
      <w:r>
        <w:rPr>
          <w:lang w:val="en-US"/>
        </w:rPr>
        <w:t xml:space="preserve">   </w:t>
      </w:r>
    </w:p>
    <w:p w:rsidR="00CD2A5A" w:rsidRDefault="00CD2A5A">
      <w:pPr>
        <w:pStyle w:val="Header"/>
        <w:numPr>
          <w:ilvl w:val="0"/>
          <w:numId w:val="3"/>
        </w:numPr>
        <w:tabs>
          <w:tab w:val="clear" w:pos="720"/>
          <w:tab w:val="clear" w:pos="4252"/>
        </w:tabs>
        <w:spacing w:after="240"/>
        <w:ind w:left="0" w:firstLine="0"/>
        <w:rPr>
          <w:spacing w:val="-2"/>
          <w:lang w:val="en-US"/>
        </w:rPr>
      </w:pPr>
      <w:r>
        <w:rPr>
          <w:spacing w:val="-2"/>
          <w:lang w:val="en-GB"/>
        </w:rPr>
        <w:t>After three years of focused implementation, a proposal for improving learning has been put together.</w:t>
      </w:r>
      <w:r>
        <w:rPr>
          <w:spacing w:val="-2"/>
          <w:lang w:val="en-US"/>
        </w:rPr>
        <w:t xml:space="preserve"> </w:t>
      </w:r>
      <w:r>
        <w:rPr>
          <w:spacing w:val="-2"/>
          <w:lang w:val="en-GB"/>
        </w:rPr>
        <w:t>The spirit of the educational reform begun in the 1990s has not been abandoned, but it has been clarified and implemented in such a way that the objectives, content, methods and assessment of the learning process are put into practice in a more connected and clearer manner.</w:t>
      </w:r>
      <w:r>
        <w:rPr>
          <w:spacing w:val="-2"/>
          <w:lang w:val="en-US"/>
        </w:rPr>
        <w:t xml:space="preserve"> </w:t>
      </w:r>
      <w:r>
        <w:rPr>
          <w:spacing w:val="-2"/>
          <w:lang w:val="en-GB"/>
        </w:rPr>
        <w:t>The focus of the Salvadoran curriculum is therefore still constructivist, humanist and socially committed.</w:t>
      </w:r>
      <w:r>
        <w:rPr>
          <w:spacing w:val="-2"/>
          <w:lang w:val="en-US"/>
        </w:rPr>
        <w:t xml:space="preserve"> </w:t>
      </w:r>
      <w:r>
        <w:rPr>
          <w:spacing w:val="-2"/>
          <w:lang w:val="en-GB"/>
        </w:rPr>
        <w:t>When working on skills development, pupils are encouraged to learn significant lessons by solving problems in context and developing critical thinking.</w:t>
      </w:r>
      <w:r>
        <w:rPr>
          <w:spacing w:val="-2"/>
          <w:lang w:val="en-US"/>
        </w:rPr>
        <w:t xml:space="preserve"> </w:t>
      </w:r>
      <w:r>
        <w:rPr>
          <w:spacing w:val="-2"/>
          <w:lang w:val="en-GB"/>
        </w:rPr>
        <w:t>At the same time, it encourages them to emerge from the education system and be successful in higher education or working life, since both require highly skilled human resources.</w:t>
      </w:r>
      <w:r>
        <w:rPr>
          <w:spacing w:val="-2"/>
          <w:lang w:val="en-US"/>
        </w:rPr>
        <w:t xml:space="preserve"> </w:t>
      </w:r>
      <w:r>
        <w:rPr>
          <w:spacing w:val="-2"/>
          <w:lang w:val="en-GB"/>
        </w:rPr>
        <w:t>Based on this approach, the national curriculum is constantly being updated.</w:t>
      </w:r>
      <w:r>
        <w:rPr>
          <w:spacing w:val="-2"/>
          <w:lang w:val="en-US"/>
        </w:rPr>
        <w:t xml:space="preserve"> </w:t>
      </w:r>
      <w:r>
        <w:rPr>
          <w:spacing w:val="-2"/>
          <w:lang w:val="en-GB"/>
        </w:rPr>
        <w:t>These updates to the curriculum have the support of researchers who, after long experience, have succeeded in setting theoretical and practical standards that allow innovations to be introduced into to the curriculum.</w:t>
      </w:r>
      <w:r>
        <w:rPr>
          <w:spacing w:val="-2"/>
          <w:lang w:val="en-US"/>
        </w:rPr>
        <w:t xml:space="preserve"> </w:t>
      </w:r>
      <w:r>
        <w:rPr>
          <w:spacing w:val="-2"/>
          <w:lang w:val="en-GB"/>
        </w:rPr>
        <w:t>The basic outlines of our curriculum, adopted by our academic and technical staff, allow a skills-based approach to have more chance of success in Salvadoran education.</w:t>
      </w:r>
      <w:r>
        <w:rPr>
          <w:spacing w:val="-2"/>
          <w:lang w:val="en-US"/>
        </w:rPr>
        <w:t xml:space="preserve"> </w:t>
      </w:r>
      <w:r>
        <w:rPr>
          <w:spacing w:val="-2"/>
          <w:lang w:val="en-GB"/>
        </w:rPr>
        <w:t>The Ministry of Education’s update of the curriculum does not abandon the objectives-based approach, as it considers them to be compatible with skills.</w:t>
      </w:r>
    </w:p>
    <w:p w:rsidR="00CD2A5A" w:rsidRDefault="00CD2A5A">
      <w:pPr>
        <w:pStyle w:val="Header"/>
        <w:numPr>
          <w:ilvl w:val="0"/>
          <w:numId w:val="3"/>
        </w:numPr>
        <w:tabs>
          <w:tab w:val="clear" w:pos="720"/>
          <w:tab w:val="clear" w:pos="4252"/>
        </w:tabs>
        <w:spacing w:after="240"/>
        <w:ind w:left="0" w:firstLine="0"/>
        <w:rPr>
          <w:lang w:val="en-US"/>
        </w:rPr>
      </w:pPr>
      <w:r>
        <w:rPr>
          <w:lang w:val="en-GB"/>
        </w:rPr>
        <w:t>Any update of the curriculum always affects the structure and sequencing of the objectives and content.</w:t>
      </w:r>
      <w:r>
        <w:rPr>
          <w:lang w:val="en-US"/>
        </w:rPr>
        <w:t xml:space="preserve"> </w:t>
      </w:r>
      <w:r>
        <w:rPr>
          <w:lang w:val="en-GB"/>
        </w:rPr>
        <w:t>This means that the content and structure of syllabuses will change.</w:t>
      </w:r>
      <w:r>
        <w:rPr>
          <w:lang w:val="en-US"/>
        </w:rPr>
        <w:t xml:space="preserve"> </w:t>
      </w:r>
      <w:r>
        <w:rPr>
          <w:lang w:val="en-GB"/>
        </w:rPr>
        <w:t>To orientate the curriculum towards attaining skills, the objectives were reviewed, improved and drafted in a skills format, which implies linking conceptual, attitudinal and procedural content in such a way that it corresponds to an outcome.</w:t>
      </w:r>
      <w:r>
        <w:rPr>
          <w:lang w:val="en-US"/>
        </w:rPr>
        <w:t xml:space="preserve"> </w:t>
      </w:r>
      <w:r>
        <w:rPr>
          <w:lang w:val="en-GB"/>
        </w:rPr>
        <w:t>In terms of teaching and learning, the relevance of the content depends on its function in achieving the objectives, i.e. developing skills.</w:t>
      </w:r>
      <w:r>
        <w:rPr>
          <w:lang w:val="en-US"/>
        </w:rPr>
        <w:t xml:space="preserve"> </w:t>
      </w:r>
      <w:r>
        <w:rPr>
          <w:lang w:val="en-GB"/>
        </w:rPr>
        <w:t>Hence its importance is not determined by the subjects.</w:t>
      </w:r>
      <w:r>
        <w:rPr>
          <w:lang w:val="en-US"/>
        </w:rPr>
        <w:t xml:space="preserve"> </w:t>
      </w:r>
      <w:r>
        <w:rPr>
          <w:lang w:val="en-GB"/>
        </w:rPr>
        <w:t>The starting point has to be the skills that the students need to perform well in the academic, work and social domains, which are set out in the objectives.</w:t>
      </w:r>
      <w:r>
        <w:rPr>
          <w:lang w:val="en-US"/>
        </w:rPr>
        <w:t xml:space="preserve"> </w:t>
      </w:r>
      <w:r>
        <w:rPr>
          <w:lang w:val="en-GB"/>
        </w:rPr>
        <w:t>This update of the curriculum has sometimes led to a new approach to the basic subjects.</w:t>
      </w:r>
      <w:r>
        <w:rPr>
          <w:lang w:val="en-US"/>
        </w:rPr>
        <w:t xml:space="preserve"> </w:t>
      </w:r>
      <w:r>
        <w:rPr>
          <w:lang w:val="en-GB"/>
        </w:rPr>
        <w:t>For instance, in language teaching, the functional communication approach has been encouraged, which starts by acknowledging the social nature of language and the importance of interaction in the construction of meaning, and the development of thought, knowledge and creativity.</w:t>
      </w:r>
      <w:r>
        <w:rPr>
          <w:lang w:val="en-US"/>
        </w:rPr>
        <w:t xml:space="preserve"> </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More up-to-date methodological proposals have also been put together in the other areas of the curriculum.</w:t>
      </w:r>
      <w:r>
        <w:rPr>
          <w:lang w:val="en-US"/>
        </w:rPr>
        <w:t xml:space="preserve"> </w:t>
      </w:r>
      <w:r>
        <w:rPr>
          <w:lang w:val="en-GB"/>
        </w:rPr>
        <w:t>This initiative will reach schools by means of documents, teacher training and departmental monitoring teams.</w:t>
      </w:r>
      <w:r>
        <w:rPr>
          <w:lang w:val="en-US"/>
        </w:rPr>
        <w:t xml:space="preserve"> </w:t>
      </w:r>
      <w:r>
        <w:rPr>
          <w:lang w:val="en-GB"/>
        </w:rPr>
        <w:t>The plans will be implemented in schools on the basis of the following documents:</w:t>
      </w:r>
      <w:r>
        <w:rPr>
          <w:lang w:val="en-US"/>
        </w:rPr>
        <w:t xml:space="preserve"> </w:t>
      </w:r>
    </w:p>
    <w:p w:rsidR="00CD2A5A" w:rsidRDefault="00CD2A5A">
      <w:pPr>
        <w:numPr>
          <w:ilvl w:val="0"/>
          <w:numId w:val="7"/>
        </w:numPr>
        <w:tabs>
          <w:tab w:val="clear" w:pos="1920"/>
        </w:tabs>
        <w:spacing w:after="240"/>
        <w:ind w:left="0" w:firstLine="567"/>
        <w:rPr>
          <w:lang w:val="en-US"/>
        </w:rPr>
      </w:pPr>
      <w:r>
        <w:rPr>
          <w:lang w:val="en-GB"/>
        </w:rPr>
        <w:t>Curriculum in the service of learning</w:t>
      </w:r>
      <w:r>
        <w:rPr>
          <w:lang w:val="en-US"/>
        </w:rPr>
        <w:t xml:space="preserve"> </w:t>
      </w:r>
      <w:r>
        <w:rPr>
          <w:lang w:val="en-GB"/>
        </w:rPr>
        <w:t>implements the whole skills-based proposal for the education system;</w:t>
      </w:r>
    </w:p>
    <w:p w:rsidR="00CD2A5A" w:rsidRDefault="00CD2A5A">
      <w:pPr>
        <w:numPr>
          <w:ilvl w:val="0"/>
          <w:numId w:val="7"/>
        </w:numPr>
        <w:tabs>
          <w:tab w:val="clear" w:pos="1920"/>
        </w:tabs>
        <w:spacing w:after="240"/>
        <w:ind w:left="0" w:firstLine="567"/>
        <w:rPr>
          <w:lang w:val="en-US"/>
        </w:rPr>
      </w:pPr>
      <w:r>
        <w:rPr>
          <w:lang w:val="en-GB"/>
        </w:rPr>
        <w:t>Skills-based assessment:</w:t>
      </w:r>
      <w:r>
        <w:rPr>
          <w:lang w:val="en-US"/>
        </w:rPr>
        <w:t xml:space="preserve"> </w:t>
      </w:r>
      <w:r>
        <w:rPr>
          <w:lang w:val="en-GB"/>
        </w:rPr>
        <w:t>guides skills assessment;</w:t>
      </w:r>
    </w:p>
    <w:p w:rsidR="00CD2A5A" w:rsidRDefault="00CD2A5A">
      <w:pPr>
        <w:numPr>
          <w:ilvl w:val="0"/>
          <w:numId w:val="7"/>
        </w:numPr>
        <w:tabs>
          <w:tab w:val="clear" w:pos="1920"/>
        </w:tabs>
        <w:spacing w:after="240"/>
        <w:ind w:left="0" w:firstLine="567"/>
        <w:rPr>
          <w:lang w:val="es-SV"/>
        </w:rPr>
      </w:pPr>
      <w:r>
        <w:rPr>
          <w:lang w:val="en-GB"/>
        </w:rPr>
        <w:t>Study syllabuses;</w:t>
      </w:r>
      <w:r>
        <w:rPr>
          <w:lang w:val="es-SV"/>
        </w:rPr>
        <w:t xml:space="preserve"> </w:t>
      </w:r>
    </w:p>
    <w:p w:rsidR="00CD2A5A" w:rsidRDefault="00CD2A5A">
      <w:pPr>
        <w:numPr>
          <w:ilvl w:val="0"/>
          <w:numId w:val="7"/>
        </w:numPr>
        <w:tabs>
          <w:tab w:val="clear" w:pos="1920"/>
        </w:tabs>
        <w:spacing w:after="240"/>
        <w:ind w:left="0" w:firstLine="567"/>
        <w:rPr>
          <w:lang w:val="en-US"/>
        </w:rPr>
      </w:pPr>
      <w:r>
        <w:rPr>
          <w:lang w:val="en-GB"/>
        </w:rPr>
        <w:t>Methodological guides to basic subjects for teachers in grades 1 to 6;</w:t>
      </w:r>
    </w:p>
    <w:p w:rsidR="00CD2A5A" w:rsidRDefault="00CD2A5A">
      <w:pPr>
        <w:numPr>
          <w:ilvl w:val="0"/>
          <w:numId w:val="7"/>
        </w:numPr>
        <w:tabs>
          <w:tab w:val="clear" w:pos="1920"/>
        </w:tabs>
        <w:spacing w:after="240"/>
        <w:ind w:left="0" w:firstLine="567"/>
        <w:rPr>
          <w:lang w:val="en-US"/>
        </w:rPr>
      </w:pPr>
      <w:r>
        <w:rPr>
          <w:lang w:val="en-GB"/>
        </w:rPr>
        <w:t>Text books for the four basic subjects for students in grades 1 to 6;</w:t>
      </w:r>
    </w:p>
    <w:p w:rsidR="00CD2A5A" w:rsidRDefault="00CD2A5A">
      <w:pPr>
        <w:numPr>
          <w:ilvl w:val="0"/>
          <w:numId w:val="7"/>
        </w:numPr>
        <w:tabs>
          <w:tab w:val="clear" w:pos="1920"/>
        </w:tabs>
        <w:spacing w:after="240"/>
        <w:ind w:left="0" w:firstLine="567"/>
        <w:rPr>
          <w:lang w:val="en-US"/>
        </w:rPr>
      </w:pPr>
      <w:r>
        <w:rPr>
          <w:lang w:val="en-GB"/>
        </w:rPr>
        <w:t>Exercise books for the four basic subjects for students in the first cycle; and</w:t>
      </w:r>
    </w:p>
    <w:p w:rsidR="00CD2A5A" w:rsidRDefault="00CD2A5A">
      <w:pPr>
        <w:numPr>
          <w:ilvl w:val="0"/>
          <w:numId w:val="7"/>
        </w:numPr>
        <w:tabs>
          <w:tab w:val="clear" w:pos="1920"/>
        </w:tabs>
        <w:spacing w:after="240"/>
        <w:ind w:left="0" w:firstLine="567"/>
        <w:rPr>
          <w:lang w:val="en-US"/>
        </w:rPr>
      </w:pPr>
      <w:r>
        <w:rPr>
          <w:lang w:val="en-GB"/>
        </w:rPr>
        <w:t>Nursery notebooks for pupils aged 4, 5 and 6.</w:t>
      </w:r>
    </w:p>
    <w:p w:rsidR="00CD2A5A" w:rsidRDefault="00CD2A5A">
      <w:pPr>
        <w:pStyle w:val="Header"/>
        <w:numPr>
          <w:ilvl w:val="0"/>
          <w:numId w:val="3"/>
        </w:numPr>
        <w:tabs>
          <w:tab w:val="clear" w:pos="720"/>
          <w:tab w:val="clear" w:pos="4252"/>
        </w:tabs>
        <w:autoSpaceDE w:val="0"/>
        <w:autoSpaceDN w:val="0"/>
        <w:adjustRightInd w:val="0"/>
        <w:spacing w:after="240"/>
        <w:ind w:left="0" w:firstLine="0"/>
        <w:rPr>
          <w:lang w:val="en-US"/>
        </w:rPr>
      </w:pPr>
      <w:r>
        <w:rPr>
          <w:lang w:val="en-GB"/>
        </w:rPr>
        <w:t>Since 2005, teachers in 111 targeted schools have been given three teaching materials for implementing the proposal in language and mathematics subjects for first grade:</w:t>
      </w:r>
      <w:r>
        <w:rPr>
          <w:lang w:val="en-US"/>
        </w:rPr>
        <w:t xml:space="preserve"> </w:t>
      </w:r>
      <w:r>
        <w:rPr>
          <w:lang w:val="en-GB"/>
        </w:rPr>
        <w:t>text book, exercise book and methodological guide.</w:t>
      </w:r>
      <w:r>
        <w:rPr>
          <w:lang w:val="en-US"/>
        </w:rPr>
        <w:t xml:space="preserve"> </w:t>
      </w:r>
      <w:r>
        <w:rPr>
          <w:lang w:val="en-GB"/>
        </w:rPr>
        <w:t>The materials for second grade were validated in 2006 and those for third grade in 2007.</w:t>
      </w:r>
      <w:r>
        <w:rPr>
          <w:lang w:val="en-US"/>
        </w:rPr>
        <w:t xml:space="preserve"> </w:t>
      </w:r>
      <w:r>
        <w:rPr>
          <w:lang w:val="en-GB"/>
        </w:rPr>
        <w:t>The same year, all first-grade pupils were given a book for learning to read and six exercise books. The first exercise book in this series was also designed for six-year-olds in nursery school.</w:t>
      </w:r>
      <w:r>
        <w:rPr>
          <w:lang w:val="en-US"/>
        </w:rPr>
        <w:t xml:space="preserve"> </w:t>
      </w:r>
      <w:r>
        <w:rPr>
          <w:lang w:val="en-GB"/>
        </w:rPr>
        <w:t>Monitoring teams were trained in the proposed teaching materials and their use in the classroom, and they in turn held information and modelling meetings on the use of the materials for first-grade teachers in early 2007.</w:t>
      </w:r>
      <w:r>
        <w:rPr>
          <w:bCs/>
          <w:lang w:val="en-US"/>
        </w:rPr>
        <w:t xml:space="preserve"> </w:t>
      </w:r>
      <w:r>
        <w:rPr>
          <w:lang w:val="en-GB"/>
        </w:rPr>
        <w:t>In 2007 there will be a national effort to equip all first-cycle pupils (grades 1 to 3) and teachers with these materials.</w:t>
      </w:r>
      <w:r>
        <w:rPr>
          <w:lang w:val="en-US"/>
        </w:rPr>
        <w:t xml:space="preserve"> </w:t>
      </w:r>
      <w:r>
        <w:rPr>
          <w:lang w:val="en-GB"/>
        </w:rPr>
        <w:t>The four basic subjects of language, mathematics, social studies and science will be covered.</w:t>
      </w:r>
      <w:r>
        <w:rPr>
          <w:lang w:val="en-US"/>
        </w:rPr>
        <w:t xml:space="preserve"> </w:t>
      </w:r>
    </w:p>
    <w:p w:rsidR="00CD2A5A" w:rsidRDefault="00CD2A5A">
      <w:pPr>
        <w:pStyle w:val="BodyText2"/>
        <w:numPr>
          <w:ilvl w:val="0"/>
          <w:numId w:val="3"/>
        </w:numPr>
        <w:tabs>
          <w:tab w:val="clear" w:pos="720"/>
        </w:tabs>
        <w:spacing w:after="240"/>
        <w:ind w:left="0" w:firstLine="0"/>
        <w:jc w:val="left"/>
        <w:rPr>
          <w:bCs w:val="0"/>
          <w:lang w:val="en-US"/>
        </w:rPr>
      </w:pPr>
      <w:r>
        <w:rPr>
          <w:bCs w:val="0"/>
          <w:lang w:val="en-GB"/>
        </w:rPr>
        <w:t>As an important activity in the field of monitoring and assessing learning, a nationwide experiment was carried out for assessing the priority indicators for language and mathematics for each term, with the aim of offering remedial classes to first-grade pupils not delivering the expected results.</w:t>
      </w:r>
      <w:r>
        <w:rPr>
          <w:bCs w:val="0"/>
          <w:lang w:val="en-US"/>
        </w:rPr>
        <w:t xml:space="preserve"> </w:t>
      </w:r>
      <w:r>
        <w:rPr>
          <w:bCs w:val="0"/>
          <w:lang w:val="en-GB"/>
        </w:rPr>
        <w:t>This initiative helped to consolidate the continuous and motivating nature of assessment in the education system, by means of “quarterly progress tests and remedial class plans”.</w:t>
      </w:r>
      <w:r>
        <w:rPr>
          <w:bCs w:val="0"/>
          <w:lang w:val="en-US"/>
        </w:rPr>
        <w:t xml:space="preserve"> </w:t>
      </w:r>
      <w:r>
        <w:rPr>
          <w:bCs w:val="0"/>
          <w:lang w:val="en-GB"/>
        </w:rPr>
        <w:t>The measured indicators correspond to the indicators of the Unified Quality Monitoring Strategy.</w:t>
      </w:r>
      <w:r>
        <w:rPr>
          <w:bCs w:val="0"/>
          <w:lang w:val="en-US"/>
        </w:rPr>
        <w:t xml:space="preserve"> </w:t>
      </w:r>
      <w:r>
        <w:rPr>
          <w:bCs w:val="0"/>
          <w:lang w:val="en-GB"/>
        </w:rPr>
        <w:t>In the second quarter progress was made by considering possible reasons why students were not achieving the expected performance in the assessment indicators.</w:t>
      </w:r>
      <w:r>
        <w:rPr>
          <w:bCs w:val="0"/>
          <w:lang w:val="en-US"/>
        </w:rPr>
        <w:t xml:space="preserve"> </w:t>
      </w:r>
      <w:r>
        <w:rPr>
          <w:bCs w:val="0"/>
          <w:lang w:val="en-GB"/>
        </w:rPr>
        <w:t>The experiment was validated on a sample of 111 schools with a view to extending it to the whole country.</w:t>
      </w:r>
      <w:r>
        <w:rPr>
          <w:bCs w:val="0"/>
          <w:lang w:val="en-US"/>
        </w:rPr>
        <w:t xml:space="preserve"> </w:t>
      </w:r>
      <w:r>
        <w:rPr>
          <w:bCs w:val="0"/>
          <w:lang w:val="en-GB"/>
        </w:rPr>
        <w:t>The assessment is monitored by the departmental monitoring teams, and focuses more on the remedial activities than on the results, by relating results to students and sections over the three terms assessed.</w:t>
      </w:r>
      <w:r>
        <w:rPr>
          <w:bCs w:val="0"/>
          <w:lang w:val="en-US"/>
        </w:rPr>
        <w:t xml:space="preserve"> </w:t>
      </w:r>
      <w:r>
        <w:rPr>
          <w:bCs w:val="0"/>
          <w:lang w:val="en-GB"/>
        </w:rPr>
        <w:t>This continuous assessment is built into the text books, exercise books and methodological guides, in order to integrate it successfully into the education system.</w:t>
      </w:r>
    </w:p>
    <w:p w:rsidR="00CD2A5A" w:rsidRDefault="00CD2A5A">
      <w:pPr>
        <w:pStyle w:val="Header"/>
        <w:numPr>
          <w:ilvl w:val="0"/>
          <w:numId w:val="3"/>
        </w:numPr>
        <w:tabs>
          <w:tab w:val="clear" w:pos="720"/>
          <w:tab w:val="clear" w:pos="4252"/>
        </w:tabs>
        <w:spacing w:after="240"/>
        <w:ind w:left="0" w:firstLine="0"/>
        <w:rPr>
          <w:lang w:val="en-US"/>
        </w:rPr>
      </w:pPr>
      <w:r>
        <w:rPr>
          <w:lang w:val="en-GB"/>
        </w:rPr>
        <w:t>As indicated in the National Education Plan 2021, the Salvadoran Government, under the coordination of the Ministry of Education, is fostering combined efforts to improve the national education system.</w:t>
      </w:r>
      <w:r>
        <w:rPr>
          <w:lang w:val="en-US"/>
        </w:rPr>
        <w:t xml:space="preserve"> </w:t>
      </w:r>
      <w:r>
        <w:rPr>
          <w:lang w:val="en-GB"/>
        </w:rPr>
        <w:t>The aim of the plan is to devise priority long-term education policy and targets for the coming years.</w:t>
      </w:r>
    </w:p>
    <w:p w:rsidR="00CD2A5A" w:rsidRDefault="00CD2A5A">
      <w:pPr>
        <w:numPr>
          <w:ilvl w:val="0"/>
          <w:numId w:val="3"/>
        </w:numPr>
        <w:tabs>
          <w:tab w:val="clear" w:pos="720"/>
        </w:tabs>
        <w:spacing w:after="240"/>
        <w:ind w:left="0" w:firstLine="0"/>
        <w:rPr>
          <w:bCs/>
          <w:lang w:val="en-US"/>
        </w:rPr>
      </w:pPr>
      <w:r>
        <w:rPr>
          <w:bCs/>
          <w:lang w:val="en-GB"/>
        </w:rPr>
        <w:t>The following accreditable specialist courses have also been devised.</w:t>
      </w:r>
    </w:p>
    <w:p w:rsidR="00CD2A5A" w:rsidRDefault="00CD2A5A">
      <w:pPr>
        <w:numPr>
          <w:ilvl w:val="0"/>
          <w:numId w:val="9"/>
        </w:numPr>
        <w:tabs>
          <w:tab w:val="clear" w:pos="1920"/>
        </w:tabs>
        <w:spacing w:after="240"/>
        <w:ind w:left="0" w:firstLine="567"/>
        <w:rPr>
          <w:lang w:val="en-US"/>
        </w:rPr>
      </w:pPr>
      <w:r>
        <w:rPr>
          <w:lang w:val="en-GB"/>
        </w:rPr>
        <w:t>Development of three modules with 317 teachers from the Comprendo Programme, corresponding to the specialist course in language and mathematics for the first cycle of elementary education.</w:t>
      </w:r>
      <w:r>
        <w:rPr>
          <w:lang w:val="en-US"/>
        </w:rPr>
        <w:t xml:space="preserve"> </w:t>
      </w:r>
      <w:r>
        <w:rPr>
          <w:lang w:val="en-GB"/>
        </w:rPr>
        <w:t>The following modules have been developed:</w:t>
      </w:r>
      <w:r>
        <w:rPr>
          <w:lang w:val="en-US"/>
        </w:rPr>
        <w:t xml:space="preserve"> </w:t>
      </w:r>
      <w:r>
        <w:rPr>
          <w:lang w:val="en-GB"/>
        </w:rPr>
        <w:t>introduction to communication skills in language and mathematics, continuous assessment of reading and writing and the basic operations, and emerging reading and writing and problem-solving;</w:t>
      </w:r>
      <w:r>
        <w:rPr>
          <w:lang w:val="en-US"/>
        </w:rPr>
        <w:t xml:space="preserve"> </w:t>
      </w:r>
    </w:p>
    <w:p w:rsidR="00CD2A5A" w:rsidRDefault="00CD2A5A">
      <w:pPr>
        <w:numPr>
          <w:ilvl w:val="0"/>
          <w:numId w:val="9"/>
        </w:numPr>
        <w:tabs>
          <w:tab w:val="clear" w:pos="1920"/>
        </w:tabs>
        <w:spacing w:after="240"/>
        <w:ind w:left="0" w:firstLine="567"/>
        <w:rPr>
          <w:lang w:val="en-US"/>
        </w:rPr>
      </w:pPr>
      <w:r>
        <w:rPr>
          <w:lang w:val="en-GB"/>
        </w:rPr>
        <w:t>Development of module I : introduction to communication skills in language and mathematics with 634 teachers from Effective School Networks and Effective Solidarity Schools;</w:t>
      </w:r>
    </w:p>
    <w:p w:rsidR="00CD2A5A" w:rsidRDefault="00CD2A5A">
      <w:pPr>
        <w:numPr>
          <w:ilvl w:val="0"/>
          <w:numId w:val="9"/>
        </w:numPr>
        <w:tabs>
          <w:tab w:val="clear" w:pos="1920"/>
        </w:tabs>
        <w:spacing w:after="240"/>
        <w:ind w:left="0" w:firstLine="567"/>
        <w:rPr>
          <w:lang w:val="en-US"/>
        </w:rPr>
      </w:pPr>
      <w:r>
        <w:rPr>
          <w:lang w:val="en-GB"/>
        </w:rPr>
        <w:t>Development of two language modules with 668 first-cycle elementary teachers and teachers from the Elementary Education Upgrade Programme with emphasis on language;</w:t>
      </w:r>
    </w:p>
    <w:p w:rsidR="00CD2A5A" w:rsidRDefault="00CD2A5A">
      <w:pPr>
        <w:numPr>
          <w:ilvl w:val="0"/>
          <w:numId w:val="9"/>
        </w:numPr>
        <w:tabs>
          <w:tab w:val="clear" w:pos="1920"/>
        </w:tabs>
        <w:spacing w:after="240"/>
        <w:ind w:left="0" w:firstLine="567"/>
        <w:rPr>
          <w:lang w:val="en-US"/>
        </w:rPr>
      </w:pPr>
      <w:r>
        <w:rPr>
          <w:lang w:val="en-GB"/>
        </w:rPr>
        <w:t>Development of a diploma course on basic areas of the curriculum with 119 teachers from nursery and first and second cycles of elementary education, from the departments of La Unión and Morazán.</w:t>
      </w:r>
      <w:r>
        <w:rPr>
          <w:lang w:val="en-US"/>
        </w:rPr>
        <w:t xml:space="preserve"> </w:t>
      </w:r>
      <w:r>
        <w:rPr>
          <w:lang w:val="en-GB"/>
        </w:rPr>
        <w:t>The diploma course lasted 10 months, during which seven modules were developed on the following topics:</w:t>
      </w:r>
      <w:r>
        <w:rPr>
          <w:lang w:val="en-US"/>
        </w:rPr>
        <w:t xml:space="preserve"> </w:t>
      </w:r>
      <w:r>
        <w:rPr>
          <w:lang w:val="en-GB"/>
        </w:rPr>
        <w:t>initial and nursery education, teaching mathematics, teaching language, learning assessment, school organization and administration, catering for diversity and strategic planning;</w:t>
      </w:r>
    </w:p>
    <w:p w:rsidR="00CD2A5A" w:rsidRDefault="00CD2A5A">
      <w:pPr>
        <w:numPr>
          <w:ilvl w:val="0"/>
          <w:numId w:val="9"/>
        </w:numPr>
        <w:tabs>
          <w:tab w:val="clear" w:pos="1920"/>
        </w:tabs>
        <w:spacing w:after="240"/>
        <w:ind w:left="0" w:firstLine="567"/>
        <w:rPr>
          <w:lang w:val="en-US"/>
        </w:rPr>
      </w:pPr>
      <w:r>
        <w:rPr>
          <w:lang w:val="en-GB"/>
        </w:rPr>
        <w:t>Training of 360 language, literature and mathematics teachers from the third cycle of elementary education;</w:t>
      </w:r>
    </w:p>
    <w:p w:rsidR="00CD2A5A" w:rsidRDefault="00CD2A5A">
      <w:pPr>
        <w:numPr>
          <w:ilvl w:val="0"/>
          <w:numId w:val="9"/>
        </w:numPr>
        <w:tabs>
          <w:tab w:val="clear" w:pos="1920"/>
        </w:tabs>
        <w:spacing w:after="240"/>
        <w:ind w:left="0" w:firstLine="567"/>
        <w:rPr>
          <w:lang w:val="en-US"/>
        </w:rPr>
      </w:pPr>
      <w:r>
        <w:rPr>
          <w:lang w:val="en-GB"/>
        </w:rPr>
        <w:t>Training of 3724 head teachers of public educational establishments, with the development of four modules in the following fields:</w:t>
      </w:r>
      <w:r>
        <w:rPr>
          <w:lang w:val="en-US"/>
        </w:rPr>
        <w:t xml:space="preserve"> </w:t>
      </w:r>
      <w:r>
        <w:rPr>
          <w:lang w:val="en-GB"/>
        </w:rPr>
        <w:t>institutional management, organizational management, curriculum management and teaching management.</w:t>
      </w:r>
    </w:p>
    <w:p w:rsidR="00CD2A5A" w:rsidRDefault="00CD2A5A">
      <w:pPr>
        <w:pStyle w:val="Header"/>
        <w:numPr>
          <w:ilvl w:val="0"/>
          <w:numId w:val="3"/>
        </w:numPr>
        <w:tabs>
          <w:tab w:val="clear" w:pos="720"/>
          <w:tab w:val="clear" w:pos="4252"/>
        </w:tabs>
        <w:spacing w:after="240"/>
        <w:ind w:left="0" w:firstLine="0"/>
        <w:rPr>
          <w:lang w:val="en-US"/>
        </w:rPr>
      </w:pPr>
      <w:r>
        <w:rPr>
          <w:lang w:val="en-GB"/>
        </w:rPr>
        <w:t>Progress has been made with raising the literacy of the Salvadoran population, but a certain level of illiteracy still remains.</w:t>
      </w:r>
      <w:r>
        <w:rPr>
          <w:lang w:val="en-US"/>
        </w:rPr>
        <w:t xml:space="preserve"> </w:t>
      </w:r>
      <w:r>
        <w:rPr>
          <w:lang w:val="en-GB"/>
        </w:rPr>
        <w:t>Accordingly, the State of El Salvador continues to make efforts and allocate resources to bring literacy to as many inhabitants as possible.</w:t>
      </w:r>
      <w:r>
        <w:rPr>
          <w:lang w:val="en-US"/>
        </w:rPr>
        <w:t xml:space="preserve"> </w:t>
      </w:r>
      <w:r>
        <w:rPr>
          <w:lang w:val="en-GB"/>
        </w:rPr>
        <w:t>The following table gives data on the trend of literacy</w:t>
      </w:r>
      <w:r>
        <w:rPr>
          <w:rStyle w:val="FootnoteReference"/>
          <w:lang w:val="en-GB"/>
        </w:rPr>
        <w:footnoteReference w:id="40"/>
      </w:r>
      <w:r>
        <w:rPr>
          <w:lang w:val="en-GB"/>
        </w:rPr>
        <w:t xml:space="preserve"> in the country, illustrating the constant reduction in the illiteracy rate, from 25.2% in 1991 to 14.9% in 2006.</w:t>
      </w:r>
      <w:r>
        <w:rPr>
          <w:lang w:val="en-US"/>
        </w:rPr>
        <w:t xml:space="preserve">  </w:t>
      </w:r>
      <w:r>
        <w:rPr>
          <w:lang w:val="en-GB"/>
        </w:rPr>
        <w:t>It also shows the increase in school attendance over the same period, which rose by more than 400,000.</w:t>
      </w:r>
    </w:p>
    <w:p w:rsidR="00CD2A5A" w:rsidRDefault="00CD2A5A" w:rsidP="00A32998">
      <w:pPr>
        <w:pStyle w:val="Figure"/>
        <w:spacing w:after="120"/>
        <w:rPr>
          <w:lang w:val="en-US"/>
        </w:rPr>
      </w:pPr>
      <w:r>
        <w:t>Figure 63</w:t>
      </w:r>
    </w:p>
    <w:p w:rsidR="00CD2A5A" w:rsidRDefault="00CD2A5A" w:rsidP="00A32998">
      <w:pPr>
        <w:pStyle w:val="Figure"/>
        <w:spacing w:after="120"/>
        <w:rPr>
          <w:lang w:val="en-US"/>
        </w:rPr>
      </w:pPr>
      <w:r>
        <w:t>Trend of illiteracy in el salvador, 1991–2006</w:t>
      </w:r>
    </w:p>
    <w:p w:rsidR="00CD2A5A" w:rsidRDefault="00CD2A5A" w:rsidP="00A32998">
      <w:pPr>
        <w:pStyle w:val="Figure"/>
        <w:spacing w:after="120"/>
        <w:rPr>
          <w:lang w:val="en-US"/>
        </w:rPr>
      </w:pPr>
      <w:r>
        <w:t>Population aged 10 and over by literacy and calendar year</w:t>
      </w:r>
    </w:p>
    <w:p w:rsidR="00CD2A5A" w:rsidRDefault="00CD2A5A" w:rsidP="00A32998">
      <w:pPr>
        <w:pStyle w:val="Figure"/>
        <w:spacing w:after="120"/>
      </w:pPr>
      <w:r>
        <w:t>1991 - 2006</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2984"/>
        <w:gridCol w:w="2598"/>
        <w:gridCol w:w="2599"/>
      </w:tblGrid>
      <w:tr w:rsidR="00CD2A5A">
        <w:trPr>
          <w:jc w:val="center"/>
        </w:trPr>
        <w:tc>
          <w:tcPr>
            <w:tcW w:w="1231" w:type="dxa"/>
            <w:vAlign w:val="center"/>
          </w:tcPr>
          <w:p w:rsidR="00CD2A5A" w:rsidRDefault="00CD2A5A">
            <w:pPr>
              <w:pStyle w:val="Header"/>
              <w:tabs>
                <w:tab w:val="clear" w:pos="4252"/>
              </w:tabs>
              <w:spacing w:before="40" w:after="40"/>
              <w:jc w:val="center"/>
              <w:rPr>
                <w:b/>
                <w:i/>
                <w:sz w:val="20"/>
                <w:szCs w:val="20"/>
                <w:lang w:val="es-SV"/>
              </w:rPr>
            </w:pPr>
            <w:r>
              <w:rPr>
                <w:b/>
                <w:i/>
                <w:sz w:val="20"/>
                <w:szCs w:val="20"/>
                <w:lang w:val="en-GB"/>
              </w:rPr>
              <w:t>Year</w:t>
            </w:r>
          </w:p>
        </w:tc>
        <w:tc>
          <w:tcPr>
            <w:tcW w:w="2984" w:type="dxa"/>
            <w:vAlign w:val="center"/>
          </w:tcPr>
          <w:p w:rsidR="00CD2A5A" w:rsidRDefault="00CD2A5A">
            <w:pPr>
              <w:pStyle w:val="Header"/>
              <w:tabs>
                <w:tab w:val="clear" w:pos="4252"/>
              </w:tabs>
              <w:spacing w:before="40" w:after="40"/>
              <w:jc w:val="center"/>
              <w:rPr>
                <w:b/>
                <w:i/>
                <w:sz w:val="20"/>
                <w:szCs w:val="20"/>
                <w:lang w:val="en-US"/>
              </w:rPr>
            </w:pPr>
            <w:r>
              <w:rPr>
                <w:b/>
                <w:i/>
                <w:sz w:val="20"/>
                <w:szCs w:val="20"/>
                <w:lang w:val="en-GB"/>
              </w:rPr>
              <w:t>School attendance</w:t>
            </w:r>
            <w:r>
              <w:rPr>
                <w:b/>
                <w:i/>
                <w:sz w:val="20"/>
                <w:szCs w:val="20"/>
                <w:lang w:val="en-GB"/>
              </w:rPr>
              <w:br/>
              <w:t>(number of persons)</w:t>
            </w:r>
          </w:p>
        </w:tc>
        <w:tc>
          <w:tcPr>
            <w:tcW w:w="2598" w:type="dxa"/>
            <w:vAlign w:val="center"/>
          </w:tcPr>
          <w:p w:rsidR="00CD2A5A" w:rsidRDefault="00CD2A5A">
            <w:pPr>
              <w:pStyle w:val="Header"/>
              <w:tabs>
                <w:tab w:val="clear" w:pos="4252"/>
              </w:tabs>
              <w:spacing w:before="40" w:after="40"/>
              <w:jc w:val="center"/>
              <w:rPr>
                <w:b/>
                <w:i/>
                <w:sz w:val="20"/>
                <w:szCs w:val="20"/>
                <w:lang w:val="es-SV"/>
              </w:rPr>
            </w:pPr>
            <w:r>
              <w:rPr>
                <w:b/>
                <w:i/>
                <w:sz w:val="20"/>
                <w:szCs w:val="20"/>
                <w:lang w:val="en-GB"/>
              </w:rPr>
              <w:t>Illiterate</w:t>
            </w:r>
            <w:r>
              <w:rPr>
                <w:b/>
                <w:i/>
                <w:sz w:val="20"/>
                <w:szCs w:val="20"/>
                <w:lang w:val="en-GB"/>
              </w:rPr>
              <w:br/>
              <w:t>(number of persons)</w:t>
            </w:r>
          </w:p>
        </w:tc>
        <w:tc>
          <w:tcPr>
            <w:tcW w:w="2599" w:type="dxa"/>
            <w:vAlign w:val="center"/>
          </w:tcPr>
          <w:p w:rsidR="00CD2A5A" w:rsidRDefault="00CD2A5A">
            <w:pPr>
              <w:pStyle w:val="Header"/>
              <w:tabs>
                <w:tab w:val="clear" w:pos="4252"/>
              </w:tabs>
              <w:spacing w:before="40" w:after="40"/>
              <w:jc w:val="center"/>
              <w:rPr>
                <w:b/>
                <w:i/>
                <w:sz w:val="20"/>
                <w:szCs w:val="20"/>
                <w:lang w:val="es-SV"/>
              </w:rPr>
            </w:pPr>
            <w:r>
              <w:rPr>
                <w:b/>
                <w:i/>
                <w:sz w:val="20"/>
                <w:szCs w:val="20"/>
                <w:lang w:val="en-GB"/>
              </w:rPr>
              <w:t>Illiterate</w:t>
            </w:r>
            <w:r>
              <w:rPr>
                <w:b/>
                <w:i/>
                <w:sz w:val="20"/>
                <w:szCs w:val="20"/>
                <w:lang w:val="es-SV"/>
              </w:rPr>
              <w:t xml:space="preserve"> </w:t>
            </w:r>
            <w:r>
              <w:rPr>
                <w:b/>
                <w:i/>
                <w:sz w:val="20"/>
                <w:szCs w:val="20"/>
                <w:lang w:val="es-SV"/>
              </w:rPr>
              <w:br/>
            </w:r>
            <w:r>
              <w:rPr>
                <w:b/>
                <w:i/>
                <w:sz w:val="20"/>
                <w:szCs w:val="20"/>
                <w:lang w:val="en-GB"/>
              </w:rPr>
              <w:t>(percentage)</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1991</w:t>
            </w:r>
          </w:p>
        </w:tc>
        <w:tc>
          <w:tcPr>
            <w:tcW w:w="2984" w:type="dxa"/>
          </w:tcPr>
          <w:p w:rsidR="00CD2A5A" w:rsidRDefault="00CD2A5A">
            <w:pPr>
              <w:pStyle w:val="Header"/>
              <w:tabs>
                <w:tab w:val="clear" w:pos="4252"/>
              </w:tabs>
              <w:spacing w:before="40" w:after="40"/>
              <w:ind w:right="880"/>
              <w:jc w:val="right"/>
              <w:rPr>
                <w:sz w:val="20"/>
                <w:szCs w:val="20"/>
                <w:lang w:val="es-SV"/>
              </w:rPr>
            </w:pPr>
            <w:r>
              <w:rPr>
                <w:sz w:val="20"/>
                <w:szCs w:val="20"/>
                <w:lang w:val="es-SV"/>
              </w:rPr>
              <w:t>949,611</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954,840</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25.2</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1992</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n-GB"/>
              </w:rPr>
              <w:t>NA</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937,604</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24.6</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1993</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n-GB"/>
              </w:rPr>
              <w:t>NA</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926,255</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24.1</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1994</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n-GB"/>
              </w:rPr>
              <w:t>NA</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892,538</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22.6</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1995</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1,013,707</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856,285</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21.0</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1996</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1,197,881</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861,120</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19.8</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1997</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1,127,509</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886,873</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20.1</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1998</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1,104,814</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876,799</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19.5</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1999</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1,120,997</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840,081</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18.1</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2000</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1,156,033</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836,695</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17.5</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2001</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1,194,272</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818,773</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16.6</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2002</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1,227,160</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836,256</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16.6</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2003</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1,211,084</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805,495</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15.9</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2004</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1,274,470</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811,735</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15.5</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2005</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1,307,773</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791,658</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14.9</w:t>
            </w:r>
          </w:p>
        </w:tc>
      </w:tr>
      <w:tr w:rsidR="00CD2A5A">
        <w:trPr>
          <w:jc w:val="center"/>
        </w:trPr>
        <w:tc>
          <w:tcPr>
            <w:tcW w:w="1231" w:type="dxa"/>
          </w:tcPr>
          <w:p w:rsidR="00CD2A5A" w:rsidRDefault="00CD2A5A">
            <w:pPr>
              <w:pStyle w:val="Header"/>
              <w:tabs>
                <w:tab w:val="clear" w:pos="4252"/>
              </w:tabs>
              <w:spacing w:before="40" w:after="40"/>
              <w:rPr>
                <w:sz w:val="20"/>
                <w:szCs w:val="20"/>
                <w:lang w:val="es-SV"/>
              </w:rPr>
            </w:pPr>
            <w:r>
              <w:rPr>
                <w:sz w:val="20"/>
                <w:szCs w:val="20"/>
                <w:lang w:val="es-SV"/>
              </w:rPr>
              <w:t>2006</w:t>
            </w:r>
          </w:p>
        </w:tc>
        <w:tc>
          <w:tcPr>
            <w:tcW w:w="2984" w:type="dxa"/>
          </w:tcPr>
          <w:p w:rsidR="00CD2A5A" w:rsidRDefault="00CD2A5A">
            <w:pPr>
              <w:pStyle w:val="Header"/>
              <w:tabs>
                <w:tab w:val="clear" w:pos="4252"/>
              </w:tabs>
              <w:spacing w:before="40" w:after="40"/>
              <w:jc w:val="center"/>
              <w:rPr>
                <w:sz w:val="20"/>
                <w:szCs w:val="20"/>
                <w:lang w:val="es-SV"/>
              </w:rPr>
            </w:pPr>
            <w:r>
              <w:rPr>
                <w:sz w:val="20"/>
                <w:szCs w:val="20"/>
                <w:lang w:val="es-SV"/>
              </w:rPr>
              <w:t>1,360,691</w:t>
            </w:r>
          </w:p>
        </w:tc>
        <w:tc>
          <w:tcPr>
            <w:tcW w:w="2598" w:type="dxa"/>
          </w:tcPr>
          <w:p w:rsidR="00CD2A5A" w:rsidRDefault="00CD2A5A">
            <w:pPr>
              <w:pStyle w:val="Header"/>
              <w:tabs>
                <w:tab w:val="clear" w:pos="4252"/>
              </w:tabs>
              <w:spacing w:before="40" w:after="40"/>
              <w:jc w:val="center"/>
              <w:rPr>
                <w:sz w:val="20"/>
                <w:szCs w:val="20"/>
                <w:lang w:val="es-SV"/>
              </w:rPr>
            </w:pPr>
            <w:r>
              <w:rPr>
                <w:sz w:val="20"/>
                <w:szCs w:val="20"/>
                <w:lang w:val="es-SV"/>
              </w:rPr>
              <w:t>797,349</w:t>
            </w:r>
          </w:p>
        </w:tc>
        <w:tc>
          <w:tcPr>
            <w:tcW w:w="2599" w:type="dxa"/>
          </w:tcPr>
          <w:p w:rsidR="00CD2A5A" w:rsidRDefault="00CD2A5A">
            <w:pPr>
              <w:pStyle w:val="Header"/>
              <w:tabs>
                <w:tab w:val="clear" w:pos="4252"/>
              </w:tabs>
              <w:spacing w:before="40" w:after="40"/>
              <w:jc w:val="center"/>
              <w:rPr>
                <w:sz w:val="20"/>
                <w:szCs w:val="20"/>
                <w:lang w:val="es-SV"/>
              </w:rPr>
            </w:pPr>
            <w:r>
              <w:rPr>
                <w:sz w:val="20"/>
                <w:szCs w:val="20"/>
                <w:lang w:val="es-SV"/>
              </w:rPr>
              <w:t>14.6</w:t>
            </w:r>
          </w:p>
        </w:tc>
      </w:tr>
    </w:tbl>
    <w:p w:rsidR="00CD2A5A" w:rsidRDefault="00CD2A5A">
      <w:pPr>
        <w:pStyle w:val="Source"/>
        <w:rPr>
          <w:lang w:val="en-US"/>
        </w:rPr>
      </w:pPr>
      <w:r>
        <w:rPr>
          <w:i/>
        </w:rPr>
        <w:t>Source</w:t>
      </w:r>
      <w:r>
        <w:t>:</w:t>
      </w:r>
      <w:r>
        <w:rPr>
          <w:lang w:val="en-US"/>
        </w:rPr>
        <w:t xml:space="preserve"> </w:t>
      </w:r>
      <w:r>
        <w:t>Derived from data from the General Directorate for Statistics and Censuses (DIGESTYC).</w:t>
      </w:r>
      <w:r>
        <w:rPr>
          <w:lang w:val="en-US"/>
        </w:rPr>
        <w:t xml:space="preserve"> </w:t>
      </w:r>
      <w:r>
        <w:t>Educational variables and EHPM.</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Annex XVII contains statistics on illiteracy broken down by gender, age and urban or rural origin, for the period 2004-2005.</w:t>
      </w:r>
    </w:p>
    <w:p w:rsidR="00CD2A5A" w:rsidRDefault="00CD2A5A">
      <w:pPr>
        <w:pStyle w:val="Header"/>
        <w:numPr>
          <w:ilvl w:val="0"/>
          <w:numId w:val="3"/>
        </w:numPr>
        <w:tabs>
          <w:tab w:val="clear" w:pos="720"/>
          <w:tab w:val="clear" w:pos="4252"/>
        </w:tabs>
        <w:spacing w:after="240"/>
        <w:ind w:left="0" w:firstLine="0"/>
        <w:rPr>
          <w:lang w:val="en-US"/>
        </w:rPr>
      </w:pPr>
      <w:r>
        <w:rPr>
          <w:lang w:val="en-GB"/>
        </w:rPr>
        <w:t>As stated above, substantial progress has been made in relation to school attendance for promoting the integration of children into the education system, particularly in the early cycles of schooling.</w:t>
      </w:r>
      <w:r>
        <w:rPr>
          <w:lang w:val="en-US"/>
        </w:rPr>
        <w:t xml:space="preserve"> </w:t>
      </w:r>
      <w:r>
        <w:rPr>
          <w:lang w:val="en-GB"/>
        </w:rPr>
        <w:t>However, a significant number of children still leave the system at age 16.</w:t>
      </w:r>
    </w:p>
    <w:p w:rsidR="00CD2A5A" w:rsidRDefault="00CD2A5A">
      <w:pPr>
        <w:pStyle w:val="Header"/>
        <w:numPr>
          <w:ilvl w:val="0"/>
          <w:numId w:val="3"/>
        </w:numPr>
        <w:tabs>
          <w:tab w:val="clear" w:pos="720"/>
          <w:tab w:val="clear" w:pos="4252"/>
        </w:tabs>
        <w:spacing w:after="240"/>
        <w:ind w:left="0" w:firstLine="0"/>
        <w:rPr>
          <w:lang w:val="en-US"/>
        </w:rPr>
      </w:pPr>
      <w:r>
        <w:rPr>
          <w:lang w:val="en-GB"/>
        </w:rPr>
        <w:t>Annex XVIII contains statistics on school attendance broken down by gender, age and urban or rural origin, for the period 2004-2005.</w:t>
      </w:r>
    </w:p>
    <w:p w:rsidR="00CD2A5A" w:rsidRDefault="00CD2A5A">
      <w:pPr>
        <w:pStyle w:val="Header"/>
        <w:numPr>
          <w:ilvl w:val="0"/>
          <w:numId w:val="3"/>
        </w:numPr>
        <w:tabs>
          <w:tab w:val="clear" w:pos="720"/>
          <w:tab w:val="clear" w:pos="4252"/>
        </w:tabs>
        <w:spacing w:after="240"/>
        <w:ind w:left="0" w:firstLine="0"/>
        <w:rPr>
          <w:lang w:val="en-US"/>
        </w:rPr>
      </w:pPr>
      <w:r>
        <w:rPr>
          <w:lang w:val="en-GB"/>
        </w:rPr>
        <w:t>Besides the education offered by the public school system, the State of El Salvador offers a number of training programmes, notably through the Salvadoran Vocational Training Institute (INSAFORP).</w:t>
      </w:r>
      <w:r>
        <w:rPr>
          <w:lang w:val="en-US"/>
        </w:rPr>
        <w:t xml:space="preserve"> </w:t>
      </w:r>
      <w:r>
        <w:rPr>
          <w:lang w:val="en-GB"/>
        </w:rPr>
        <w:t>The National Youth Secretariat also runs the Careers and Working Skills programme which prepares young people to work in skilled trades, with technical skills and knowledge.</w:t>
      </w:r>
      <w:r>
        <w:rPr>
          <w:lang w:val="en-US"/>
        </w:rPr>
        <w:t xml:space="preserve"> </w:t>
      </w:r>
      <w:r>
        <w:rPr>
          <w:lang w:val="en-GB"/>
        </w:rPr>
        <w:t>It is run with the support of German cooperation (GTZ), private enterprise and trade unions.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GB"/>
        </w:rPr>
        <w:t>The analysis carried out in 2006 by the Ministry of Education’s Quality Monitoring Teams as agents providing technical assistance to schools in a particular geographical area (education district), helped to identify the factors at national level influencing pupils dropping out of school.</w:t>
      </w:r>
      <w:r>
        <w:rPr>
          <w:lang w:val="en-US"/>
        </w:rPr>
        <w:t xml:space="preserve"> </w:t>
      </w:r>
      <w:r>
        <w:rPr>
          <w:lang w:val="en-GB"/>
        </w:rPr>
        <w:t>The most common is the families’ financial situation (municipalities in extreme poverty), and child labour.</w:t>
      </w:r>
      <w:r>
        <w:rPr>
          <w:lang w:val="en-US"/>
        </w:rPr>
        <w:t xml:space="preserve"> </w:t>
      </w:r>
      <w:r>
        <w:rPr>
          <w:lang w:val="en-GB"/>
        </w:rPr>
        <w:t>Other factors are a lack of interest or attention by parents in their children’s education, common diseases, families emigrating abroad, moving house (families fearing crime, seeking work, etc.).</w:t>
      </w:r>
      <w:r>
        <w:rPr>
          <w:lang w:val="en-US"/>
        </w:rPr>
        <w:t xml:space="preserve"> </w:t>
      </w:r>
    </w:p>
    <w:p w:rsidR="00CD2A5A" w:rsidRDefault="00CD2A5A">
      <w:pPr>
        <w:numPr>
          <w:ilvl w:val="0"/>
          <w:numId w:val="3"/>
        </w:numPr>
        <w:tabs>
          <w:tab w:val="clear" w:pos="720"/>
        </w:tabs>
        <w:spacing w:after="240"/>
        <w:ind w:left="0" w:firstLine="0"/>
        <w:rPr>
          <w:lang w:val="en-US"/>
        </w:rPr>
      </w:pPr>
      <w:r>
        <w:rPr>
          <w:lang w:val="en-GB"/>
        </w:rPr>
        <w:t>The analysis by the monitoring teams in the education districts is accompanied by efforts to establish commitments within the education community to reduce school drop-out levels.</w:t>
      </w:r>
      <w:r>
        <w:rPr>
          <w:lang w:val="en-US"/>
        </w:rPr>
        <w:t xml:space="preserve"> </w:t>
      </w:r>
      <w:r>
        <w:rPr>
          <w:lang w:val="en-GB"/>
        </w:rPr>
        <w:t>The most common commitments made in educational establishments are:</w:t>
      </w:r>
      <w:r>
        <w:rPr>
          <w:lang w:val="en-US"/>
        </w:rPr>
        <w:t xml:space="preserve"> </w:t>
      </w:r>
      <w:r>
        <w:rPr>
          <w:lang w:val="en-GB"/>
        </w:rPr>
        <w:t>carrying out home visits; discussing absenteeism in meetings with parents; and sending parents written notes for pupils missing from school, stressing parents’ obligation to educate their children.</w:t>
      </w:r>
      <w:r>
        <w:rPr>
          <w:lang w:val="en-US"/>
        </w:rPr>
        <w:t xml:space="preserve"> </w:t>
      </w:r>
      <w:r>
        <w:rPr>
          <w:lang w:val="en-GB"/>
        </w:rPr>
        <w:t>One strategy for stopping first-grade pupils dropping out is to provide remedial classes in language and mathematics.</w:t>
      </w:r>
      <w:r>
        <w:rPr>
          <w:lang w:val="en-US"/>
        </w:rPr>
        <w:t xml:space="preserve"> </w:t>
      </w:r>
      <w:r>
        <w:rPr>
          <w:lang w:val="en-GB"/>
        </w:rPr>
        <w:t>This process is carried out as follows:</w:t>
      </w:r>
      <w:r>
        <w:rPr>
          <w:lang w:val="en-US"/>
        </w:rPr>
        <w:t xml:space="preserve"> </w:t>
      </w:r>
      <w:r>
        <w:rPr>
          <w:lang w:val="en-GB"/>
        </w:rPr>
        <w:t>examinations are set in both subjects each term, and the questions correspond to various skills that the students have to acquire in that time.</w:t>
      </w:r>
      <w:r>
        <w:rPr>
          <w:lang w:val="en-US"/>
        </w:rPr>
        <w:t xml:space="preserve"> </w:t>
      </w:r>
      <w:r>
        <w:rPr>
          <w:lang w:val="en-GB"/>
        </w:rPr>
        <w:t>The teachers set and mark the exams and a remedial strategy is planned based on the results obtained.</w:t>
      </w:r>
      <w:r>
        <w:rPr>
          <w:lang w:val="en-US"/>
        </w:rPr>
        <w:t xml:space="preserve"> </w:t>
      </w:r>
      <w:r>
        <w:rPr>
          <w:lang w:val="en-GB"/>
        </w:rPr>
        <w:t>This strategy is monitored not only by the teacher but also by the parents.</w:t>
      </w:r>
    </w:p>
    <w:p w:rsidR="00CD2A5A" w:rsidRDefault="00CD2A5A">
      <w:pPr>
        <w:pStyle w:val="Header"/>
        <w:numPr>
          <w:ilvl w:val="0"/>
          <w:numId w:val="3"/>
        </w:numPr>
        <w:tabs>
          <w:tab w:val="clear" w:pos="720"/>
          <w:tab w:val="clear" w:pos="4252"/>
        </w:tabs>
        <w:spacing w:after="240"/>
        <w:ind w:left="0" w:firstLine="0"/>
        <w:rPr>
          <w:lang w:val="en-US"/>
        </w:rPr>
      </w:pPr>
      <w:r>
        <w:rPr>
          <w:lang w:val="en-GB"/>
        </w:rPr>
        <w:t>Previous efforts to reduce dropping out from school have given positive results, as El Salvador has a target for 2010 of reducing by half, i.e. to 14.49%, the proportion of school-age children – aged 7 to 17 – who do not attend primary or secondary school.</w:t>
      </w:r>
      <w:r>
        <w:rPr>
          <w:lang w:val="en-US"/>
        </w:rPr>
        <w:t xml:space="preserve"> </w:t>
      </w:r>
    </w:p>
    <w:p w:rsidR="00CD2A5A" w:rsidRDefault="00CD2A5A">
      <w:pPr>
        <w:pStyle w:val="Header"/>
        <w:numPr>
          <w:ilvl w:val="0"/>
          <w:numId w:val="3"/>
        </w:numPr>
        <w:tabs>
          <w:tab w:val="clear" w:pos="720"/>
          <w:tab w:val="clear" w:pos="4252"/>
        </w:tabs>
        <w:spacing w:after="240"/>
        <w:ind w:left="0" w:firstLine="0"/>
        <w:rPr>
          <w:b/>
          <w:u w:val="single"/>
        </w:rPr>
      </w:pPr>
      <w:r>
        <w:rPr>
          <w:lang w:val="en-GB"/>
        </w:rPr>
        <w:t xml:space="preserve">The proportion of non-attendance of 28.97% in 1990 fell to 13.88% in 2005, an overall decrease of 15.10 percentage points, with an annual average of </w:t>
      </w:r>
      <w:r>
        <w:rPr>
          <w:lang w:val="en-GB"/>
        </w:rPr>
        <w:softHyphen/>
        <w:t>1.01 per cent.</w:t>
      </w:r>
      <w:r>
        <w:rPr>
          <w:lang w:val="en-US"/>
        </w:rPr>
        <w:t xml:space="preserve"> </w:t>
      </w:r>
      <w:r>
        <w:rPr>
          <w:lang w:val="en-GB"/>
        </w:rPr>
        <w:t xml:space="preserve">The rate of decrease over the third five-year period 2000-2005 was higher than in the two previous five-year periods, with an annual average of </w:t>
      </w:r>
      <w:r>
        <w:rPr>
          <w:lang w:val="en-GB"/>
        </w:rPr>
        <w:softHyphen/>
        <w:t>1.26 per cent.</w:t>
      </w:r>
      <w:r>
        <w:rPr>
          <w:lang w:val="en-US"/>
        </w:rPr>
        <w:t xml:space="preserve"> </w:t>
      </w:r>
      <w:r>
        <w:rPr>
          <w:lang w:val="en-GB"/>
        </w:rPr>
        <w:t>The 2010 target has therefore already been achieved and exceeded.</w:t>
      </w:r>
      <w:r>
        <w:rPr>
          <w:rStyle w:val="FootnoteReference"/>
        </w:rPr>
        <w:footnoteReference w:id="41"/>
      </w:r>
    </w:p>
    <w:p w:rsidR="00CD2A5A" w:rsidRDefault="00CD2A5A">
      <w:pPr>
        <w:pStyle w:val="10"/>
      </w:pPr>
      <w:r>
        <w:t xml:space="preserve">1. </w:t>
      </w:r>
      <w:r>
        <w:tab/>
        <w:t>Family Alliance Plan</w:t>
      </w:r>
    </w:p>
    <w:p w:rsidR="00CD2A5A" w:rsidRDefault="00CD2A5A">
      <w:pPr>
        <w:pStyle w:val="Header"/>
        <w:numPr>
          <w:ilvl w:val="0"/>
          <w:numId w:val="3"/>
        </w:numPr>
        <w:tabs>
          <w:tab w:val="clear" w:pos="720"/>
          <w:tab w:val="clear" w:pos="4252"/>
        </w:tabs>
        <w:spacing w:after="240"/>
        <w:ind w:left="0" w:firstLine="0"/>
        <w:rPr>
          <w:lang w:val="en-US"/>
        </w:rPr>
      </w:pPr>
      <w:r>
        <w:rPr>
          <w:lang w:val="en-GB"/>
        </w:rPr>
        <w:t>In response to the rise in international oil prices, President Saca presented the Family Alliance to the nation, comprising 19 measures.</w:t>
      </w:r>
      <w:r>
        <w:rPr>
          <w:lang w:val="en-US"/>
        </w:rPr>
        <w:t xml:space="preserve"> </w:t>
      </w:r>
      <w:r>
        <w:rPr>
          <w:lang w:val="en-GB"/>
        </w:rPr>
        <w:t>The plan involved an investment of $54 million.</w:t>
      </w:r>
      <w:r>
        <w:rPr>
          <w:lang w:val="en-US"/>
        </w:rPr>
        <w:t xml:space="preserve"> </w:t>
      </w:r>
      <w:r>
        <w:rPr>
          <w:lang w:val="en-GB"/>
        </w:rPr>
        <w:t>It was divided into $18.5 million for education, $17 million for agriculture, $15 million for supplementing income tax and $3 million to fund the ISS paying 100% of salary during maternity leave.</w:t>
      </w:r>
    </w:p>
    <w:p w:rsidR="00CD2A5A" w:rsidRDefault="00CD2A5A">
      <w:pPr>
        <w:pStyle w:val="Header"/>
        <w:numPr>
          <w:ilvl w:val="0"/>
          <w:numId w:val="3"/>
        </w:numPr>
        <w:tabs>
          <w:tab w:val="clear" w:pos="720"/>
          <w:tab w:val="clear" w:pos="4252"/>
        </w:tabs>
        <w:spacing w:after="240"/>
        <w:ind w:left="0" w:firstLine="0"/>
        <w:rPr>
          <w:lang w:val="en-US"/>
        </w:rPr>
      </w:pPr>
      <w:r>
        <w:rPr>
          <w:lang w:val="en-GB"/>
        </w:rPr>
        <w:t>The Plan involves a decisive participation by the private sector, as it implies more regulation of public services such as telephones and electricity, to avoid unjustified payments in those sectors and the financial system.</w:t>
      </w:r>
    </w:p>
    <w:p w:rsidR="00CD2A5A" w:rsidRDefault="00CD2A5A">
      <w:pPr>
        <w:pStyle w:val="Header"/>
        <w:numPr>
          <w:ilvl w:val="0"/>
          <w:numId w:val="3"/>
        </w:numPr>
        <w:tabs>
          <w:tab w:val="clear" w:pos="720"/>
          <w:tab w:val="clear" w:pos="4252"/>
        </w:tabs>
        <w:spacing w:after="240"/>
        <w:ind w:left="0" w:firstLine="0"/>
        <w:rPr>
          <w:lang w:val="en-US"/>
        </w:rPr>
      </w:pPr>
      <w:r>
        <w:rPr>
          <w:lang w:val="en-GB"/>
        </w:rPr>
        <w:t>There are also plans for reforms of certain laws such as the General Telecommunications Act and the Consumer Protection Act.</w:t>
      </w:r>
      <w:r>
        <w:rPr>
          <w:lang w:val="en-US"/>
        </w:rPr>
        <w:t xml:space="preserve"> </w:t>
      </w:r>
    </w:p>
    <w:p w:rsidR="00CD2A5A" w:rsidRDefault="00CD2A5A">
      <w:pPr>
        <w:pStyle w:val="Header"/>
        <w:keepNext/>
        <w:numPr>
          <w:ilvl w:val="0"/>
          <w:numId w:val="3"/>
        </w:numPr>
        <w:tabs>
          <w:tab w:val="clear" w:pos="720"/>
          <w:tab w:val="clear" w:pos="4252"/>
        </w:tabs>
        <w:spacing w:after="240"/>
        <w:ind w:left="0" w:firstLine="0"/>
        <w:rPr>
          <w:lang w:val="es-MX"/>
        </w:rPr>
      </w:pPr>
      <w:r>
        <w:rPr>
          <w:lang w:val="en-GB"/>
        </w:rPr>
        <w:t>The measures include:</w:t>
      </w:r>
    </w:p>
    <w:p w:rsidR="00CD2A5A" w:rsidRDefault="00CD2A5A">
      <w:pPr>
        <w:numPr>
          <w:ilvl w:val="0"/>
          <w:numId w:val="23"/>
        </w:numPr>
        <w:tabs>
          <w:tab w:val="clear" w:pos="1287"/>
        </w:tabs>
        <w:spacing w:after="240"/>
        <w:ind w:left="0" w:firstLine="567"/>
        <w:rPr>
          <w:lang w:val="en-US"/>
        </w:rPr>
      </w:pPr>
      <w:r>
        <w:rPr>
          <w:lang w:val="en-GB"/>
        </w:rPr>
        <w:t>An increase to 100% of salary cover granted by the ISS to working mothers during the 12 weeks of maternity leave;</w:t>
      </w:r>
    </w:p>
    <w:p w:rsidR="00CD2A5A" w:rsidRDefault="00CD2A5A">
      <w:pPr>
        <w:numPr>
          <w:ilvl w:val="0"/>
          <w:numId w:val="23"/>
        </w:numPr>
        <w:tabs>
          <w:tab w:val="clear" w:pos="1287"/>
        </w:tabs>
        <w:spacing w:after="240"/>
        <w:ind w:left="0" w:firstLine="567"/>
        <w:rPr>
          <w:lang w:val="en-US"/>
        </w:rPr>
      </w:pPr>
      <w:r>
        <w:rPr>
          <w:lang w:val="en-GB"/>
        </w:rPr>
        <w:t>Increase in deductions that citizens can claim against income tax under education and health, up to $1,600, or $800 for each heading;</w:t>
      </w:r>
    </w:p>
    <w:p w:rsidR="00CD2A5A" w:rsidRDefault="00CD2A5A">
      <w:pPr>
        <w:numPr>
          <w:ilvl w:val="0"/>
          <w:numId w:val="23"/>
        </w:numPr>
        <w:tabs>
          <w:tab w:val="clear" w:pos="1287"/>
        </w:tabs>
        <w:spacing w:after="240"/>
        <w:ind w:left="0" w:firstLine="567"/>
        <w:rPr>
          <w:lang w:val="en-US"/>
        </w:rPr>
      </w:pPr>
      <w:r>
        <w:rPr>
          <w:lang w:val="en-GB"/>
        </w:rPr>
        <w:t>Abolition from January 2008 of enrolment, tuition and graduation fees for more than 150,000 baccalaureate pupils in the public system;</w:t>
      </w:r>
    </w:p>
    <w:p w:rsidR="00CD2A5A" w:rsidRDefault="00CD2A5A">
      <w:pPr>
        <w:numPr>
          <w:ilvl w:val="0"/>
          <w:numId w:val="23"/>
        </w:numPr>
        <w:tabs>
          <w:tab w:val="clear" w:pos="1287"/>
        </w:tabs>
        <w:spacing w:after="240"/>
        <w:ind w:left="0" w:firstLine="567"/>
        <w:rPr>
          <w:lang w:val="en-US"/>
        </w:rPr>
      </w:pPr>
      <w:r>
        <w:rPr>
          <w:lang w:val="en-GB"/>
        </w:rPr>
        <w:t>Consistent with the above, repayment of enrolment and tuition fees already paid by families;</w:t>
      </w:r>
    </w:p>
    <w:p w:rsidR="00CD2A5A" w:rsidRDefault="00CD2A5A">
      <w:pPr>
        <w:numPr>
          <w:ilvl w:val="0"/>
          <w:numId w:val="23"/>
        </w:numPr>
        <w:tabs>
          <w:tab w:val="clear" w:pos="1287"/>
        </w:tabs>
        <w:spacing w:after="240"/>
        <w:ind w:left="0" w:firstLine="567"/>
        <w:rPr>
          <w:lang w:val="en-US"/>
        </w:rPr>
      </w:pPr>
      <w:r>
        <w:rPr>
          <w:lang w:val="en-GB"/>
        </w:rPr>
        <w:t>Extension of the free Edúcame programme to increase its capacity from 30,000 to 50,000, bringing young people who have dropped out of baccalaureate studies back into the education system;</w:t>
      </w:r>
    </w:p>
    <w:p w:rsidR="00CD2A5A" w:rsidRDefault="00CD2A5A">
      <w:pPr>
        <w:numPr>
          <w:ilvl w:val="0"/>
          <w:numId w:val="23"/>
        </w:numPr>
        <w:tabs>
          <w:tab w:val="clear" w:pos="1287"/>
        </w:tabs>
        <w:spacing w:after="240"/>
        <w:ind w:left="0" w:firstLine="567"/>
        <w:rPr>
          <w:lang w:val="en-US"/>
        </w:rPr>
      </w:pPr>
      <w:r>
        <w:rPr>
          <w:lang w:val="en-GB"/>
        </w:rPr>
        <w:t>Hiring with own funds of a total of 2,950 new teachers, to join the education system.</w:t>
      </w:r>
    </w:p>
    <w:p w:rsidR="00CD2A5A" w:rsidRDefault="00CD2A5A">
      <w:pPr>
        <w:pStyle w:val="10"/>
      </w:pPr>
      <w:r>
        <w:t xml:space="preserve">2. </w:t>
      </w:r>
      <w:r>
        <w:tab/>
        <w:t>Measures for education</w:t>
      </w:r>
    </w:p>
    <w:p w:rsidR="00CD2A5A" w:rsidRDefault="00CD2A5A">
      <w:pPr>
        <w:pStyle w:val="Header"/>
        <w:numPr>
          <w:ilvl w:val="0"/>
          <w:numId w:val="3"/>
        </w:numPr>
        <w:tabs>
          <w:tab w:val="clear" w:pos="720"/>
          <w:tab w:val="clear" w:pos="4252"/>
        </w:tabs>
        <w:spacing w:after="240"/>
        <w:ind w:left="0" w:firstLine="0"/>
        <w:rPr>
          <w:lang w:val="es-MX"/>
        </w:rPr>
      </w:pPr>
      <w:r>
        <w:rPr>
          <w:lang w:val="en-GB"/>
        </w:rPr>
        <w:t>Under the measures for education, baccalaureate students will be able to enrol in high schools free of charge from January 2008.</w:t>
      </w:r>
      <w:r>
        <w:rPr>
          <w:lang w:val="en-US"/>
        </w:rPr>
        <w:t xml:space="preserve"> </w:t>
      </w:r>
      <w:r>
        <w:rPr>
          <w:lang w:val="en-GB"/>
        </w:rPr>
        <w:t>The Ministry of Education has earmarked $17 million (from the trust fund) to cover enrolments, tuition and graduation fees for some 150,000 students who are currently about to enter high school.</w:t>
      </w:r>
      <w:r>
        <w:rPr>
          <w:lang w:val="en-US"/>
        </w:rPr>
        <w:t xml:space="preserve"> </w:t>
      </w:r>
      <w:r>
        <w:rPr>
          <w:lang w:val="en-GB"/>
        </w:rPr>
        <w:t>The remaining $1.5 millon dollars will go to technology upgrades.</w:t>
      </w:r>
    </w:p>
    <w:p w:rsidR="00CD2A5A" w:rsidRDefault="00CD2A5A">
      <w:pPr>
        <w:pStyle w:val="Header"/>
        <w:numPr>
          <w:ilvl w:val="0"/>
          <w:numId w:val="3"/>
        </w:numPr>
        <w:tabs>
          <w:tab w:val="clear" w:pos="720"/>
          <w:tab w:val="clear" w:pos="4252"/>
        </w:tabs>
        <w:spacing w:after="240"/>
        <w:ind w:left="0" w:firstLine="0"/>
        <w:rPr>
          <w:lang w:val="en-US"/>
        </w:rPr>
      </w:pPr>
      <w:r>
        <w:rPr>
          <w:lang w:val="en-GB"/>
        </w:rPr>
        <w:t>The baccalaureate is the only academic level that is not free of charge in the public system. Until 2007, students paid an average of $10 a month (10 instalments a year), $20 for enrolment and $15 in graduation fees.</w:t>
      </w:r>
      <w:r>
        <w:rPr>
          <w:lang w:val="en-US"/>
        </w:rPr>
        <w:t xml:space="preserve"> </w:t>
      </w:r>
    </w:p>
    <w:p w:rsidR="00CD2A5A" w:rsidRDefault="00CD2A5A">
      <w:pPr>
        <w:pStyle w:val="Header"/>
        <w:numPr>
          <w:ilvl w:val="0"/>
          <w:numId w:val="3"/>
        </w:numPr>
        <w:tabs>
          <w:tab w:val="clear" w:pos="720"/>
          <w:tab w:val="clear" w:pos="4252"/>
        </w:tabs>
        <w:spacing w:after="240"/>
        <w:ind w:left="0" w:firstLine="0"/>
        <w:rPr>
          <w:lang w:val="en-US"/>
        </w:rPr>
      </w:pPr>
      <w:r>
        <w:rPr>
          <w:lang w:val="en-US"/>
        </w:rPr>
        <w:t xml:space="preserve"> </w:t>
      </w:r>
      <w:r>
        <w:rPr>
          <w:lang w:val="en-GB"/>
        </w:rPr>
        <w:t>For the time being, 300 high-school classrooms will be refurbished and internet will be funded for all baccalaureate establishments.</w:t>
      </w:r>
    </w:p>
    <w:p w:rsidR="00CD2A5A" w:rsidRDefault="00CD2A5A" w:rsidP="006228EF">
      <w:pPr>
        <w:pStyle w:val="A0"/>
        <w:rPr>
          <w:lang w:val="en-US"/>
        </w:rPr>
      </w:pPr>
      <w:r>
        <w:t>C.  Relaxation, leisure and cultural and artistic activities</w:t>
      </w:r>
    </w:p>
    <w:p w:rsidR="00CD2A5A" w:rsidRDefault="00CD2A5A">
      <w:pPr>
        <w:pStyle w:val="Header"/>
        <w:keepNext/>
        <w:numPr>
          <w:ilvl w:val="0"/>
          <w:numId w:val="3"/>
        </w:numPr>
        <w:tabs>
          <w:tab w:val="clear" w:pos="720"/>
          <w:tab w:val="clear" w:pos="4252"/>
        </w:tabs>
        <w:spacing w:after="240"/>
        <w:ind w:left="0" w:firstLine="0"/>
        <w:rPr>
          <w:lang w:val="en-US"/>
        </w:rPr>
      </w:pPr>
      <w:r>
        <w:rPr>
          <w:lang w:val="en-GB"/>
        </w:rPr>
        <w:t>The National Youth Secretariat’s objectives also include healthy leisure activities for young people and optimum use of free time.</w:t>
      </w:r>
      <w:r>
        <w:rPr>
          <w:lang w:val="en-US"/>
        </w:rPr>
        <w:t xml:space="preserve"> </w:t>
      </w:r>
      <w:r>
        <w:rPr>
          <w:lang w:val="en-GB"/>
        </w:rPr>
        <w:t>The activities it carries out to promote participation in cultural activities, and healthy leisure and recreation for young people include:</w:t>
      </w:r>
    </w:p>
    <w:p w:rsidR="00CD2A5A" w:rsidRDefault="00CD2A5A">
      <w:pPr>
        <w:numPr>
          <w:ilvl w:val="1"/>
          <w:numId w:val="3"/>
        </w:numPr>
        <w:tabs>
          <w:tab w:val="clear" w:pos="1200"/>
        </w:tabs>
        <w:spacing w:after="240"/>
        <w:ind w:left="0" w:firstLine="567"/>
        <w:rPr>
          <w:lang w:val="en-US"/>
        </w:rPr>
      </w:pPr>
      <w:r>
        <w:rPr>
          <w:lang w:val="en-GB"/>
        </w:rPr>
        <w:t>Youth camps.</w:t>
      </w:r>
      <w:r>
        <w:rPr>
          <w:lang w:val="en-US"/>
        </w:rPr>
        <w:t xml:space="preserve"> </w:t>
      </w:r>
      <w:r>
        <w:rPr>
          <w:lang w:val="en-GB"/>
        </w:rPr>
        <w:t>With the support of the National Council for Public Security, MINED, the Ministry of National Defence and the National Academy for Public Security, youth camps are run as common living areas, where young people learn and practice skills and abilities;</w:t>
      </w:r>
    </w:p>
    <w:p w:rsidR="00CD2A5A" w:rsidRDefault="00CD2A5A">
      <w:pPr>
        <w:numPr>
          <w:ilvl w:val="1"/>
          <w:numId w:val="3"/>
        </w:numPr>
        <w:tabs>
          <w:tab w:val="clear" w:pos="1200"/>
        </w:tabs>
        <w:spacing w:after="240"/>
        <w:ind w:left="0" w:firstLine="567"/>
        <w:rPr>
          <w:lang w:val="en-US"/>
        </w:rPr>
      </w:pPr>
      <w:r>
        <w:rPr>
          <w:lang w:val="en-GB"/>
        </w:rPr>
        <w:t>Youth Month.</w:t>
      </w:r>
      <w:r>
        <w:rPr>
          <w:lang w:val="en-US"/>
        </w:rPr>
        <w:t xml:space="preserve"> </w:t>
      </w:r>
      <w:r>
        <w:rPr>
          <w:lang w:val="en-GB"/>
        </w:rPr>
        <w:t>In Youth Month, activities are carried out to promote participation by outstanding young people as citizens in the various areas of national life, through youth meetings, forums, conferences, cultural activities and sports activities;</w:t>
      </w:r>
    </w:p>
    <w:p w:rsidR="00CD2A5A" w:rsidRDefault="00CD2A5A">
      <w:pPr>
        <w:numPr>
          <w:ilvl w:val="1"/>
          <w:numId w:val="3"/>
        </w:numPr>
        <w:tabs>
          <w:tab w:val="clear" w:pos="1200"/>
        </w:tabs>
        <w:spacing w:after="240"/>
        <w:ind w:left="0" w:firstLine="567"/>
        <w:rPr>
          <w:lang w:val="en-US"/>
        </w:rPr>
      </w:pPr>
      <w:r>
        <w:rPr>
          <w:rFonts w:eastAsia="Batang"/>
          <w:lang w:val="en-GB"/>
        </w:rPr>
        <w:t>Youth Power Festival.</w:t>
      </w:r>
      <w:r>
        <w:rPr>
          <w:rFonts w:eastAsia="Batang"/>
          <w:lang w:val="en-US"/>
        </w:rPr>
        <w:t xml:space="preserve"> </w:t>
      </w:r>
      <w:r>
        <w:rPr>
          <w:rFonts w:eastAsia="Batang"/>
          <w:lang w:val="en-GB"/>
        </w:rPr>
        <w:t>This is an area for expression, participation and recognition of young people’s artistic and cultural talent.</w:t>
      </w:r>
      <w:r>
        <w:rPr>
          <w:rFonts w:eastAsia="Batang"/>
          <w:lang w:val="en-US"/>
        </w:rPr>
        <w:t xml:space="preserve"> </w:t>
      </w:r>
      <w:r>
        <w:rPr>
          <w:rFonts w:eastAsia="Batang"/>
          <w:lang w:val="en-GB"/>
        </w:rPr>
        <w:t>The Festival encompasses art exhibitions, street art, contests, stage art, knowledge quizzes, extreme sports and youth concerts;</w:t>
      </w:r>
    </w:p>
    <w:p w:rsidR="00CD2A5A" w:rsidRDefault="00CD2A5A">
      <w:pPr>
        <w:numPr>
          <w:ilvl w:val="1"/>
          <w:numId w:val="3"/>
        </w:numPr>
        <w:tabs>
          <w:tab w:val="clear" w:pos="1200"/>
        </w:tabs>
        <w:spacing w:after="240"/>
        <w:ind w:left="0" w:firstLine="567"/>
        <w:rPr>
          <w:lang w:val="en-US"/>
        </w:rPr>
      </w:pPr>
      <w:r>
        <w:rPr>
          <w:rFonts w:eastAsia="Batang"/>
          <w:lang w:val="en-GB"/>
        </w:rPr>
        <w:t>Youth Ingenuity Contest.</w:t>
      </w:r>
      <w:r>
        <w:rPr>
          <w:rFonts w:eastAsia="Batang"/>
          <w:lang w:val="en-US"/>
        </w:rPr>
        <w:t xml:space="preserve"> </w:t>
      </w:r>
      <w:r>
        <w:rPr>
          <w:rFonts w:eastAsia="Batang"/>
          <w:lang w:val="en-GB"/>
        </w:rPr>
        <w:t>This activity is designed to stimulate young people to develop their creativity in the areas of technology, through recognition, exhibition of projects, fostering young people’s ingenuity and knowledge transfer;</w:t>
      </w:r>
      <w:r>
        <w:rPr>
          <w:rFonts w:eastAsia="Batang"/>
          <w:lang w:val="en-US"/>
        </w:rPr>
        <w:t xml:space="preserve"> </w:t>
      </w:r>
    </w:p>
    <w:p w:rsidR="00CD2A5A" w:rsidRDefault="00CD2A5A">
      <w:pPr>
        <w:numPr>
          <w:ilvl w:val="1"/>
          <w:numId w:val="3"/>
        </w:numPr>
        <w:tabs>
          <w:tab w:val="clear" w:pos="1200"/>
        </w:tabs>
        <w:spacing w:after="240"/>
        <w:ind w:left="0" w:firstLine="567"/>
        <w:rPr>
          <w:lang w:val="en-US"/>
        </w:rPr>
      </w:pPr>
      <w:r>
        <w:rPr>
          <w:rFonts w:eastAsia="Batang"/>
          <w:lang w:val="en-GB"/>
        </w:rPr>
        <w:t>Young Talent Festival.</w:t>
      </w:r>
      <w:r>
        <w:rPr>
          <w:rFonts w:eastAsia="Batang"/>
          <w:lang w:val="en-US"/>
        </w:rPr>
        <w:t xml:space="preserve"> </w:t>
      </w:r>
      <w:r>
        <w:rPr>
          <w:rFonts w:eastAsia="Batang"/>
          <w:lang w:val="en-GB"/>
        </w:rPr>
        <w:t>This activity aims to promote the talent of young people with outstanding academic, artistic, cultural or sporting qualities; create the necessary spaces and skills to successfully encourage the abilities of young people, by promoting music, plastic arts, literature and theatre and promote youth issues; and</w:t>
      </w:r>
    </w:p>
    <w:p w:rsidR="00CD2A5A" w:rsidRDefault="00CD2A5A">
      <w:pPr>
        <w:numPr>
          <w:ilvl w:val="1"/>
          <w:numId w:val="3"/>
        </w:numPr>
        <w:tabs>
          <w:tab w:val="clear" w:pos="1200"/>
        </w:tabs>
        <w:spacing w:after="240"/>
        <w:ind w:left="0" w:firstLine="567"/>
        <w:rPr>
          <w:lang w:val="en-US"/>
        </w:rPr>
      </w:pPr>
      <w:r>
        <w:rPr>
          <w:rFonts w:eastAsia="Batang"/>
          <w:lang w:val="en-GB"/>
        </w:rPr>
        <w:t>Outstanding Merit Prize.</w:t>
      </w:r>
      <w:r>
        <w:rPr>
          <w:rFonts w:eastAsia="Batang"/>
          <w:lang w:val="en-US"/>
        </w:rPr>
        <w:t xml:space="preserve"> </w:t>
      </w:r>
      <w:r>
        <w:rPr>
          <w:rFonts w:eastAsia="Batang"/>
          <w:lang w:val="en-GB"/>
        </w:rPr>
        <w:t>This is a programme to recognize young Salvadorans who stand out in daily life, and organizations and institutions that offer the best programmes to promote young talent.</w:t>
      </w:r>
    </w:p>
    <w:p w:rsidR="00CD2A5A" w:rsidRPr="008A5877" w:rsidRDefault="00CD2A5A">
      <w:pPr>
        <w:pStyle w:val="I"/>
        <w:rPr>
          <w:lang w:val="en-US"/>
        </w:rPr>
      </w:pPr>
      <w:r w:rsidRPr="008A5877">
        <w:rPr>
          <w:lang w:val="en-US"/>
        </w:rPr>
        <w:t>VIII.  Special protection measures</w:t>
      </w:r>
    </w:p>
    <w:p w:rsidR="00CD2A5A" w:rsidRDefault="00CD2A5A" w:rsidP="006228EF">
      <w:pPr>
        <w:pStyle w:val="A0"/>
      </w:pPr>
      <w:r>
        <w:t>A.  Returning children</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Reception mechanisms are established for Salvadoran children found travelling alone in other countries. These are mediated by the various institutions involved, namely the Department of Humanitarian Management and Migrant Care (DGHAM), the Ministry of External Relations, the National Civil Police General Directorate for Migration and Aliens (DGME) and the Salvadoran Institute for Full Development of Children and Adolescents (ISNA), amongst others. </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 xml:space="preserve">The process begins as follows: </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Relatives of the child in El Salvador submit an application to DGHAM and set out the case, showing the child’s birth certificate;</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An official appointed by DGHAM: personally interviews the person requesting repatriation;</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When a case is submitted by a Salvadoran Consulate abroad, the DGHAM official locates relatives in El Salvador to explain the repatriation process to them and draws up an authorization to be signed by a relative. This enables the Consul to complete the necessary formalities with the local authorities and thus repatriate a person under the age of 18;</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If a foreign institution caring for a child asks for a social services report on the family who is to receive him or her in El Salvador, the Consulate requests this from DGHAM;</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DGHAM draws up and sends a memo to ISNA requesting the preparation of a social services report on the family who will receive the child in El Salvador;</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DGHAM receives the Social Services report on the relevant family prepared by ISNA and sends it to the Consulate;</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The Consulate completes the relevant formalities with children’s institutions and migration authorities for repatriation (identification of the child, transfer to the airport or confirmation of repatriation route);</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If the authorities in the corresponding country do not provide for the child’s transport, the Consulate will notify DGHAM so that it can liaise with relatives in El Salvador or the relevant bodies in order to obtain the fare;</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 xml:space="preserve"> DGHAM coordinates the child’s reception with the relatives who are to receive the child in El Salvador, DGME and ISNA;</w:t>
      </w:r>
    </w:p>
    <w:p w:rsidR="00CD2A5A" w:rsidRDefault="00CD2A5A">
      <w:pPr>
        <w:numPr>
          <w:ilvl w:val="0"/>
          <w:numId w:val="14"/>
        </w:numPr>
        <w:tabs>
          <w:tab w:val="clear" w:pos="540"/>
        </w:tabs>
        <w:autoSpaceDE w:val="0"/>
        <w:autoSpaceDN w:val="0"/>
        <w:adjustRightInd w:val="0"/>
        <w:spacing w:after="240"/>
        <w:ind w:left="0" w:firstLine="567"/>
        <w:rPr>
          <w:lang w:val="en-US"/>
        </w:rPr>
      </w:pPr>
      <w:r>
        <w:rPr>
          <w:lang w:val="en-US"/>
        </w:rPr>
        <w:t>DGHAM hands over the child to ISNA for clearance and subsequent handover to his or her relatives.</w:t>
      </w:r>
    </w:p>
    <w:p w:rsidR="00CD2A5A" w:rsidRDefault="00CD2A5A">
      <w:pPr>
        <w:pStyle w:val="Header"/>
        <w:keepNext/>
        <w:numPr>
          <w:ilvl w:val="0"/>
          <w:numId w:val="3"/>
        </w:numPr>
        <w:tabs>
          <w:tab w:val="clear" w:pos="720"/>
          <w:tab w:val="clear" w:pos="4252"/>
        </w:tabs>
        <w:spacing w:after="240"/>
        <w:ind w:left="0" w:firstLine="0"/>
        <w:rPr>
          <w:b/>
          <w:bCs/>
          <w:lang w:val="en-GB"/>
        </w:rPr>
      </w:pPr>
      <w:r>
        <w:rPr>
          <w:lang w:val="en-GB"/>
        </w:rPr>
        <w:t>With regard to the above process and because the children enter across the La Hachadura border, it has been agreed that the Consul notifies ISNA by email the day it sends the children and also liaises by telephone with the Ministry of Foreign Relations Migrant Care Centre in La Hachadura; ISNA staff go to the Ministry of External Relations Migrant Care Centre and perform the following procedure there:</w:t>
      </w:r>
    </w:p>
    <w:p w:rsidR="00CD2A5A" w:rsidRDefault="00CD2A5A">
      <w:pPr>
        <w:numPr>
          <w:ilvl w:val="0"/>
          <w:numId w:val="24"/>
        </w:numPr>
        <w:tabs>
          <w:tab w:val="clear" w:pos="1287"/>
        </w:tabs>
        <w:spacing w:after="240"/>
        <w:ind w:left="0" w:firstLine="567"/>
        <w:rPr>
          <w:lang w:val="en-US"/>
        </w:rPr>
      </w:pPr>
      <w:r>
        <w:rPr>
          <w:lang w:val="en-US"/>
        </w:rPr>
        <w:t>They receive a list of all children and adolescents.</w:t>
      </w:r>
    </w:p>
    <w:p w:rsidR="00CD2A5A" w:rsidRDefault="00CD2A5A">
      <w:pPr>
        <w:numPr>
          <w:ilvl w:val="0"/>
          <w:numId w:val="24"/>
        </w:numPr>
        <w:tabs>
          <w:tab w:val="clear" w:pos="1287"/>
        </w:tabs>
        <w:spacing w:after="240"/>
        <w:ind w:left="0" w:firstLine="567"/>
        <w:rPr>
          <w:b/>
          <w:bCs/>
          <w:lang w:val="en-US"/>
        </w:rPr>
      </w:pPr>
      <w:r>
        <w:rPr>
          <w:lang w:val="en-US"/>
        </w:rPr>
        <w:t>They confirm which of the children are accompanied by relatives and in possession of documentation.</w:t>
      </w:r>
    </w:p>
    <w:p w:rsidR="00CD2A5A" w:rsidRDefault="00CD2A5A">
      <w:pPr>
        <w:numPr>
          <w:ilvl w:val="0"/>
          <w:numId w:val="24"/>
        </w:numPr>
        <w:tabs>
          <w:tab w:val="clear" w:pos="1287"/>
        </w:tabs>
        <w:spacing w:after="240"/>
        <w:ind w:left="0" w:firstLine="567"/>
        <w:rPr>
          <w:b/>
          <w:bCs/>
          <w:lang w:val="en-US"/>
        </w:rPr>
      </w:pPr>
      <w:r>
        <w:rPr>
          <w:lang w:val="en-US"/>
        </w:rPr>
        <w:t>They carry out interviews with each child and their family to establish that they are biologically related and that the birth certificate and sole identity document (DUI) are correct.</w:t>
      </w:r>
    </w:p>
    <w:p w:rsidR="00CD2A5A" w:rsidRDefault="00CD2A5A">
      <w:pPr>
        <w:numPr>
          <w:ilvl w:val="0"/>
          <w:numId w:val="24"/>
        </w:numPr>
        <w:tabs>
          <w:tab w:val="clear" w:pos="1287"/>
        </w:tabs>
        <w:spacing w:after="240"/>
        <w:ind w:left="0" w:firstLine="567"/>
        <w:rPr>
          <w:b/>
          <w:bCs/>
          <w:lang w:val="en-US"/>
        </w:rPr>
      </w:pPr>
      <w:r>
        <w:rPr>
          <w:lang w:val="en-US"/>
        </w:rPr>
        <w:t>Official record and report forms are then filled in so that the children and adolescents can be handed over to their relatives.</w:t>
      </w:r>
    </w:p>
    <w:p w:rsidR="00CD2A5A" w:rsidRDefault="00CD2A5A">
      <w:pPr>
        <w:numPr>
          <w:ilvl w:val="0"/>
          <w:numId w:val="24"/>
        </w:numPr>
        <w:tabs>
          <w:tab w:val="clear" w:pos="1287"/>
        </w:tabs>
        <w:spacing w:after="240"/>
        <w:ind w:left="0" w:firstLine="567"/>
        <w:rPr>
          <w:b/>
          <w:bCs/>
          <w:lang w:val="en-US"/>
        </w:rPr>
      </w:pPr>
      <w:r>
        <w:rPr>
          <w:lang w:val="en-US"/>
        </w:rPr>
        <w:t xml:space="preserve">If no relatives are present to meet the children, they are transferred to ISNA and temporary accommodation is organized in the Hogar Moraga and Ciudad de los Niños orphanages for girls and boys respectively. In some cases, the relatives even come to the ISNA in Santa Ana on the same day to reunite the family. Otherwise, arrangements are made by telephone to allow the relatives time until the following day to pick up the children. </w:t>
      </w:r>
    </w:p>
    <w:p w:rsidR="00CD2A5A" w:rsidRDefault="00CD2A5A">
      <w:pPr>
        <w:numPr>
          <w:ilvl w:val="0"/>
          <w:numId w:val="24"/>
        </w:numPr>
        <w:tabs>
          <w:tab w:val="clear" w:pos="1287"/>
        </w:tabs>
        <w:spacing w:after="240"/>
        <w:ind w:left="0" w:firstLine="567"/>
        <w:rPr>
          <w:b/>
          <w:bCs/>
          <w:lang w:val="en-US"/>
        </w:rPr>
      </w:pPr>
      <w:r>
        <w:rPr>
          <w:lang w:val="en-US"/>
        </w:rPr>
        <w:t>Under exceptional circumstances, when the family fails to turn up, the relevant arrangements are made with ISNA branches, according to the geographical area in which the child is resident.</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 xml:space="preserve">When they are sent to ISNA, the procedure is as follows: </w:t>
      </w:r>
    </w:p>
    <w:p w:rsidR="00CD2A5A" w:rsidRDefault="00CD2A5A">
      <w:pPr>
        <w:numPr>
          <w:ilvl w:val="0"/>
          <w:numId w:val="25"/>
        </w:numPr>
        <w:tabs>
          <w:tab w:val="clear" w:pos="1287"/>
        </w:tabs>
        <w:spacing w:after="240"/>
        <w:ind w:left="0" w:firstLine="567"/>
        <w:rPr>
          <w:lang w:val="en-US"/>
        </w:rPr>
      </w:pPr>
      <w:r>
        <w:rPr>
          <w:lang w:val="en-US"/>
        </w:rPr>
        <w:t>They are sent to ISNA by the DGME or the National Civil Police at the following border posts: Santa Ana, Anguiatú and San Cristóbal de la Frontera or the Paraje Galán police station in Santiago de la Frontera, Ahuachapán, and the Las Chinamas and La Hachadura borders;</w:t>
      </w:r>
    </w:p>
    <w:p w:rsidR="00CD2A5A" w:rsidRDefault="00CD2A5A">
      <w:pPr>
        <w:numPr>
          <w:ilvl w:val="0"/>
          <w:numId w:val="25"/>
        </w:numPr>
        <w:tabs>
          <w:tab w:val="clear" w:pos="1287"/>
        </w:tabs>
        <w:spacing w:after="240"/>
        <w:ind w:left="0" w:firstLine="567"/>
        <w:rPr>
          <w:lang w:val="en-US"/>
        </w:rPr>
      </w:pPr>
      <w:r>
        <w:rPr>
          <w:lang w:val="en-US"/>
        </w:rPr>
        <w:t>The Anguiatú, San Cristóbal de la Frontera, Paraje Galán and Las Chinamas border posts specifically receive children and adolescents who are detected at these borders or border posts when they leave El Salvador heading for other countries;</w:t>
      </w:r>
    </w:p>
    <w:p w:rsidR="00CD2A5A" w:rsidRDefault="00CD2A5A">
      <w:pPr>
        <w:numPr>
          <w:ilvl w:val="0"/>
          <w:numId w:val="25"/>
        </w:numPr>
        <w:tabs>
          <w:tab w:val="clear" w:pos="1287"/>
        </w:tabs>
        <w:spacing w:after="240"/>
        <w:ind w:left="0" w:firstLine="567"/>
        <w:rPr>
          <w:lang w:val="en-US"/>
        </w:rPr>
      </w:pPr>
      <w:r>
        <w:rPr>
          <w:lang w:val="en-US"/>
        </w:rPr>
        <w:t>The La Hachadura border specifically receives children sent by the El Salvador Consulate in Chiapas, Mexico.</w:t>
      </w:r>
    </w:p>
    <w:p w:rsidR="00CD2A5A" w:rsidRDefault="00CD2A5A">
      <w:pPr>
        <w:pStyle w:val="10"/>
        <w:rPr>
          <w:lang w:val="en-US"/>
        </w:rPr>
      </w:pPr>
      <w:r>
        <w:rPr>
          <w:lang w:val="en-US"/>
        </w:rPr>
        <w:t xml:space="preserve">1. </w:t>
      </w:r>
      <w:r>
        <w:rPr>
          <w:lang w:val="en-US"/>
        </w:rPr>
        <w:tab/>
        <w:t>Numbers of children and adolescents handled</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 xml:space="preserve">ISNA began work in the field of returning minors in the western area in 2004 and reported as follows: </w:t>
      </w:r>
    </w:p>
    <w:p w:rsidR="00CD2A5A" w:rsidRDefault="00CD2A5A">
      <w:pPr>
        <w:numPr>
          <w:ilvl w:val="0"/>
          <w:numId w:val="26"/>
        </w:numPr>
        <w:tabs>
          <w:tab w:val="clear" w:pos="1287"/>
        </w:tabs>
        <w:spacing w:after="240"/>
        <w:ind w:left="0" w:firstLine="567"/>
        <w:rPr>
          <w:b/>
          <w:bCs/>
        </w:rPr>
      </w:pPr>
      <w:r>
        <w:t xml:space="preserve">In 2004 it handled 444 minors; </w:t>
      </w:r>
    </w:p>
    <w:p w:rsidR="00CD2A5A" w:rsidRDefault="00CD2A5A">
      <w:pPr>
        <w:numPr>
          <w:ilvl w:val="0"/>
          <w:numId w:val="26"/>
        </w:numPr>
        <w:tabs>
          <w:tab w:val="clear" w:pos="1287"/>
        </w:tabs>
        <w:spacing w:after="240"/>
        <w:ind w:left="0" w:firstLine="567"/>
        <w:rPr>
          <w:b/>
          <w:bCs/>
        </w:rPr>
      </w:pPr>
      <w:r>
        <w:t>In 2005 it handled 918;</w:t>
      </w:r>
    </w:p>
    <w:p w:rsidR="00CD2A5A" w:rsidRDefault="00CD2A5A">
      <w:pPr>
        <w:numPr>
          <w:ilvl w:val="0"/>
          <w:numId w:val="26"/>
        </w:numPr>
        <w:tabs>
          <w:tab w:val="clear" w:pos="1287"/>
        </w:tabs>
        <w:spacing w:after="240"/>
        <w:ind w:left="0" w:firstLine="567"/>
        <w:rPr>
          <w:b/>
          <w:bCs/>
          <w:lang w:val="en-US"/>
        </w:rPr>
      </w:pPr>
      <w:r>
        <w:rPr>
          <w:lang w:val="en-US"/>
        </w:rPr>
        <w:t>In 2006 it handled 976 salvadoran children and 56 foreigners entering the country illegally.</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The type of assistance offered consisted of providing:</w:t>
      </w:r>
    </w:p>
    <w:p w:rsidR="00CD2A5A" w:rsidRDefault="00CD2A5A">
      <w:pPr>
        <w:numPr>
          <w:ilvl w:val="0"/>
          <w:numId w:val="27"/>
        </w:numPr>
        <w:tabs>
          <w:tab w:val="clear" w:pos="1287"/>
        </w:tabs>
        <w:spacing w:after="240"/>
        <w:ind w:left="0" w:firstLine="567"/>
      </w:pPr>
      <w:r>
        <w:t>Accommodation;</w:t>
      </w:r>
    </w:p>
    <w:p w:rsidR="00CD2A5A" w:rsidRDefault="00CD2A5A">
      <w:pPr>
        <w:numPr>
          <w:ilvl w:val="0"/>
          <w:numId w:val="27"/>
        </w:numPr>
        <w:tabs>
          <w:tab w:val="clear" w:pos="1287"/>
        </w:tabs>
        <w:spacing w:after="240"/>
        <w:ind w:left="0" w:firstLine="567"/>
      </w:pPr>
      <w:r>
        <w:t>Food;</w:t>
      </w:r>
    </w:p>
    <w:p w:rsidR="00CD2A5A" w:rsidRDefault="00CD2A5A">
      <w:pPr>
        <w:numPr>
          <w:ilvl w:val="0"/>
          <w:numId w:val="27"/>
        </w:numPr>
        <w:tabs>
          <w:tab w:val="clear" w:pos="1287"/>
        </w:tabs>
        <w:spacing w:after="240"/>
        <w:ind w:left="0" w:firstLine="567"/>
      </w:pPr>
      <w:r>
        <w:t>Hygiene products;</w:t>
      </w:r>
    </w:p>
    <w:p w:rsidR="00CD2A5A" w:rsidRDefault="00CD2A5A">
      <w:pPr>
        <w:numPr>
          <w:ilvl w:val="0"/>
          <w:numId w:val="27"/>
        </w:numPr>
        <w:tabs>
          <w:tab w:val="clear" w:pos="1287"/>
        </w:tabs>
        <w:spacing w:after="240"/>
        <w:ind w:left="0" w:firstLine="567"/>
      </w:pPr>
      <w:r>
        <w:t>Psychological assistance, when necessary.</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Note that children return by both land and air, in the latter case under the “</w:t>
      </w:r>
      <w:r>
        <w:rPr>
          <w:i/>
          <w:lang w:val="en-GB"/>
        </w:rPr>
        <w:t>Bienvenido a Casa</w:t>
      </w:r>
      <w:r>
        <w:rPr>
          <w:lang w:val="en-GB"/>
        </w:rPr>
        <w:t xml:space="preserve">” (Welcome Home) return programme, handled by the General Directorate for Migration and Aliens, which reported receiving the following numbers of minors during the following years: </w:t>
      </w:r>
    </w:p>
    <w:p w:rsidR="00CD2A5A" w:rsidRDefault="00CD2A5A">
      <w:pPr>
        <w:numPr>
          <w:ilvl w:val="0"/>
          <w:numId w:val="28"/>
        </w:numPr>
        <w:tabs>
          <w:tab w:val="clear" w:pos="1287"/>
        </w:tabs>
        <w:autoSpaceDE w:val="0"/>
        <w:autoSpaceDN w:val="0"/>
        <w:adjustRightInd w:val="0"/>
        <w:spacing w:after="240"/>
        <w:ind w:left="0" w:firstLine="567"/>
      </w:pPr>
      <w:r>
        <w:t>194 in 2004</w:t>
      </w:r>
    </w:p>
    <w:p w:rsidR="00CD2A5A" w:rsidRDefault="00CD2A5A">
      <w:pPr>
        <w:numPr>
          <w:ilvl w:val="0"/>
          <w:numId w:val="28"/>
        </w:numPr>
        <w:tabs>
          <w:tab w:val="clear" w:pos="1287"/>
        </w:tabs>
        <w:autoSpaceDE w:val="0"/>
        <w:autoSpaceDN w:val="0"/>
        <w:adjustRightInd w:val="0"/>
        <w:spacing w:after="240"/>
        <w:ind w:left="0" w:firstLine="567"/>
      </w:pPr>
      <w:r>
        <w:t>A total of 269 in 2005</w:t>
      </w:r>
    </w:p>
    <w:p w:rsidR="00CD2A5A" w:rsidRDefault="00CD2A5A">
      <w:pPr>
        <w:numPr>
          <w:ilvl w:val="0"/>
          <w:numId w:val="28"/>
        </w:numPr>
        <w:tabs>
          <w:tab w:val="clear" w:pos="1287"/>
        </w:tabs>
        <w:autoSpaceDE w:val="0"/>
        <w:autoSpaceDN w:val="0"/>
        <w:adjustRightInd w:val="0"/>
        <w:spacing w:after="240"/>
        <w:ind w:left="0" w:firstLine="567"/>
      </w:pPr>
      <w:r>
        <w:t>A total of 298 in 2006</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The following institutions were involved in this process:</w:t>
      </w:r>
    </w:p>
    <w:p w:rsidR="00CD2A5A" w:rsidRDefault="00CD2A5A">
      <w:pPr>
        <w:numPr>
          <w:ilvl w:val="0"/>
          <w:numId w:val="29"/>
        </w:numPr>
        <w:tabs>
          <w:tab w:val="clear" w:pos="1287"/>
        </w:tabs>
        <w:spacing w:after="240"/>
        <w:ind w:left="0" w:firstLine="567"/>
      </w:pPr>
      <w:r>
        <w:t>National Civil Police;</w:t>
      </w:r>
    </w:p>
    <w:p w:rsidR="00CD2A5A" w:rsidRDefault="00CD2A5A">
      <w:pPr>
        <w:numPr>
          <w:ilvl w:val="0"/>
          <w:numId w:val="29"/>
        </w:numPr>
        <w:tabs>
          <w:tab w:val="clear" w:pos="1287"/>
        </w:tabs>
        <w:spacing w:after="240"/>
        <w:ind w:left="0" w:firstLine="567"/>
        <w:rPr>
          <w:lang w:val="en-US"/>
        </w:rPr>
      </w:pPr>
      <w:r>
        <w:rPr>
          <w:lang w:val="en-US"/>
        </w:rPr>
        <w:t>General Directorate for Migration and Aliens;</w:t>
      </w:r>
    </w:p>
    <w:p w:rsidR="00CD2A5A" w:rsidRDefault="00CD2A5A">
      <w:pPr>
        <w:numPr>
          <w:ilvl w:val="0"/>
          <w:numId w:val="29"/>
        </w:numPr>
        <w:tabs>
          <w:tab w:val="clear" w:pos="1287"/>
        </w:tabs>
        <w:spacing w:after="240"/>
        <w:ind w:left="0" w:firstLine="567"/>
      </w:pPr>
      <w:r>
        <w:t>Ministry of External Relations;</w:t>
      </w:r>
    </w:p>
    <w:p w:rsidR="00CD2A5A" w:rsidRDefault="00CD2A5A">
      <w:pPr>
        <w:numPr>
          <w:ilvl w:val="0"/>
          <w:numId w:val="29"/>
        </w:numPr>
        <w:tabs>
          <w:tab w:val="clear" w:pos="1287"/>
        </w:tabs>
        <w:spacing w:after="240"/>
        <w:ind w:left="0" w:firstLine="567"/>
      </w:pPr>
      <w:r>
        <w:t>ISNA.</w:t>
      </w:r>
    </w:p>
    <w:p w:rsidR="00CD2A5A" w:rsidRDefault="00CD2A5A">
      <w:pPr>
        <w:pStyle w:val="Header"/>
        <w:numPr>
          <w:ilvl w:val="0"/>
          <w:numId w:val="3"/>
        </w:numPr>
        <w:tabs>
          <w:tab w:val="clear" w:pos="720"/>
          <w:tab w:val="clear" w:pos="4252"/>
        </w:tabs>
        <w:spacing w:after="240"/>
        <w:ind w:left="0" w:firstLine="0"/>
        <w:rPr>
          <w:lang w:val="en-GB"/>
        </w:rPr>
      </w:pPr>
      <w:r>
        <w:rPr>
          <w:lang w:val="en-GB"/>
        </w:rPr>
        <w:t>Minor nationals may return to El Salvador in two ways, by air and by land.</w:t>
      </w:r>
    </w:p>
    <w:p w:rsidR="00CD2A5A" w:rsidRDefault="00CD2A5A" w:rsidP="00A32998">
      <w:pPr>
        <w:pStyle w:val="Figure"/>
      </w:pPr>
      <w:r>
        <w:t>Figure 64</w:t>
      </w:r>
    </w:p>
    <w:p w:rsidR="00CD2A5A" w:rsidRDefault="00CD2A5A" w:rsidP="00A32998">
      <w:pPr>
        <w:pStyle w:val="Figure"/>
      </w:pPr>
      <w:r>
        <w:t>General Directorate for Migration and Aliens. Returning Salvadoran children</w:t>
      </w:r>
    </w:p>
    <w:p w:rsidR="00CD2A5A" w:rsidRDefault="00CD2A5A" w:rsidP="00A32998">
      <w:pPr>
        <w:pStyle w:val="Figure"/>
      </w:pPr>
      <w:r>
        <w:t>Period from January to December 2006</w:t>
      </w:r>
    </w:p>
    <w:tbl>
      <w:tblPr>
        <w:tblpPr w:leftFromText="141" w:rightFromText="141" w:vertAnchor="text" w:horzAnchor="margin" w:tblpXSpec="center" w:tblpY="76"/>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2"/>
        <w:gridCol w:w="525"/>
        <w:gridCol w:w="499"/>
        <w:gridCol w:w="604"/>
        <w:gridCol w:w="538"/>
        <w:gridCol w:w="602"/>
        <w:gridCol w:w="497"/>
        <w:gridCol w:w="486"/>
        <w:gridCol w:w="578"/>
        <w:gridCol w:w="471"/>
        <w:gridCol w:w="550"/>
        <w:gridCol w:w="563"/>
        <w:gridCol w:w="471"/>
        <w:gridCol w:w="866"/>
      </w:tblGrid>
      <w:tr w:rsidR="00CD2A5A">
        <w:trPr>
          <w:trHeight w:val="480"/>
        </w:trPr>
        <w:tc>
          <w:tcPr>
            <w:tcW w:w="1149" w:type="pct"/>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Place of entry</w:t>
            </w:r>
          </w:p>
        </w:tc>
        <w:tc>
          <w:tcPr>
            <w:tcW w:w="279"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Jan</w:t>
            </w:r>
          </w:p>
        </w:tc>
        <w:tc>
          <w:tcPr>
            <w:tcW w:w="265"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Feb</w:t>
            </w:r>
          </w:p>
        </w:tc>
        <w:tc>
          <w:tcPr>
            <w:tcW w:w="321"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Mar</w:t>
            </w:r>
          </w:p>
        </w:tc>
        <w:tc>
          <w:tcPr>
            <w:tcW w:w="286"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Apr</w:t>
            </w:r>
          </w:p>
        </w:tc>
        <w:tc>
          <w:tcPr>
            <w:tcW w:w="320"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May</w:t>
            </w:r>
          </w:p>
        </w:tc>
        <w:tc>
          <w:tcPr>
            <w:tcW w:w="264"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Jun</w:t>
            </w:r>
          </w:p>
        </w:tc>
        <w:tc>
          <w:tcPr>
            <w:tcW w:w="258"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Jul</w:t>
            </w:r>
          </w:p>
        </w:tc>
        <w:tc>
          <w:tcPr>
            <w:tcW w:w="307"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Aug</w:t>
            </w:r>
          </w:p>
        </w:tc>
        <w:tc>
          <w:tcPr>
            <w:tcW w:w="250"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Sep</w:t>
            </w:r>
          </w:p>
        </w:tc>
        <w:tc>
          <w:tcPr>
            <w:tcW w:w="292"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Oct</w:t>
            </w:r>
          </w:p>
        </w:tc>
        <w:tc>
          <w:tcPr>
            <w:tcW w:w="299"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Nov</w:t>
            </w:r>
          </w:p>
        </w:tc>
        <w:tc>
          <w:tcPr>
            <w:tcW w:w="250"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Dec</w:t>
            </w:r>
          </w:p>
        </w:tc>
        <w:tc>
          <w:tcPr>
            <w:tcW w:w="460" w:type="pct"/>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Total</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La Hachadura</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172</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147</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153</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164</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135</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139</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98</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103</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134</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71</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88</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104</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1,508</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Las Chinamas</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4</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2</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8</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San Cristóbal</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0</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Anguiatú</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0</w:t>
            </w:r>
          </w:p>
        </w:tc>
      </w:tr>
      <w:tr w:rsidR="00CD2A5A">
        <w:trPr>
          <w:trHeight w:val="337"/>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El Poy</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0</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El Amatillo</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3</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2</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0</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5</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 xml:space="preserve">International airport </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45</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18</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34</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26</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33</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33</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11</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18</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28</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22</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13</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17</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298</w:t>
            </w:r>
          </w:p>
        </w:tc>
      </w:tr>
      <w:tr w:rsidR="00CD2A5A">
        <w:trPr>
          <w:trHeight w:val="360"/>
        </w:trPr>
        <w:tc>
          <w:tcPr>
            <w:tcW w:w="1149" w:type="pct"/>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Total</w:t>
            </w:r>
          </w:p>
        </w:tc>
        <w:tc>
          <w:tcPr>
            <w:tcW w:w="27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217</w:t>
            </w:r>
          </w:p>
        </w:tc>
        <w:tc>
          <w:tcPr>
            <w:tcW w:w="265"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165</w:t>
            </w:r>
          </w:p>
        </w:tc>
        <w:tc>
          <w:tcPr>
            <w:tcW w:w="321"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191</w:t>
            </w:r>
          </w:p>
        </w:tc>
        <w:tc>
          <w:tcPr>
            <w:tcW w:w="286"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190</w:t>
            </w:r>
          </w:p>
        </w:tc>
        <w:tc>
          <w:tcPr>
            <w:tcW w:w="32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168</w:t>
            </w:r>
          </w:p>
        </w:tc>
        <w:tc>
          <w:tcPr>
            <w:tcW w:w="264"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172</w:t>
            </w:r>
          </w:p>
        </w:tc>
        <w:tc>
          <w:tcPr>
            <w:tcW w:w="258"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113</w:t>
            </w:r>
          </w:p>
        </w:tc>
        <w:tc>
          <w:tcPr>
            <w:tcW w:w="307"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121</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165</w:t>
            </w:r>
          </w:p>
        </w:tc>
        <w:tc>
          <w:tcPr>
            <w:tcW w:w="292"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93</w:t>
            </w:r>
          </w:p>
        </w:tc>
        <w:tc>
          <w:tcPr>
            <w:tcW w:w="299"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101</w:t>
            </w:r>
          </w:p>
        </w:tc>
        <w:tc>
          <w:tcPr>
            <w:tcW w:w="250" w:type="pct"/>
            <w:noWrap/>
            <w:tcMar>
              <w:top w:w="17" w:type="dxa"/>
              <w:left w:w="17" w:type="dxa"/>
              <w:bottom w:w="0" w:type="dxa"/>
              <w:right w:w="17" w:type="dxa"/>
            </w:tcMar>
            <w:vAlign w:val="bottom"/>
          </w:tcPr>
          <w:p w:rsidR="00CD2A5A" w:rsidRDefault="00CD2A5A">
            <w:pPr>
              <w:spacing w:before="40" w:after="40"/>
              <w:ind w:right="57"/>
              <w:jc w:val="right"/>
              <w:rPr>
                <w:sz w:val="20"/>
                <w:szCs w:val="20"/>
              </w:rPr>
            </w:pPr>
            <w:r>
              <w:rPr>
                <w:sz w:val="20"/>
                <w:szCs w:val="20"/>
              </w:rPr>
              <w:t>123</w:t>
            </w:r>
          </w:p>
        </w:tc>
        <w:tc>
          <w:tcPr>
            <w:tcW w:w="460" w:type="pct"/>
            <w:noWrap/>
            <w:tcMar>
              <w:top w:w="17" w:type="dxa"/>
              <w:left w:w="17" w:type="dxa"/>
              <w:bottom w:w="0" w:type="dxa"/>
              <w:right w:w="17" w:type="dxa"/>
            </w:tcMar>
            <w:vAlign w:val="bottom"/>
          </w:tcPr>
          <w:p w:rsidR="00CD2A5A" w:rsidRDefault="00CD2A5A">
            <w:pPr>
              <w:spacing w:before="40" w:after="40"/>
              <w:ind w:right="113"/>
              <w:jc w:val="right"/>
              <w:rPr>
                <w:sz w:val="20"/>
                <w:szCs w:val="20"/>
              </w:rPr>
            </w:pPr>
            <w:r>
              <w:rPr>
                <w:sz w:val="20"/>
                <w:szCs w:val="20"/>
              </w:rPr>
              <w:t>1,819</w:t>
            </w:r>
          </w:p>
        </w:tc>
      </w:tr>
    </w:tbl>
    <w:p w:rsidR="00CD2A5A" w:rsidRDefault="00CD2A5A">
      <w:pPr>
        <w:pStyle w:val="Header"/>
        <w:numPr>
          <w:ilvl w:val="0"/>
          <w:numId w:val="3"/>
        </w:numPr>
        <w:tabs>
          <w:tab w:val="clear" w:pos="720"/>
          <w:tab w:val="clear" w:pos="4252"/>
        </w:tabs>
        <w:spacing w:after="240"/>
        <w:ind w:left="0" w:firstLine="0"/>
        <w:rPr>
          <w:lang w:val="en-GB"/>
        </w:rPr>
      </w:pPr>
      <w:r>
        <w:rPr>
          <w:lang w:val="en-GB"/>
        </w:rPr>
        <w:t>See annex XIX for more information on returning children.</w:t>
      </w:r>
    </w:p>
    <w:p w:rsidR="00CD2A5A" w:rsidRDefault="00CD2A5A" w:rsidP="006228EF">
      <w:pPr>
        <w:pStyle w:val="A0"/>
      </w:pPr>
      <w:r>
        <w:t>B.  Child victims of trafficking in persons and sexual exploitation</w:t>
      </w:r>
      <w:r>
        <w:rPr>
          <w:rStyle w:val="FootnoteReference"/>
          <w:b/>
          <w:bCs/>
        </w:rPr>
        <w:footnoteReference w:id="42"/>
      </w:r>
    </w:p>
    <w:p w:rsidR="00CD2A5A" w:rsidRDefault="00CD2A5A">
      <w:pPr>
        <w:numPr>
          <w:ilvl w:val="0"/>
          <w:numId w:val="3"/>
        </w:numPr>
        <w:tabs>
          <w:tab w:val="clear" w:pos="720"/>
        </w:tabs>
        <w:spacing w:after="240"/>
        <w:ind w:left="0" w:firstLine="0"/>
        <w:rPr>
          <w:lang w:val="en-US"/>
        </w:rPr>
      </w:pPr>
      <w:r>
        <w:rPr>
          <w:lang w:val="en-US"/>
        </w:rPr>
        <w:t>El Salvador set up a National Committee against Trafficking in Persons by means of Executive Order Number 114, published in Official Gazette No 224, Volume 369 dated 1 December 2005, with the aim of fighting this scourge comprehensively, by implementing a national Policy and Plan for the eradication of trafficking in persons in accordance with obligations under the Salvadoran legal system.</w:t>
      </w:r>
    </w:p>
    <w:p w:rsidR="00CD2A5A" w:rsidRDefault="00CD2A5A">
      <w:pPr>
        <w:pStyle w:val="Header"/>
        <w:numPr>
          <w:ilvl w:val="0"/>
          <w:numId w:val="3"/>
        </w:numPr>
        <w:tabs>
          <w:tab w:val="clear" w:pos="720"/>
          <w:tab w:val="clear" w:pos="4252"/>
        </w:tabs>
        <w:spacing w:after="240"/>
        <w:ind w:left="0" w:firstLine="0"/>
        <w:rPr>
          <w:lang w:val="en-GB"/>
        </w:rPr>
      </w:pPr>
      <w:r>
        <w:rPr>
          <w:lang w:val="en-GB"/>
        </w:rPr>
        <w:t>The Committee is made up of the following Secretariats and Institutions: Ministry of External Relations (the Committee Chair and Permanent Secretariat is in charge of this agency), Ministry of Government, Ministry of Finance, Ministry of Education, Ministry of Employment and Social Security, Ministry of Public Health and Social Welfare, Ministry of Tourism, National Secretariat for the Family, National Civil Police, General Directorate for Migration and Aliens, Salvadoran Institute for the Full Care of Children and Adolescents, Salvadoran Institute for Women’s Development.</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The Committee performs the following functions to achieve its aim:</w:t>
      </w:r>
    </w:p>
    <w:p w:rsidR="00CD2A5A" w:rsidRDefault="00CD2A5A">
      <w:pPr>
        <w:pStyle w:val="BodyText"/>
        <w:widowControl/>
        <w:numPr>
          <w:ilvl w:val="0"/>
          <w:numId w:val="30"/>
        </w:numPr>
        <w:tabs>
          <w:tab w:val="clear" w:pos="927"/>
        </w:tabs>
        <w:snapToGrid/>
        <w:spacing w:before="0" w:after="240"/>
        <w:ind w:firstLine="567"/>
        <w:jc w:val="left"/>
        <w:rPr>
          <w:sz w:val="24"/>
          <w:lang w:val="en-GB"/>
        </w:rPr>
      </w:pPr>
      <w:r>
        <w:rPr>
          <w:sz w:val="24"/>
          <w:lang w:val="en-GB"/>
        </w:rPr>
        <w:t xml:space="preserve">Integrates and coordinates efforts with the aim of investigating and preventing the crime of trafficking in persons and assisting victims through national institutions and international bodies; </w:t>
      </w:r>
    </w:p>
    <w:p w:rsidR="00CD2A5A" w:rsidRDefault="00CD2A5A">
      <w:pPr>
        <w:numPr>
          <w:ilvl w:val="0"/>
          <w:numId w:val="30"/>
        </w:numPr>
        <w:tabs>
          <w:tab w:val="clear" w:pos="927"/>
        </w:tabs>
        <w:spacing w:after="240"/>
        <w:ind w:firstLine="567"/>
        <w:rPr>
          <w:lang w:val="en-US"/>
        </w:rPr>
      </w:pPr>
      <w:r>
        <w:rPr>
          <w:lang w:val="en-US"/>
        </w:rPr>
        <w:t>Develops enablement and training activities on the subject, taking into account the various methods of trafficking in persons;</w:t>
      </w:r>
    </w:p>
    <w:p w:rsidR="00CD2A5A" w:rsidRDefault="00CD2A5A">
      <w:pPr>
        <w:numPr>
          <w:ilvl w:val="0"/>
          <w:numId w:val="30"/>
        </w:numPr>
        <w:tabs>
          <w:tab w:val="clear" w:pos="927"/>
        </w:tabs>
        <w:spacing w:after="240"/>
        <w:ind w:firstLine="567"/>
        <w:rPr>
          <w:lang w:val="en-US"/>
        </w:rPr>
      </w:pPr>
      <w:r>
        <w:rPr>
          <w:lang w:val="en-US"/>
        </w:rPr>
        <w:t>Disseminates efforts to combat the scourge of trafficking in persons amongst the population;</w:t>
      </w:r>
    </w:p>
    <w:p w:rsidR="00CD2A5A" w:rsidRDefault="00CD2A5A">
      <w:pPr>
        <w:numPr>
          <w:ilvl w:val="0"/>
          <w:numId w:val="30"/>
        </w:numPr>
        <w:tabs>
          <w:tab w:val="clear" w:pos="927"/>
        </w:tabs>
        <w:spacing w:after="240"/>
        <w:ind w:firstLine="567"/>
        <w:rPr>
          <w:lang w:val="en-US"/>
        </w:rPr>
      </w:pPr>
      <w:r>
        <w:rPr>
          <w:lang w:val="en-US"/>
        </w:rPr>
        <w:t>Proposes appropriate legal initiatives  through any of the committee members, with the approval of the president of the republic.</w:t>
      </w:r>
    </w:p>
    <w:p w:rsidR="00CD2A5A" w:rsidRDefault="00CD2A5A">
      <w:pPr>
        <w:numPr>
          <w:ilvl w:val="0"/>
          <w:numId w:val="30"/>
        </w:numPr>
        <w:tabs>
          <w:tab w:val="clear" w:pos="927"/>
        </w:tabs>
        <w:spacing w:after="240"/>
        <w:ind w:firstLine="567"/>
        <w:rPr>
          <w:lang w:val="en-US"/>
        </w:rPr>
      </w:pPr>
      <w:r>
        <w:rPr>
          <w:lang w:val="en-US"/>
        </w:rPr>
        <w:t>Advises committee government body officials on measures or projects to promote the topic;</w:t>
      </w:r>
    </w:p>
    <w:p w:rsidR="00CD2A5A" w:rsidRDefault="00CD2A5A">
      <w:pPr>
        <w:numPr>
          <w:ilvl w:val="0"/>
          <w:numId w:val="30"/>
        </w:numPr>
        <w:tabs>
          <w:tab w:val="clear" w:pos="927"/>
        </w:tabs>
        <w:spacing w:after="240"/>
        <w:ind w:firstLine="567"/>
        <w:rPr>
          <w:lang w:val="en-US"/>
        </w:rPr>
      </w:pPr>
      <w:r>
        <w:rPr>
          <w:lang w:val="en-US"/>
        </w:rPr>
        <w:t>Promotes measures designed to reinforce and facilitate the participation of public and private institutions in combating, preventing and handling trafficking in persons.</w:t>
      </w:r>
    </w:p>
    <w:p w:rsidR="00CD2A5A" w:rsidRDefault="00CD2A5A">
      <w:pPr>
        <w:pStyle w:val="Header"/>
        <w:numPr>
          <w:ilvl w:val="0"/>
          <w:numId w:val="3"/>
        </w:numPr>
        <w:tabs>
          <w:tab w:val="clear" w:pos="720"/>
          <w:tab w:val="clear" w:pos="4252"/>
        </w:tabs>
        <w:spacing w:after="240"/>
        <w:ind w:left="0" w:firstLine="0"/>
        <w:rPr>
          <w:lang w:val="en-GB"/>
        </w:rPr>
      </w:pPr>
      <w:r>
        <w:rPr>
          <w:lang w:val="en-GB"/>
        </w:rPr>
        <w:t>The committee is currently drawing up the national policy against trafficking in persons 2008-2017 and its respective action plan 2008-2012.</w:t>
      </w:r>
    </w:p>
    <w:p w:rsidR="00CD2A5A" w:rsidRDefault="00CD2A5A">
      <w:pPr>
        <w:numPr>
          <w:ilvl w:val="0"/>
          <w:numId w:val="3"/>
        </w:numPr>
        <w:tabs>
          <w:tab w:val="clear" w:pos="720"/>
        </w:tabs>
        <w:spacing w:after="240"/>
        <w:ind w:left="0" w:firstLine="0"/>
        <w:rPr>
          <w:lang w:val="en-US"/>
        </w:rPr>
      </w:pPr>
      <w:r>
        <w:rPr>
          <w:lang w:val="en-US"/>
        </w:rPr>
        <w:t>In order to combat trafficking in persons and the commercial sexual exploitation of children and adolescents, the National Plan for the Eradication of the Worst Forms of Child Labour (2006</w:t>
      </w:r>
      <w:r>
        <w:rPr>
          <w:lang w:val="en-US"/>
        </w:rPr>
        <w:noBreakHyphen/>
        <w:t xml:space="preserve">2009) contains a specific chapter on the commercial sexual exploitation of children and adolescents. This includes intervention strategies, strategic measures and indicators. The Plan incorporates the following indicators: level of perception and public rejection of commercial sexual exploitation of children and adolescents; media coverage; types of complaints; level of integration of victims in families; number of beneficiaries in prevention programmes; number of citizen complaints; number of cases investigated; number of exploiters captured; and number of cases where the aggressor receives a criminal penalty. By means of a Citizen Charter between government institutions and civil society, it has also been possible to set up a Working Party against the Commercial Sexual Exploitation of Children And Adolescents. </w:t>
      </w:r>
    </w:p>
    <w:p w:rsidR="00CD2A5A" w:rsidRDefault="00CD2A5A">
      <w:pPr>
        <w:pStyle w:val="Header"/>
        <w:numPr>
          <w:ilvl w:val="0"/>
          <w:numId w:val="3"/>
        </w:numPr>
        <w:tabs>
          <w:tab w:val="clear" w:pos="720"/>
          <w:tab w:val="clear" w:pos="4252"/>
        </w:tabs>
        <w:spacing w:after="240"/>
        <w:ind w:left="0" w:firstLine="0"/>
        <w:rPr>
          <w:lang w:val="en-GB"/>
        </w:rPr>
      </w:pPr>
      <w:r>
        <w:rPr>
          <w:lang w:val="en-GB"/>
        </w:rPr>
        <w:t>Over the reporting period, special units were set up against trafficking within the ISNA, the National Civil Police, the Office of the Public Prosecutor of the Republic, ISDEMU (Salvadoran Institute for Women’s Development), the Ministry of External Relations and the General Directorate for Migration and Aliens, which work in coordination to increase the efficacy of State action to help victims and punish those responsible.</w:t>
      </w:r>
    </w:p>
    <w:p w:rsidR="00CD2A5A" w:rsidRDefault="00CD2A5A">
      <w:pPr>
        <w:numPr>
          <w:ilvl w:val="0"/>
          <w:numId w:val="3"/>
        </w:numPr>
        <w:tabs>
          <w:tab w:val="clear" w:pos="720"/>
        </w:tabs>
        <w:spacing w:after="240"/>
        <w:ind w:left="0" w:firstLine="0"/>
        <w:rPr>
          <w:lang w:val="en-US"/>
        </w:rPr>
      </w:pPr>
      <w:r>
        <w:rPr>
          <w:lang w:val="en-US"/>
        </w:rPr>
        <w:t>As far as criminal law is concerned, the Criminal Code and Code of Criminal Procedure has been reformed to bring national legislation into line with international obligations in this area, with the aim of providing greater protection for victims and more severe penalties for exploiters and traffickers. In 2004, for example, all offences connected with child abuse, lewd sexual acts, including possession of child pornography, trafficking and trading in persons were reformed,</w:t>
      </w:r>
      <w:r>
        <w:rPr>
          <w:rStyle w:val="FootnoteReference"/>
        </w:rPr>
        <w:footnoteReference w:id="43"/>
      </w:r>
      <w:r>
        <w:rPr>
          <w:lang w:val="en-US"/>
        </w:rPr>
        <w:t xml:space="preserve"> increasing the penalties if the victim is under 18 years of age in order to safeguard and protect children and adolescents. In particular, Article 367-B of the Criminal Code criminalizes the offence of trafficking in persons, and also aggravating circumstances to the offence of Trafficking in persons.</w:t>
      </w:r>
      <w:r>
        <w:rPr>
          <w:rStyle w:val="FootnoteReference"/>
        </w:rPr>
        <w:footnoteReference w:id="44"/>
      </w:r>
    </w:p>
    <w:p w:rsidR="00CD2A5A" w:rsidRDefault="00CD2A5A">
      <w:pPr>
        <w:pStyle w:val="Header"/>
        <w:numPr>
          <w:ilvl w:val="0"/>
          <w:numId w:val="3"/>
        </w:numPr>
        <w:tabs>
          <w:tab w:val="clear" w:pos="720"/>
          <w:tab w:val="clear" w:pos="4252"/>
        </w:tabs>
        <w:spacing w:after="240"/>
        <w:ind w:left="0" w:firstLine="0"/>
        <w:rPr>
          <w:lang w:val="en-GB"/>
        </w:rPr>
      </w:pPr>
      <w:r>
        <w:rPr>
          <w:lang w:val="en-GB"/>
        </w:rPr>
        <w:t>In cooperation with international organizations such as the ILO and UNICEF, investigations were carried out into trafficking, identifying risk areas. ISNA conducted awareness and information campaigns to prevent such acts occurring and invests an approximate annual sum of $ 196,328 in caring for victims and working to restore their rights. In 2006, ISDEMU promoted a prevention campaign against trafficking and commercial sexual exploitation through the media. This involved 2,570 radio spots broadcast on five national radio stations, advertising hoardings on the main streets of San Salvador, mobile billboards on bus routes in the metropolitan area and the printing of posters and leaflets with informative messages. ISNA delivered training activities against trafficking and commercial sexual exploitation to the competent authorities. Training was provided for court, police, tax, protection and migration employees. Material on methods and types of trafficking in persons and the commercial sexual exploitation of children and adolescents was also circulated to Salvadoran consulates and forums involving Salvadoran communities abroad. ISDEMU also delivered this type of programme and, at the time of this report, 2,514 male and female National Civil Police officers benefited from awareness seminars on commercial sexual exploitation and basic courses against domestic violence. The Ministry of Education implemented a pilot project for schools entitled "Preventing the trafficking of children and adolescents and raising awareness of sexual and reproductive health”, delivered in educational establishments trained 400 teachers, more than half the total of 701; the campaign was delivered to 28,040 students and their families and 66 schools, with the staging of five plays and the production of material such as flyers.</w:t>
      </w:r>
    </w:p>
    <w:p w:rsidR="00CD2A5A" w:rsidRDefault="00CD2A5A">
      <w:pPr>
        <w:pStyle w:val="Header"/>
        <w:numPr>
          <w:ilvl w:val="0"/>
          <w:numId w:val="3"/>
        </w:numPr>
        <w:tabs>
          <w:tab w:val="clear" w:pos="720"/>
          <w:tab w:val="clear" w:pos="4252"/>
        </w:tabs>
        <w:spacing w:after="240"/>
        <w:ind w:left="0" w:firstLine="0"/>
        <w:rPr>
          <w:lang w:val="en-GB"/>
        </w:rPr>
      </w:pPr>
      <w:r>
        <w:rPr>
          <w:lang w:val="en-GB"/>
        </w:rPr>
        <w:t>With regard to programmes for the assistance and rehabilitation of children who have been victims of sexual exploitation or trafficking in persons, ISDEMU has been implementing a programme aimed at girls and adolescents who are victims of commercial sexual exploitation since 2004. Under this scheme, girls are provided with psychological support, monitoring by social services, support in court cases, medical care through the national health system and training in productive skills for their subsequent reintegration in society, such as baking and make-up artistry. ISDEMU’s institutional budget covers funds invested in victim support (technical resources, infrastructure, resource training, food, materials, transport, essential items, medicinal products, victim training and identity documents). ISDEMU also manages the allocation of funds to fight trafficking in persons and delivers awareness campaigns through co-operation agencies such as the Resource Foundation, ILO-IPEC, UNICEF and the Spanish Agency for International Cooperation (SAIC). Similarly ISNA deploys a technical team of solicitors, social workers and psychologists whose work is to provide direct assistance to victims. The team is supported by nursing staff, doctors and instructors. ISNA also runs a shelter for victims. The assistance programme offers medical assessment, psycho-social counselling, provision of clothing, personal hygiene accessories, food, recreation and family contact and international negotiation for repatriation.</w:t>
      </w:r>
    </w:p>
    <w:p w:rsidR="00CD2A5A" w:rsidRDefault="00CD2A5A">
      <w:pPr>
        <w:pStyle w:val="Header"/>
        <w:numPr>
          <w:ilvl w:val="0"/>
          <w:numId w:val="3"/>
        </w:numPr>
        <w:tabs>
          <w:tab w:val="clear" w:pos="720"/>
          <w:tab w:val="clear" w:pos="4252"/>
        </w:tabs>
        <w:spacing w:after="240"/>
        <w:ind w:left="0" w:firstLine="0"/>
        <w:rPr>
          <w:lang w:val="en-GB"/>
        </w:rPr>
      </w:pPr>
      <w:r>
        <w:rPr>
          <w:lang w:val="en-GB"/>
        </w:rPr>
        <w:t>Inter-institutional working parties have been set up within the field of assistance for victims of commercial sexual exploitation. The code of criminal procedure has also been reformed to prevent children who have been the victims of crimes becoming victims again. Reforms include the early taking of statements from the boy or girl; being accompanied by their parents or a professional psychologist to court hearings; having no physical contact with the aggressor - and protecting the identity of victims under 18 years of age.</w:t>
      </w:r>
    </w:p>
    <w:p w:rsidR="00CD2A5A" w:rsidRDefault="00CD2A5A" w:rsidP="00A32998">
      <w:pPr>
        <w:pStyle w:val="Header"/>
        <w:numPr>
          <w:ilvl w:val="0"/>
          <w:numId w:val="3"/>
        </w:numPr>
        <w:tabs>
          <w:tab w:val="clear" w:pos="720"/>
          <w:tab w:val="clear" w:pos="4252"/>
        </w:tabs>
        <w:spacing w:after="240"/>
        <w:ind w:left="0" w:firstLine="0"/>
        <w:rPr>
          <w:lang w:val="en-GB"/>
        </w:rPr>
      </w:pPr>
      <w:r>
        <w:rPr>
          <w:lang w:val="en-GB"/>
        </w:rPr>
        <w:t>One of the aims of ISNA is the eradication of commercial sexual exploitation and other forms of sexual exploitation of persons under 18 years of age. It conducts its work through three branches and nine local offices while also providing shelter and care for victims. The number of victims assisted due to sexual abuse in the last three years and the proportion they represent of the remaining population protected by ISNA are detailed in the following table:</w:t>
      </w:r>
    </w:p>
    <w:p w:rsidR="00CD2A5A" w:rsidRDefault="00CD2A5A">
      <w:pPr>
        <w:pStyle w:val="Header"/>
        <w:numPr>
          <w:ilvl w:val="0"/>
          <w:numId w:val="3"/>
        </w:numPr>
        <w:tabs>
          <w:tab w:val="clear" w:pos="720"/>
          <w:tab w:val="clear" w:pos="4252"/>
        </w:tabs>
        <w:spacing w:after="240"/>
        <w:ind w:left="0" w:firstLine="0"/>
        <w:rPr>
          <w:lang w:val="en-GB"/>
        </w:rPr>
      </w:pPr>
      <w:r>
        <w:rPr>
          <w:lang w:val="en-GB"/>
        </w:rPr>
        <w:t>Details of ages, gender and nationality of victims of commercial sexual exploitation assisted by ISNA during 2005 and 2006 are given in the following tables.</w:t>
      </w:r>
    </w:p>
    <w:p w:rsidR="00CD2A5A" w:rsidRDefault="00CD2A5A" w:rsidP="00CD2A5A">
      <w:pPr>
        <w:pStyle w:val="Figure"/>
      </w:pPr>
      <w:r>
        <w:t>Figure 65</w:t>
      </w:r>
    </w:p>
    <w:p w:rsidR="00CD2A5A" w:rsidRDefault="00CD2A5A" w:rsidP="00CD2A5A">
      <w:pPr>
        <w:pStyle w:val="Figure"/>
        <w:rPr>
          <w:lang w:val="en-US"/>
        </w:rPr>
      </w:pPr>
      <w:r>
        <w:t>Victims of trafficking in persons, forms of commercial sexual exploitation, assisted by ISNA (2005)</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8"/>
        <w:gridCol w:w="1570"/>
        <w:gridCol w:w="1570"/>
        <w:gridCol w:w="1568"/>
        <w:gridCol w:w="1570"/>
        <w:gridCol w:w="1566"/>
      </w:tblGrid>
      <w:tr w:rsidR="00CD2A5A">
        <w:tblPrEx>
          <w:tblCellMar>
            <w:top w:w="0" w:type="dxa"/>
            <w:bottom w:w="0" w:type="dxa"/>
          </w:tblCellMar>
        </w:tblPrEx>
        <w:trPr>
          <w:jc w:val="center"/>
        </w:trPr>
        <w:tc>
          <w:tcPr>
            <w:tcW w:w="833" w:type="pct"/>
            <w:vAlign w:val="center"/>
          </w:tcPr>
          <w:p w:rsidR="00CD2A5A" w:rsidRDefault="00CD2A5A">
            <w:pPr>
              <w:spacing w:before="40" w:after="40"/>
              <w:jc w:val="center"/>
              <w:rPr>
                <w:b/>
                <w:i/>
                <w:sz w:val="20"/>
                <w:szCs w:val="20"/>
              </w:rPr>
            </w:pPr>
            <w:r>
              <w:rPr>
                <w:b/>
                <w:i/>
                <w:sz w:val="20"/>
                <w:szCs w:val="20"/>
              </w:rPr>
              <w:t>Age range</w:t>
            </w:r>
          </w:p>
        </w:tc>
        <w:tc>
          <w:tcPr>
            <w:tcW w:w="834" w:type="pct"/>
            <w:vAlign w:val="center"/>
          </w:tcPr>
          <w:p w:rsidR="00CD2A5A" w:rsidRDefault="00CD2A5A">
            <w:pPr>
              <w:spacing w:before="40" w:after="40"/>
              <w:jc w:val="center"/>
              <w:rPr>
                <w:b/>
                <w:i/>
                <w:sz w:val="20"/>
                <w:szCs w:val="20"/>
              </w:rPr>
            </w:pPr>
            <w:r>
              <w:rPr>
                <w:b/>
                <w:i/>
                <w:sz w:val="20"/>
                <w:szCs w:val="20"/>
              </w:rPr>
              <w:t>Female</w:t>
            </w:r>
          </w:p>
        </w:tc>
        <w:tc>
          <w:tcPr>
            <w:tcW w:w="834" w:type="pct"/>
            <w:vAlign w:val="center"/>
          </w:tcPr>
          <w:p w:rsidR="00CD2A5A" w:rsidRDefault="00CD2A5A">
            <w:pPr>
              <w:spacing w:before="40" w:after="40"/>
              <w:jc w:val="center"/>
              <w:rPr>
                <w:b/>
                <w:i/>
                <w:sz w:val="20"/>
                <w:szCs w:val="20"/>
              </w:rPr>
            </w:pPr>
            <w:r>
              <w:rPr>
                <w:b/>
                <w:i/>
                <w:sz w:val="20"/>
                <w:szCs w:val="20"/>
              </w:rPr>
              <w:t>Male</w:t>
            </w:r>
          </w:p>
        </w:tc>
        <w:tc>
          <w:tcPr>
            <w:tcW w:w="833" w:type="pct"/>
            <w:vAlign w:val="center"/>
          </w:tcPr>
          <w:p w:rsidR="00CD2A5A" w:rsidRDefault="00CD2A5A">
            <w:pPr>
              <w:spacing w:before="40" w:after="40"/>
              <w:jc w:val="center"/>
              <w:rPr>
                <w:b/>
                <w:i/>
                <w:sz w:val="20"/>
                <w:szCs w:val="20"/>
              </w:rPr>
            </w:pPr>
            <w:r>
              <w:rPr>
                <w:b/>
                <w:i/>
                <w:sz w:val="20"/>
                <w:szCs w:val="20"/>
              </w:rPr>
              <w:t>Total</w:t>
            </w:r>
          </w:p>
        </w:tc>
        <w:tc>
          <w:tcPr>
            <w:tcW w:w="834" w:type="pct"/>
            <w:vAlign w:val="center"/>
          </w:tcPr>
          <w:p w:rsidR="00CD2A5A" w:rsidRDefault="00CD2A5A">
            <w:pPr>
              <w:spacing w:before="40" w:after="40"/>
              <w:jc w:val="center"/>
              <w:rPr>
                <w:b/>
                <w:i/>
                <w:sz w:val="20"/>
                <w:szCs w:val="20"/>
              </w:rPr>
            </w:pPr>
            <w:r>
              <w:rPr>
                <w:b/>
                <w:i/>
                <w:sz w:val="20"/>
                <w:szCs w:val="20"/>
              </w:rPr>
              <w:t>Country of nationality</w:t>
            </w:r>
          </w:p>
        </w:tc>
        <w:tc>
          <w:tcPr>
            <w:tcW w:w="834" w:type="pct"/>
            <w:vAlign w:val="center"/>
          </w:tcPr>
          <w:p w:rsidR="00CD2A5A" w:rsidRDefault="00CD2A5A">
            <w:pPr>
              <w:spacing w:before="40" w:after="40"/>
              <w:jc w:val="center"/>
              <w:rPr>
                <w:b/>
                <w:i/>
                <w:sz w:val="20"/>
                <w:szCs w:val="20"/>
              </w:rPr>
            </w:pPr>
            <w:r>
              <w:rPr>
                <w:b/>
                <w:i/>
                <w:sz w:val="20"/>
                <w:szCs w:val="20"/>
              </w:rPr>
              <w:t>Total</w:t>
            </w:r>
          </w:p>
        </w:tc>
      </w:tr>
      <w:tr w:rsidR="00CD2A5A">
        <w:tblPrEx>
          <w:tblCellMar>
            <w:top w:w="0" w:type="dxa"/>
            <w:bottom w:w="0" w:type="dxa"/>
          </w:tblCellMar>
        </w:tblPrEx>
        <w:trPr>
          <w:jc w:val="center"/>
        </w:trPr>
        <w:tc>
          <w:tcPr>
            <w:tcW w:w="833" w:type="pct"/>
            <w:vAlign w:val="bottom"/>
          </w:tcPr>
          <w:p w:rsidR="00CD2A5A" w:rsidRDefault="00CD2A5A">
            <w:pPr>
              <w:spacing w:before="40" w:after="40"/>
              <w:rPr>
                <w:sz w:val="20"/>
                <w:szCs w:val="20"/>
              </w:rPr>
            </w:pPr>
            <w:r>
              <w:rPr>
                <w:sz w:val="20"/>
                <w:szCs w:val="20"/>
              </w:rPr>
              <w:t>age 3 to &lt; 6</w:t>
            </w:r>
          </w:p>
        </w:tc>
        <w:tc>
          <w:tcPr>
            <w:tcW w:w="834" w:type="pct"/>
            <w:vAlign w:val="bottom"/>
          </w:tcPr>
          <w:p w:rsidR="00CD2A5A" w:rsidRDefault="00CD2A5A">
            <w:pPr>
              <w:spacing w:before="40" w:after="40"/>
              <w:ind w:right="588"/>
              <w:jc w:val="right"/>
              <w:rPr>
                <w:sz w:val="20"/>
                <w:szCs w:val="20"/>
              </w:rPr>
            </w:pPr>
            <w:r>
              <w:rPr>
                <w:sz w:val="20"/>
                <w:szCs w:val="20"/>
              </w:rPr>
              <w:t>1</w:t>
            </w:r>
          </w:p>
        </w:tc>
        <w:tc>
          <w:tcPr>
            <w:tcW w:w="834" w:type="pct"/>
            <w:vAlign w:val="bottom"/>
          </w:tcPr>
          <w:p w:rsidR="00CD2A5A" w:rsidRDefault="00CD2A5A">
            <w:pPr>
              <w:spacing w:before="40" w:after="40"/>
              <w:ind w:right="588"/>
              <w:jc w:val="right"/>
              <w:rPr>
                <w:sz w:val="20"/>
                <w:szCs w:val="20"/>
              </w:rPr>
            </w:pPr>
            <w:r>
              <w:rPr>
                <w:sz w:val="20"/>
                <w:szCs w:val="20"/>
              </w:rPr>
              <w:t>1</w:t>
            </w:r>
          </w:p>
        </w:tc>
        <w:tc>
          <w:tcPr>
            <w:tcW w:w="833" w:type="pct"/>
            <w:vAlign w:val="bottom"/>
          </w:tcPr>
          <w:p w:rsidR="00CD2A5A" w:rsidRDefault="00CD2A5A">
            <w:pPr>
              <w:spacing w:before="40" w:after="40"/>
              <w:ind w:right="588"/>
              <w:jc w:val="right"/>
              <w:rPr>
                <w:sz w:val="20"/>
                <w:szCs w:val="20"/>
              </w:rPr>
            </w:pPr>
            <w:r>
              <w:rPr>
                <w:sz w:val="20"/>
                <w:szCs w:val="20"/>
              </w:rPr>
              <w:t>2</w:t>
            </w:r>
          </w:p>
        </w:tc>
        <w:tc>
          <w:tcPr>
            <w:tcW w:w="834" w:type="pct"/>
            <w:vAlign w:val="bottom"/>
          </w:tcPr>
          <w:p w:rsidR="00CD2A5A" w:rsidRDefault="00CD2A5A">
            <w:pPr>
              <w:spacing w:before="40" w:after="40"/>
              <w:rPr>
                <w:sz w:val="20"/>
                <w:szCs w:val="20"/>
              </w:rPr>
            </w:pPr>
            <w:r>
              <w:rPr>
                <w:sz w:val="20"/>
                <w:szCs w:val="20"/>
              </w:rPr>
              <w:t>Belize</w:t>
            </w:r>
          </w:p>
        </w:tc>
        <w:tc>
          <w:tcPr>
            <w:tcW w:w="834" w:type="pct"/>
            <w:vAlign w:val="bottom"/>
          </w:tcPr>
          <w:p w:rsidR="00CD2A5A" w:rsidRDefault="00CD2A5A">
            <w:pPr>
              <w:spacing w:before="40" w:after="40"/>
              <w:ind w:right="606"/>
              <w:jc w:val="right"/>
              <w:rPr>
                <w:sz w:val="20"/>
                <w:szCs w:val="20"/>
              </w:rPr>
            </w:pPr>
            <w:r>
              <w:rPr>
                <w:sz w:val="20"/>
                <w:szCs w:val="20"/>
              </w:rPr>
              <w:t>1</w:t>
            </w:r>
          </w:p>
        </w:tc>
      </w:tr>
      <w:tr w:rsidR="00CD2A5A">
        <w:tblPrEx>
          <w:tblCellMar>
            <w:top w:w="0" w:type="dxa"/>
            <w:bottom w:w="0" w:type="dxa"/>
          </w:tblCellMar>
        </w:tblPrEx>
        <w:trPr>
          <w:jc w:val="center"/>
        </w:trPr>
        <w:tc>
          <w:tcPr>
            <w:tcW w:w="833" w:type="pct"/>
            <w:vAlign w:val="bottom"/>
          </w:tcPr>
          <w:p w:rsidR="00CD2A5A" w:rsidRDefault="00CD2A5A">
            <w:pPr>
              <w:spacing w:before="40" w:after="40"/>
              <w:rPr>
                <w:sz w:val="20"/>
                <w:szCs w:val="20"/>
              </w:rPr>
            </w:pPr>
            <w:r>
              <w:rPr>
                <w:sz w:val="20"/>
                <w:szCs w:val="20"/>
              </w:rPr>
              <w:t>age 9 to &lt; 12</w:t>
            </w:r>
          </w:p>
        </w:tc>
        <w:tc>
          <w:tcPr>
            <w:tcW w:w="834" w:type="pct"/>
            <w:vAlign w:val="bottom"/>
          </w:tcPr>
          <w:p w:rsidR="00CD2A5A" w:rsidRDefault="00CD2A5A">
            <w:pPr>
              <w:spacing w:before="40" w:after="40"/>
              <w:ind w:right="588"/>
              <w:jc w:val="right"/>
              <w:rPr>
                <w:sz w:val="20"/>
                <w:szCs w:val="20"/>
              </w:rPr>
            </w:pPr>
            <w:r>
              <w:rPr>
                <w:sz w:val="20"/>
                <w:szCs w:val="20"/>
              </w:rPr>
              <w:t>4</w:t>
            </w:r>
          </w:p>
        </w:tc>
        <w:tc>
          <w:tcPr>
            <w:tcW w:w="834" w:type="pct"/>
            <w:vAlign w:val="bottom"/>
          </w:tcPr>
          <w:p w:rsidR="00CD2A5A" w:rsidRDefault="00CD2A5A">
            <w:pPr>
              <w:spacing w:before="40" w:after="40"/>
              <w:ind w:right="588"/>
              <w:jc w:val="right"/>
              <w:rPr>
                <w:sz w:val="20"/>
                <w:szCs w:val="20"/>
              </w:rPr>
            </w:pPr>
            <w:r>
              <w:rPr>
                <w:sz w:val="20"/>
                <w:szCs w:val="20"/>
              </w:rPr>
              <w:t> </w:t>
            </w:r>
          </w:p>
        </w:tc>
        <w:tc>
          <w:tcPr>
            <w:tcW w:w="833" w:type="pct"/>
            <w:vAlign w:val="bottom"/>
          </w:tcPr>
          <w:p w:rsidR="00CD2A5A" w:rsidRDefault="00CD2A5A">
            <w:pPr>
              <w:spacing w:before="40" w:after="40"/>
              <w:ind w:right="588"/>
              <w:jc w:val="right"/>
              <w:rPr>
                <w:sz w:val="20"/>
                <w:szCs w:val="20"/>
              </w:rPr>
            </w:pPr>
            <w:r>
              <w:rPr>
                <w:sz w:val="20"/>
                <w:szCs w:val="20"/>
              </w:rPr>
              <w:t>4</w:t>
            </w:r>
          </w:p>
        </w:tc>
        <w:tc>
          <w:tcPr>
            <w:tcW w:w="834" w:type="pct"/>
            <w:vAlign w:val="bottom"/>
          </w:tcPr>
          <w:p w:rsidR="00CD2A5A" w:rsidRDefault="00CD2A5A">
            <w:pPr>
              <w:spacing w:before="40" w:after="40"/>
              <w:rPr>
                <w:sz w:val="20"/>
                <w:szCs w:val="20"/>
              </w:rPr>
            </w:pPr>
            <w:r>
              <w:rPr>
                <w:sz w:val="20"/>
                <w:szCs w:val="20"/>
              </w:rPr>
              <w:t>Guatemala</w:t>
            </w:r>
          </w:p>
        </w:tc>
        <w:tc>
          <w:tcPr>
            <w:tcW w:w="834" w:type="pct"/>
            <w:vAlign w:val="bottom"/>
          </w:tcPr>
          <w:p w:rsidR="00CD2A5A" w:rsidRDefault="00CD2A5A">
            <w:pPr>
              <w:spacing w:before="40" w:after="40"/>
              <w:ind w:right="606"/>
              <w:jc w:val="right"/>
              <w:rPr>
                <w:sz w:val="20"/>
                <w:szCs w:val="20"/>
              </w:rPr>
            </w:pPr>
            <w:r>
              <w:rPr>
                <w:sz w:val="20"/>
                <w:szCs w:val="20"/>
              </w:rPr>
              <w:t>1</w:t>
            </w:r>
          </w:p>
        </w:tc>
      </w:tr>
      <w:tr w:rsidR="00CD2A5A">
        <w:tblPrEx>
          <w:tblCellMar>
            <w:top w:w="0" w:type="dxa"/>
            <w:bottom w:w="0" w:type="dxa"/>
          </w:tblCellMar>
        </w:tblPrEx>
        <w:trPr>
          <w:jc w:val="center"/>
        </w:trPr>
        <w:tc>
          <w:tcPr>
            <w:tcW w:w="833" w:type="pct"/>
            <w:vAlign w:val="bottom"/>
          </w:tcPr>
          <w:p w:rsidR="00CD2A5A" w:rsidRDefault="00CD2A5A">
            <w:pPr>
              <w:spacing w:before="40" w:after="40"/>
              <w:rPr>
                <w:sz w:val="20"/>
                <w:szCs w:val="20"/>
              </w:rPr>
            </w:pPr>
            <w:r>
              <w:rPr>
                <w:sz w:val="20"/>
                <w:szCs w:val="20"/>
              </w:rPr>
              <w:t>age 12 to &lt; 15</w:t>
            </w:r>
          </w:p>
        </w:tc>
        <w:tc>
          <w:tcPr>
            <w:tcW w:w="834" w:type="pct"/>
            <w:vAlign w:val="bottom"/>
          </w:tcPr>
          <w:p w:rsidR="00CD2A5A" w:rsidRDefault="00CD2A5A">
            <w:pPr>
              <w:spacing w:before="40" w:after="40"/>
              <w:ind w:right="588"/>
              <w:jc w:val="right"/>
              <w:rPr>
                <w:sz w:val="20"/>
                <w:szCs w:val="20"/>
              </w:rPr>
            </w:pPr>
            <w:r>
              <w:rPr>
                <w:sz w:val="20"/>
                <w:szCs w:val="20"/>
              </w:rPr>
              <w:t>29</w:t>
            </w:r>
          </w:p>
        </w:tc>
        <w:tc>
          <w:tcPr>
            <w:tcW w:w="834" w:type="pct"/>
            <w:vAlign w:val="bottom"/>
          </w:tcPr>
          <w:p w:rsidR="00CD2A5A" w:rsidRDefault="00CD2A5A">
            <w:pPr>
              <w:spacing w:before="40" w:after="40"/>
              <w:ind w:right="588"/>
              <w:jc w:val="right"/>
              <w:rPr>
                <w:sz w:val="20"/>
                <w:szCs w:val="20"/>
              </w:rPr>
            </w:pPr>
            <w:r>
              <w:rPr>
                <w:sz w:val="20"/>
                <w:szCs w:val="20"/>
              </w:rPr>
              <w:t> </w:t>
            </w:r>
          </w:p>
        </w:tc>
        <w:tc>
          <w:tcPr>
            <w:tcW w:w="833" w:type="pct"/>
            <w:vAlign w:val="bottom"/>
          </w:tcPr>
          <w:p w:rsidR="00CD2A5A" w:rsidRDefault="00CD2A5A">
            <w:pPr>
              <w:spacing w:before="40" w:after="40"/>
              <w:ind w:right="588"/>
              <w:jc w:val="right"/>
              <w:rPr>
                <w:sz w:val="20"/>
                <w:szCs w:val="20"/>
              </w:rPr>
            </w:pPr>
            <w:r>
              <w:rPr>
                <w:sz w:val="20"/>
                <w:szCs w:val="20"/>
              </w:rPr>
              <w:t>29</w:t>
            </w:r>
          </w:p>
        </w:tc>
        <w:tc>
          <w:tcPr>
            <w:tcW w:w="834" w:type="pct"/>
            <w:vAlign w:val="bottom"/>
          </w:tcPr>
          <w:p w:rsidR="00CD2A5A" w:rsidRDefault="00CD2A5A">
            <w:pPr>
              <w:spacing w:before="40" w:after="40"/>
              <w:rPr>
                <w:sz w:val="20"/>
                <w:szCs w:val="20"/>
              </w:rPr>
            </w:pPr>
            <w:r>
              <w:rPr>
                <w:sz w:val="20"/>
                <w:szCs w:val="20"/>
              </w:rPr>
              <w:t>Honduras</w:t>
            </w:r>
          </w:p>
        </w:tc>
        <w:tc>
          <w:tcPr>
            <w:tcW w:w="834" w:type="pct"/>
            <w:vAlign w:val="bottom"/>
          </w:tcPr>
          <w:p w:rsidR="00CD2A5A" w:rsidRDefault="00CD2A5A">
            <w:pPr>
              <w:spacing w:before="40" w:after="40"/>
              <w:ind w:right="606"/>
              <w:jc w:val="right"/>
              <w:rPr>
                <w:sz w:val="20"/>
                <w:szCs w:val="20"/>
              </w:rPr>
            </w:pPr>
            <w:r>
              <w:rPr>
                <w:sz w:val="20"/>
                <w:szCs w:val="20"/>
              </w:rPr>
              <w:t>2</w:t>
            </w:r>
          </w:p>
        </w:tc>
      </w:tr>
      <w:tr w:rsidR="00CD2A5A">
        <w:tblPrEx>
          <w:tblCellMar>
            <w:top w:w="0" w:type="dxa"/>
            <w:bottom w:w="0" w:type="dxa"/>
          </w:tblCellMar>
        </w:tblPrEx>
        <w:trPr>
          <w:jc w:val="center"/>
        </w:trPr>
        <w:tc>
          <w:tcPr>
            <w:tcW w:w="833" w:type="pct"/>
            <w:vAlign w:val="bottom"/>
          </w:tcPr>
          <w:p w:rsidR="00CD2A5A" w:rsidRDefault="00CD2A5A">
            <w:pPr>
              <w:spacing w:before="40" w:after="40"/>
              <w:rPr>
                <w:sz w:val="20"/>
                <w:szCs w:val="20"/>
              </w:rPr>
            </w:pPr>
            <w:r>
              <w:rPr>
                <w:sz w:val="20"/>
                <w:szCs w:val="20"/>
              </w:rPr>
              <w:t>age 15 to &lt; 18</w:t>
            </w:r>
          </w:p>
        </w:tc>
        <w:tc>
          <w:tcPr>
            <w:tcW w:w="834" w:type="pct"/>
            <w:vAlign w:val="bottom"/>
          </w:tcPr>
          <w:p w:rsidR="00CD2A5A" w:rsidRDefault="00CD2A5A">
            <w:pPr>
              <w:spacing w:before="40" w:after="40"/>
              <w:ind w:right="588"/>
              <w:jc w:val="right"/>
              <w:rPr>
                <w:sz w:val="20"/>
                <w:szCs w:val="20"/>
              </w:rPr>
            </w:pPr>
            <w:r>
              <w:rPr>
                <w:sz w:val="20"/>
                <w:szCs w:val="20"/>
              </w:rPr>
              <w:t>38</w:t>
            </w:r>
          </w:p>
        </w:tc>
        <w:tc>
          <w:tcPr>
            <w:tcW w:w="834" w:type="pct"/>
            <w:vAlign w:val="bottom"/>
          </w:tcPr>
          <w:p w:rsidR="00CD2A5A" w:rsidRDefault="00CD2A5A">
            <w:pPr>
              <w:spacing w:before="40" w:after="40"/>
              <w:ind w:right="588"/>
              <w:jc w:val="right"/>
              <w:rPr>
                <w:sz w:val="20"/>
                <w:szCs w:val="20"/>
              </w:rPr>
            </w:pPr>
            <w:r>
              <w:rPr>
                <w:sz w:val="20"/>
                <w:szCs w:val="20"/>
              </w:rPr>
              <w:t>2</w:t>
            </w:r>
          </w:p>
        </w:tc>
        <w:tc>
          <w:tcPr>
            <w:tcW w:w="833" w:type="pct"/>
            <w:vAlign w:val="bottom"/>
          </w:tcPr>
          <w:p w:rsidR="00CD2A5A" w:rsidRDefault="00CD2A5A">
            <w:pPr>
              <w:spacing w:before="40" w:after="40"/>
              <w:ind w:right="588"/>
              <w:jc w:val="right"/>
              <w:rPr>
                <w:sz w:val="20"/>
                <w:szCs w:val="20"/>
              </w:rPr>
            </w:pPr>
            <w:r>
              <w:rPr>
                <w:sz w:val="20"/>
                <w:szCs w:val="20"/>
              </w:rPr>
              <w:t>40</w:t>
            </w:r>
          </w:p>
        </w:tc>
        <w:tc>
          <w:tcPr>
            <w:tcW w:w="834" w:type="pct"/>
            <w:vAlign w:val="bottom"/>
          </w:tcPr>
          <w:p w:rsidR="00CD2A5A" w:rsidRDefault="00CD2A5A">
            <w:pPr>
              <w:spacing w:before="40" w:after="40"/>
              <w:rPr>
                <w:sz w:val="20"/>
                <w:szCs w:val="20"/>
              </w:rPr>
            </w:pPr>
            <w:r>
              <w:rPr>
                <w:sz w:val="20"/>
                <w:szCs w:val="20"/>
              </w:rPr>
              <w:t>Nicaragua</w:t>
            </w:r>
          </w:p>
        </w:tc>
        <w:tc>
          <w:tcPr>
            <w:tcW w:w="834" w:type="pct"/>
            <w:vAlign w:val="bottom"/>
          </w:tcPr>
          <w:p w:rsidR="00CD2A5A" w:rsidRDefault="00CD2A5A">
            <w:pPr>
              <w:spacing w:before="40" w:after="40"/>
              <w:ind w:right="606"/>
              <w:jc w:val="right"/>
              <w:rPr>
                <w:sz w:val="20"/>
                <w:szCs w:val="20"/>
              </w:rPr>
            </w:pPr>
            <w:r>
              <w:rPr>
                <w:sz w:val="20"/>
                <w:szCs w:val="20"/>
              </w:rPr>
              <w:t>4</w:t>
            </w:r>
          </w:p>
        </w:tc>
      </w:tr>
      <w:tr w:rsidR="00CD2A5A">
        <w:tblPrEx>
          <w:tblCellMar>
            <w:top w:w="0" w:type="dxa"/>
            <w:bottom w:w="0" w:type="dxa"/>
          </w:tblCellMar>
        </w:tblPrEx>
        <w:trPr>
          <w:jc w:val="center"/>
        </w:trPr>
        <w:tc>
          <w:tcPr>
            <w:tcW w:w="833" w:type="pct"/>
            <w:vAlign w:val="bottom"/>
          </w:tcPr>
          <w:p w:rsidR="00CD2A5A" w:rsidRDefault="00CD2A5A">
            <w:pPr>
              <w:spacing w:before="40" w:after="40"/>
              <w:rPr>
                <w:sz w:val="20"/>
                <w:szCs w:val="20"/>
              </w:rPr>
            </w:pPr>
            <w:r>
              <w:rPr>
                <w:sz w:val="20"/>
                <w:szCs w:val="20"/>
              </w:rPr>
              <w:t>age 18 and over</w:t>
            </w:r>
          </w:p>
        </w:tc>
        <w:tc>
          <w:tcPr>
            <w:tcW w:w="834" w:type="pct"/>
            <w:vAlign w:val="bottom"/>
          </w:tcPr>
          <w:p w:rsidR="00CD2A5A" w:rsidRDefault="00CD2A5A">
            <w:pPr>
              <w:spacing w:before="40" w:after="40"/>
              <w:ind w:right="588"/>
              <w:jc w:val="right"/>
              <w:rPr>
                <w:sz w:val="20"/>
                <w:szCs w:val="20"/>
              </w:rPr>
            </w:pPr>
            <w:r>
              <w:rPr>
                <w:sz w:val="20"/>
                <w:szCs w:val="20"/>
              </w:rPr>
              <w:t>3</w:t>
            </w:r>
          </w:p>
        </w:tc>
        <w:tc>
          <w:tcPr>
            <w:tcW w:w="834" w:type="pct"/>
            <w:vAlign w:val="bottom"/>
          </w:tcPr>
          <w:p w:rsidR="00CD2A5A" w:rsidRDefault="00CD2A5A">
            <w:pPr>
              <w:spacing w:before="40" w:after="40"/>
              <w:ind w:right="588"/>
              <w:jc w:val="right"/>
              <w:rPr>
                <w:sz w:val="20"/>
                <w:szCs w:val="20"/>
              </w:rPr>
            </w:pPr>
            <w:r>
              <w:rPr>
                <w:sz w:val="20"/>
                <w:szCs w:val="20"/>
              </w:rPr>
              <w:t> </w:t>
            </w:r>
          </w:p>
        </w:tc>
        <w:tc>
          <w:tcPr>
            <w:tcW w:w="833" w:type="pct"/>
            <w:vAlign w:val="bottom"/>
          </w:tcPr>
          <w:p w:rsidR="00CD2A5A" w:rsidRDefault="00CD2A5A">
            <w:pPr>
              <w:spacing w:before="40" w:after="40"/>
              <w:ind w:right="588"/>
              <w:jc w:val="right"/>
              <w:rPr>
                <w:sz w:val="20"/>
                <w:szCs w:val="20"/>
              </w:rPr>
            </w:pPr>
            <w:r>
              <w:rPr>
                <w:sz w:val="20"/>
                <w:szCs w:val="20"/>
              </w:rPr>
              <w:t>3</w:t>
            </w:r>
          </w:p>
        </w:tc>
        <w:tc>
          <w:tcPr>
            <w:tcW w:w="834" w:type="pct"/>
            <w:vAlign w:val="bottom"/>
          </w:tcPr>
          <w:p w:rsidR="00CD2A5A" w:rsidRDefault="00CD2A5A">
            <w:pPr>
              <w:spacing w:before="40" w:after="40"/>
              <w:rPr>
                <w:sz w:val="20"/>
                <w:szCs w:val="20"/>
              </w:rPr>
            </w:pPr>
            <w:r>
              <w:rPr>
                <w:sz w:val="20"/>
                <w:szCs w:val="20"/>
              </w:rPr>
              <w:t>El Salvador</w:t>
            </w:r>
          </w:p>
        </w:tc>
        <w:tc>
          <w:tcPr>
            <w:tcW w:w="834" w:type="pct"/>
            <w:vAlign w:val="bottom"/>
          </w:tcPr>
          <w:p w:rsidR="00CD2A5A" w:rsidRDefault="00CD2A5A">
            <w:pPr>
              <w:spacing w:before="40" w:after="40"/>
              <w:ind w:right="606"/>
              <w:jc w:val="right"/>
              <w:rPr>
                <w:sz w:val="20"/>
                <w:szCs w:val="20"/>
              </w:rPr>
            </w:pPr>
            <w:r>
              <w:rPr>
                <w:sz w:val="20"/>
                <w:szCs w:val="20"/>
              </w:rPr>
              <w:t>70</w:t>
            </w:r>
          </w:p>
        </w:tc>
      </w:tr>
      <w:tr w:rsidR="00CD2A5A">
        <w:tblPrEx>
          <w:tblCellMar>
            <w:top w:w="0" w:type="dxa"/>
            <w:bottom w:w="0" w:type="dxa"/>
          </w:tblCellMar>
        </w:tblPrEx>
        <w:trPr>
          <w:jc w:val="center"/>
        </w:trPr>
        <w:tc>
          <w:tcPr>
            <w:tcW w:w="833" w:type="pct"/>
            <w:vAlign w:val="bottom"/>
          </w:tcPr>
          <w:p w:rsidR="00CD2A5A" w:rsidRDefault="00CD2A5A">
            <w:pPr>
              <w:spacing w:before="40" w:after="40"/>
              <w:rPr>
                <w:sz w:val="20"/>
                <w:szCs w:val="20"/>
              </w:rPr>
            </w:pPr>
            <w:r>
              <w:rPr>
                <w:sz w:val="20"/>
                <w:szCs w:val="20"/>
              </w:rPr>
              <w:t>Total</w:t>
            </w:r>
          </w:p>
        </w:tc>
        <w:tc>
          <w:tcPr>
            <w:tcW w:w="834" w:type="pct"/>
            <w:vAlign w:val="bottom"/>
          </w:tcPr>
          <w:p w:rsidR="00CD2A5A" w:rsidRDefault="00CD2A5A">
            <w:pPr>
              <w:spacing w:before="40" w:after="40"/>
              <w:ind w:right="588"/>
              <w:jc w:val="right"/>
              <w:rPr>
                <w:sz w:val="20"/>
                <w:szCs w:val="20"/>
              </w:rPr>
            </w:pPr>
            <w:r>
              <w:rPr>
                <w:sz w:val="20"/>
                <w:szCs w:val="20"/>
              </w:rPr>
              <w:t>75</w:t>
            </w:r>
          </w:p>
        </w:tc>
        <w:tc>
          <w:tcPr>
            <w:tcW w:w="834" w:type="pct"/>
            <w:vAlign w:val="bottom"/>
          </w:tcPr>
          <w:p w:rsidR="00CD2A5A" w:rsidRDefault="00CD2A5A">
            <w:pPr>
              <w:spacing w:before="40" w:after="40"/>
              <w:ind w:right="588"/>
              <w:jc w:val="right"/>
              <w:rPr>
                <w:sz w:val="20"/>
                <w:szCs w:val="20"/>
              </w:rPr>
            </w:pPr>
            <w:r>
              <w:rPr>
                <w:sz w:val="20"/>
                <w:szCs w:val="20"/>
              </w:rPr>
              <w:t>3</w:t>
            </w:r>
          </w:p>
        </w:tc>
        <w:tc>
          <w:tcPr>
            <w:tcW w:w="833" w:type="pct"/>
            <w:vAlign w:val="bottom"/>
          </w:tcPr>
          <w:p w:rsidR="00CD2A5A" w:rsidRDefault="00CD2A5A">
            <w:pPr>
              <w:spacing w:before="40" w:after="40"/>
              <w:ind w:right="588"/>
              <w:jc w:val="right"/>
              <w:rPr>
                <w:sz w:val="20"/>
                <w:szCs w:val="20"/>
              </w:rPr>
            </w:pPr>
            <w:r>
              <w:rPr>
                <w:sz w:val="20"/>
                <w:szCs w:val="20"/>
              </w:rPr>
              <w:t>78</w:t>
            </w:r>
          </w:p>
        </w:tc>
        <w:tc>
          <w:tcPr>
            <w:tcW w:w="834" w:type="pct"/>
            <w:vAlign w:val="bottom"/>
          </w:tcPr>
          <w:p w:rsidR="00CD2A5A" w:rsidRDefault="00CD2A5A">
            <w:pPr>
              <w:spacing w:before="40" w:after="40"/>
              <w:rPr>
                <w:sz w:val="20"/>
                <w:szCs w:val="20"/>
              </w:rPr>
            </w:pPr>
            <w:r>
              <w:rPr>
                <w:sz w:val="20"/>
                <w:szCs w:val="20"/>
              </w:rPr>
              <w:t>Total</w:t>
            </w:r>
          </w:p>
        </w:tc>
        <w:tc>
          <w:tcPr>
            <w:tcW w:w="834" w:type="pct"/>
            <w:vAlign w:val="bottom"/>
          </w:tcPr>
          <w:p w:rsidR="00CD2A5A" w:rsidRDefault="00CD2A5A">
            <w:pPr>
              <w:spacing w:before="40" w:after="40"/>
              <w:ind w:right="606"/>
              <w:jc w:val="right"/>
              <w:rPr>
                <w:sz w:val="20"/>
                <w:szCs w:val="20"/>
              </w:rPr>
            </w:pPr>
            <w:r>
              <w:rPr>
                <w:sz w:val="20"/>
                <w:szCs w:val="20"/>
              </w:rPr>
              <w:t>78</w:t>
            </w:r>
          </w:p>
        </w:tc>
      </w:tr>
    </w:tbl>
    <w:p w:rsidR="00CD2A5A" w:rsidRDefault="00CD2A5A">
      <w:pPr>
        <w:spacing w:after="240"/>
      </w:pPr>
    </w:p>
    <w:p w:rsidR="00CD2A5A" w:rsidRDefault="00CD2A5A" w:rsidP="00CD2A5A">
      <w:pPr>
        <w:pStyle w:val="Figure"/>
      </w:pPr>
      <w:r>
        <w:t>Figure 66</w:t>
      </w:r>
    </w:p>
    <w:p w:rsidR="00CD2A5A" w:rsidRDefault="00CD2A5A" w:rsidP="00CD2A5A">
      <w:pPr>
        <w:pStyle w:val="Figure"/>
      </w:pPr>
      <w:r>
        <w:t>Victims of trafficking in persons, forms of commercial sexual exploitation, assisted by ISNA (2006)</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7"/>
        <w:gridCol w:w="1395"/>
        <w:gridCol w:w="1463"/>
        <w:gridCol w:w="819"/>
        <w:gridCol w:w="2679"/>
        <w:gridCol w:w="819"/>
      </w:tblGrid>
      <w:tr w:rsidR="00CD2A5A">
        <w:tblPrEx>
          <w:tblCellMar>
            <w:top w:w="0" w:type="dxa"/>
            <w:bottom w:w="0" w:type="dxa"/>
          </w:tblCellMar>
        </w:tblPrEx>
        <w:trPr>
          <w:jc w:val="center"/>
        </w:trPr>
        <w:tc>
          <w:tcPr>
            <w:tcW w:w="1188" w:type="pct"/>
            <w:vAlign w:val="center"/>
          </w:tcPr>
          <w:p w:rsidR="00CD2A5A" w:rsidRDefault="00CD2A5A">
            <w:pPr>
              <w:keepNext/>
              <w:spacing w:before="40" w:after="40"/>
              <w:jc w:val="center"/>
              <w:rPr>
                <w:b/>
                <w:i/>
                <w:sz w:val="20"/>
                <w:szCs w:val="20"/>
              </w:rPr>
            </w:pPr>
            <w:r>
              <w:rPr>
                <w:b/>
                <w:i/>
                <w:sz w:val="20"/>
                <w:szCs w:val="20"/>
              </w:rPr>
              <w:t>Age range</w:t>
            </w:r>
          </w:p>
        </w:tc>
        <w:tc>
          <w:tcPr>
            <w:tcW w:w="741" w:type="pct"/>
            <w:vAlign w:val="center"/>
          </w:tcPr>
          <w:p w:rsidR="00CD2A5A" w:rsidRDefault="00CD2A5A">
            <w:pPr>
              <w:keepNext/>
              <w:spacing w:before="40" w:after="40"/>
              <w:jc w:val="center"/>
              <w:rPr>
                <w:b/>
                <w:i/>
                <w:sz w:val="20"/>
                <w:szCs w:val="20"/>
              </w:rPr>
            </w:pPr>
            <w:r>
              <w:rPr>
                <w:b/>
                <w:i/>
                <w:sz w:val="20"/>
                <w:szCs w:val="20"/>
              </w:rPr>
              <w:t>Female</w:t>
            </w:r>
          </w:p>
        </w:tc>
        <w:tc>
          <w:tcPr>
            <w:tcW w:w="777" w:type="pct"/>
            <w:vAlign w:val="center"/>
          </w:tcPr>
          <w:p w:rsidR="00CD2A5A" w:rsidRDefault="00CD2A5A">
            <w:pPr>
              <w:keepNext/>
              <w:spacing w:before="40" w:after="40"/>
              <w:jc w:val="center"/>
              <w:rPr>
                <w:b/>
                <w:i/>
                <w:sz w:val="20"/>
                <w:szCs w:val="20"/>
              </w:rPr>
            </w:pPr>
            <w:r>
              <w:rPr>
                <w:b/>
                <w:i/>
                <w:sz w:val="20"/>
                <w:szCs w:val="20"/>
              </w:rPr>
              <w:t>Male</w:t>
            </w:r>
          </w:p>
        </w:tc>
        <w:tc>
          <w:tcPr>
            <w:tcW w:w="435" w:type="pct"/>
            <w:vAlign w:val="center"/>
          </w:tcPr>
          <w:p w:rsidR="00CD2A5A" w:rsidRDefault="00CD2A5A">
            <w:pPr>
              <w:keepNext/>
              <w:spacing w:before="40" w:after="40"/>
              <w:jc w:val="center"/>
              <w:rPr>
                <w:b/>
                <w:i/>
                <w:sz w:val="20"/>
                <w:szCs w:val="20"/>
              </w:rPr>
            </w:pPr>
            <w:r>
              <w:rPr>
                <w:b/>
                <w:i/>
                <w:sz w:val="20"/>
                <w:szCs w:val="20"/>
              </w:rPr>
              <w:t>Total</w:t>
            </w:r>
          </w:p>
        </w:tc>
        <w:tc>
          <w:tcPr>
            <w:tcW w:w="1423" w:type="pct"/>
            <w:vAlign w:val="center"/>
          </w:tcPr>
          <w:p w:rsidR="00CD2A5A" w:rsidRDefault="00CD2A5A">
            <w:pPr>
              <w:keepNext/>
              <w:spacing w:before="40" w:after="40"/>
              <w:jc w:val="center"/>
              <w:rPr>
                <w:b/>
                <w:i/>
                <w:sz w:val="20"/>
                <w:szCs w:val="20"/>
              </w:rPr>
            </w:pPr>
            <w:r>
              <w:rPr>
                <w:b/>
                <w:i/>
                <w:sz w:val="20"/>
                <w:szCs w:val="20"/>
              </w:rPr>
              <w:t>Country of nationality</w:t>
            </w:r>
          </w:p>
        </w:tc>
        <w:tc>
          <w:tcPr>
            <w:tcW w:w="435" w:type="pct"/>
            <w:vAlign w:val="center"/>
          </w:tcPr>
          <w:p w:rsidR="00CD2A5A" w:rsidRDefault="00CD2A5A">
            <w:pPr>
              <w:keepNext/>
              <w:spacing w:before="40" w:after="40"/>
              <w:jc w:val="center"/>
              <w:rPr>
                <w:b/>
                <w:i/>
                <w:sz w:val="20"/>
                <w:szCs w:val="20"/>
              </w:rPr>
            </w:pPr>
            <w:r>
              <w:rPr>
                <w:b/>
                <w:i/>
                <w:sz w:val="20"/>
                <w:szCs w:val="20"/>
              </w:rPr>
              <w:t>Total</w:t>
            </w:r>
          </w:p>
        </w:tc>
      </w:tr>
      <w:tr w:rsidR="00CD2A5A">
        <w:tblPrEx>
          <w:tblCellMar>
            <w:top w:w="0" w:type="dxa"/>
            <w:bottom w:w="0" w:type="dxa"/>
          </w:tblCellMar>
        </w:tblPrEx>
        <w:trPr>
          <w:jc w:val="center"/>
        </w:trPr>
        <w:tc>
          <w:tcPr>
            <w:tcW w:w="1188" w:type="pct"/>
            <w:vAlign w:val="bottom"/>
          </w:tcPr>
          <w:p w:rsidR="00CD2A5A" w:rsidRDefault="00CD2A5A">
            <w:pPr>
              <w:keepNext/>
              <w:spacing w:before="40" w:after="40"/>
              <w:rPr>
                <w:sz w:val="20"/>
                <w:szCs w:val="20"/>
              </w:rPr>
            </w:pPr>
            <w:r>
              <w:rPr>
                <w:sz w:val="20"/>
                <w:szCs w:val="20"/>
              </w:rPr>
              <w:t>age 0 to &lt; 3</w:t>
            </w:r>
          </w:p>
        </w:tc>
        <w:tc>
          <w:tcPr>
            <w:tcW w:w="741" w:type="pct"/>
            <w:vAlign w:val="bottom"/>
          </w:tcPr>
          <w:p w:rsidR="00CD2A5A" w:rsidRDefault="00CD2A5A">
            <w:pPr>
              <w:keepNext/>
              <w:spacing w:before="40" w:after="40"/>
              <w:ind w:right="373"/>
              <w:jc w:val="right"/>
              <w:rPr>
                <w:sz w:val="20"/>
                <w:szCs w:val="20"/>
              </w:rPr>
            </w:pPr>
            <w:r>
              <w:rPr>
                <w:sz w:val="20"/>
                <w:szCs w:val="20"/>
              </w:rPr>
              <w:t>1</w:t>
            </w:r>
          </w:p>
        </w:tc>
        <w:tc>
          <w:tcPr>
            <w:tcW w:w="777" w:type="pct"/>
            <w:vAlign w:val="bottom"/>
          </w:tcPr>
          <w:p w:rsidR="00CD2A5A" w:rsidRDefault="00CD2A5A">
            <w:pPr>
              <w:keepNext/>
              <w:spacing w:before="40" w:after="40"/>
              <w:ind w:right="373"/>
              <w:jc w:val="right"/>
              <w:rPr>
                <w:sz w:val="20"/>
                <w:szCs w:val="20"/>
              </w:rPr>
            </w:pPr>
          </w:p>
        </w:tc>
        <w:tc>
          <w:tcPr>
            <w:tcW w:w="435" w:type="pct"/>
            <w:vAlign w:val="bottom"/>
          </w:tcPr>
          <w:p w:rsidR="00CD2A5A" w:rsidRDefault="00CD2A5A">
            <w:pPr>
              <w:keepNext/>
              <w:spacing w:before="40" w:after="40"/>
              <w:ind w:right="373"/>
              <w:jc w:val="right"/>
              <w:rPr>
                <w:sz w:val="20"/>
                <w:szCs w:val="20"/>
              </w:rPr>
            </w:pPr>
            <w:r>
              <w:rPr>
                <w:sz w:val="20"/>
                <w:szCs w:val="20"/>
              </w:rPr>
              <w:t>1</w:t>
            </w:r>
          </w:p>
        </w:tc>
        <w:tc>
          <w:tcPr>
            <w:tcW w:w="1423" w:type="pct"/>
            <w:vAlign w:val="bottom"/>
          </w:tcPr>
          <w:p w:rsidR="00CD2A5A" w:rsidRDefault="00CD2A5A">
            <w:pPr>
              <w:keepNext/>
              <w:spacing w:before="40" w:after="40"/>
              <w:rPr>
                <w:sz w:val="20"/>
                <w:szCs w:val="20"/>
              </w:rPr>
            </w:pPr>
            <w:r>
              <w:rPr>
                <w:sz w:val="20"/>
                <w:szCs w:val="20"/>
              </w:rPr>
              <w:t>Guatemala</w:t>
            </w:r>
          </w:p>
        </w:tc>
        <w:tc>
          <w:tcPr>
            <w:tcW w:w="435" w:type="pct"/>
            <w:vAlign w:val="bottom"/>
          </w:tcPr>
          <w:p w:rsidR="00CD2A5A" w:rsidRDefault="00CD2A5A">
            <w:pPr>
              <w:keepNext/>
              <w:spacing w:before="40" w:after="40"/>
              <w:ind w:right="170"/>
              <w:jc w:val="right"/>
              <w:rPr>
                <w:sz w:val="20"/>
                <w:szCs w:val="20"/>
              </w:rPr>
            </w:pPr>
            <w:r>
              <w:rPr>
                <w:sz w:val="20"/>
                <w:szCs w:val="20"/>
              </w:rPr>
              <w:t>6</w:t>
            </w:r>
          </w:p>
        </w:tc>
      </w:tr>
      <w:tr w:rsidR="00CD2A5A">
        <w:tblPrEx>
          <w:tblCellMar>
            <w:top w:w="0" w:type="dxa"/>
            <w:bottom w:w="0" w:type="dxa"/>
          </w:tblCellMar>
        </w:tblPrEx>
        <w:trPr>
          <w:jc w:val="center"/>
        </w:trPr>
        <w:tc>
          <w:tcPr>
            <w:tcW w:w="1188" w:type="pct"/>
            <w:vAlign w:val="bottom"/>
          </w:tcPr>
          <w:p w:rsidR="00CD2A5A" w:rsidRDefault="00CD2A5A">
            <w:pPr>
              <w:keepNext/>
              <w:spacing w:before="40" w:after="40"/>
              <w:rPr>
                <w:sz w:val="20"/>
                <w:szCs w:val="20"/>
              </w:rPr>
            </w:pPr>
            <w:r>
              <w:rPr>
                <w:sz w:val="20"/>
                <w:szCs w:val="20"/>
              </w:rPr>
              <w:t>age 9 to &lt; 12</w:t>
            </w:r>
          </w:p>
        </w:tc>
        <w:tc>
          <w:tcPr>
            <w:tcW w:w="741" w:type="pct"/>
            <w:vAlign w:val="bottom"/>
          </w:tcPr>
          <w:p w:rsidR="00CD2A5A" w:rsidRDefault="00CD2A5A">
            <w:pPr>
              <w:keepNext/>
              <w:spacing w:before="40" w:after="40"/>
              <w:ind w:right="373"/>
              <w:jc w:val="right"/>
              <w:rPr>
                <w:sz w:val="20"/>
                <w:szCs w:val="20"/>
              </w:rPr>
            </w:pPr>
            <w:r>
              <w:rPr>
                <w:sz w:val="20"/>
                <w:szCs w:val="20"/>
              </w:rPr>
              <w:t>6</w:t>
            </w:r>
          </w:p>
        </w:tc>
        <w:tc>
          <w:tcPr>
            <w:tcW w:w="777" w:type="pct"/>
            <w:vAlign w:val="bottom"/>
          </w:tcPr>
          <w:p w:rsidR="00CD2A5A" w:rsidRDefault="00CD2A5A">
            <w:pPr>
              <w:keepNext/>
              <w:spacing w:before="40" w:after="40"/>
              <w:ind w:right="373"/>
              <w:jc w:val="right"/>
              <w:rPr>
                <w:sz w:val="20"/>
                <w:szCs w:val="20"/>
              </w:rPr>
            </w:pPr>
            <w:r>
              <w:rPr>
                <w:sz w:val="20"/>
                <w:szCs w:val="20"/>
              </w:rPr>
              <w:t> </w:t>
            </w:r>
          </w:p>
        </w:tc>
        <w:tc>
          <w:tcPr>
            <w:tcW w:w="435" w:type="pct"/>
            <w:vAlign w:val="bottom"/>
          </w:tcPr>
          <w:p w:rsidR="00CD2A5A" w:rsidRDefault="00CD2A5A">
            <w:pPr>
              <w:keepNext/>
              <w:spacing w:before="40" w:after="40"/>
              <w:ind w:right="373"/>
              <w:jc w:val="right"/>
              <w:rPr>
                <w:sz w:val="20"/>
                <w:szCs w:val="20"/>
              </w:rPr>
            </w:pPr>
            <w:r>
              <w:rPr>
                <w:sz w:val="20"/>
                <w:szCs w:val="20"/>
              </w:rPr>
              <w:t>6</w:t>
            </w:r>
          </w:p>
        </w:tc>
        <w:tc>
          <w:tcPr>
            <w:tcW w:w="1423" w:type="pct"/>
            <w:vAlign w:val="bottom"/>
          </w:tcPr>
          <w:p w:rsidR="00CD2A5A" w:rsidRDefault="00CD2A5A">
            <w:pPr>
              <w:keepNext/>
              <w:spacing w:before="40" w:after="40"/>
              <w:rPr>
                <w:sz w:val="20"/>
                <w:szCs w:val="20"/>
              </w:rPr>
            </w:pPr>
            <w:r>
              <w:rPr>
                <w:sz w:val="20"/>
                <w:szCs w:val="20"/>
              </w:rPr>
              <w:t>Honduras</w:t>
            </w:r>
          </w:p>
        </w:tc>
        <w:tc>
          <w:tcPr>
            <w:tcW w:w="435" w:type="pct"/>
            <w:vAlign w:val="bottom"/>
          </w:tcPr>
          <w:p w:rsidR="00CD2A5A" w:rsidRDefault="00CD2A5A">
            <w:pPr>
              <w:keepNext/>
              <w:spacing w:before="40" w:after="40"/>
              <w:ind w:right="170"/>
              <w:jc w:val="right"/>
              <w:rPr>
                <w:sz w:val="20"/>
                <w:szCs w:val="20"/>
              </w:rPr>
            </w:pPr>
            <w:r>
              <w:rPr>
                <w:sz w:val="20"/>
                <w:szCs w:val="20"/>
              </w:rPr>
              <w:t>2</w:t>
            </w:r>
          </w:p>
        </w:tc>
      </w:tr>
      <w:tr w:rsidR="00CD2A5A">
        <w:tblPrEx>
          <w:tblCellMar>
            <w:top w:w="0" w:type="dxa"/>
            <w:bottom w:w="0" w:type="dxa"/>
          </w:tblCellMar>
        </w:tblPrEx>
        <w:trPr>
          <w:jc w:val="center"/>
        </w:trPr>
        <w:tc>
          <w:tcPr>
            <w:tcW w:w="1188" w:type="pct"/>
            <w:vAlign w:val="bottom"/>
          </w:tcPr>
          <w:p w:rsidR="00CD2A5A" w:rsidRDefault="00CD2A5A">
            <w:pPr>
              <w:keepNext/>
              <w:spacing w:before="40" w:after="40"/>
              <w:rPr>
                <w:sz w:val="20"/>
                <w:szCs w:val="20"/>
              </w:rPr>
            </w:pPr>
            <w:r>
              <w:rPr>
                <w:sz w:val="20"/>
                <w:szCs w:val="20"/>
              </w:rPr>
              <w:t>aged12 to &lt; 15</w:t>
            </w:r>
          </w:p>
        </w:tc>
        <w:tc>
          <w:tcPr>
            <w:tcW w:w="741" w:type="pct"/>
            <w:vAlign w:val="bottom"/>
          </w:tcPr>
          <w:p w:rsidR="00CD2A5A" w:rsidRDefault="00CD2A5A">
            <w:pPr>
              <w:keepNext/>
              <w:spacing w:before="40" w:after="40"/>
              <w:ind w:right="373"/>
              <w:jc w:val="right"/>
              <w:rPr>
                <w:sz w:val="20"/>
                <w:szCs w:val="20"/>
              </w:rPr>
            </w:pPr>
            <w:r>
              <w:rPr>
                <w:sz w:val="20"/>
                <w:szCs w:val="20"/>
              </w:rPr>
              <w:t>30</w:t>
            </w:r>
          </w:p>
        </w:tc>
        <w:tc>
          <w:tcPr>
            <w:tcW w:w="777" w:type="pct"/>
            <w:vAlign w:val="bottom"/>
          </w:tcPr>
          <w:p w:rsidR="00CD2A5A" w:rsidRDefault="00CD2A5A">
            <w:pPr>
              <w:keepNext/>
              <w:spacing w:before="40" w:after="40"/>
              <w:ind w:right="373"/>
              <w:jc w:val="right"/>
              <w:rPr>
                <w:sz w:val="20"/>
                <w:szCs w:val="20"/>
              </w:rPr>
            </w:pPr>
            <w:r>
              <w:rPr>
                <w:sz w:val="20"/>
                <w:szCs w:val="20"/>
              </w:rPr>
              <w:t> </w:t>
            </w:r>
          </w:p>
        </w:tc>
        <w:tc>
          <w:tcPr>
            <w:tcW w:w="435" w:type="pct"/>
            <w:vAlign w:val="bottom"/>
          </w:tcPr>
          <w:p w:rsidR="00CD2A5A" w:rsidRDefault="00CD2A5A">
            <w:pPr>
              <w:keepNext/>
              <w:spacing w:before="40" w:after="40"/>
              <w:ind w:right="373"/>
              <w:jc w:val="right"/>
              <w:rPr>
                <w:sz w:val="20"/>
                <w:szCs w:val="20"/>
              </w:rPr>
            </w:pPr>
            <w:r>
              <w:rPr>
                <w:sz w:val="20"/>
                <w:szCs w:val="20"/>
              </w:rPr>
              <w:t>30</w:t>
            </w:r>
          </w:p>
        </w:tc>
        <w:tc>
          <w:tcPr>
            <w:tcW w:w="1423" w:type="pct"/>
            <w:vAlign w:val="bottom"/>
          </w:tcPr>
          <w:p w:rsidR="00CD2A5A" w:rsidRDefault="00CD2A5A">
            <w:pPr>
              <w:keepNext/>
              <w:spacing w:before="40" w:after="40"/>
              <w:rPr>
                <w:sz w:val="20"/>
                <w:szCs w:val="20"/>
              </w:rPr>
            </w:pPr>
            <w:r>
              <w:rPr>
                <w:sz w:val="20"/>
                <w:szCs w:val="20"/>
              </w:rPr>
              <w:t>Nicaragua</w:t>
            </w:r>
          </w:p>
        </w:tc>
        <w:tc>
          <w:tcPr>
            <w:tcW w:w="435" w:type="pct"/>
            <w:vAlign w:val="bottom"/>
          </w:tcPr>
          <w:p w:rsidR="00CD2A5A" w:rsidRDefault="00CD2A5A">
            <w:pPr>
              <w:keepNext/>
              <w:spacing w:before="40" w:after="40"/>
              <w:ind w:right="170"/>
              <w:jc w:val="right"/>
              <w:rPr>
                <w:sz w:val="20"/>
                <w:szCs w:val="20"/>
              </w:rPr>
            </w:pPr>
            <w:r>
              <w:rPr>
                <w:sz w:val="20"/>
                <w:szCs w:val="20"/>
              </w:rPr>
              <w:t>4</w:t>
            </w:r>
          </w:p>
        </w:tc>
      </w:tr>
      <w:tr w:rsidR="00CD2A5A">
        <w:tblPrEx>
          <w:tblCellMar>
            <w:top w:w="0" w:type="dxa"/>
            <w:bottom w:w="0" w:type="dxa"/>
          </w:tblCellMar>
        </w:tblPrEx>
        <w:trPr>
          <w:jc w:val="center"/>
        </w:trPr>
        <w:tc>
          <w:tcPr>
            <w:tcW w:w="1188" w:type="pct"/>
            <w:vAlign w:val="bottom"/>
          </w:tcPr>
          <w:p w:rsidR="00CD2A5A" w:rsidRDefault="00CD2A5A">
            <w:pPr>
              <w:keepNext/>
              <w:spacing w:before="40" w:after="40"/>
              <w:rPr>
                <w:sz w:val="20"/>
                <w:szCs w:val="20"/>
              </w:rPr>
            </w:pPr>
            <w:r>
              <w:rPr>
                <w:sz w:val="20"/>
                <w:szCs w:val="20"/>
              </w:rPr>
              <w:t>age 15 to &lt; 18</w:t>
            </w:r>
          </w:p>
        </w:tc>
        <w:tc>
          <w:tcPr>
            <w:tcW w:w="741" w:type="pct"/>
            <w:vAlign w:val="bottom"/>
          </w:tcPr>
          <w:p w:rsidR="00CD2A5A" w:rsidRDefault="00CD2A5A">
            <w:pPr>
              <w:keepNext/>
              <w:spacing w:before="40" w:after="40"/>
              <w:ind w:right="373"/>
              <w:jc w:val="right"/>
              <w:rPr>
                <w:sz w:val="20"/>
                <w:szCs w:val="20"/>
              </w:rPr>
            </w:pPr>
            <w:r>
              <w:rPr>
                <w:sz w:val="20"/>
                <w:szCs w:val="20"/>
              </w:rPr>
              <w:t>43</w:t>
            </w:r>
          </w:p>
        </w:tc>
        <w:tc>
          <w:tcPr>
            <w:tcW w:w="777" w:type="pct"/>
            <w:vAlign w:val="bottom"/>
          </w:tcPr>
          <w:p w:rsidR="00CD2A5A" w:rsidRDefault="00CD2A5A">
            <w:pPr>
              <w:keepNext/>
              <w:spacing w:before="40" w:after="40"/>
              <w:ind w:right="373"/>
              <w:jc w:val="right"/>
              <w:rPr>
                <w:sz w:val="20"/>
                <w:szCs w:val="20"/>
              </w:rPr>
            </w:pPr>
          </w:p>
        </w:tc>
        <w:tc>
          <w:tcPr>
            <w:tcW w:w="435" w:type="pct"/>
            <w:vAlign w:val="bottom"/>
          </w:tcPr>
          <w:p w:rsidR="00CD2A5A" w:rsidRDefault="00CD2A5A">
            <w:pPr>
              <w:keepNext/>
              <w:spacing w:before="40" w:after="40"/>
              <w:ind w:right="373"/>
              <w:jc w:val="right"/>
              <w:rPr>
                <w:sz w:val="20"/>
                <w:szCs w:val="20"/>
              </w:rPr>
            </w:pPr>
            <w:r>
              <w:rPr>
                <w:sz w:val="20"/>
                <w:szCs w:val="20"/>
              </w:rPr>
              <w:t>43</w:t>
            </w:r>
          </w:p>
        </w:tc>
        <w:tc>
          <w:tcPr>
            <w:tcW w:w="1423" w:type="pct"/>
            <w:vAlign w:val="bottom"/>
          </w:tcPr>
          <w:p w:rsidR="00CD2A5A" w:rsidRDefault="00CD2A5A">
            <w:pPr>
              <w:keepNext/>
              <w:spacing w:before="40" w:after="40"/>
              <w:rPr>
                <w:sz w:val="20"/>
                <w:szCs w:val="20"/>
              </w:rPr>
            </w:pPr>
            <w:r>
              <w:rPr>
                <w:sz w:val="20"/>
                <w:szCs w:val="20"/>
              </w:rPr>
              <w:t>El Salvador</w:t>
            </w:r>
          </w:p>
        </w:tc>
        <w:tc>
          <w:tcPr>
            <w:tcW w:w="435" w:type="pct"/>
            <w:vAlign w:val="bottom"/>
          </w:tcPr>
          <w:p w:rsidR="00CD2A5A" w:rsidRDefault="00CD2A5A">
            <w:pPr>
              <w:keepNext/>
              <w:spacing w:before="40" w:after="40"/>
              <w:ind w:right="170"/>
              <w:jc w:val="right"/>
              <w:rPr>
                <w:sz w:val="20"/>
                <w:szCs w:val="20"/>
              </w:rPr>
            </w:pPr>
            <w:r>
              <w:rPr>
                <w:sz w:val="20"/>
                <w:szCs w:val="20"/>
              </w:rPr>
              <w:t>70</w:t>
            </w:r>
          </w:p>
        </w:tc>
      </w:tr>
      <w:tr w:rsidR="00CD2A5A">
        <w:tblPrEx>
          <w:tblCellMar>
            <w:top w:w="0" w:type="dxa"/>
            <w:bottom w:w="0" w:type="dxa"/>
          </w:tblCellMar>
        </w:tblPrEx>
        <w:trPr>
          <w:cantSplit/>
          <w:jc w:val="center"/>
        </w:trPr>
        <w:tc>
          <w:tcPr>
            <w:tcW w:w="1188" w:type="pct"/>
            <w:vAlign w:val="bottom"/>
          </w:tcPr>
          <w:p w:rsidR="00CD2A5A" w:rsidRDefault="00CD2A5A">
            <w:pPr>
              <w:spacing w:before="40" w:after="40"/>
              <w:rPr>
                <w:sz w:val="20"/>
                <w:szCs w:val="20"/>
              </w:rPr>
            </w:pPr>
            <w:r>
              <w:rPr>
                <w:sz w:val="20"/>
                <w:szCs w:val="20"/>
              </w:rPr>
              <w:t>age 18 and over</w:t>
            </w:r>
          </w:p>
        </w:tc>
        <w:tc>
          <w:tcPr>
            <w:tcW w:w="741" w:type="pct"/>
            <w:vAlign w:val="bottom"/>
          </w:tcPr>
          <w:p w:rsidR="00CD2A5A" w:rsidRDefault="00CD2A5A">
            <w:pPr>
              <w:spacing w:before="40" w:after="40"/>
              <w:ind w:right="373"/>
              <w:jc w:val="right"/>
              <w:rPr>
                <w:sz w:val="20"/>
                <w:szCs w:val="20"/>
              </w:rPr>
            </w:pPr>
            <w:r>
              <w:rPr>
                <w:sz w:val="20"/>
                <w:szCs w:val="20"/>
              </w:rPr>
              <w:t>2</w:t>
            </w:r>
          </w:p>
        </w:tc>
        <w:tc>
          <w:tcPr>
            <w:tcW w:w="777" w:type="pct"/>
            <w:vAlign w:val="bottom"/>
          </w:tcPr>
          <w:p w:rsidR="00CD2A5A" w:rsidRDefault="00CD2A5A">
            <w:pPr>
              <w:spacing w:before="40" w:after="40"/>
              <w:ind w:right="373"/>
              <w:jc w:val="right"/>
              <w:rPr>
                <w:sz w:val="20"/>
                <w:szCs w:val="20"/>
              </w:rPr>
            </w:pPr>
            <w:r>
              <w:rPr>
                <w:sz w:val="20"/>
                <w:szCs w:val="20"/>
              </w:rPr>
              <w:t> </w:t>
            </w:r>
          </w:p>
        </w:tc>
        <w:tc>
          <w:tcPr>
            <w:tcW w:w="435" w:type="pct"/>
            <w:vAlign w:val="bottom"/>
          </w:tcPr>
          <w:p w:rsidR="00CD2A5A" w:rsidRDefault="00CD2A5A">
            <w:pPr>
              <w:spacing w:before="40" w:after="40"/>
              <w:ind w:right="373"/>
              <w:jc w:val="right"/>
              <w:rPr>
                <w:sz w:val="20"/>
                <w:szCs w:val="20"/>
              </w:rPr>
            </w:pPr>
            <w:r>
              <w:rPr>
                <w:sz w:val="20"/>
                <w:szCs w:val="20"/>
              </w:rPr>
              <w:t>2</w:t>
            </w:r>
          </w:p>
        </w:tc>
        <w:tc>
          <w:tcPr>
            <w:tcW w:w="1423" w:type="pct"/>
            <w:vMerge w:val="restart"/>
            <w:vAlign w:val="center"/>
          </w:tcPr>
          <w:p w:rsidR="00CD2A5A" w:rsidRDefault="00CD2A5A">
            <w:pPr>
              <w:spacing w:before="40" w:after="40"/>
              <w:rPr>
                <w:sz w:val="20"/>
                <w:szCs w:val="20"/>
              </w:rPr>
            </w:pPr>
            <w:r>
              <w:rPr>
                <w:sz w:val="20"/>
                <w:szCs w:val="20"/>
              </w:rPr>
              <w:t>Total</w:t>
            </w:r>
          </w:p>
        </w:tc>
        <w:tc>
          <w:tcPr>
            <w:tcW w:w="435" w:type="pct"/>
            <w:vMerge w:val="restart"/>
            <w:vAlign w:val="center"/>
          </w:tcPr>
          <w:p w:rsidR="00CD2A5A" w:rsidRDefault="00CD2A5A">
            <w:pPr>
              <w:spacing w:before="40" w:after="40"/>
              <w:ind w:right="170"/>
              <w:jc w:val="right"/>
              <w:rPr>
                <w:sz w:val="20"/>
                <w:szCs w:val="20"/>
              </w:rPr>
            </w:pPr>
            <w:r>
              <w:rPr>
                <w:sz w:val="20"/>
                <w:szCs w:val="20"/>
              </w:rPr>
              <w:t>82</w:t>
            </w:r>
          </w:p>
        </w:tc>
      </w:tr>
      <w:tr w:rsidR="00CD2A5A">
        <w:tblPrEx>
          <w:tblCellMar>
            <w:top w:w="0" w:type="dxa"/>
            <w:bottom w:w="0" w:type="dxa"/>
          </w:tblCellMar>
        </w:tblPrEx>
        <w:trPr>
          <w:cantSplit/>
          <w:jc w:val="center"/>
        </w:trPr>
        <w:tc>
          <w:tcPr>
            <w:tcW w:w="1188" w:type="pct"/>
            <w:vAlign w:val="bottom"/>
          </w:tcPr>
          <w:p w:rsidR="00CD2A5A" w:rsidRDefault="00CD2A5A">
            <w:pPr>
              <w:spacing w:before="40" w:after="40"/>
              <w:rPr>
                <w:sz w:val="20"/>
                <w:szCs w:val="20"/>
              </w:rPr>
            </w:pPr>
            <w:r>
              <w:rPr>
                <w:sz w:val="20"/>
                <w:szCs w:val="20"/>
              </w:rPr>
              <w:t>Total</w:t>
            </w:r>
          </w:p>
        </w:tc>
        <w:tc>
          <w:tcPr>
            <w:tcW w:w="741" w:type="pct"/>
            <w:vAlign w:val="bottom"/>
          </w:tcPr>
          <w:p w:rsidR="00CD2A5A" w:rsidRDefault="00CD2A5A">
            <w:pPr>
              <w:spacing w:before="40" w:after="40"/>
              <w:ind w:right="373"/>
              <w:jc w:val="right"/>
              <w:rPr>
                <w:sz w:val="20"/>
                <w:szCs w:val="20"/>
              </w:rPr>
            </w:pPr>
            <w:r>
              <w:rPr>
                <w:sz w:val="20"/>
                <w:szCs w:val="20"/>
              </w:rPr>
              <w:t>82</w:t>
            </w:r>
          </w:p>
        </w:tc>
        <w:tc>
          <w:tcPr>
            <w:tcW w:w="777" w:type="pct"/>
            <w:vAlign w:val="bottom"/>
          </w:tcPr>
          <w:p w:rsidR="00CD2A5A" w:rsidRDefault="00CD2A5A">
            <w:pPr>
              <w:spacing w:before="40" w:after="40"/>
              <w:ind w:right="373"/>
              <w:jc w:val="right"/>
              <w:rPr>
                <w:sz w:val="20"/>
                <w:szCs w:val="20"/>
              </w:rPr>
            </w:pPr>
          </w:p>
        </w:tc>
        <w:tc>
          <w:tcPr>
            <w:tcW w:w="435" w:type="pct"/>
            <w:vAlign w:val="bottom"/>
          </w:tcPr>
          <w:p w:rsidR="00CD2A5A" w:rsidRDefault="00CD2A5A">
            <w:pPr>
              <w:spacing w:before="40" w:after="40"/>
              <w:ind w:right="373"/>
              <w:jc w:val="right"/>
              <w:rPr>
                <w:sz w:val="20"/>
                <w:szCs w:val="20"/>
              </w:rPr>
            </w:pPr>
            <w:r>
              <w:rPr>
                <w:sz w:val="20"/>
                <w:szCs w:val="20"/>
              </w:rPr>
              <w:t>82</w:t>
            </w:r>
          </w:p>
        </w:tc>
        <w:tc>
          <w:tcPr>
            <w:tcW w:w="1423" w:type="pct"/>
            <w:vMerge/>
            <w:vAlign w:val="bottom"/>
          </w:tcPr>
          <w:p w:rsidR="00CD2A5A" w:rsidRDefault="00CD2A5A">
            <w:pPr>
              <w:spacing w:before="40" w:after="40"/>
              <w:rPr>
                <w:sz w:val="20"/>
                <w:szCs w:val="20"/>
              </w:rPr>
            </w:pPr>
          </w:p>
        </w:tc>
        <w:tc>
          <w:tcPr>
            <w:tcW w:w="435" w:type="pct"/>
            <w:vMerge/>
            <w:vAlign w:val="bottom"/>
          </w:tcPr>
          <w:p w:rsidR="00CD2A5A" w:rsidRDefault="00CD2A5A">
            <w:pPr>
              <w:spacing w:before="40" w:after="40"/>
              <w:rPr>
                <w:sz w:val="20"/>
                <w:szCs w:val="20"/>
              </w:rPr>
            </w:pPr>
          </w:p>
        </w:tc>
      </w:tr>
    </w:tbl>
    <w:p w:rsidR="00CD2A5A" w:rsidRDefault="00CD2A5A">
      <w:pPr>
        <w:spacing w:after="240"/>
      </w:pP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ISNA dedicates a good proportion of its efforts to programmes for the assisting and rehabilitating child victims of sexual exploitation or trafficking with the aim of restoring their rights involving the family and local networks. It has run local campaigns for the prevention of commercial sexual exploitation and trafficking in persons, with teaching material, posters, advertising billboards and moving billboards on buses. IPEC/ILO has funded and implemented projects for the prevention of commercial sexual exploitation and victim support for the National Civil Police (PNC), ISNA, Office of the Public Prosecutor of the Republic (FGR) and non-governmental organizations. </w:t>
      </w:r>
    </w:p>
    <w:p w:rsidR="00CD2A5A" w:rsidRDefault="00CD2A5A">
      <w:pPr>
        <w:pStyle w:val="1"/>
        <w:keepNext/>
        <w:numPr>
          <w:ilvl w:val="0"/>
          <w:numId w:val="3"/>
        </w:numPr>
        <w:tabs>
          <w:tab w:val="clear" w:pos="720"/>
        </w:tabs>
        <w:spacing w:after="240"/>
        <w:ind w:left="0" w:firstLine="0"/>
        <w:jc w:val="left"/>
        <w:rPr>
          <w:lang w:val="en-GB"/>
        </w:rPr>
      </w:pPr>
      <w:r>
        <w:rPr>
          <w:lang w:val="en-GB"/>
        </w:rPr>
        <w:t xml:space="preserve">Trafficking in persons is classed as a crime in Article 367-B of the Criminal Code, which establishes the following: </w:t>
      </w:r>
    </w:p>
    <w:p w:rsidR="00CD2A5A" w:rsidRDefault="00CD2A5A">
      <w:pPr>
        <w:pStyle w:val="1"/>
        <w:spacing w:after="240"/>
        <w:ind w:left="0" w:firstLine="567"/>
        <w:jc w:val="left"/>
        <w:rPr>
          <w:lang w:val="en-GB"/>
        </w:rPr>
      </w:pPr>
      <w:r>
        <w:rPr>
          <w:lang w:val="en-GB"/>
        </w:rPr>
        <w:t>Anyone who, of their own initiative or as a member of a national or international organization, for the purposes of financial gain, recruits, transports, transfers, shelters or harbours persons, within or outside national territory, in order to engage in any activity related to sexual exploitation or to keep them in forced labour or service or practices similar to slavery, or for the purposes of organ removal, fraudulent adoption or forced marriage, shall be liable to imprisonment for a term of four to eight years. The maximum applicable penalty shall be increased by up to one third when the victim is under 18 years of age or incompetent.</w:t>
      </w:r>
    </w:p>
    <w:p w:rsidR="00CD2A5A" w:rsidRDefault="00CD2A5A">
      <w:pPr>
        <w:pStyle w:val="Header"/>
        <w:numPr>
          <w:ilvl w:val="0"/>
          <w:numId w:val="3"/>
        </w:numPr>
        <w:tabs>
          <w:tab w:val="clear" w:pos="720"/>
          <w:tab w:val="clear" w:pos="4252"/>
        </w:tabs>
        <w:spacing w:after="240"/>
        <w:ind w:left="0" w:firstLine="0"/>
        <w:rPr>
          <w:lang w:val="en-GB"/>
        </w:rPr>
      </w:pPr>
      <w:r>
        <w:rPr>
          <w:lang w:val="en-GB"/>
        </w:rPr>
        <w:t>As stated above, the Office of the Public Prosecutor of the Republic is responsible for managing the investigation of the offence and bringing a criminal action with the cooperation of the National Civil Police. Investigations of this type of offence are instigated automatically, because they are categorized as crimes against humanity under the Salvadoran Legal system. The Office of the Public Prosecutor of the Republic sets up an Illegal Trafficking in Persons Unit in 2003 to offer specialized assistance for this type of offence. This unit is in charge of investigating all forms of trafficking and trading in persons. The Office of the Public Prosecutor of the Republic is a member of the National Committee Against Trafficking Persons, set up in 2005 with the aim of handling the crime of trafficking holistically through a national policy and plan for the eradication of this crime, in accordance with obligations entered into by the State of El Salvador when it ratified international instruments on the subject.</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Over the reporting period, the Office of the Public Prosecutor of the Republic opened the following investigations into cases of crimes relating to trading and trafficking in persons:</w:t>
      </w:r>
    </w:p>
    <w:p w:rsidR="00CD2A5A" w:rsidRDefault="00CD2A5A" w:rsidP="00CD2A5A">
      <w:pPr>
        <w:pStyle w:val="Figure"/>
      </w:pPr>
      <w:r>
        <w:t>Figure 67</w:t>
      </w:r>
    </w:p>
    <w:p w:rsidR="00CD2A5A" w:rsidRDefault="00CD2A5A" w:rsidP="00CD2A5A">
      <w:pPr>
        <w:pStyle w:val="Figure"/>
      </w:pPr>
      <w:r>
        <w:t xml:space="preserve">Trading and trafficking in children cases. </w:t>
      </w:r>
    </w:p>
    <w:p w:rsidR="00CD2A5A" w:rsidRDefault="00CD2A5A" w:rsidP="00CD2A5A">
      <w:pPr>
        <w:pStyle w:val="Figure"/>
      </w:pPr>
      <w:r>
        <w:t>Office of the Public Prosecutor of the Republic. (2004 –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985"/>
        <w:gridCol w:w="2425"/>
        <w:gridCol w:w="1600"/>
      </w:tblGrid>
      <w:tr w:rsidR="00CD2A5A" w:rsidTr="00A32998">
        <w:trPr>
          <w:cantSplit/>
          <w:trHeight w:val="285"/>
          <w:jc w:val="center"/>
        </w:trPr>
        <w:tc>
          <w:tcPr>
            <w:tcW w:w="3402" w:type="dxa"/>
            <w:vMerge w:val="restart"/>
            <w:noWrap/>
            <w:tcMar>
              <w:top w:w="15" w:type="dxa"/>
              <w:left w:w="15" w:type="dxa"/>
              <w:bottom w:w="0" w:type="dxa"/>
              <w:right w:w="15" w:type="dxa"/>
            </w:tcMar>
            <w:vAlign w:val="center"/>
          </w:tcPr>
          <w:p w:rsidR="00CD2A5A" w:rsidRDefault="00CD2A5A" w:rsidP="00A32998">
            <w:pPr>
              <w:pStyle w:val="TOC1"/>
              <w:rPr>
                <w:vanish/>
              </w:rPr>
            </w:pPr>
            <w:r>
              <w:t>Year</w:t>
            </w:r>
          </w:p>
        </w:tc>
        <w:tc>
          <w:tcPr>
            <w:tcW w:w="4410" w:type="dxa"/>
            <w:gridSpan w:val="2"/>
            <w:tcMar>
              <w:top w:w="15" w:type="dxa"/>
              <w:left w:w="15" w:type="dxa"/>
              <w:bottom w:w="0" w:type="dxa"/>
              <w:right w:w="15" w:type="dxa"/>
            </w:tcMar>
            <w:vAlign w:val="center"/>
          </w:tcPr>
          <w:p w:rsidR="00CD2A5A" w:rsidRDefault="00CD2A5A" w:rsidP="00A32998">
            <w:pPr>
              <w:keepNext/>
              <w:spacing w:before="40" w:after="40"/>
              <w:jc w:val="center"/>
              <w:rPr>
                <w:b/>
                <w:i/>
                <w:sz w:val="20"/>
                <w:szCs w:val="20"/>
                <w:lang w:val="en-US"/>
              </w:rPr>
            </w:pPr>
            <w:r>
              <w:rPr>
                <w:b/>
                <w:i/>
                <w:sz w:val="20"/>
                <w:szCs w:val="20"/>
                <w:lang w:val="en-US"/>
              </w:rPr>
              <w:t>Age of victim and number of offences</w:t>
            </w:r>
          </w:p>
        </w:tc>
        <w:tc>
          <w:tcPr>
            <w:tcW w:w="1600" w:type="dxa"/>
            <w:vMerge w:val="restart"/>
            <w:tcMar>
              <w:top w:w="15" w:type="dxa"/>
              <w:left w:w="15" w:type="dxa"/>
              <w:bottom w:w="0" w:type="dxa"/>
              <w:right w:w="15" w:type="dxa"/>
            </w:tcMar>
            <w:vAlign w:val="center"/>
          </w:tcPr>
          <w:p w:rsidR="00CD2A5A" w:rsidRDefault="00CD2A5A" w:rsidP="00A32998">
            <w:pPr>
              <w:keepNext/>
              <w:spacing w:before="40" w:after="40"/>
              <w:jc w:val="center"/>
              <w:rPr>
                <w:b/>
                <w:i/>
                <w:sz w:val="20"/>
                <w:szCs w:val="20"/>
              </w:rPr>
            </w:pPr>
            <w:r>
              <w:rPr>
                <w:b/>
                <w:i/>
                <w:sz w:val="20"/>
                <w:szCs w:val="20"/>
              </w:rPr>
              <w:t>Total</w:t>
            </w:r>
          </w:p>
        </w:tc>
      </w:tr>
      <w:tr w:rsidR="00CD2A5A" w:rsidTr="00A32998">
        <w:trPr>
          <w:cantSplit/>
          <w:trHeight w:val="285"/>
          <w:jc w:val="center"/>
        </w:trPr>
        <w:tc>
          <w:tcPr>
            <w:tcW w:w="3402" w:type="dxa"/>
            <w:vMerge/>
            <w:noWrap/>
            <w:tcMar>
              <w:top w:w="15" w:type="dxa"/>
              <w:left w:w="15" w:type="dxa"/>
              <w:bottom w:w="0" w:type="dxa"/>
              <w:right w:w="15" w:type="dxa"/>
            </w:tcMar>
            <w:vAlign w:val="center"/>
          </w:tcPr>
          <w:p w:rsidR="00CD2A5A" w:rsidRDefault="00CD2A5A" w:rsidP="00A32998">
            <w:pPr>
              <w:pStyle w:val="TOC1"/>
            </w:pPr>
          </w:p>
        </w:tc>
        <w:tc>
          <w:tcPr>
            <w:tcW w:w="1985" w:type="dxa"/>
            <w:tcMar>
              <w:top w:w="15" w:type="dxa"/>
              <w:left w:w="15" w:type="dxa"/>
              <w:bottom w:w="0" w:type="dxa"/>
              <w:right w:w="15" w:type="dxa"/>
            </w:tcMar>
            <w:vAlign w:val="center"/>
          </w:tcPr>
          <w:p w:rsidR="00CD2A5A" w:rsidRDefault="00CD2A5A" w:rsidP="00A32998">
            <w:pPr>
              <w:keepNext/>
              <w:spacing w:before="40" w:after="40"/>
              <w:jc w:val="center"/>
              <w:rPr>
                <w:b/>
                <w:i/>
                <w:sz w:val="20"/>
                <w:szCs w:val="20"/>
              </w:rPr>
            </w:pPr>
            <w:r>
              <w:rPr>
                <w:b/>
                <w:i/>
                <w:sz w:val="20"/>
                <w:szCs w:val="20"/>
              </w:rPr>
              <w:t>Age 0-10</w:t>
            </w:r>
          </w:p>
        </w:tc>
        <w:tc>
          <w:tcPr>
            <w:tcW w:w="2425" w:type="dxa"/>
            <w:tcMar>
              <w:top w:w="15" w:type="dxa"/>
              <w:left w:w="15" w:type="dxa"/>
              <w:bottom w:w="0" w:type="dxa"/>
              <w:right w:w="15" w:type="dxa"/>
            </w:tcMar>
            <w:vAlign w:val="center"/>
          </w:tcPr>
          <w:p w:rsidR="00CD2A5A" w:rsidRDefault="00CD2A5A" w:rsidP="00A32998">
            <w:pPr>
              <w:keepNext/>
              <w:spacing w:before="40" w:after="40"/>
              <w:jc w:val="center"/>
              <w:rPr>
                <w:b/>
                <w:i/>
                <w:sz w:val="20"/>
                <w:szCs w:val="20"/>
              </w:rPr>
            </w:pPr>
            <w:r>
              <w:rPr>
                <w:b/>
                <w:i/>
                <w:sz w:val="20"/>
                <w:szCs w:val="20"/>
              </w:rPr>
              <w:t>Age 11-18</w:t>
            </w:r>
          </w:p>
        </w:tc>
        <w:tc>
          <w:tcPr>
            <w:tcW w:w="1600" w:type="dxa"/>
            <w:vMerge/>
            <w:tcMar>
              <w:top w:w="15" w:type="dxa"/>
              <w:left w:w="15" w:type="dxa"/>
              <w:bottom w:w="0" w:type="dxa"/>
              <w:right w:w="15" w:type="dxa"/>
            </w:tcMar>
            <w:vAlign w:val="center"/>
          </w:tcPr>
          <w:p w:rsidR="00CD2A5A" w:rsidRDefault="00CD2A5A">
            <w:pPr>
              <w:keepNext/>
              <w:spacing w:before="40" w:after="40"/>
              <w:rPr>
                <w:sz w:val="20"/>
                <w:szCs w:val="20"/>
              </w:rPr>
            </w:pPr>
          </w:p>
        </w:tc>
      </w:tr>
      <w:tr w:rsidR="00CD2A5A">
        <w:trPr>
          <w:trHeight w:val="255"/>
          <w:jc w:val="center"/>
        </w:trPr>
        <w:tc>
          <w:tcPr>
            <w:tcW w:w="9412" w:type="dxa"/>
            <w:gridSpan w:val="4"/>
            <w:noWrap/>
            <w:tcMar>
              <w:top w:w="15" w:type="dxa"/>
              <w:left w:w="15" w:type="dxa"/>
              <w:bottom w:w="0" w:type="dxa"/>
              <w:right w:w="15" w:type="dxa"/>
            </w:tcMar>
            <w:vAlign w:val="center"/>
          </w:tcPr>
          <w:p w:rsidR="00CD2A5A" w:rsidRDefault="00CD2A5A">
            <w:pPr>
              <w:keepNext/>
              <w:spacing w:before="40" w:after="40"/>
              <w:rPr>
                <w:sz w:val="20"/>
                <w:szCs w:val="20"/>
              </w:rPr>
            </w:pPr>
            <w:r>
              <w:rPr>
                <w:sz w:val="20"/>
                <w:szCs w:val="20"/>
              </w:rPr>
              <w:t>2004</w:t>
            </w:r>
          </w:p>
        </w:tc>
      </w:tr>
      <w:tr w:rsidR="00CD2A5A">
        <w:trPr>
          <w:trHeight w:val="255"/>
          <w:jc w:val="center"/>
        </w:trPr>
        <w:tc>
          <w:tcPr>
            <w:tcW w:w="3402" w:type="dxa"/>
            <w:noWrap/>
            <w:tcMar>
              <w:top w:w="15" w:type="dxa"/>
              <w:left w:w="15" w:type="dxa"/>
              <w:bottom w:w="0" w:type="dxa"/>
              <w:right w:w="15" w:type="dxa"/>
            </w:tcMar>
            <w:vAlign w:val="bottom"/>
          </w:tcPr>
          <w:p w:rsidR="00CD2A5A" w:rsidRDefault="00CD2A5A">
            <w:pPr>
              <w:keepNext/>
              <w:spacing w:before="40" w:after="40"/>
              <w:rPr>
                <w:sz w:val="20"/>
                <w:szCs w:val="20"/>
              </w:rPr>
            </w:pPr>
            <w:r>
              <w:rPr>
                <w:sz w:val="20"/>
                <w:szCs w:val="20"/>
              </w:rPr>
              <w:t xml:space="preserve">Illegal Trafficking in persons </w:t>
            </w:r>
          </w:p>
        </w:tc>
        <w:tc>
          <w:tcPr>
            <w:tcW w:w="198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40</w:t>
            </w:r>
          </w:p>
        </w:tc>
        <w:tc>
          <w:tcPr>
            <w:tcW w:w="242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48</w:t>
            </w:r>
          </w:p>
        </w:tc>
        <w:tc>
          <w:tcPr>
            <w:tcW w:w="1600"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88</w:t>
            </w:r>
          </w:p>
        </w:tc>
      </w:tr>
      <w:tr w:rsidR="00CD2A5A">
        <w:trPr>
          <w:trHeight w:val="270"/>
          <w:jc w:val="center"/>
        </w:trPr>
        <w:tc>
          <w:tcPr>
            <w:tcW w:w="3402" w:type="dxa"/>
            <w:noWrap/>
            <w:tcMar>
              <w:top w:w="15" w:type="dxa"/>
              <w:left w:w="15" w:type="dxa"/>
              <w:bottom w:w="0" w:type="dxa"/>
              <w:right w:w="15" w:type="dxa"/>
            </w:tcMar>
            <w:vAlign w:val="bottom"/>
          </w:tcPr>
          <w:p w:rsidR="00CD2A5A" w:rsidRDefault="00CD2A5A">
            <w:pPr>
              <w:keepNext/>
              <w:spacing w:before="40" w:after="40"/>
              <w:rPr>
                <w:sz w:val="20"/>
                <w:szCs w:val="20"/>
              </w:rPr>
            </w:pPr>
            <w:r>
              <w:rPr>
                <w:sz w:val="20"/>
                <w:szCs w:val="20"/>
              </w:rPr>
              <w:t>Total</w:t>
            </w:r>
          </w:p>
        </w:tc>
        <w:tc>
          <w:tcPr>
            <w:tcW w:w="198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42</w:t>
            </w:r>
          </w:p>
        </w:tc>
        <w:tc>
          <w:tcPr>
            <w:tcW w:w="242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51</w:t>
            </w:r>
          </w:p>
        </w:tc>
        <w:tc>
          <w:tcPr>
            <w:tcW w:w="1600"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93</w:t>
            </w:r>
          </w:p>
        </w:tc>
      </w:tr>
      <w:tr w:rsidR="00CD2A5A">
        <w:trPr>
          <w:trHeight w:val="255"/>
          <w:jc w:val="center"/>
        </w:trPr>
        <w:tc>
          <w:tcPr>
            <w:tcW w:w="9412" w:type="dxa"/>
            <w:gridSpan w:val="4"/>
            <w:noWrap/>
            <w:tcMar>
              <w:top w:w="15" w:type="dxa"/>
              <w:left w:w="15" w:type="dxa"/>
              <w:bottom w:w="0" w:type="dxa"/>
              <w:right w:w="15" w:type="dxa"/>
            </w:tcMar>
            <w:vAlign w:val="center"/>
          </w:tcPr>
          <w:p w:rsidR="00CD2A5A" w:rsidRDefault="00CD2A5A" w:rsidP="00A32998">
            <w:pPr>
              <w:keepNext/>
              <w:spacing w:before="40" w:after="40"/>
              <w:ind w:right="836"/>
              <w:jc w:val="right"/>
              <w:rPr>
                <w:sz w:val="20"/>
                <w:szCs w:val="20"/>
              </w:rPr>
            </w:pPr>
            <w:r>
              <w:rPr>
                <w:sz w:val="20"/>
                <w:szCs w:val="20"/>
              </w:rPr>
              <w:t>2005</w:t>
            </w:r>
          </w:p>
        </w:tc>
      </w:tr>
      <w:tr w:rsidR="00CD2A5A">
        <w:trPr>
          <w:trHeight w:val="255"/>
          <w:jc w:val="center"/>
        </w:trPr>
        <w:tc>
          <w:tcPr>
            <w:tcW w:w="3402" w:type="dxa"/>
            <w:noWrap/>
            <w:tcMar>
              <w:top w:w="15" w:type="dxa"/>
              <w:left w:w="15" w:type="dxa"/>
              <w:bottom w:w="0" w:type="dxa"/>
              <w:right w:w="15" w:type="dxa"/>
            </w:tcMar>
            <w:vAlign w:val="bottom"/>
          </w:tcPr>
          <w:p w:rsidR="00CD2A5A" w:rsidRDefault="00CD2A5A">
            <w:pPr>
              <w:keepNext/>
              <w:spacing w:before="40" w:after="40"/>
              <w:rPr>
                <w:sz w:val="20"/>
                <w:szCs w:val="20"/>
              </w:rPr>
            </w:pPr>
            <w:r>
              <w:rPr>
                <w:sz w:val="20"/>
                <w:szCs w:val="20"/>
              </w:rPr>
              <w:t xml:space="preserve">Illegal trafficking in persons </w:t>
            </w:r>
          </w:p>
        </w:tc>
        <w:tc>
          <w:tcPr>
            <w:tcW w:w="198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7</w:t>
            </w:r>
          </w:p>
        </w:tc>
        <w:tc>
          <w:tcPr>
            <w:tcW w:w="242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21</w:t>
            </w:r>
          </w:p>
        </w:tc>
        <w:tc>
          <w:tcPr>
            <w:tcW w:w="1600"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28</w:t>
            </w:r>
          </w:p>
        </w:tc>
      </w:tr>
      <w:tr w:rsidR="00CD2A5A">
        <w:trPr>
          <w:trHeight w:val="255"/>
          <w:jc w:val="center"/>
        </w:trPr>
        <w:tc>
          <w:tcPr>
            <w:tcW w:w="3402" w:type="dxa"/>
            <w:noWrap/>
            <w:tcMar>
              <w:top w:w="15" w:type="dxa"/>
              <w:left w:w="15" w:type="dxa"/>
              <w:bottom w:w="0" w:type="dxa"/>
              <w:right w:w="15" w:type="dxa"/>
            </w:tcMar>
            <w:vAlign w:val="bottom"/>
          </w:tcPr>
          <w:p w:rsidR="00CD2A5A" w:rsidRDefault="00CD2A5A">
            <w:pPr>
              <w:keepNext/>
              <w:spacing w:before="40" w:after="40"/>
              <w:rPr>
                <w:sz w:val="20"/>
                <w:szCs w:val="20"/>
              </w:rPr>
            </w:pPr>
            <w:r>
              <w:rPr>
                <w:sz w:val="20"/>
                <w:szCs w:val="20"/>
              </w:rPr>
              <w:t>Trade in persons</w:t>
            </w:r>
          </w:p>
        </w:tc>
        <w:tc>
          <w:tcPr>
            <w:tcW w:w="198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5</w:t>
            </w:r>
          </w:p>
        </w:tc>
        <w:tc>
          <w:tcPr>
            <w:tcW w:w="242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10</w:t>
            </w:r>
          </w:p>
        </w:tc>
        <w:tc>
          <w:tcPr>
            <w:tcW w:w="1600"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15</w:t>
            </w:r>
          </w:p>
        </w:tc>
      </w:tr>
      <w:tr w:rsidR="00CD2A5A">
        <w:trPr>
          <w:trHeight w:val="270"/>
          <w:jc w:val="center"/>
        </w:trPr>
        <w:tc>
          <w:tcPr>
            <w:tcW w:w="3402" w:type="dxa"/>
            <w:noWrap/>
            <w:tcMar>
              <w:top w:w="15" w:type="dxa"/>
              <w:left w:w="15" w:type="dxa"/>
              <w:bottom w:w="0" w:type="dxa"/>
              <w:right w:w="15" w:type="dxa"/>
            </w:tcMar>
            <w:vAlign w:val="bottom"/>
          </w:tcPr>
          <w:p w:rsidR="00CD2A5A" w:rsidRDefault="00CD2A5A">
            <w:pPr>
              <w:keepNext/>
              <w:spacing w:before="40" w:after="40"/>
              <w:rPr>
                <w:sz w:val="20"/>
                <w:szCs w:val="20"/>
              </w:rPr>
            </w:pPr>
            <w:r>
              <w:rPr>
                <w:sz w:val="20"/>
                <w:szCs w:val="20"/>
              </w:rPr>
              <w:t>Total</w:t>
            </w:r>
          </w:p>
        </w:tc>
        <w:tc>
          <w:tcPr>
            <w:tcW w:w="198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12</w:t>
            </w:r>
          </w:p>
        </w:tc>
        <w:tc>
          <w:tcPr>
            <w:tcW w:w="2425"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35</w:t>
            </w:r>
          </w:p>
        </w:tc>
        <w:tc>
          <w:tcPr>
            <w:tcW w:w="1600" w:type="dxa"/>
            <w:noWrap/>
            <w:tcMar>
              <w:top w:w="15" w:type="dxa"/>
              <w:left w:w="15" w:type="dxa"/>
              <w:bottom w:w="0" w:type="dxa"/>
              <w:right w:w="15" w:type="dxa"/>
            </w:tcMar>
            <w:vAlign w:val="bottom"/>
          </w:tcPr>
          <w:p w:rsidR="00CD2A5A" w:rsidRDefault="00CD2A5A" w:rsidP="00A32998">
            <w:pPr>
              <w:keepNext/>
              <w:spacing w:before="40" w:after="40"/>
              <w:ind w:right="836"/>
              <w:jc w:val="right"/>
              <w:rPr>
                <w:sz w:val="20"/>
                <w:szCs w:val="20"/>
              </w:rPr>
            </w:pPr>
            <w:r>
              <w:rPr>
                <w:sz w:val="20"/>
                <w:szCs w:val="20"/>
              </w:rPr>
              <w:t>47</w:t>
            </w:r>
          </w:p>
        </w:tc>
      </w:tr>
      <w:tr w:rsidR="00CD2A5A">
        <w:trPr>
          <w:trHeight w:val="270"/>
          <w:jc w:val="center"/>
        </w:trPr>
        <w:tc>
          <w:tcPr>
            <w:tcW w:w="9412" w:type="dxa"/>
            <w:gridSpan w:val="4"/>
            <w:noWrap/>
            <w:tcMar>
              <w:top w:w="15" w:type="dxa"/>
              <w:left w:w="15" w:type="dxa"/>
              <w:bottom w:w="0" w:type="dxa"/>
              <w:right w:w="15" w:type="dxa"/>
            </w:tcMar>
            <w:vAlign w:val="center"/>
          </w:tcPr>
          <w:p w:rsidR="00CD2A5A" w:rsidRDefault="00CD2A5A" w:rsidP="00A32998">
            <w:pPr>
              <w:pStyle w:val="TOC1"/>
            </w:pPr>
            <w:r>
              <w:t>2006 (up to August)</w:t>
            </w:r>
          </w:p>
        </w:tc>
      </w:tr>
      <w:tr w:rsidR="00CD2A5A">
        <w:trPr>
          <w:trHeight w:val="255"/>
          <w:jc w:val="center"/>
        </w:trPr>
        <w:tc>
          <w:tcPr>
            <w:tcW w:w="3402" w:type="dxa"/>
            <w:noWrap/>
            <w:tcMar>
              <w:top w:w="15" w:type="dxa"/>
              <w:left w:w="15" w:type="dxa"/>
              <w:bottom w:w="0" w:type="dxa"/>
              <w:right w:w="15" w:type="dxa"/>
            </w:tcMar>
            <w:vAlign w:val="bottom"/>
          </w:tcPr>
          <w:p w:rsidR="00CD2A5A" w:rsidRDefault="00CD2A5A">
            <w:pPr>
              <w:spacing w:before="40" w:after="40"/>
              <w:rPr>
                <w:sz w:val="20"/>
                <w:szCs w:val="20"/>
              </w:rPr>
            </w:pPr>
            <w:r>
              <w:rPr>
                <w:sz w:val="20"/>
                <w:szCs w:val="20"/>
              </w:rPr>
              <w:t>Sale of persons</w:t>
            </w:r>
          </w:p>
        </w:tc>
        <w:tc>
          <w:tcPr>
            <w:tcW w:w="198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0</w:t>
            </w:r>
          </w:p>
        </w:tc>
        <w:tc>
          <w:tcPr>
            <w:tcW w:w="242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0</w:t>
            </w:r>
          </w:p>
        </w:tc>
        <w:tc>
          <w:tcPr>
            <w:tcW w:w="1600"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0</w:t>
            </w:r>
          </w:p>
        </w:tc>
      </w:tr>
      <w:tr w:rsidR="00CD2A5A">
        <w:trPr>
          <w:trHeight w:val="255"/>
          <w:jc w:val="center"/>
        </w:trPr>
        <w:tc>
          <w:tcPr>
            <w:tcW w:w="3402" w:type="dxa"/>
            <w:noWrap/>
            <w:tcMar>
              <w:top w:w="15" w:type="dxa"/>
              <w:left w:w="15" w:type="dxa"/>
              <w:bottom w:w="0" w:type="dxa"/>
              <w:right w:w="15" w:type="dxa"/>
            </w:tcMar>
            <w:vAlign w:val="bottom"/>
          </w:tcPr>
          <w:p w:rsidR="00CD2A5A" w:rsidRDefault="00CD2A5A">
            <w:pPr>
              <w:spacing w:before="40" w:after="40"/>
              <w:rPr>
                <w:sz w:val="20"/>
                <w:szCs w:val="20"/>
              </w:rPr>
            </w:pPr>
            <w:r>
              <w:rPr>
                <w:sz w:val="20"/>
                <w:szCs w:val="20"/>
              </w:rPr>
              <w:t xml:space="preserve">Illegal trafficking in persons </w:t>
            </w:r>
          </w:p>
        </w:tc>
        <w:tc>
          <w:tcPr>
            <w:tcW w:w="198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9</w:t>
            </w:r>
          </w:p>
        </w:tc>
        <w:tc>
          <w:tcPr>
            <w:tcW w:w="242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27</w:t>
            </w:r>
          </w:p>
        </w:tc>
        <w:tc>
          <w:tcPr>
            <w:tcW w:w="1600"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36</w:t>
            </w:r>
          </w:p>
        </w:tc>
      </w:tr>
      <w:tr w:rsidR="00CD2A5A">
        <w:trPr>
          <w:trHeight w:val="255"/>
          <w:jc w:val="center"/>
        </w:trPr>
        <w:tc>
          <w:tcPr>
            <w:tcW w:w="3402" w:type="dxa"/>
            <w:noWrap/>
            <w:tcMar>
              <w:top w:w="15" w:type="dxa"/>
              <w:left w:w="15" w:type="dxa"/>
              <w:bottom w:w="0" w:type="dxa"/>
              <w:right w:w="15" w:type="dxa"/>
            </w:tcMar>
            <w:vAlign w:val="bottom"/>
          </w:tcPr>
          <w:p w:rsidR="00CD2A5A" w:rsidRDefault="00CD2A5A">
            <w:pPr>
              <w:spacing w:before="40" w:after="40"/>
              <w:rPr>
                <w:sz w:val="20"/>
                <w:szCs w:val="20"/>
              </w:rPr>
            </w:pPr>
            <w:r>
              <w:rPr>
                <w:sz w:val="20"/>
                <w:szCs w:val="20"/>
              </w:rPr>
              <w:t xml:space="preserve">Trade in persons </w:t>
            </w:r>
          </w:p>
        </w:tc>
        <w:tc>
          <w:tcPr>
            <w:tcW w:w="198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2</w:t>
            </w:r>
          </w:p>
        </w:tc>
        <w:tc>
          <w:tcPr>
            <w:tcW w:w="242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18</w:t>
            </w:r>
          </w:p>
        </w:tc>
        <w:tc>
          <w:tcPr>
            <w:tcW w:w="1600"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20</w:t>
            </w:r>
          </w:p>
        </w:tc>
      </w:tr>
      <w:tr w:rsidR="00CD2A5A">
        <w:trPr>
          <w:trHeight w:val="270"/>
          <w:jc w:val="center"/>
        </w:trPr>
        <w:tc>
          <w:tcPr>
            <w:tcW w:w="3402" w:type="dxa"/>
            <w:noWrap/>
            <w:tcMar>
              <w:top w:w="15" w:type="dxa"/>
              <w:left w:w="15" w:type="dxa"/>
              <w:bottom w:w="0" w:type="dxa"/>
              <w:right w:w="15" w:type="dxa"/>
            </w:tcMar>
            <w:vAlign w:val="bottom"/>
          </w:tcPr>
          <w:p w:rsidR="00CD2A5A" w:rsidRDefault="00CD2A5A">
            <w:pPr>
              <w:spacing w:before="40" w:after="40"/>
              <w:rPr>
                <w:sz w:val="20"/>
                <w:szCs w:val="20"/>
              </w:rPr>
            </w:pPr>
            <w:r>
              <w:rPr>
                <w:sz w:val="20"/>
                <w:szCs w:val="20"/>
              </w:rPr>
              <w:t>Total</w:t>
            </w:r>
          </w:p>
        </w:tc>
        <w:tc>
          <w:tcPr>
            <w:tcW w:w="198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11</w:t>
            </w:r>
          </w:p>
        </w:tc>
        <w:tc>
          <w:tcPr>
            <w:tcW w:w="2425"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49</w:t>
            </w:r>
          </w:p>
        </w:tc>
        <w:tc>
          <w:tcPr>
            <w:tcW w:w="1600" w:type="dxa"/>
            <w:noWrap/>
            <w:tcMar>
              <w:top w:w="15" w:type="dxa"/>
              <w:left w:w="15" w:type="dxa"/>
              <w:bottom w:w="0" w:type="dxa"/>
              <w:right w:w="15" w:type="dxa"/>
            </w:tcMar>
            <w:vAlign w:val="bottom"/>
          </w:tcPr>
          <w:p w:rsidR="00CD2A5A" w:rsidRDefault="00CD2A5A" w:rsidP="00A32998">
            <w:pPr>
              <w:spacing w:before="40" w:after="40"/>
              <w:ind w:right="836"/>
              <w:jc w:val="right"/>
              <w:rPr>
                <w:sz w:val="20"/>
                <w:szCs w:val="20"/>
              </w:rPr>
            </w:pPr>
            <w:r>
              <w:rPr>
                <w:sz w:val="20"/>
                <w:szCs w:val="20"/>
              </w:rPr>
              <w:t>60</w:t>
            </w:r>
          </w:p>
        </w:tc>
      </w:tr>
    </w:tbl>
    <w:p w:rsidR="00CD2A5A" w:rsidRDefault="00CD2A5A">
      <w:pPr>
        <w:pStyle w:val="Header"/>
        <w:numPr>
          <w:ilvl w:val="0"/>
          <w:numId w:val="3"/>
        </w:numPr>
        <w:tabs>
          <w:tab w:val="clear" w:pos="720"/>
          <w:tab w:val="clear" w:pos="4252"/>
        </w:tabs>
        <w:spacing w:before="240" w:after="240"/>
        <w:ind w:left="0" w:firstLine="0"/>
        <w:rPr>
          <w:lang w:val="en-GB"/>
        </w:rPr>
      </w:pPr>
      <w:r>
        <w:rPr>
          <w:lang w:val="en-GB"/>
        </w:rPr>
        <w:t xml:space="preserve">See annex XX for more information on trafficking in persons. </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El Salvador has implemented various measures to combat the scourge of kidnapping, beginning with the adoption of penal reforms that entered into force in 2001, when the criminal penalties were increased. This crime was punished by imprisonment for 20 to 30 years and, as of the reform, the penalty was increased from 30 to 45 years of imprisonment and it is now forbidden to grant the prisoner conditional release or early conditional release. Similarly, it was established that when the victim is under 18 years of age, this aggravating circumstance may increase the sentence by up to a third of the maximum sentence. </w:t>
      </w:r>
    </w:p>
    <w:p w:rsidR="00CD2A5A" w:rsidRDefault="00CD2A5A">
      <w:pPr>
        <w:keepNext/>
        <w:numPr>
          <w:ilvl w:val="0"/>
          <w:numId w:val="3"/>
        </w:numPr>
        <w:tabs>
          <w:tab w:val="clear" w:pos="720"/>
        </w:tabs>
        <w:spacing w:after="240"/>
        <w:ind w:left="0" w:firstLine="0"/>
      </w:pPr>
      <w:r>
        <w:rPr>
          <w:lang w:val="en-US"/>
        </w:rPr>
        <w:t xml:space="preserve">With regard to the legal prosecution of the crimes of kidnapping and trafficking in persons for the period 2004–2006, magistrates courts dealt with 42 cases, preliminary investigation courts dealt with 30 cases and trial courts dealt with five cases. </w:t>
      </w:r>
      <w:r>
        <w:t>The details are given below:</w:t>
      </w:r>
    </w:p>
    <w:p w:rsidR="00CD2A5A" w:rsidRDefault="00CD2A5A" w:rsidP="00CD2A5A">
      <w:pPr>
        <w:pStyle w:val="Figure"/>
      </w:pPr>
      <w:r>
        <w:t>Figure 68</w:t>
      </w:r>
    </w:p>
    <w:p w:rsidR="00CD2A5A" w:rsidRDefault="00CD2A5A" w:rsidP="00CD2A5A">
      <w:pPr>
        <w:pStyle w:val="Figure"/>
      </w:pPr>
      <w:r>
        <w:t xml:space="preserve">Statistical data of all cases involving minor victims of kidnapping and trafficking </w:t>
      </w:r>
      <w:r>
        <w:br/>
        <w:t>in persons in the 24 Magistrates Courts equipped with the Case Monitoring System.</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3"/>
        <w:gridCol w:w="708"/>
        <w:gridCol w:w="659"/>
        <w:gridCol w:w="1182"/>
        <w:gridCol w:w="623"/>
        <w:gridCol w:w="1122"/>
        <w:gridCol w:w="1092"/>
        <w:gridCol w:w="616"/>
        <w:gridCol w:w="1084"/>
        <w:gridCol w:w="1043"/>
      </w:tblGrid>
      <w:tr w:rsidR="00CD2A5A">
        <w:trPr>
          <w:cantSplit/>
          <w:trHeight w:val="405"/>
          <w:jc w:val="center"/>
        </w:trPr>
        <w:tc>
          <w:tcPr>
            <w:tcW w:w="682" w:type="pct"/>
            <w:vMerge w:val="restart"/>
            <w:vAlign w:val="center"/>
          </w:tcPr>
          <w:p w:rsidR="00CD2A5A" w:rsidRDefault="00CD2A5A">
            <w:pPr>
              <w:spacing w:before="40" w:after="40"/>
              <w:jc w:val="center"/>
              <w:rPr>
                <w:b/>
                <w:i/>
                <w:sz w:val="20"/>
                <w:szCs w:val="20"/>
              </w:rPr>
            </w:pPr>
            <w:r>
              <w:rPr>
                <w:b/>
                <w:i/>
                <w:sz w:val="20"/>
                <w:szCs w:val="20"/>
              </w:rPr>
              <w:t>Magistrates Courts</w:t>
            </w:r>
          </w:p>
        </w:tc>
        <w:tc>
          <w:tcPr>
            <w:tcW w:w="376" w:type="pct"/>
            <w:vMerge w:val="restart"/>
            <w:vAlign w:val="center"/>
          </w:tcPr>
          <w:p w:rsidR="00CD2A5A" w:rsidRDefault="00CD2A5A">
            <w:pPr>
              <w:spacing w:before="40" w:after="40"/>
              <w:jc w:val="center"/>
              <w:rPr>
                <w:b/>
                <w:i/>
                <w:sz w:val="20"/>
                <w:szCs w:val="20"/>
              </w:rPr>
            </w:pPr>
            <w:r>
              <w:rPr>
                <w:b/>
                <w:i/>
                <w:sz w:val="20"/>
                <w:szCs w:val="20"/>
              </w:rPr>
              <w:t>Total</w:t>
            </w:r>
          </w:p>
        </w:tc>
        <w:tc>
          <w:tcPr>
            <w:tcW w:w="978" w:type="pct"/>
            <w:gridSpan w:val="2"/>
            <w:vAlign w:val="center"/>
          </w:tcPr>
          <w:p w:rsidR="00CD2A5A" w:rsidRDefault="00CD2A5A">
            <w:pPr>
              <w:spacing w:before="40" w:after="40"/>
              <w:jc w:val="center"/>
              <w:rPr>
                <w:b/>
                <w:i/>
                <w:sz w:val="20"/>
                <w:szCs w:val="20"/>
              </w:rPr>
            </w:pPr>
            <w:r>
              <w:rPr>
                <w:b/>
                <w:i/>
                <w:sz w:val="20"/>
                <w:szCs w:val="20"/>
              </w:rPr>
              <w:t>2004</w:t>
            </w:r>
          </w:p>
        </w:tc>
        <w:tc>
          <w:tcPr>
            <w:tcW w:w="1507" w:type="pct"/>
            <w:gridSpan w:val="3"/>
            <w:vAlign w:val="center"/>
          </w:tcPr>
          <w:p w:rsidR="00CD2A5A" w:rsidRDefault="00CD2A5A">
            <w:pPr>
              <w:spacing w:before="40" w:after="40"/>
              <w:jc w:val="center"/>
              <w:rPr>
                <w:b/>
                <w:i/>
                <w:sz w:val="20"/>
                <w:szCs w:val="20"/>
              </w:rPr>
            </w:pPr>
            <w:r>
              <w:rPr>
                <w:b/>
                <w:i/>
                <w:sz w:val="20"/>
                <w:szCs w:val="20"/>
              </w:rPr>
              <w:t>2005</w:t>
            </w:r>
          </w:p>
        </w:tc>
        <w:tc>
          <w:tcPr>
            <w:tcW w:w="1457" w:type="pct"/>
            <w:gridSpan w:val="3"/>
            <w:vAlign w:val="center"/>
          </w:tcPr>
          <w:p w:rsidR="00CD2A5A" w:rsidRDefault="00CD2A5A">
            <w:pPr>
              <w:spacing w:before="40" w:after="40"/>
              <w:jc w:val="center"/>
              <w:rPr>
                <w:b/>
                <w:i/>
                <w:sz w:val="20"/>
                <w:szCs w:val="20"/>
              </w:rPr>
            </w:pPr>
            <w:r>
              <w:rPr>
                <w:b/>
                <w:i/>
                <w:sz w:val="20"/>
                <w:szCs w:val="20"/>
              </w:rPr>
              <w:t>2006</w:t>
            </w:r>
          </w:p>
        </w:tc>
      </w:tr>
      <w:tr w:rsidR="00CD2A5A">
        <w:trPr>
          <w:cantSplit/>
          <w:trHeight w:val="465"/>
          <w:jc w:val="center"/>
        </w:trPr>
        <w:tc>
          <w:tcPr>
            <w:tcW w:w="682" w:type="pct"/>
            <w:vMerge/>
            <w:vAlign w:val="center"/>
          </w:tcPr>
          <w:p w:rsidR="00CD2A5A" w:rsidRDefault="00CD2A5A">
            <w:pPr>
              <w:spacing w:before="40" w:after="40"/>
              <w:jc w:val="center"/>
              <w:rPr>
                <w:b/>
                <w:i/>
                <w:sz w:val="20"/>
                <w:szCs w:val="20"/>
              </w:rPr>
            </w:pPr>
          </w:p>
        </w:tc>
        <w:tc>
          <w:tcPr>
            <w:tcW w:w="376" w:type="pct"/>
            <w:vMerge/>
            <w:vAlign w:val="center"/>
          </w:tcPr>
          <w:p w:rsidR="00CD2A5A" w:rsidRDefault="00CD2A5A">
            <w:pPr>
              <w:spacing w:before="40" w:after="40"/>
              <w:jc w:val="center"/>
              <w:rPr>
                <w:b/>
                <w:i/>
                <w:sz w:val="20"/>
                <w:szCs w:val="20"/>
              </w:rPr>
            </w:pPr>
          </w:p>
        </w:tc>
        <w:tc>
          <w:tcPr>
            <w:tcW w:w="350" w:type="pct"/>
            <w:vAlign w:val="center"/>
          </w:tcPr>
          <w:p w:rsidR="00CD2A5A" w:rsidRDefault="00CD2A5A">
            <w:pPr>
              <w:spacing w:before="40" w:after="40"/>
              <w:jc w:val="center"/>
              <w:rPr>
                <w:b/>
                <w:i/>
                <w:sz w:val="20"/>
                <w:szCs w:val="20"/>
              </w:rPr>
            </w:pPr>
            <w:r>
              <w:rPr>
                <w:b/>
                <w:i/>
                <w:sz w:val="20"/>
                <w:szCs w:val="20"/>
              </w:rPr>
              <w:t>Total</w:t>
            </w:r>
          </w:p>
        </w:tc>
        <w:tc>
          <w:tcPr>
            <w:tcW w:w="628" w:type="pct"/>
            <w:vAlign w:val="center"/>
          </w:tcPr>
          <w:p w:rsidR="00CD2A5A" w:rsidRDefault="00CD2A5A">
            <w:pPr>
              <w:spacing w:before="40" w:after="40"/>
              <w:jc w:val="center"/>
              <w:rPr>
                <w:b/>
                <w:i/>
                <w:sz w:val="20"/>
                <w:szCs w:val="20"/>
              </w:rPr>
            </w:pPr>
            <w:r>
              <w:rPr>
                <w:b/>
                <w:i/>
                <w:sz w:val="20"/>
                <w:szCs w:val="20"/>
              </w:rPr>
              <w:t>Kidnapping</w:t>
            </w:r>
          </w:p>
        </w:tc>
        <w:tc>
          <w:tcPr>
            <w:tcW w:w="331" w:type="pct"/>
            <w:vAlign w:val="center"/>
          </w:tcPr>
          <w:p w:rsidR="00CD2A5A" w:rsidRDefault="00CD2A5A">
            <w:pPr>
              <w:spacing w:before="40" w:after="40"/>
              <w:jc w:val="center"/>
              <w:rPr>
                <w:b/>
                <w:i/>
                <w:sz w:val="20"/>
                <w:szCs w:val="20"/>
              </w:rPr>
            </w:pPr>
            <w:r>
              <w:rPr>
                <w:b/>
                <w:i/>
                <w:sz w:val="20"/>
                <w:szCs w:val="20"/>
              </w:rPr>
              <w:t>Total</w:t>
            </w:r>
          </w:p>
        </w:tc>
        <w:tc>
          <w:tcPr>
            <w:tcW w:w="596" w:type="pct"/>
            <w:vAlign w:val="center"/>
          </w:tcPr>
          <w:p w:rsidR="00CD2A5A" w:rsidRDefault="00CD2A5A">
            <w:pPr>
              <w:spacing w:before="40" w:after="40"/>
              <w:jc w:val="center"/>
              <w:rPr>
                <w:b/>
                <w:i/>
                <w:sz w:val="20"/>
                <w:szCs w:val="20"/>
              </w:rPr>
            </w:pPr>
            <w:r>
              <w:rPr>
                <w:b/>
                <w:i/>
                <w:sz w:val="20"/>
                <w:szCs w:val="20"/>
              </w:rPr>
              <w:t>Kidnapping</w:t>
            </w:r>
          </w:p>
        </w:tc>
        <w:tc>
          <w:tcPr>
            <w:tcW w:w="580" w:type="pct"/>
            <w:vAlign w:val="center"/>
          </w:tcPr>
          <w:p w:rsidR="00CD2A5A" w:rsidRDefault="00CD2A5A">
            <w:pPr>
              <w:spacing w:before="40" w:after="40"/>
              <w:jc w:val="center"/>
              <w:rPr>
                <w:b/>
                <w:i/>
                <w:sz w:val="20"/>
                <w:szCs w:val="20"/>
              </w:rPr>
            </w:pPr>
            <w:r>
              <w:rPr>
                <w:b/>
                <w:i/>
                <w:sz w:val="20"/>
                <w:szCs w:val="20"/>
              </w:rPr>
              <w:t>Trafficking in persons</w:t>
            </w:r>
          </w:p>
        </w:tc>
        <w:tc>
          <w:tcPr>
            <w:tcW w:w="327" w:type="pct"/>
            <w:vAlign w:val="center"/>
          </w:tcPr>
          <w:p w:rsidR="00CD2A5A" w:rsidRDefault="00CD2A5A">
            <w:pPr>
              <w:spacing w:before="40" w:after="40"/>
              <w:jc w:val="center"/>
              <w:rPr>
                <w:b/>
                <w:i/>
                <w:sz w:val="20"/>
                <w:szCs w:val="20"/>
              </w:rPr>
            </w:pPr>
            <w:r>
              <w:rPr>
                <w:b/>
                <w:i/>
                <w:sz w:val="20"/>
                <w:szCs w:val="20"/>
              </w:rPr>
              <w:t>Total</w:t>
            </w:r>
          </w:p>
        </w:tc>
        <w:tc>
          <w:tcPr>
            <w:tcW w:w="576" w:type="pct"/>
            <w:vAlign w:val="center"/>
          </w:tcPr>
          <w:p w:rsidR="00CD2A5A" w:rsidRDefault="00CD2A5A">
            <w:pPr>
              <w:spacing w:before="40" w:after="40"/>
              <w:jc w:val="center"/>
              <w:rPr>
                <w:b/>
                <w:i/>
                <w:sz w:val="20"/>
                <w:szCs w:val="20"/>
              </w:rPr>
            </w:pPr>
            <w:r>
              <w:rPr>
                <w:b/>
                <w:i/>
                <w:sz w:val="20"/>
                <w:szCs w:val="20"/>
              </w:rPr>
              <w:t>Kidnapping</w:t>
            </w:r>
          </w:p>
        </w:tc>
        <w:tc>
          <w:tcPr>
            <w:tcW w:w="554" w:type="pct"/>
            <w:vAlign w:val="center"/>
          </w:tcPr>
          <w:p w:rsidR="00CD2A5A" w:rsidRDefault="00CD2A5A">
            <w:pPr>
              <w:spacing w:before="40" w:after="40"/>
              <w:jc w:val="center"/>
              <w:rPr>
                <w:b/>
                <w:i/>
                <w:sz w:val="20"/>
                <w:szCs w:val="20"/>
              </w:rPr>
            </w:pPr>
            <w:r>
              <w:rPr>
                <w:b/>
                <w:i/>
                <w:sz w:val="20"/>
                <w:szCs w:val="20"/>
              </w:rPr>
              <w:t>Trafficking in persons</w:t>
            </w:r>
          </w:p>
        </w:tc>
      </w:tr>
      <w:tr w:rsidR="00CD2A5A">
        <w:trPr>
          <w:trHeight w:val="420"/>
          <w:jc w:val="center"/>
        </w:trPr>
        <w:tc>
          <w:tcPr>
            <w:tcW w:w="682" w:type="pct"/>
            <w:vAlign w:val="center"/>
          </w:tcPr>
          <w:p w:rsidR="00CD2A5A" w:rsidRDefault="00CD2A5A">
            <w:pPr>
              <w:spacing w:before="40" w:after="40"/>
              <w:rPr>
                <w:sz w:val="20"/>
                <w:szCs w:val="20"/>
              </w:rPr>
            </w:pPr>
            <w:r>
              <w:rPr>
                <w:sz w:val="20"/>
                <w:szCs w:val="20"/>
              </w:rPr>
              <w:t>Total</w:t>
            </w:r>
          </w:p>
        </w:tc>
        <w:tc>
          <w:tcPr>
            <w:tcW w:w="376" w:type="pct"/>
            <w:vAlign w:val="center"/>
          </w:tcPr>
          <w:p w:rsidR="00CD2A5A" w:rsidRDefault="00CD2A5A">
            <w:pPr>
              <w:spacing w:before="40" w:after="40"/>
              <w:ind w:right="227"/>
              <w:jc w:val="right"/>
              <w:rPr>
                <w:sz w:val="20"/>
                <w:szCs w:val="20"/>
              </w:rPr>
            </w:pPr>
            <w:r>
              <w:rPr>
                <w:sz w:val="20"/>
                <w:szCs w:val="20"/>
              </w:rPr>
              <w:t>42</w:t>
            </w:r>
          </w:p>
        </w:tc>
        <w:tc>
          <w:tcPr>
            <w:tcW w:w="350" w:type="pct"/>
            <w:vAlign w:val="center"/>
          </w:tcPr>
          <w:p w:rsidR="00CD2A5A" w:rsidRDefault="00CD2A5A">
            <w:pPr>
              <w:spacing w:before="40" w:after="40"/>
              <w:ind w:right="227"/>
              <w:jc w:val="right"/>
              <w:rPr>
                <w:sz w:val="20"/>
                <w:szCs w:val="20"/>
              </w:rPr>
            </w:pPr>
            <w:r>
              <w:rPr>
                <w:sz w:val="20"/>
                <w:szCs w:val="20"/>
              </w:rPr>
              <w:t>21</w:t>
            </w:r>
          </w:p>
        </w:tc>
        <w:tc>
          <w:tcPr>
            <w:tcW w:w="628" w:type="pct"/>
            <w:vAlign w:val="center"/>
          </w:tcPr>
          <w:p w:rsidR="00CD2A5A" w:rsidRDefault="00CD2A5A">
            <w:pPr>
              <w:spacing w:before="40" w:after="40"/>
              <w:ind w:right="340"/>
              <w:jc w:val="right"/>
              <w:rPr>
                <w:sz w:val="20"/>
                <w:szCs w:val="20"/>
              </w:rPr>
            </w:pPr>
            <w:r>
              <w:rPr>
                <w:sz w:val="20"/>
                <w:szCs w:val="20"/>
              </w:rPr>
              <w:t>21</w:t>
            </w:r>
          </w:p>
        </w:tc>
        <w:tc>
          <w:tcPr>
            <w:tcW w:w="331" w:type="pct"/>
            <w:vAlign w:val="center"/>
          </w:tcPr>
          <w:p w:rsidR="00CD2A5A" w:rsidRDefault="00CD2A5A">
            <w:pPr>
              <w:spacing w:before="40" w:after="40"/>
              <w:ind w:right="227"/>
              <w:jc w:val="right"/>
              <w:rPr>
                <w:sz w:val="20"/>
                <w:szCs w:val="20"/>
              </w:rPr>
            </w:pPr>
            <w:r>
              <w:rPr>
                <w:sz w:val="20"/>
                <w:szCs w:val="20"/>
              </w:rPr>
              <w:t>9</w:t>
            </w:r>
          </w:p>
        </w:tc>
        <w:tc>
          <w:tcPr>
            <w:tcW w:w="596" w:type="pct"/>
            <w:vAlign w:val="center"/>
          </w:tcPr>
          <w:p w:rsidR="00CD2A5A" w:rsidRDefault="00CD2A5A">
            <w:pPr>
              <w:spacing w:before="40" w:after="40"/>
              <w:ind w:right="340"/>
              <w:jc w:val="right"/>
              <w:rPr>
                <w:sz w:val="20"/>
                <w:szCs w:val="20"/>
              </w:rPr>
            </w:pPr>
            <w:r>
              <w:rPr>
                <w:sz w:val="20"/>
                <w:szCs w:val="20"/>
              </w:rPr>
              <w:t>3</w:t>
            </w:r>
          </w:p>
        </w:tc>
        <w:tc>
          <w:tcPr>
            <w:tcW w:w="580" w:type="pct"/>
            <w:vAlign w:val="center"/>
          </w:tcPr>
          <w:p w:rsidR="00CD2A5A" w:rsidRDefault="00CD2A5A">
            <w:pPr>
              <w:spacing w:before="40" w:after="40"/>
              <w:ind w:right="227"/>
              <w:jc w:val="right"/>
              <w:rPr>
                <w:sz w:val="20"/>
                <w:szCs w:val="20"/>
              </w:rPr>
            </w:pPr>
            <w:r>
              <w:rPr>
                <w:sz w:val="20"/>
                <w:szCs w:val="20"/>
              </w:rPr>
              <w:t>6</w:t>
            </w:r>
          </w:p>
        </w:tc>
        <w:tc>
          <w:tcPr>
            <w:tcW w:w="327" w:type="pct"/>
            <w:vAlign w:val="center"/>
          </w:tcPr>
          <w:p w:rsidR="00CD2A5A" w:rsidRDefault="00CD2A5A">
            <w:pPr>
              <w:spacing w:before="40" w:after="40"/>
              <w:ind w:right="340"/>
              <w:jc w:val="right"/>
              <w:rPr>
                <w:sz w:val="20"/>
                <w:szCs w:val="20"/>
              </w:rPr>
            </w:pPr>
            <w:r>
              <w:rPr>
                <w:sz w:val="20"/>
                <w:szCs w:val="20"/>
              </w:rPr>
              <w:t>12</w:t>
            </w:r>
          </w:p>
        </w:tc>
        <w:tc>
          <w:tcPr>
            <w:tcW w:w="576" w:type="pct"/>
            <w:vAlign w:val="center"/>
          </w:tcPr>
          <w:p w:rsidR="00CD2A5A" w:rsidRDefault="00CD2A5A">
            <w:pPr>
              <w:spacing w:before="40" w:after="40"/>
              <w:ind w:right="227"/>
              <w:jc w:val="right"/>
              <w:rPr>
                <w:sz w:val="20"/>
                <w:szCs w:val="20"/>
              </w:rPr>
            </w:pPr>
            <w:r>
              <w:rPr>
                <w:sz w:val="20"/>
                <w:szCs w:val="20"/>
              </w:rPr>
              <w:t>10</w:t>
            </w:r>
          </w:p>
        </w:tc>
        <w:tc>
          <w:tcPr>
            <w:tcW w:w="554" w:type="pct"/>
            <w:vAlign w:val="center"/>
          </w:tcPr>
          <w:p w:rsidR="00CD2A5A" w:rsidRDefault="00CD2A5A">
            <w:pPr>
              <w:spacing w:before="40" w:after="40"/>
              <w:ind w:right="340"/>
              <w:jc w:val="right"/>
              <w:rPr>
                <w:sz w:val="20"/>
                <w:szCs w:val="20"/>
              </w:rPr>
            </w:pPr>
            <w:r>
              <w:rPr>
                <w:sz w:val="20"/>
                <w:szCs w:val="20"/>
              </w:rPr>
              <w:t>2</w:t>
            </w:r>
          </w:p>
        </w:tc>
      </w:tr>
      <w:tr w:rsidR="00CD2A5A">
        <w:trPr>
          <w:trHeight w:val="420"/>
          <w:jc w:val="center"/>
        </w:trPr>
        <w:tc>
          <w:tcPr>
            <w:tcW w:w="682" w:type="pct"/>
            <w:vAlign w:val="center"/>
          </w:tcPr>
          <w:p w:rsidR="00CD2A5A" w:rsidRDefault="00CD2A5A">
            <w:pPr>
              <w:spacing w:before="40" w:after="40"/>
              <w:rPr>
                <w:sz w:val="20"/>
                <w:szCs w:val="20"/>
              </w:rPr>
            </w:pPr>
            <w:r>
              <w:rPr>
                <w:sz w:val="20"/>
                <w:szCs w:val="20"/>
              </w:rPr>
              <w:t>Average per court</w:t>
            </w:r>
          </w:p>
        </w:tc>
        <w:tc>
          <w:tcPr>
            <w:tcW w:w="376" w:type="pct"/>
            <w:vAlign w:val="center"/>
          </w:tcPr>
          <w:p w:rsidR="00CD2A5A" w:rsidRDefault="00CD2A5A">
            <w:pPr>
              <w:spacing w:before="40" w:after="40"/>
              <w:ind w:right="227"/>
              <w:jc w:val="right"/>
              <w:rPr>
                <w:sz w:val="20"/>
                <w:szCs w:val="20"/>
              </w:rPr>
            </w:pPr>
            <w:r>
              <w:rPr>
                <w:sz w:val="20"/>
                <w:szCs w:val="20"/>
              </w:rPr>
              <w:t>2</w:t>
            </w:r>
          </w:p>
        </w:tc>
        <w:tc>
          <w:tcPr>
            <w:tcW w:w="350" w:type="pct"/>
            <w:vAlign w:val="center"/>
          </w:tcPr>
          <w:p w:rsidR="00CD2A5A" w:rsidRDefault="00CD2A5A">
            <w:pPr>
              <w:spacing w:before="40" w:after="40"/>
              <w:ind w:right="227"/>
              <w:jc w:val="right"/>
              <w:rPr>
                <w:sz w:val="20"/>
                <w:szCs w:val="20"/>
              </w:rPr>
            </w:pPr>
            <w:r>
              <w:rPr>
                <w:sz w:val="20"/>
                <w:szCs w:val="20"/>
              </w:rPr>
              <w:t>2</w:t>
            </w:r>
          </w:p>
        </w:tc>
        <w:tc>
          <w:tcPr>
            <w:tcW w:w="628" w:type="pct"/>
            <w:vAlign w:val="center"/>
          </w:tcPr>
          <w:p w:rsidR="00CD2A5A" w:rsidRDefault="00CD2A5A">
            <w:pPr>
              <w:spacing w:before="40" w:after="40"/>
              <w:ind w:right="340"/>
              <w:jc w:val="right"/>
              <w:rPr>
                <w:sz w:val="20"/>
                <w:szCs w:val="20"/>
              </w:rPr>
            </w:pPr>
            <w:r>
              <w:rPr>
                <w:sz w:val="20"/>
                <w:szCs w:val="20"/>
              </w:rPr>
              <w:t>2</w:t>
            </w:r>
          </w:p>
        </w:tc>
        <w:tc>
          <w:tcPr>
            <w:tcW w:w="331" w:type="pct"/>
            <w:vAlign w:val="center"/>
          </w:tcPr>
          <w:p w:rsidR="00CD2A5A" w:rsidRDefault="00CD2A5A">
            <w:pPr>
              <w:spacing w:before="40" w:after="40"/>
              <w:ind w:right="227"/>
              <w:jc w:val="right"/>
              <w:rPr>
                <w:sz w:val="20"/>
                <w:szCs w:val="20"/>
              </w:rPr>
            </w:pPr>
            <w:r>
              <w:rPr>
                <w:sz w:val="20"/>
                <w:szCs w:val="20"/>
              </w:rPr>
              <w:t>1</w:t>
            </w:r>
          </w:p>
        </w:tc>
        <w:tc>
          <w:tcPr>
            <w:tcW w:w="596" w:type="pct"/>
            <w:vAlign w:val="center"/>
          </w:tcPr>
          <w:p w:rsidR="00CD2A5A" w:rsidRDefault="00CD2A5A">
            <w:pPr>
              <w:spacing w:before="40" w:after="40"/>
              <w:ind w:right="340"/>
              <w:jc w:val="right"/>
              <w:rPr>
                <w:sz w:val="20"/>
                <w:szCs w:val="20"/>
              </w:rPr>
            </w:pPr>
            <w:r>
              <w:rPr>
                <w:sz w:val="20"/>
                <w:szCs w:val="20"/>
              </w:rPr>
              <w:t>0</w:t>
            </w:r>
          </w:p>
        </w:tc>
        <w:tc>
          <w:tcPr>
            <w:tcW w:w="580" w:type="pct"/>
            <w:vAlign w:val="center"/>
          </w:tcPr>
          <w:p w:rsidR="00CD2A5A" w:rsidRDefault="00CD2A5A">
            <w:pPr>
              <w:spacing w:before="40" w:after="40"/>
              <w:ind w:right="227"/>
              <w:jc w:val="right"/>
              <w:rPr>
                <w:sz w:val="20"/>
                <w:szCs w:val="20"/>
              </w:rPr>
            </w:pPr>
            <w:r>
              <w:rPr>
                <w:sz w:val="20"/>
                <w:szCs w:val="20"/>
              </w:rPr>
              <w:t>0</w:t>
            </w:r>
          </w:p>
        </w:tc>
        <w:tc>
          <w:tcPr>
            <w:tcW w:w="327" w:type="pct"/>
            <w:vAlign w:val="center"/>
          </w:tcPr>
          <w:p w:rsidR="00CD2A5A" w:rsidRDefault="00CD2A5A">
            <w:pPr>
              <w:spacing w:before="40" w:after="40"/>
              <w:ind w:right="340"/>
              <w:jc w:val="right"/>
              <w:rPr>
                <w:sz w:val="20"/>
                <w:szCs w:val="20"/>
              </w:rPr>
            </w:pPr>
            <w:r>
              <w:rPr>
                <w:sz w:val="20"/>
                <w:szCs w:val="20"/>
              </w:rPr>
              <w:t>1</w:t>
            </w:r>
          </w:p>
        </w:tc>
        <w:tc>
          <w:tcPr>
            <w:tcW w:w="576" w:type="pct"/>
            <w:vAlign w:val="center"/>
          </w:tcPr>
          <w:p w:rsidR="00CD2A5A" w:rsidRDefault="00CD2A5A">
            <w:pPr>
              <w:spacing w:before="40" w:after="40"/>
              <w:ind w:right="227"/>
              <w:jc w:val="right"/>
              <w:rPr>
                <w:sz w:val="20"/>
                <w:szCs w:val="20"/>
              </w:rPr>
            </w:pPr>
            <w:r>
              <w:rPr>
                <w:sz w:val="20"/>
                <w:szCs w:val="20"/>
              </w:rPr>
              <w:t>1</w:t>
            </w:r>
          </w:p>
        </w:tc>
        <w:tc>
          <w:tcPr>
            <w:tcW w:w="554" w:type="pct"/>
            <w:vAlign w:val="center"/>
          </w:tcPr>
          <w:p w:rsidR="00CD2A5A" w:rsidRDefault="00CD2A5A">
            <w:pPr>
              <w:spacing w:before="40" w:after="40"/>
              <w:ind w:right="340"/>
              <w:jc w:val="right"/>
              <w:rPr>
                <w:sz w:val="20"/>
                <w:szCs w:val="20"/>
              </w:rPr>
            </w:pPr>
            <w:r>
              <w:rPr>
                <w:sz w:val="20"/>
                <w:szCs w:val="20"/>
              </w:rPr>
              <w:t>0</w:t>
            </w:r>
          </w:p>
        </w:tc>
      </w:tr>
    </w:tbl>
    <w:p w:rsidR="00CD2A5A" w:rsidRDefault="00CD2A5A" w:rsidP="00CD2A5A">
      <w:pPr>
        <w:pStyle w:val="Figure"/>
      </w:pPr>
    </w:p>
    <w:p w:rsidR="00CD2A5A" w:rsidRDefault="00CD2A5A" w:rsidP="00CD2A5A">
      <w:pPr>
        <w:pStyle w:val="Figure"/>
      </w:pPr>
      <w:r>
        <w:t>Figure 69</w:t>
      </w:r>
    </w:p>
    <w:p w:rsidR="00CD2A5A" w:rsidRDefault="00CD2A5A" w:rsidP="00CD2A5A">
      <w:pPr>
        <w:pStyle w:val="Figure"/>
      </w:pPr>
      <w:r>
        <w:t xml:space="preserve">Statistical data of all cases involving minor victims of kidnapping and trafficking </w:t>
      </w:r>
      <w:r>
        <w:br/>
        <w:t>in persons in the 30 Preliminary Investigation Courts equipped with the Case Monitoring System.</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572"/>
        <w:gridCol w:w="567"/>
        <w:gridCol w:w="832"/>
        <w:gridCol w:w="668"/>
        <w:gridCol w:w="557"/>
        <w:gridCol w:w="661"/>
        <w:gridCol w:w="668"/>
        <w:gridCol w:w="604"/>
        <w:gridCol w:w="557"/>
        <w:gridCol w:w="661"/>
        <w:gridCol w:w="668"/>
        <w:gridCol w:w="604"/>
        <w:gridCol w:w="659"/>
      </w:tblGrid>
      <w:tr w:rsidR="00CD2A5A">
        <w:trPr>
          <w:cantSplit/>
          <w:trHeight w:val="405"/>
          <w:jc w:val="center"/>
        </w:trPr>
        <w:tc>
          <w:tcPr>
            <w:tcW w:w="602" w:type="pct"/>
            <w:vMerge w:val="restart"/>
            <w:vAlign w:val="center"/>
          </w:tcPr>
          <w:p w:rsidR="00CD2A5A" w:rsidRDefault="00CD2A5A">
            <w:pPr>
              <w:keepNext/>
              <w:spacing w:before="40" w:after="40"/>
              <w:jc w:val="center"/>
              <w:rPr>
                <w:b/>
                <w:i/>
                <w:sz w:val="20"/>
                <w:szCs w:val="20"/>
              </w:rPr>
            </w:pPr>
            <w:r>
              <w:rPr>
                <w:b/>
                <w:i/>
                <w:sz w:val="20"/>
                <w:szCs w:val="20"/>
              </w:rPr>
              <w:t>Preliminary investigation courts</w:t>
            </w:r>
          </w:p>
        </w:tc>
        <w:tc>
          <w:tcPr>
            <w:tcW w:w="304" w:type="pct"/>
            <w:vMerge w:val="restart"/>
            <w:vAlign w:val="center"/>
          </w:tcPr>
          <w:p w:rsidR="00CD2A5A" w:rsidRDefault="00CD2A5A">
            <w:pPr>
              <w:keepNext/>
              <w:spacing w:before="40" w:after="40"/>
              <w:jc w:val="center"/>
              <w:rPr>
                <w:b/>
                <w:i/>
                <w:sz w:val="20"/>
                <w:szCs w:val="20"/>
              </w:rPr>
            </w:pPr>
            <w:r>
              <w:rPr>
                <w:b/>
                <w:i/>
                <w:sz w:val="20"/>
                <w:szCs w:val="20"/>
              </w:rPr>
              <w:t>Total</w:t>
            </w:r>
          </w:p>
        </w:tc>
        <w:tc>
          <w:tcPr>
            <w:tcW w:w="1098" w:type="pct"/>
            <w:gridSpan w:val="3"/>
            <w:vAlign w:val="center"/>
          </w:tcPr>
          <w:p w:rsidR="00CD2A5A" w:rsidRDefault="00CD2A5A">
            <w:pPr>
              <w:keepNext/>
              <w:spacing w:before="40" w:after="40"/>
              <w:jc w:val="center"/>
              <w:rPr>
                <w:b/>
                <w:i/>
                <w:sz w:val="20"/>
                <w:szCs w:val="20"/>
              </w:rPr>
            </w:pPr>
            <w:r>
              <w:rPr>
                <w:b/>
                <w:i/>
                <w:sz w:val="20"/>
                <w:szCs w:val="20"/>
              </w:rPr>
              <w:t>2004</w:t>
            </w:r>
          </w:p>
        </w:tc>
        <w:tc>
          <w:tcPr>
            <w:tcW w:w="1323" w:type="pct"/>
            <w:gridSpan w:val="4"/>
            <w:vAlign w:val="center"/>
          </w:tcPr>
          <w:p w:rsidR="00CD2A5A" w:rsidRDefault="00CD2A5A">
            <w:pPr>
              <w:keepNext/>
              <w:spacing w:before="40" w:after="40"/>
              <w:jc w:val="center"/>
              <w:rPr>
                <w:b/>
                <w:i/>
                <w:sz w:val="20"/>
                <w:szCs w:val="20"/>
              </w:rPr>
            </w:pPr>
            <w:r>
              <w:rPr>
                <w:b/>
                <w:i/>
                <w:sz w:val="20"/>
                <w:szCs w:val="20"/>
              </w:rPr>
              <w:t>2005</w:t>
            </w:r>
          </w:p>
        </w:tc>
        <w:tc>
          <w:tcPr>
            <w:tcW w:w="1673" w:type="pct"/>
            <w:gridSpan w:val="5"/>
            <w:vAlign w:val="center"/>
          </w:tcPr>
          <w:p w:rsidR="00CD2A5A" w:rsidRDefault="00CD2A5A">
            <w:pPr>
              <w:keepNext/>
              <w:spacing w:before="40" w:after="40"/>
              <w:jc w:val="center"/>
              <w:rPr>
                <w:b/>
                <w:i/>
                <w:sz w:val="20"/>
                <w:szCs w:val="20"/>
              </w:rPr>
            </w:pPr>
            <w:r>
              <w:rPr>
                <w:b/>
                <w:i/>
                <w:sz w:val="20"/>
                <w:szCs w:val="20"/>
              </w:rPr>
              <w:t>2006</w:t>
            </w:r>
          </w:p>
        </w:tc>
      </w:tr>
      <w:tr w:rsidR="00CD2A5A">
        <w:trPr>
          <w:cantSplit/>
          <w:trHeight w:val="1066"/>
          <w:jc w:val="center"/>
        </w:trPr>
        <w:tc>
          <w:tcPr>
            <w:tcW w:w="602" w:type="pct"/>
            <w:vMerge/>
            <w:vAlign w:val="center"/>
          </w:tcPr>
          <w:p w:rsidR="00CD2A5A" w:rsidRDefault="00CD2A5A">
            <w:pPr>
              <w:keepNext/>
              <w:spacing w:before="40" w:after="40"/>
              <w:jc w:val="center"/>
              <w:rPr>
                <w:b/>
                <w:i/>
                <w:sz w:val="20"/>
                <w:szCs w:val="20"/>
              </w:rPr>
            </w:pPr>
          </w:p>
        </w:tc>
        <w:tc>
          <w:tcPr>
            <w:tcW w:w="304" w:type="pct"/>
            <w:vMerge/>
            <w:vAlign w:val="center"/>
          </w:tcPr>
          <w:p w:rsidR="00CD2A5A" w:rsidRDefault="00CD2A5A">
            <w:pPr>
              <w:keepNext/>
              <w:spacing w:before="40" w:after="40"/>
              <w:jc w:val="center"/>
              <w:rPr>
                <w:b/>
                <w:i/>
                <w:sz w:val="20"/>
                <w:szCs w:val="20"/>
              </w:rPr>
            </w:pPr>
          </w:p>
        </w:tc>
        <w:tc>
          <w:tcPr>
            <w:tcW w:w="301" w:type="pct"/>
            <w:vAlign w:val="center"/>
          </w:tcPr>
          <w:p w:rsidR="00CD2A5A" w:rsidRDefault="00CD2A5A">
            <w:pPr>
              <w:keepNext/>
              <w:spacing w:before="40" w:after="40"/>
              <w:jc w:val="center"/>
              <w:rPr>
                <w:b/>
                <w:i/>
                <w:sz w:val="18"/>
                <w:szCs w:val="18"/>
              </w:rPr>
            </w:pPr>
            <w:r>
              <w:rPr>
                <w:b/>
                <w:i/>
                <w:noProof/>
                <w:sz w:val="18"/>
                <w:szCs w:val="18"/>
              </w:rPr>
              <w:t>Total</w:t>
            </w:r>
          </w:p>
        </w:tc>
        <w:tc>
          <w:tcPr>
            <w:tcW w:w="442" w:type="pct"/>
            <w:vAlign w:val="center"/>
          </w:tcPr>
          <w:p w:rsidR="00CD2A5A" w:rsidRDefault="00CD2A5A">
            <w:pPr>
              <w:keepNext/>
              <w:spacing w:before="40" w:after="40"/>
              <w:jc w:val="center"/>
              <w:rPr>
                <w:b/>
                <w:i/>
                <w:sz w:val="18"/>
                <w:szCs w:val="18"/>
              </w:rPr>
            </w:pPr>
            <w:r>
              <w:rPr>
                <w:b/>
                <w:i/>
                <w:sz w:val="18"/>
                <w:szCs w:val="18"/>
              </w:rPr>
              <w:t>Kidnap-ping</w:t>
            </w:r>
          </w:p>
        </w:tc>
        <w:tc>
          <w:tcPr>
            <w:tcW w:w="355" w:type="pct"/>
            <w:vAlign w:val="center"/>
          </w:tcPr>
          <w:p w:rsidR="00CD2A5A" w:rsidRDefault="00CD2A5A">
            <w:pPr>
              <w:keepNext/>
              <w:spacing w:before="40" w:after="40"/>
              <w:jc w:val="center"/>
              <w:rPr>
                <w:b/>
                <w:i/>
                <w:sz w:val="18"/>
                <w:szCs w:val="18"/>
              </w:rPr>
            </w:pPr>
            <w:r>
              <w:rPr>
                <w:b/>
                <w:i/>
                <w:sz w:val="18"/>
                <w:szCs w:val="18"/>
              </w:rPr>
              <w:t>Aggravated kidnap-ping</w:t>
            </w:r>
          </w:p>
        </w:tc>
        <w:tc>
          <w:tcPr>
            <w:tcW w:w="296" w:type="pct"/>
            <w:vAlign w:val="center"/>
          </w:tcPr>
          <w:p w:rsidR="00CD2A5A" w:rsidRDefault="00CD2A5A">
            <w:pPr>
              <w:keepNext/>
              <w:spacing w:before="40" w:after="40"/>
              <w:jc w:val="center"/>
              <w:rPr>
                <w:b/>
                <w:i/>
                <w:sz w:val="18"/>
                <w:szCs w:val="18"/>
              </w:rPr>
            </w:pPr>
            <w:r>
              <w:rPr>
                <w:b/>
                <w:i/>
                <w:sz w:val="18"/>
                <w:szCs w:val="18"/>
              </w:rPr>
              <w:t>Total</w:t>
            </w:r>
          </w:p>
        </w:tc>
        <w:tc>
          <w:tcPr>
            <w:tcW w:w="351" w:type="pct"/>
            <w:vAlign w:val="center"/>
          </w:tcPr>
          <w:p w:rsidR="00CD2A5A" w:rsidRDefault="00CD2A5A">
            <w:pPr>
              <w:keepNext/>
              <w:spacing w:before="40" w:after="40"/>
              <w:jc w:val="center"/>
              <w:rPr>
                <w:b/>
                <w:i/>
                <w:sz w:val="18"/>
                <w:szCs w:val="18"/>
              </w:rPr>
            </w:pPr>
            <w:r>
              <w:rPr>
                <w:b/>
                <w:i/>
                <w:sz w:val="18"/>
                <w:szCs w:val="18"/>
              </w:rPr>
              <w:t>Kidnap-ping</w:t>
            </w:r>
          </w:p>
        </w:tc>
        <w:tc>
          <w:tcPr>
            <w:tcW w:w="355" w:type="pct"/>
            <w:vAlign w:val="center"/>
          </w:tcPr>
          <w:p w:rsidR="00CD2A5A" w:rsidRDefault="00CD2A5A">
            <w:pPr>
              <w:keepNext/>
              <w:spacing w:before="40" w:after="40"/>
              <w:jc w:val="center"/>
              <w:rPr>
                <w:b/>
                <w:i/>
                <w:sz w:val="18"/>
                <w:szCs w:val="18"/>
              </w:rPr>
            </w:pPr>
            <w:r>
              <w:rPr>
                <w:b/>
                <w:i/>
                <w:sz w:val="18"/>
                <w:szCs w:val="18"/>
              </w:rPr>
              <w:t>Aggravated kidnap-ping</w:t>
            </w:r>
          </w:p>
        </w:tc>
        <w:tc>
          <w:tcPr>
            <w:tcW w:w="321" w:type="pct"/>
            <w:vAlign w:val="center"/>
          </w:tcPr>
          <w:p w:rsidR="00CD2A5A" w:rsidRDefault="00CD2A5A">
            <w:pPr>
              <w:keepNext/>
              <w:spacing w:before="40" w:after="40"/>
              <w:jc w:val="center"/>
              <w:rPr>
                <w:b/>
                <w:i/>
                <w:sz w:val="18"/>
                <w:szCs w:val="18"/>
              </w:rPr>
            </w:pPr>
            <w:r>
              <w:rPr>
                <w:b/>
                <w:i/>
                <w:sz w:val="18"/>
                <w:szCs w:val="18"/>
              </w:rPr>
              <w:t>Trafficking in persons</w:t>
            </w:r>
          </w:p>
        </w:tc>
        <w:tc>
          <w:tcPr>
            <w:tcW w:w="296" w:type="pct"/>
            <w:vAlign w:val="center"/>
          </w:tcPr>
          <w:p w:rsidR="00CD2A5A" w:rsidRDefault="00CD2A5A">
            <w:pPr>
              <w:keepNext/>
              <w:spacing w:before="40" w:after="40"/>
              <w:jc w:val="center"/>
              <w:rPr>
                <w:b/>
                <w:i/>
                <w:sz w:val="18"/>
                <w:szCs w:val="18"/>
              </w:rPr>
            </w:pPr>
            <w:r>
              <w:rPr>
                <w:b/>
                <w:i/>
                <w:sz w:val="18"/>
                <w:szCs w:val="18"/>
              </w:rPr>
              <w:t>Total</w:t>
            </w:r>
          </w:p>
        </w:tc>
        <w:tc>
          <w:tcPr>
            <w:tcW w:w="351" w:type="pct"/>
            <w:vAlign w:val="center"/>
          </w:tcPr>
          <w:p w:rsidR="00CD2A5A" w:rsidRDefault="00CD2A5A">
            <w:pPr>
              <w:keepNext/>
              <w:spacing w:before="40" w:after="40"/>
              <w:jc w:val="center"/>
              <w:rPr>
                <w:b/>
                <w:i/>
                <w:sz w:val="18"/>
                <w:szCs w:val="18"/>
              </w:rPr>
            </w:pPr>
            <w:r>
              <w:rPr>
                <w:b/>
                <w:i/>
                <w:sz w:val="18"/>
                <w:szCs w:val="18"/>
              </w:rPr>
              <w:t>Kidnap-ping</w:t>
            </w:r>
          </w:p>
        </w:tc>
        <w:tc>
          <w:tcPr>
            <w:tcW w:w="355" w:type="pct"/>
            <w:vAlign w:val="center"/>
          </w:tcPr>
          <w:p w:rsidR="00CD2A5A" w:rsidRDefault="00CD2A5A">
            <w:pPr>
              <w:keepNext/>
              <w:spacing w:before="40" w:after="40"/>
              <w:jc w:val="center"/>
              <w:rPr>
                <w:b/>
                <w:i/>
                <w:sz w:val="18"/>
                <w:szCs w:val="18"/>
              </w:rPr>
            </w:pPr>
            <w:r>
              <w:rPr>
                <w:b/>
                <w:i/>
                <w:sz w:val="18"/>
                <w:szCs w:val="18"/>
              </w:rPr>
              <w:t>Aggravated kidnap-ping</w:t>
            </w:r>
          </w:p>
        </w:tc>
        <w:tc>
          <w:tcPr>
            <w:tcW w:w="321" w:type="pct"/>
            <w:vAlign w:val="center"/>
          </w:tcPr>
          <w:p w:rsidR="00CD2A5A" w:rsidRDefault="00CD2A5A">
            <w:pPr>
              <w:keepNext/>
              <w:spacing w:before="40" w:after="40"/>
              <w:jc w:val="center"/>
              <w:rPr>
                <w:b/>
                <w:i/>
                <w:sz w:val="18"/>
                <w:szCs w:val="18"/>
              </w:rPr>
            </w:pPr>
            <w:r>
              <w:rPr>
                <w:b/>
                <w:i/>
                <w:sz w:val="18"/>
                <w:szCs w:val="18"/>
              </w:rPr>
              <w:t>Trafficking in persons</w:t>
            </w:r>
          </w:p>
        </w:tc>
        <w:tc>
          <w:tcPr>
            <w:tcW w:w="350" w:type="pct"/>
            <w:vAlign w:val="center"/>
          </w:tcPr>
          <w:p w:rsidR="00CD2A5A" w:rsidRDefault="00CD2A5A">
            <w:pPr>
              <w:keepNext/>
              <w:spacing w:before="40" w:after="40"/>
              <w:jc w:val="center"/>
              <w:rPr>
                <w:b/>
                <w:i/>
                <w:sz w:val="18"/>
                <w:szCs w:val="18"/>
              </w:rPr>
            </w:pPr>
            <w:r>
              <w:rPr>
                <w:b/>
                <w:i/>
                <w:sz w:val="18"/>
                <w:szCs w:val="18"/>
              </w:rPr>
              <w:t>Trafficking in persons</w:t>
            </w:r>
          </w:p>
        </w:tc>
      </w:tr>
      <w:tr w:rsidR="00CD2A5A">
        <w:trPr>
          <w:trHeight w:val="420"/>
          <w:jc w:val="center"/>
        </w:trPr>
        <w:tc>
          <w:tcPr>
            <w:tcW w:w="602" w:type="pct"/>
            <w:vAlign w:val="center"/>
          </w:tcPr>
          <w:p w:rsidR="00CD2A5A" w:rsidRDefault="00CD2A5A">
            <w:pPr>
              <w:keepNext/>
              <w:spacing w:before="40" w:after="40"/>
              <w:rPr>
                <w:sz w:val="20"/>
                <w:szCs w:val="20"/>
              </w:rPr>
            </w:pPr>
            <w:r>
              <w:rPr>
                <w:sz w:val="20"/>
                <w:szCs w:val="20"/>
              </w:rPr>
              <w:t>Total</w:t>
            </w:r>
          </w:p>
        </w:tc>
        <w:tc>
          <w:tcPr>
            <w:tcW w:w="304" w:type="pct"/>
            <w:vAlign w:val="center"/>
          </w:tcPr>
          <w:p w:rsidR="00CD2A5A" w:rsidRDefault="00CD2A5A">
            <w:pPr>
              <w:keepNext/>
              <w:spacing w:before="40" w:after="40"/>
              <w:ind w:right="170"/>
              <w:jc w:val="right"/>
              <w:rPr>
                <w:sz w:val="20"/>
                <w:szCs w:val="20"/>
              </w:rPr>
            </w:pPr>
            <w:r>
              <w:rPr>
                <w:sz w:val="20"/>
                <w:szCs w:val="20"/>
              </w:rPr>
              <w:t>30</w:t>
            </w:r>
          </w:p>
        </w:tc>
        <w:tc>
          <w:tcPr>
            <w:tcW w:w="301" w:type="pct"/>
            <w:vAlign w:val="center"/>
          </w:tcPr>
          <w:p w:rsidR="00CD2A5A" w:rsidRDefault="00CD2A5A">
            <w:pPr>
              <w:keepNext/>
              <w:spacing w:before="40" w:after="40"/>
              <w:ind w:right="170"/>
              <w:jc w:val="right"/>
              <w:rPr>
                <w:sz w:val="20"/>
                <w:szCs w:val="20"/>
              </w:rPr>
            </w:pPr>
            <w:r>
              <w:rPr>
                <w:sz w:val="20"/>
                <w:szCs w:val="20"/>
              </w:rPr>
              <w:t>1</w:t>
            </w:r>
          </w:p>
        </w:tc>
        <w:tc>
          <w:tcPr>
            <w:tcW w:w="442" w:type="pct"/>
            <w:vAlign w:val="center"/>
          </w:tcPr>
          <w:p w:rsidR="00CD2A5A" w:rsidRDefault="00CD2A5A">
            <w:pPr>
              <w:keepNext/>
              <w:spacing w:before="40" w:after="40"/>
              <w:ind w:right="170"/>
              <w:jc w:val="right"/>
              <w:rPr>
                <w:sz w:val="20"/>
                <w:szCs w:val="20"/>
              </w:rPr>
            </w:pPr>
            <w:r>
              <w:rPr>
                <w:sz w:val="20"/>
                <w:szCs w:val="20"/>
              </w:rPr>
              <w:t>1</w:t>
            </w:r>
          </w:p>
        </w:tc>
        <w:tc>
          <w:tcPr>
            <w:tcW w:w="355" w:type="pct"/>
            <w:vAlign w:val="center"/>
          </w:tcPr>
          <w:p w:rsidR="00CD2A5A" w:rsidRDefault="00CD2A5A">
            <w:pPr>
              <w:keepNext/>
              <w:spacing w:before="40" w:after="40"/>
              <w:ind w:right="170"/>
              <w:jc w:val="right"/>
              <w:rPr>
                <w:sz w:val="20"/>
                <w:szCs w:val="20"/>
              </w:rPr>
            </w:pPr>
            <w:r>
              <w:rPr>
                <w:sz w:val="20"/>
                <w:szCs w:val="20"/>
              </w:rPr>
              <w:t>4</w:t>
            </w:r>
          </w:p>
        </w:tc>
        <w:tc>
          <w:tcPr>
            <w:tcW w:w="296" w:type="pct"/>
            <w:vAlign w:val="center"/>
          </w:tcPr>
          <w:p w:rsidR="00CD2A5A" w:rsidRDefault="00CD2A5A">
            <w:pPr>
              <w:keepNext/>
              <w:spacing w:before="40" w:after="40"/>
              <w:ind w:right="170"/>
              <w:jc w:val="right"/>
              <w:rPr>
                <w:sz w:val="20"/>
                <w:szCs w:val="20"/>
              </w:rPr>
            </w:pPr>
            <w:r>
              <w:rPr>
                <w:sz w:val="20"/>
                <w:szCs w:val="20"/>
              </w:rPr>
              <w:t>9</w:t>
            </w:r>
          </w:p>
        </w:tc>
        <w:tc>
          <w:tcPr>
            <w:tcW w:w="351" w:type="pct"/>
            <w:vAlign w:val="center"/>
          </w:tcPr>
          <w:p w:rsidR="00CD2A5A" w:rsidRDefault="00CD2A5A">
            <w:pPr>
              <w:keepNext/>
              <w:spacing w:before="40" w:after="40"/>
              <w:ind w:right="170"/>
              <w:jc w:val="right"/>
              <w:rPr>
                <w:sz w:val="20"/>
                <w:szCs w:val="20"/>
              </w:rPr>
            </w:pPr>
            <w:r>
              <w:rPr>
                <w:sz w:val="20"/>
                <w:szCs w:val="20"/>
              </w:rPr>
              <w:t>3</w:t>
            </w:r>
          </w:p>
        </w:tc>
        <w:tc>
          <w:tcPr>
            <w:tcW w:w="355" w:type="pct"/>
            <w:vAlign w:val="center"/>
          </w:tcPr>
          <w:p w:rsidR="00CD2A5A" w:rsidRDefault="00CD2A5A">
            <w:pPr>
              <w:keepNext/>
              <w:spacing w:before="40" w:after="40"/>
              <w:ind w:right="170"/>
              <w:jc w:val="right"/>
              <w:rPr>
                <w:sz w:val="20"/>
                <w:szCs w:val="20"/>
              </w:rPr>
            </w:pPr>
            <w:r>
              <w:rPr>
                <w:sz w:val="20"/>
                <w:szCs w:val="20"/>
              </w:rPr>
              <w:t>3</w:t>
            </w:r>
          </w:p>
        </w:tc>
        <w:tc>
          <w:tcPr>
            <w:tcW w:w="321" w:type="pct"/>
            <w:vAlign w:val="center"/>
          </w:tcPr>
          <w:p w:rsidR="00CD2A5A" w:rsidRDefault="00CD2A5A">
            <w:pPr>
              <w:keepNext/>
              <w:spacing w:before="40" w:after="40"/>
              <w:ind w:right="170"/>
              <w:jc w:val="right"/>
              <w:rPr>
                <w:sz w:val="20"/>
                <w:szCs w:val="20"/>
              </w:rPr>
            </w:pPr>
            <w:r>
              <w:rPr>
                <w:sz w:val="20"/>
                <w:szCs w:val="20"/>
              </w:rPr>
              <w:t>3</w:t>
            </w:r>
          </w:p>
        </w:tc>
        <w:tc>
          <w:tcPr>
            <w:tcW w:w="296" w:type="pct"/>
            <w:vAlign w:val="center"/>
          </w:tcPr>
          <w:p w:rsidR="00CD2A5A" w:rsidRDefault="00CD2A5A">
            <w:pPr>
              <w:keepNext/>
              <w:spacing w:before="40" w:after="40"/>
              <w:ind w:right="170"/>
              <w:jc w:val="right"/>
              <w:rPr>
                <w:sz w:val="20"/>
                <w:szCs w:val="20"/>
              </w:rPr>
            </w:pPr>
            <w:r>
              <w:rPr>
                <w:sz w:val="20"/>
                <w:szCs w:val="20"/>
              </w:rPr>
              <w:t>20</w:t>
            </w:r>
          </w:p>
        </w:tc>
        <w:tc>
          <w:tcPr>
            <w:tcW w:w="351" w:type="pct"/>
            <w:vAlign w:val="center"/>
          </w:tcPr>
          <w:p w:rsidR="00CD2A5A" w:rsidRDefault="00CD2A5A">
            <w:pPr>
              <w:keepNext/>
              <w:spacing w:before="40" w:after="40"/>
              <w:ind w:right="170"/>
              <w:jc w:val="right"/>
              <w:rPr>
                <w:sz w:val="20"/>
                <w:szCs w:val="20"/>
              </w:rPr>
            </w:pPr>
            <w:r>
              <w:rPr>
                <w:sz w:val="20"/>
                <w:szCs w:val="20"/>
              </w:rPr>
              <w:t>7</w:t>
            </w:r>
          </w:p>
        </w:tc>
        <w:tc>
          <w:tcPr>
            <w:tcW w:w="355" w:type="pct"/>
            <w:vAlign w:val="center"/>
          </w:tcPr>
          <w:p w:rsidR="00CD2A5A" w:rsidRDefault="00CD2A5A">
            <w:pPr>
              <w:keepNext/>
              <w:spacing w:before="40" w:after="40"/>
              <w:ind w:right="170"/>
              <w:jc w:val="right"/>
              <w:rPr>
                <w:sz w:val="20"/>
                <w:szCs w:val="20"/>
              </w:rPr>
            </w:pPr>
            <w:r>
              <w:rPr>
                <w:sz w:val="20"/>
                <w:szCs w:val="20"/>
              </w:rPr>
              <w:t>3</w:t>
            </w:r>
          </w:p>
        </w:tc>
        <w:tc>
          <w:tcPr>
            <w:tcW w:w="321" w:type="pct"/>
            <w:vAlign w:val="center"/>
          </w:tcPr>
          <w:p w:rsidR="00CD2A5A" w:rsidRDefault="00CD2A5A">
            <w:pPr>
              <w:keepNext/>
              <w:spacing w:before="40" w:after="40"/>
              <w:ind w:right="170"/>
              <w:jc w:val="right"/>
              <w:rPr>
                <w:sz w:val="20"/>
                <w:szCs w:val="20"/>
              </w:rPr>
            </w:pPr>
            <w:r>
              <w:rPr>
                <w:sz w:val="20"/>
                <w:szCs w:val="20"/>
              </w:rPr>
              <w:t>9</w:t>
            </w:r>
          </w:p>
        </w:tc>
        <w:tc>
          <w:tcPr>
            <w:tcW w:w="350" w:type="pct"/>
            <w:vAlign w:val="center"/>
          </w:tcPr>
          <w:p w:rsidR="00CD2A5A" w:rsidRDefault="00CD2A5A">
            <w:pPr>
              <w:keepNext/>
              <w:spacing w:before="40" w:after="40"/>
              <w:ind w:right="170"/>
              <w:jc w:val="right"/>
              <w:rPr>
                <w:sz w:val="20"/>
                <w:szCs w:val="20"/>
              </w:rPr>
            </w:pPr>
            <w:r>
              <w:rPr>
                <w:sz w:val="20"/>
                <w:szCs w:val="20"/>
              </w:rPr>
              <w:t>1</w:t>
            </w:r>
          </w:p>
        </w:tc>
      </w:tr>
      <w:tr w:rsidR="00CD2A5A">
        <w:trPr>
          <w:trHeight w:val="480"/>
          <w:jc w:val="center"/>
        </w:trPr>
        <w:tc>
          <w:tcPr>
            <w:tcW w:w="602" w:type="pct"/>
            <w:vAlign w:val="center"/>
          </w:tcPr>
          <w:p w:rsidR="00CD2A5A" w:rsidRDefault="00CD2A5A">
            <w:pPr>
              <w:spacing w:before="40" w:after="40"/>
              <w:rPr>
                <w:sz w:val="20"/>
                <w:szCs w:val="20"/>
              </w:rPr>
            </w:pPr>
            <w:r>
              <w:rPr>
                <w:sz w:val="20"/>
                <w:szCs w:val="20"/>
              </w:rPr>
              <w:t>Average per court</w:t>
            </w:r>
          </w:p>
        </w:tc>
        <w:tc>
          <w:tcPr>
            <w:tcW w:w="304" w:type="pct"/>
            <w:vAlign w:val="center"/>
          </w:tcPr>
          <w:p w:rsidR="00CD2A5A" w:rsidRDefault="00CD2A5A">
            <w:pPr>
              <w:spacing w:before="40" w:after="40"/>
              <w:ind w:right="170"/>
              <w:jc w:val="right"/>
              <w:rPr>
                <w:sz w:val="20"/>
                <w:szCs w:val="20"/>
              </w:rPr>
            </w:pPr>
            <w:r>
              <w:rPr>
                <w:sz w:val="20"/>
                <w:szCs w:val="20"/>
              </w:rPr>
              <w:t>1</w:t>
            </w:r>
          </w:p>
        </w:tc>
        <w:tc>
          <w:tcPr>
            <w:tcW w:w="301" w:type="pct"/>
            <w:vAlign w:val="center"/>
          </w:tcPr>
          <w:p w:rsidR="00CD2A5A" w:rsidRDefault="00CD2A5A">
            <w:pPr>
              <w:spacing w:before="40" w:after="40"/>
              <w:ind w:right="170"/>
              <w:jc w:val="right"/>
              <w:rPr>
                <w:sz w:val="20"/>
                <w:szCs w:val="20"/>
              </w:rPr>
            </w:pPr>
            <w:r>
              <w:rPr>
                <w:sz w:val="20"/>
                <w:szCs w:val="20"/>
              </w:rPr>
              <w:t>0</w:t>
            </w:r>
          </w:p>
        </w:tc>
        <w:tc>
          <w:tcPr>
            <w:tcW w:w="442" w:type="pct"/>
            <w:vAlign w:val="center"/>
          </w:tcPr>
          <w:p w:rsidR="00CD2A5A" w:rsidRDefault="00CD2A5A">
            <w:pPr>
              <w:spacing w:before="40" w:after="40"/>
              <w:ind w:right="170"/>
              <w:jc w:val="right"/>
              <w:rPr>
                <w:sz w:val="20"/>
                <w:szCs w:val="20"/>
              </w:rPr>
            </w:pPr>
            <w:r>
              <w:rPr>
                <w:sz w:val="20"/>
                <w:szCs w:val="20"/>
              </w:rPr>
              <w:t>0</w:t>
            </w:r>
          </w:p>
        </w:tc>
        <w:tc>
          <w:tcPr>
            <w:tcW w:w="355" w:type="pct"/>
            <w:vAlign w:val="center"/>
          </w:tcPr>
          <w:p w:rsidR="00CD2A5A" w:rsidRDefault="00CD2A5A">
            <w:pPr>
              <w:spacing w:before="40" w:after="40"/>
              <w:ind w:right="170"/>
              <w:jc w:val="right"/>
              <w:rPr>
                <w:sz w:val="20"/>
                <w:szCs w:val="20"/>
              </w:rPr>
            </w:pPr>
            <w:r>
              <w:rPr>
                <w:sz w:val="20"/>
                <w:szCs w:val="20"/>
              </w:rPr>
              <w:t>0</w:t>
            </w:r>
          </w:p>
        </w:tc>
        <w:tc>
          <w:tcPr>
            <w:tcW w:w="296" w:type="pct"/>
            <w:vAlign w:val="center"/>
          </w:tcPr>
          <w:p w:rsidR="00CD2A5A" w:rsidRDefault="00CD2A5A">
            <w:pPr>
              <w:spacing w:before="40" w:after="40"/>
              <w:ind w:right="170"/>
              <w:jc w:val="right"/>
              <w:rPr>
                <w:sz w:val="20"/>
                <w:szCs w:val="20"/>
              </w:rPr>
            </w:pPr>
            <w:r>
              <w:rPr>
                <w:sz w:val="20"/>
                <w:szCs w:val="20"/>
              </w:rPr>
              <w:t>0</w:t>
            </w:r>
          </w:p>
        </w:tc>
        <w:tc>
          <w:tcPr>
            <w:tcW w:w="351" w:type="pct"/>
            <w:vAlign w:val="center"/>
          </w:tcPr>
          <w:p w:rsidR="00CD2A5A" w:rsidRDefault="00CD2A5A">
            <w:pPr>
              <w:spacing w:before="40" w:after="40"/>
              <w:ind w:right="170"/>
              <w:jc w:val="right"/>
              <w:rPr>
                <w:sz w:val="20"/>
                <w:szCs w:val="20"/>
              </w:rPr>
            </w:pPr>
            <w:r>
              <w:rPr>
                <w:sz w:val="20"/>
                <w:szCs w:val="20"/>
              </w:rPr>
              <w:t>0</w:t>
            </w:r>
          </w:p>
        </w:tc>
        <w:tc>
          <w:tcPr>
            <w:tcW w:w="355" w:type="pct"/>
            <w:vAlign w:val="center"/>
          </w:tcPr>
          <w:p w:rsidR="00CD2A5A" w:rsidRDefault="00CD2A5A">
            <w:pPr>
              <w:spacing w:before="40" w:after="40"/>
              <w:ind w:right="170"/>
              <w:jc w:val="right"/>
              <w:rPr>
                <w:sz w:val="20"/>
                <w:szCs w:val="20"/>
              </w:rPr>
            </w:pPr>
            <w:r>
              <w:rPr>
                <w:sz w:val="20"/>
                <w:szCs w:val="20"/>
              </w:rPr>
              <w:t>0</w:t>
            </w:r>
          </w:p>
        </w:tc>
        <w:tc>
          <w:tcPr>
            <w:tcW w:w="321" w:type="pct"/>
            <w:vAlign w:val="center"/>
          </w:tcPr>
          <w:p w:rsidR="00CD2A5A" w:rsidRDefault="00CD2A5A">
            <w:pPr>
              <w:spacing w:before="40" w:after="40"/>
              <w:ind w:right="170"/>
              <w:jc w:val="right"/>
              <w:rPr>
                <w:sz w:val="20"/>
                <w:szCs w:val="20"/>
              </w:rPr>
            </w:pPr>
            <w:r>
              <w:rPr>
                <w:sz w:val="20"/>
                <w:szCs w:val="20"/>
              </w:rPr>
              <w:t>0</w:t>
            </w:r>
          </w:p>
        </w:tc>
        <w:tc>
          <w:tcPr>
            <w:tcW w:w="296" w:type="pct"/>
            <w:vAlign w:val="center"/>
          </w:tcPr>
          <w:p w:rsidR="00CD2A5A" w:rsidRDefault="00CD2A5A">
            <w:pPr>
              <w:spacing w:before="40" w:after="40"/>
              <w:ind w:right="170"/>
              <w:jc w:val="right"/>
              <w:rPr>
                <w:sz w:val="20"/>
                <w:szCs w:val="20"/>
              </w:rPr>
            </w:pPr>
            <w:r>
              <w:rPr>
                <w:sz w:val="20"/>
                <w:szCs w:val="20"/>
              </w:rPr>
              <w:t>1</w:t>
            </w:r>
          </w:p>
        </w:tc>
        <w:tc>
          <w:tcPr>
            <w:tcW w:w="351" w:type="pct"/>
            <w:vAlign w:val="center"/>
          </w:tcPr>
          <w:p w:rsidR="00CD2A5A" w:rsidRDefault="00CD2A5A">
            <w:pPr>
              <w:spacing w:before="40" w:after="40"/>
              <w:ind w:right="170"/>
              <w:jc w:val="right"/>
              <w:rPr>
                <w:sz w:val="20"/>
                <w:szCs w:val="20"/>
              </w:rPr>
            </w:pPr>
            <w:r>
              <w:rPr>
                <w:sz w:val="20"/>
                <w:szCs w:val="20"/>
              </w:rPr>
              <w:t>1</w:t>
            </w:r>
          </w:p>
        </w:tc>
        <w:tc>
          <w:tcPr>
            <w:tcW w:w="355" w:type="pct"/>
            <w:vAlign w:val="center"/>
          </w:tcPr>
          <w:p w:rsidR="00CD2A5A" w:rsidRDefault="00CD2A5A">
            <w:pPr>
              <w:spacing w:before="40" w:after="40"/>
              <w:ind w:right="170"/>
              <w:jc w:val="right"/>
              <w:rPr>
                <w:sz w:val="20"/>
                <w:szCs w:val="20"/>
              </w:rPr>
            </w:pPr>
            <w:r>
              <w:rPr>
                <w:sz w:val="20"/>
                <w:szCs w:val="20"/>
              </w:rPr>
              <w:t>0</w:t>
            </w:r>
          </w:p>
        </w:tc>
        <w:tc>
          <w:tcPr>
            <w:tcW w:w="321" w:type="pct"/>
            <w:vAlign w:val="center"/>
          </w:tcPr>
          <w:p w:rsidR="00CD2A5A" w:rsidRDefault="00CD2A5A">
            <w:pPr>
              <w:spacing w:before="40" w:after="40"/>
              <w:ind w:right="170"/>
              <w:jc w:val="right"/>
              <w:rPr>
                <w:sz w:val="20"/>
                <w:szCs w:val="20"/>
              </w:rPr>
            </w:pPr>
            <w:r>
              <w:rPr>
                <w:sz w:val="20"/>
                <w:szCs w:val="20"/>
              </w:rPr>
              <w:t>1</w:t>
            </w:r>
          </w:p>
        </w:tc>
        <w:tc>
          <w:tcPr>
            <w:tcW w:w="350" w:type="pct"/>
            <w:vAlign w:val="center"/>
          </w:tcPr>
          <w:p w:rsidR="00CD2A5A" w:rsidRDefault="00CD2A5A">
            <w:pPr>
              <w:spacing w:before="40" w:after="40"/>
              <w:ind w:right="170"/>
              <w:jc w:val="right"/>
              <w:rPr>
                <w:sz w:val="20"/>
                <w:szCs w:val="20"/>
              </w:rPr>
            </w:pPr>
            <w:r>
              <w:rPr>
                <w:sz w:val="20"/>
                <w:szCs w:val="20"/>
              </w:rPr>
              <w:t>0</w:t>
            </w:r>
          </w:p>
        </w:tc>
      </w:tr>
    </w:tbl>
    <w:p w:rsidR="00CD2A5A" w:rsidRDefault="00CD2A5A">
      <w:pPr>
        <w:pStyle w:val="Header"/>
        <w:tabs>
          <w:tab w:val="clear" w:pos="4252"/>
        </w:tabs>
        <w:spacing w:after="240"/>
        <w:rPr>
          <w:b/>
          <w:bCs/>
          <w:lang w:val="en-GB"/>
        </w:rPr>
      </w:pPr>
    </w:p>
    <w:p w:rsidR="00CD2A5A" w:rsidRDefault="00CD2A5A" w:rsidP="00CD2A5A">
      <w:pPr>
        <w:pStyle w:val="Figure"/>
      </w:pPr>
      <w:r>
        <w:t>Figure 70</w:t>
      </w:r>
    </w:p>
    <w:p w:rsidR="00CD2A5A" w:rsidRDefault="00CD2A5A" w:rsidP="00CD2A5A">
      <w:pPr>
        <w:pStyle w:val="Figure"/>
      </w:pPr>
      <w:r>
        <w:t xml:space="preserve">Statistical data of all cases involving minor victims of kidnapping and trafficking in persons </w:t>
      </w:r>
      <w:r>
        <w:br/>
        <w:t>in the eight Trial Courts equipped with the Case Monitoring System.</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1"/>
        <w:gridCol w:w="851"/>
        <w:gridCol w:w="1417"/>
        <w:gridCol w:w="1133"/>
        <w:gridCol w:w="851"/>
        <w:gridCol w:w="1274"/>
        <w:gridCol w:w="2035"/>
      </w:tblGrid>
      <w:tr w:rsidR="00CD2A5A">
        <w:trPr>
          <w:cantSplit/>
          <w:trHeight w:val="278"/>
          <w:jc w:val="center"/>
        </w:trPr>
        <w:tc>
          <w:tcPr>
            <w:tcW w:w="983" w:type="pct"/>
            <w:vMerge w:val="restart"/>
            <w:vAlign w:val="center"/>
          </w:tcPr>
          <w:p w:rsidR="00CD2A5A" w:rsidRDefault="00CD2A5A">
            <w:pPr>
              <w:spacing w:before="40" w:after="40"/>
              <w:jc w:val="center"/>
              <w:rPr>
                <w:b/>
                <w:i/>
                <w:sz w:val="20"/>
                <w:szCs w:val="20"/>
              </w:rPr>
            </w:pPr>
            <w:r>
              <w:rPr>
                <w:b/>
                <w:i/>
                <w:sz w:val="20"/>
                <w:szCs w:val="20"/>
              </w:rPr>
              <w:t>Trial courts</w:t>
            </w:r>
          </w:p>
        </w:tc>
        <w:tc>
          <w:tcPr>
            <w:tcW w:w="452" w:type="pct"/>
            <w:vMerge w:val="restart"/>
            <w:vAlign w:val="center"/>
          </w:tcPr>
          <w:p w:rsidR="00CD2A5A" w:rsidRDefault="00CD2A5A">
            <w:pPr>
              <w:spacing w:before="40" w:after="40"/>
              <w:jc w:val="center"/>
              <w:rPr>
                <w:b/>
                <w:i/>
                <w:sz w:val="20"/>
                <w:szCs w:val="20"/>
              </w:rPr>
            </w:pPr>
            <w:r>
              <w:rPr>
                <w:b/>
                <w:i/>
                <w:sz w:val="20"/>
                <w:szCs w:val="20"/>
              </w:rPr>
              <w:t>Total</w:t>
            </w:r>
          </w:p>
        </w:tc>
        <w:tc>
          <w:tcPr>
            <w:tcW w:w="753" w:type="pct"/>
            <w:vAlign w:val="center"/>
          </w:tcPr>
          <w:p w:rsidR="00CD2A5A" w:rsidRDefault="00CD2A5A">
            <w:pPr>
              <w:spacing w:before="40" w:after="40"/>
              <w:jc w:val="center"/>
              <w:rPr>
                <w:b/>
                <w:i/>
                <w:sz w:val="20"/>
                <w:szCs w:val="20"/>
              </w:rPr>
            </w:pPr>
            <w:r>
              <w:rPr>
                <w:b/>
                <w:i/>
                <w:sz w:val="20"/>
                <w:szCs w:val="20"/>
              </w:rPr>
              <w:t>2004</w:t>
            </w:r>
          </w:p>
        </w:tc>
        <w:tc>
          <w:tcPr>
            <w:tcW w:w="602" w:type="pct"/>
            <w:vAlign w:val="center"/>
          </w:tcPr>
          <w:p w:rsidR="00CD2A5A" w:rsidRDefault="00CD2A5A">
            <w:pPr>
              <w:spacing w:before="40" w:after="40"/>
              <w:jc w:val="center"/>
              <w:rPr>
                <w:b/>
                <w:i/>
                <w:sz w:val="20"/>
                <w:szCs w:val="20"/>
              </w:rPr>
            </w:pPr>
            <w:r>
              <w:rPr>
                <w:b/>
                <w:i/>
                <w:sz w:val="20"/>
                <w:szCs w:val="20"/>
              </w:rPr>
              <w:t>2005</w:t>
            </w:r>
          </w:p>
        </w:tc>
        <w:tc>
          <w:tcPr>
            <w:tcW w:w="2210" w:type="pct"/>
            <w:gridSpan w:val="3"/>
            <w:vAlign w:val="center"/>
          </w:tcPr>
          <w:p w:rsidR="00CD2A5A" w:rsidRDefault="00CD2A5A">
            <w:pPr>
              <w:spacing w:before="40" w:after="40"/>
              <w:jc w:val="center"/>
              <w:rPr>
                <w:b/>
                <w:i/>
                <w:sz w:val="20"/>
                <w:szCs w:val="20"/>
              </w:rPr>
            </w:pPr>
            <w:r>
              <w:rPr>
                <w:b/>
                <w:i/>
                <w:sz w:val="20"/>
                <w:szCs w:val="20"/>
              </w:rPr>
              <w:t>2006</w:t>
            </w:r>
          </w:p>
        </w:tc>
      </w:tr>
      <w:tr w:rsidR="00CD2A5A">
        <w:trPr>
          <w:cantSplit/>
          <w:trHeight w:val="382"/>
          <w:jc w:val="center"/>
        </w:trPr>
        <w:tc>
          <w:tcPr>
            <w:tcW w:w="983" w:type="pct"/>
            <w:vMerge/>
            <w:vAlign w:val="center"/>
          </w:tcPr>
          <w:p w:rsidR="00CD2A5A" w:rsidRDefault="00CD2A5A">
            <w:pPr>
              <w:spacing w:before="40" w:after="40"/>
              <w:jc w:val="center"/>
              <w:rPr>
                <w:b/>
                <w:i/>
                <w:sz w:val="20"/>
                <w:szCs w:val="20"/>
              </w:rPr>
            </w:pPr>
          </w:p>
        </w:tc>
        <w:tc>
          <w:tcPr>
            <w:tcW w:w="452" w:type="pct"/>
            <w:vMerge/>
            <w:vAlign w:val="center"/>
          </w:tcPr>
          <w:p w:rsidR="00CD2A5A" w:rsidRDefault="00CD2A5A">
            <w:pPr>
              <w:spacing w:before="40" w:after="40"/>
              <w:jc w:val="center"/>
              <w:rPr>
                <w:b/>
                <w:i/>
                <w:sz w:val="20"/>
                <w:szCs w:val="20"/>
              </w:rPr>
            </w:pPr>
          </w:p>
        </w:tc>
        <w:tc>
          <w:tcPr>
            <w:tcW w:w="753" w:type="pct"/>
            <w:vAlign w:val="center"/>
          </w:tcPr>
          <w:p w:rsidR="00CD2A5A" w:rsidRDefault="00CD2A5A">
            <w:pPr>
              <w:spacing w:before="40" w:after="40"/>
              <w:jc w:val="center"/>
              <w:rPr>
                <w:b/>
                <w:i/>
                <w:sz w:val="20"/>
                <w:szCs w:val="20"/>
              </w:rPr>
            </w:pPr>
            <w:r>
              <w:rPr>
                <w:b/>
                <w:i/>
                <w:sz w:val="20"/>
                <w:szCs w:val="20"/>
              </w:rPr>
              <w:t>Total</w:t>
            </w:r>
          </w:p>
        </w:tc>
        <w:tc>
          <w:tcPr>
            <w:tcW w:w="602" w:type="pct"/>
            <w:vAlign w:val="center"/>
          </w:tcPr>
          <w:p w:rsidR="00CD2A5A" w:rsidRDefault="00CD2A5A">
            <w:pPr>
              <w:spacing w:before="40" w:after="40"/>
              <w:jc w:val="center"/>
              <w:rPr>
                <w:b/>
                <w:i/>
                <w:sz w:val="20"/>
                <w:szCs w:val="20"/>
              </w:rPr>
            </w:pPr>
            <w:r>
              <w:rPr>
                <w:b/>
                <w:i/>
                <w:sz w:val="20"/>
                <w:szCs w:val="20"/>
              </w:rPr>
              <w:t>Total</w:t>
            </w:r>
          </w:p>
        </w:tc>
        <w:tc>
          <w:tcPr>
            <w:tcW w:w="452" w:type="pct"/>
            <w:vAlign w:val="center"/>
          </w:tcPr>
          <w:p w:rsidR="00CD2A5A" w:rsidRDefault="00CD2A5A">
            <w:pPr>
              <w:spacing w:before="40" w:after="40"/>
              <w:jc w:val="center"/>
              <w:rPr>
                <w:b/>
                <w:i/>
                <w:sz w:val="20"/>
                <w:szCs w:val="20"/>
              </w:rPr>
            </w:pPr>
            <w:r>
              <w:rPr>
                <w:b/>
                <w:i/>
                <w:sz w:val="20"/>
                <w:szCs w:val="20"/>
              </w:rPr>
              <w:t>Total</w:t>
            </w:r>
          </w:p>
        </w:tc>
        <w:tc>
          <w:tcPr>
            <w:tcW w:w="677" w:type="pct"/>
            <w:vAlign w:val="center"/>
          </w:tcPr>
          <w:p w:rsidR="00CD2A5A" w:rsidRDefault="00CD2A5A">
            <w:pPr>
              <w:spacing w:before="40" w:after="40"/>
              <w:jc w:val="center"/>
              <w:rPr>
                <w:b/>
                <w:i/>
                <w:sz w:val="20"/>
                <w:szCs w:val="20"/>
              </w:rPr>
            </w:pPr>
            <w:r>
              <w:rPr>
                <w:b/>
                <w:i/>
                <w:sz w:val="20"/>
                <w:szCs w:val="20"/>
              </w:rPr>
              <w:t>Kidnapping</w:t>
            </w:r>
          </w:p>
        </w:tc>
        <w:tc>
          <w:tcPr>
            <w:tcW w:w="1082" w:type="pct"/>
            <w:vAlign w:val="center"/>
          </w:tcPr>
          <w:p w:rsidR="00CD2A5A" w:rsidRDefault="00CD2A5A">
            <w:pPr>
              <w:spacing w:before="40" w:after="40"/>
              <w:jc w:val="center"/>
              <w:rPr>
                <w:b/>
                <w:i/>
                <w:sz w:val="20"/>
                <w:szCs w:val="20"/>
              </w:rPr>
            </w:pPr>
            <w:r>
              <w:rPr>
                <w:b/>
                <w:i/>
                <w:sz w:val="20"/>
                <w:szCs w:val="20"/>
              </w:rPr>
              <w:t>Trafficking in persons</w:t>
            </w:r>
          </w:p>
        </w:tc>
      </w:tr>
      <w:tr w:rsidR="00CD2A5A">
        <w:trPr>
          <w:trHeight w:val="540"/>
          <w:jc w:val="center"/>
        </w:trPr>
        <w:tc>
          <w:tcPr>
            <w:tcW w:w="983" w:type="pct"/>
            <w:vAlign w:val="center"/>
          </w:tcPr>
          <w:p w:rsidR="00CD2A5A" w:rsidRDefault="00CD2A5A">
            <w:pPr>
              <w:spacing w:before="40" w:after="40"/>
              <w:rPr>
                <w:sz w:val="20"/>
                <w:szCs w:val="20"/>
              </w:rPr>
            </w:pPr>
            <w:r>
              <w:rPr>
                <w:sz w:val="20"/>
                <w:szCs w:val="20"/>
              </w:rPr>
              <w:t>Totals</w:t>
            </w:r>
          </w:p>
        </w:tc>
        <w:tc>
          <w:tcPr>
            <w:tcW w:w="452" w:type="pct"/>
            <w:vAlign w:val="center"/>
          </w:tcPr>
          <w:p w:rsidR="00CD2A5A" w:rsidRDefault="00CD2A5A">
            <w:pPr>
              <w:keepNext/>
              <w:spacing w:before="40" w:after="40"/>
              <w:ind w:right="170"/>
              <w:jc w:val="center"/>
              <w:rPr>
                <w:sz w:val="20"/>
                <w:szCs w:val="20"/>
              </w:rPr>
            </w:pPr>
            <w:r>
              <w:rPr>
                <w:sz w:val="20"/>
                <w:szCs w:val="20"/>
              </w:rPr>
              <w:t>5</w:t>
            </w:r>
          </w:p>
        </w:tc>
        <w:tc>
          <w:tcPr>
            <w:tcW w:w="753" w:type="pct"/>
            <w:vAlign w:val="center"/>
          </w:tcPr>
          <w:p w:rsidR="00CD2A5A" w:rsidRDefault="00CD2A5A">
            <w:pPr>
              <w:keepNext/>
              <w:spacing w:before="40" w:after="40"/>
              <w:ind w:right="170"/>
              <w:jc w:val="center"/>
              <w:rPr>
                <w:sz w:val="20"/>
                <w:szCs w:val="20"/>
              </w:rPr>
            </w:pPr>
            <w:r>
              <w:rPr>
                <w:sz w:val="20"/>
                <w:szCs w:val="20"/>
              </w:rPr>
              <w:t>-</w:t>
            </w:r>
          </w:p>
        </w:tc>
        <w:tc>
          <w:tcPr>
            <w:tcW w:w="602" w:type="pct"/>
            <w:vAlign w:val="center"/>
          </w:tcPr>
          <w:p w:rsidR="00CD2A5A" w:rsidRDefault="00CD2A5A">
            <w:pPr>
              <w:keepNext/>
              <w:spacing w:before="40" w:after="40"/>
              <w:ind w:right="170"/>
              <w:jc w:val="center"/>
              <w:rPr>
                <w:sz w:val="20"/>
                <w:szCs w:val="20"/>
              </w:rPr>
            </w:pPr>
            <w:r>
              <w:rPr>
                <w:sz w:val="20"/>
                <w:szCs w:val="20"/>
              </w:rPr>
              <w:t>-</w:t>
            </w:r>
          </w:p>
        </w:tc>
        <w:tc>
          <w:tcPr>
            <w:tcW w:w="452" w:type="pct"/>
            <w:vAlign w:val="center"/>
          </w:tcPr>
          <w:p w:rsidR="00CD2A5A" w:rsidRDefault="00CD2A5A">
            <w:pPr>
              <w:keepNext/>
              <w:spacing w:before="40" w:after="40"/>
              <w:ind w:right="170"/>
              <w:jc w:val="center"/>
              <w:rPr>
                <w:sz w:val="20"/>
                <w:szCs w:val="20"/>
              </w:rPr>
            </w:pPr>
            <w:r>
              <w:rPr>
                <w:sz w:val="20"/>
                <w:szCs w:val="20"/>
              </w:rPr>
              <w:t>5</w:t>
            </w:r>
          </w:p>
        </w:tc>
        <w:tc>
          <w:tcPr>
            <w:tcW w:w="677" w:type="pct"/>
            <w:vAlign w:val="center"/>
          </w:tcPr>
          <w:p w:rsidR="00CD2A5A" w:rsidRDefault="00CD2A5A">
            <w:pPr>
              <w:keepNext/>
              <w:spacing w:before="40" w:after="40"/>
              <w:ind w:right="170"/>
              <w:jc w:val="center"/>
              <w:rPr>
                <w:sz w:val="20"/>
                <w:szCs w:val="20"/>
              </w:rPr>
            </w:pPr>
            <w:r>
              <w:rPr>
                <w:sz w:val="20"/>
                <w:szCs w:val="20"/>
              </w:rPr>
              <w:t>3</w:t>
            </w:r>
          </w:p>
        </w:tc>
        <w:tc>
          <w:tcPr>
            <w:tcW w:w="1082" w:type="pct"/>
            <w:vAlign w:val="center"/>
          </w:tcPr>
          <w:p w:rsidR="00CD2A5A" w:rsidRDefault="00CD2A5A">
            <w:pPr>
              <w:keepNext/>
              <w:spacing w:before="40" w:after="40"/>
              <w:ind w:right="170"/>
              <w:jc w:val="center"/>
              <w:rPr>
                <w:sz w:val="20"/>
                <w:szCs w:val="20"/>
              </w:rPr>
            </w:pPr>
            <w:r>
              <w:rPr>
                <w:sz w:val="20"/>
                <w:szCs w:val="20"/>
              </w:rPr>
              <w:t>2</w:t>
            </w:r>
          </w:p>
        </w:tc>
      </w:tr>
      <w:tr w:rsidR="00CD2A5A">
        <w:trPr>
          <w:trHeight w:val="159"/>
          <w:jc w:val="center"/>
        </w:trPr>
        <w:tc>
          <w:tcPr>
            <w:tcW w:w="983" w:type="pct"/>
            <w:vAlign w:val="center"/>
          </w:tcPr>
          <w:p w:rsidR="00CD2A5A" w:rsidRDefault="00CD2A5A">
            <w:pPr>
              <w:spacing w:before="40" w:after="40"/>
              <w:rPr>
                <w:sz w:val="20"/>
                <w:szCs w:val="20"/>
              </w:rPr>
            </w:pPr>
            <w:r>
              <w:rPr>
                <w:sz w:val="20"/>
                <w:szCs w:val="20"/>
              </w:rPr>
              <w:t>Average per court</w:t>
            </w:r>
          </w:p>
        </w:tc>
        <w:tc>
          <w:tcPr>
            <w:tcW w:w="452" w:type="pct"/>
            <w:vAlign w:val="center"/>
          </w:tcPr>
          <w:p w:rsidR="00CD2A5A" w:rsidRDefault="00CD2A5A">
            <w:pPr>
              <w:keepNext/>
              <w:spacing w:before="40" w:after="40"/>
              <w:ind w:right="170"/>
              <w:jc w:val="center"/>
              <w:rPr>
                <w:sz w:val="20"/>
                <w:szCs w:val="20"/>
              </w:rPr>
            </w:pPr>
            <w:r>
              <w:rPr>
                <w:sz w:val="20"/>
                <w:szCs w:val="20"/>
              </w:rPr>
              <w:t>1</w:t>
            </w:r>
          </w:p>
        </w:tc>
        <w:tc>
          <w:tcPr>
            <w:tcW w:w="753" w:type="pct"/>
            <w:vAlign w:val="center"/>
          </w:tcPr>
          <w:p w:rsidR="00CD2A5A" w:rsidRDefault="00CD2A5A">
            <w:pPr>
              <w:keepNext/>
              <w:spacing w:before="40" w:after="40"/>
              <w:ind w:right="170"/>
              <w:jc w:val="center"/>
              <w:rPr>
                <w:sz w:val="20"/>
                <w:szCs w:val="20"/>
              </w:rPr>
            </w:pPr>
            <w:r>
              <w:rPr>
                <w:sz w:val="20"/>
                <w:szCs w:val="20"/>
              </w:rPr>
              <w:t>-</w:t>
            </w:r>
          </w:p>
        </w:tc>
        <w:tc>
          <w:tcPr>
            <w:tcW w:w="602" w:type="pct"/>
            <w:vAlign w:val="center"/>
          </w:tcPr>
          <w:p w:rsidR="00CD2A5A" w:rsidRDefault="00CD2A5A">
            <w:pPr>
              <w:keepNext/>
              <w:spacing w:before="40" w:after="40"/>
              <w:ind w:right="170"/>
              <w:jc w:val="center"/>
              <w:rPr>
                <w:sz w:val="20"/>
                <w:szCs w:val="20"/>
              </w:rPr>
            </w:pPr>
            <w:r>
              <w:rPr>
                <w:sz w:val="20"/>
                <w:szCs w:val="20"/>
              </w:rPr>
              <w:t>-</w:t>
            </w:r>
          </w:p>
        </w:tc>
        <w:tc>
          <w:tcPr>
            <w:tcW w:w="452" w:type="pct"/>
            <w:vAlign w:val="center"/>
          </w:tcPr>
          <w:p w:rsidR="00CD2A5A" w:rsidRDefault="00CD2A5A">
            <w:pPr>
              <w:keepNext/>
              <w:spacing w:before="40" w:after="40"/>
              <w:ind w:right="170"/>
              <w:jc w:val="center"/>
              <w:rPr>
                <w:sz w:val="20"/>
                <w:szCs w:val="20"/>
              </w:rPr>
            </w:pPr>
            <w:r>
              <w:rPr>
                <w:sz w:val="20"/>
                <w:szCs w:val="20"/>
              </w:rPr>
              <w:t>1</w:t>
            </w:r>
          </w:p>
        </w:tc>
        <w:tc>
          <w:tcPr>
            <w:tcW w:w="677" w:type="pct"/>
            <w:vAlign w:val="center"/>
          </w:tcPr>
          <w:p w:rsidR="00CD2A5A" w:rsidRDefault="00CD2A5A">
            <w:pPr>
              <w:keepNext/>
              <w:spacing w:before="40" w:after="40"/>
              <w:ind w:right="170"/>
              <w:jc w:val="center"/>
              <w:rPr>
                <w:sz w:val="20"/>
                <w:szCs w:val="20"/>
              </w:rPr>
            </w:pPr>
            <w:r>
              <w:rPr>
                <w:sz w:val="20"/>
                <w:szCs w:val="20"/>
              </w:rPr>
              <w:t>1</w:t>
            </w:r>
          </w:p>
        </w:tc>
        <w:tc>
          <w:tcPr>
            <w:tcW w:w="1082" w:type="pct"/>
            <w:vAlign w:val="center"/>
          </w:tcPr>
          <w:p w:rsidR="00CD2A5A" w:rsidRDefault="00CD2A5A">
            <w:pPr>
              <w:keepNext/>
              <w:spacing w:before="40" w:after="40"/>
              <w:ind w:right="170"/>
              <w:jc w:val="center"/>
              <w:rPr>
                <w:sz w:val="20"/>
                <w:szCs w:val="20"/>
              </w:rPr>
            </w:pPr>
            <w:r>
              <w:rPr>
                <w:sz w:val="20"/>
                <w:szCs w:val="20"/>
              </w:rPr>
              <w:t>1</w:t>
            </w:r>
          </w:p>
        </w:tc>
      </w:tr>
    </w:tbl>
    <w:p w:rsidR="00CD2A5A" w:rsidRDefault="00CD2A5A">
      <w:pPr>
        <w:pStyle w:val="Header"/>
        <w:numPr>
          <w:ilvl w:val="0"/>
          <w:numId w:val="3"/>
        </w:numPr>
        <w:tabs>
          <w:tab w:val="clear" w:pos="720"/>
          <w:tab w:val="clear" w:pos="4252"/>
        </w:tabs>
        <w:spacing w:before="240" w:after="240"/>
        <w:ind w:left="0" w:firstLine="0"/>
        <w:rPr>
          <w:lang w:val="en-GB"/>
        </w:rPr>
      </w:pPr>
      <w:r>
        <w:rPr>
          <w:lang w:val="en-GB"/>
        </w:rPr>
        <w:t xml:space="preserve">El Salvador runs a Shelter for Victims of Trafficking in persons, which began to operate on 29 April 2006. It is being coordinated by the General Directorate for Migration and Aliens, together with Fundación Huellas, with the support of the Inter-Institutional Subcommittee, part of the National Committee against Trafficking in Persons and the IOM. From May to December 2006, 51 children were offered comprehensive assistance in the above shelter, most of them female and Salvadoran. </w:t>
      </w:r>
    </w:p>
    <w:p w:rsidR="00CD2A5A" w:rsidRDefault="00CD2A5A" w:rsidP="00CD2A5A">
      <w:pPr>
        <w:pStyle w:val="Figure"/>
      </w:pPr>
      <w:r>
        <w:t>Figure 71</w:t>
      </w:r>
    </w:p>
    <w:p w:rsidR="00CD2A5A" w:rsidRDefault="00CD2A5A" w:rsidP="00CD2A5A">
      <w:pPr>
        <w:pStyle w:val="Figure"/>
      </w:pPr>
      <w:r>
        <w:t>Victims of trafficking, assisted at the shelter of the Directorate General for Migration</w:t>
      </w:r>
    </w:p>
    <w:p w:rsidR="00CD2A5A" w:rsidRDefault="00CD2A5A" w:rsidP="00CD2A5A">
      <w:pPr>
        <w:pStyle w:val="Figure"/>
      </w:pPr>
      <w:r>
        <w:t>(May to December 2006)</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9"/>
        <w:gridCol w:w="1326"/>
        <w:gridCol w:w="1510"/>
        <w:gridCol w:w="1317"/>
        <w:gridCol w:w="1292"/>
        <w:gridCol w:w="1328"/>
      </w:tblGrid>
      <w:tr w:rsidR="00CD2A5A">
        <w:trPr>
          <w:trHeight w:val="54"/>
          <w:jc w:val="center"/>
        </w:trPr>
        <w:tc>
          <w:tcPr>
            <w:tcW w:w="2639" w:type="dxa"/>
            <w:noWrap/>
            <w:vAlign w:val="center"/>
          </w:tcPr>
          <w:p w:rsidR="00CD2A5A" w:rsidRDefault="00CD2A5A">
            <w:pPr>
              <w:pStyle w:val="Heading5"/>
              <w:spacing w:before="40" w:after="40"/>
              <w:jc w:val="center"/>
              <w:rPr>
                <w:i/>
                <w:color w:val="auto"/>
                <w:sz w:val="20"/>
                <w:szCs w:val="20"/>
                <w:lang w:val="en-GB"/>
              </w:rPr>
            </w:pPr>
            <w:r>
              <w:rPr>
                <w:i/>
                <w:color w:val="auto"/>
                <w:sz w:val="20"/>
                <w:szCs w:val="20"/>
                <w:lang w:val="en-GB"/>
              </w:rPr>
              <w:t>Nationality</w:t>
            </w:r>
          </w:p>
        </w:tc>
        <w:tc>
          <w:tcPr>
            <w:tcW w:w="1326" w:type="dxa"/>
            <w:vAlign w:val="center"/>
          </w:tcPr>
          <w:p w:rsidR="00CD2A5A" w:rsidRDefault="00CD2A5A">
            <w:pPr>
              <w:spacing w:before="40" w:after="40"/>
              <w:jc w:val="center"/>
              <w:rPr>
                <w:b/>
                <w:i/>
                <w:sz w:val="20"/>
                <w:szCs w:val="20"/>
              </w:rPr>
            </w:pPr>
            <w:r>
              <w:rPr>
                <w:b/>
                <w:i/>
                <w:sz w:val="20"/>
                <w:szCs w:val="20"/>
              </w:rPr>
              <w:t>Number</w:t>
            </w:r>
          </w:p>
        </w:tc>
        <w:tc>
          <w:tcPr>
            <w:tcW w:w="1510" w:type="dxa"/>
            <w:vAlign w:val="center"/>
          </w:tcPr>
          <w:p w:rsidR="00CD2A5A" w:rsidRDefault="00CD2A5A">
            <w:pPr>
              <w:spacing w:before="40" w:after="40"/>
              <w:jc w:val="center"/>
              <w:rPr>
                <w:b/>
                <w:i/>
                <w:sz w:val="20"/>
                <w:szCs w:val="20"/>
              </w:rPr>
            </w:pPr>
            <w:r>
              <w:rPr>
                <w:b/>
                <w:i/>
                <w:sz w:val="20"/>
                <w:szCs w:val="20"/>
              </w:rPr>
              <w:t>Gender</w:t>
            </w:r>
          </w:p>
        </w:tc>
        <w:tc>
          <w:tcPr>
            <w:tcW w:w="1317" w:type="dxa"/>
            <w:vAlign w:val="center"/>
          </w:tcPr>
          <w:p w:rsidR="00CD2A5A" w:rsidRDefault="00CD2A5A">
            <w:pPr>
              <w:spacing w:before="40" w:after="40"/>
              <w:jc w:val="center"/>
              <w:rPr>
                <w:b/>
                <w:i/>
                <w:sz w:val="20"/>
                <w:szCs w:val="20"/>
              </w:rPr>
            </w:pPr>
            <w:r>
              <w:rPr>
                <w:b/>
                <w:i/>
                <w:sz w:val="20"/>
                <w:szCs w:val="20"/>
              </w:rPr>
              <w:t>Number</w:t>
            </w:r>
          </w:p>
        </w:tc>
        <w:tc>
          <w:tcPr>
            <w:tcW w:w="1292" w:type="dxa"/>
            <w:vAlign w:val="center"/>
          </w:tcPr>
          <w:p w:rsidR="00CD2A5A" w:rsidRDefault="00CD2A5A">
            <w:pPr>
              <w:spacing w:before="40" w:after="40"/>
              <w:jc w:val="center"/>
              <w:rPr>
                <w:b/>
                <w:i/>
                <w:sz w:val="20"/>
                <w:szCs w:val="20"/>
              </w:rPr>
            </w:pPr>
            <w:r>
              <w:rPr>
                <w:b/>
                <w:i/>
                <w:sz w:val="20"/>
                <w:szCs w:val="20"/>
              </w:rPr>
              <w:t>Age range</w:t>
            </w:r>
          </w:p>
        </w:tc>
        <w:tc>
          <w:tcPr>
            <w:tcW w:w="1328" w:type="dxa"/>
            <w:vAlign w:val="center"/>
          </w:tcPr>
          <w:p w:rsidR="00CD2A5A" w:rsidRDefault="00CD2A5A">
            <w:pPr>
              <w:spacing w:before="40" w:after="40"/>
              <w:jc w:val="center"/>
              <w:rPr>
                <w:b/>
                <w:i/>
                <w:sz w:val="20"/>
                <w:szCs w:val="20"/>
              </w:rPr>
            </w:pPr>
            <w:r>
              <w:rPr>
                <w:b/>
                <w:i/>
                <w:sz w:val="20"/>
                <w:szCs w:val="20"/>
              </w:rPr>
              <w:t>Number</w:t>
            </w:r>
          </w:p>
        </w:tc>
      </w:tr>
      <w:tr w:rsidR="00CD2A5A">
        <w:trPr>
          <w:trHeight w:val="300"/>
          <w:jc w:val="center"/>
        </w:trPr>
        <w:tc>
          <w:tcPr>
            <w:tcW w:w="2639" w:type="dxa"/>
            <w:noWrap/>
            <w:vAlign w:val="bottom"/>
          </w:tcPr>
          <w:p w:rsidR="00CD2A5A" w:rsidRDefault="00CD2A5A">
            <w:pPr>
              <w:spacing w:before="40" w:after="40"/>
              <w:rPr>
                <w:sz w:val="20"/>
                <w:szCs w:val="20"/>
              </w:rPr>
            </w:pPr>
            <w:r>
              <w:rPr>
                <w:noProof/>
                <w:sz w:val="20"/>
                <w:szCs w:val="20"/>
              </w:rPr>
              <w:t>El Salvador</w:t>
            </w:r>
          </w:p>
        </w:tc>
        <w:tc>
          <w:tcPr>
            <w:tcW w:w="1326" w:type="dxa"/>
            <w:vAlign w:val="bottom"/>
          </w:tcPr>
          <w:p w:rsidR="00CD2A5A" w:rsidRDefault="00CD2A5A">
            <w:pPr>
              <w:spacing w:before="40" w:after="40"/>
              <w:ind w:right="506"/>
              <w:jc w:val="right"/>
              <w:rPr>
                <w:sz w:val="20"/>
                <w:szCs w:val="20"/>
              </w:rPr>
            </w:pPr>
            <w:r>
              <w:rPr>
                <w:sz w:val="20"/>
                <w:szCs w:val="20"/>
              </w:rPr>
              <w:t>26</w:t>
            </w:r>
          </w:p>
        </w:tc>
        <w:tc>
          <w:tcPr>
            <w:tcW w:w="1510" w:type="dxa"/>
            <w:vAlign w:val="bottom"/>
          </w:tcPr>
          <w:p w:rsidR="00CD2A5A" w:rsidRDefault="00CD2A5A">
            <w:pPr>
              <w:spacing w:before="40" w:after="40"/>
              <w:rPr>
                <w:sz w:val="20"/>
                <w:szCs w:val="20"/>
              </w:rPr>
            </w:pPr>
            <w:r>
              <w:rPr>
                <w:sz w:val="20"/>
                <w:szCs w:val="20"/>
              </w:rPr>
              <w:t>Male</w:t>
            </w:r>
          </w:p>
        </w:tc>
        <w:tc>
          <w:tcPr>
            <w:tcW w:w="1317" w:type="dxa"/>
            <w:vAlign w:val="bottom"/>
          </w:tcPr>
          <w:p w:rsidR="00CD2A5A" w:rsidRDefault="00CD2A5A">
            <w:pPr>
              <w:spacing w:before="40" w:after="40"/>
              <w:ind w:right="497"/>
              <w:jc w:val="right"/>
              <w:rPr>
                <w:sz w:val="20"/>
                <w:szCs w:val="20"/>
              </w:rPr>
            </w:pPr>
            <w:r>
              <w:rPr>
                <w:sz w:val="20"/>
                <w:szCs w:val="20"/>
              </w:rPr>
              <w:t>4</w:t>
            </w:r>
          </w:p>
        </w:tc>
        <w:tc>
          <w:tcPr>
            <w:tcW w:w="1292" w:type="dxa"/>
            <w:vAlign w:val="bottom"/>
          </w:tcPr>
          <w:p w:rsidR="00CD2A5A" w:rsidRDefault="00CD2A5A">
            <w:pPr>
              <w:spacing w:before="40" w:after="40"/>
              <w:jc w:val="center"/>
              <w:rPr>
                <w:sz w:val="20"/>
                <w:szCs w:val="20"/>
              </w:rPr>
            </w:pPr>
            <w:r>
              <w:rPr>
                <w:sz w:val="20"/>
                <w:szCs w:val="20"/>
              </w:rPr>
              <w:t>0 - 3</w:t>
            </w:r>
          </w:p>
        </w:tc>
        <w:tc>
          <w:tcPr>
            <w:tcW w:w="1328" w:type="dxa"/>
            <w:vAlign w:val="bottom"/>
          </w:tcPr>
          <w:p w:rsidR="00CD2A5A" w:rsidRDefault="00CD2A5A">
            <w:pPr>
              <w:spacing w:before="40" w:after="40"/>
              <w:ind w:right="567"/>
              <w:jc w:val="right"/>
              <w:rPr>
                <w:sz w:val="20"/>
                <w:szCs w:val="20"/>
              </w:rPr>
            </w:pPr>
            <w:r>
              <w:rPr>
                <w:sz w:val="20"/>
                <w:szCs w:val="20"/>
              </w:rPr>
              <w:t>5</w:t>
            </w:r>
          </w:p>
        </w:tc>
      </w:tr>
      <w:tr w:rsidR="00CD2A5A">
        <w:trPr>
          <w:trHeight w:val="300"/>
          <w:jc w:val="center"/>
        </w:trPr>
        <w:tc>
          <w:tcPr>
            <w:tcW w:w="2639" w:type="dxa"/>
            <w:noWrap/>
            <w:vAlign w:val="bottom"/>
          </w:tcPr>
          <w:p w:rsidR="00CD2A5A" w:rsidRDefault="00CD2A5A">
            <w:pPr>
              <w:spacing w:before="40" w:after="40"/>
              <w:rPr>
                <w:sz w:val="20"/>
                <w:szCs w:val="20"/>
              </w:rPr>
            </w:pPr>
            <w:r>
              <w:rPr>
                <w:sz w:val="20"/>
                <w:szCs w:val="20"/>
              </w:rPr>
              <w:t>Nicaragua</w:t>
            </w:r>
          </w:p>
        </w:tc>
        <w:tc>
          <w:tcPr>
            <w:tcW w:w="1326" w:type="dxa"/>
            <w:vAlign w:val="bottom"/>
          </w:tcPr>
          <w:p w:rsidR="00CD2A5A" w:rsidRDefault="00CD2A5A">
            <w:pPr>
              <w:spacing w:before="40" w:after="40"/>
              <w:ind w:right="506"/>
              <w:jc w:val="right"/>
              <w:rPr>
                <w:sz w:val="20"/>
                <w:szCs w:val="20"/>
              </w:rPr>
            </w:pPr>
            <w:r>
              <w:rPr>
                <w:sz w:val="20"/>
                <w:szCs w:val="20"/>
              </w:rPr>
              <w:t>10</w:t>
            </w:r>
          </w:p>
        </w:tc>
        <w:tc>
          <w:tcPr>
            <w:tcW w:w="1510" w:type="dxa"/>
            <w:vAlign w:val="bottom"/>
          </w:tcPr>
          <w:p w:rsidR="00CD2A5A" w:rsidRDefault="00CD2A5A">
            <w:pPr>
              <w:spacing w:before="40" w:after="40"/>
              <w:rPr>
                <w:sz w:val="20"/>
                <w:szCs w:val="20"/>
              </w:rPr>
            </w:pPr>
            <w:r>
              <w:rPr>
                <w:sz w:val="20"/>
                <w:szCs w:val="20"/>
              </w:rPr>
              <w:t>Female</w:t>
            </w:r>
          </w:p>
        </w:tc>
        <w:tc>
          <w:tcPr>
            <w:tcW w:w="1317" w:type="dxa"/>
            <w:vAlign w:val="bottom"/>
          </w:tcPr>
          <w:p w:rsidR="00CD2A5A" w:rsidRDefault="00CD2A5A">
            <w:pPr>
              <w:spacing w:before="40" w:after="40"/>
              <w:ind w:right="497"/>
              <w:jc w:val="right"/>
              <w:rPr>
                <w:sz w:val="20"/>
                <w:szCs w:val="20"/>
              </w:rPr>
            </w:pPr>
            <w:r>
              <w:rPr>
                <w:sz w:val="20"/>
                <w:szCs w:val="20"/>
              </w:rPr>
              <w:t>56</w:t>
            </w:r>
          </w:p>
        </w:tc>
        <w:tc>
          <w:tcPr>
            <w:tcW w:w="1292" w:type="dxa"/>
            <w:vAlign w:val="bottom"/>
          </w:tcPr>
          <w:p w:rsidR="00CD2A5A" w:rsidRDefault="00CD2A5A">
            <w:pPr>
              <w:spacing w:before="40" w:after="40"/>
              <w:jc w:val="center"/>
              <w:rPr>
                <w:sz w:val="20"/>
                <w:szCs w:val="20"/>
              </w:rPr>
            </w:pPr>
            <w:r>
              <w:rPr>
                <w:sz w:val="20"/>
                <w:szCs w:val="20"/>
              </w:rPr>
              <w:t>4 - 6</w:t>
            </w:r>
          </w:p>
        </w:tc>
        <w:tc>
          <w:tcPr>
            <w:tcW w:w="1328" w:type="dxa"/>
            <w:vAlign w:val="bottom"/>
          </w:tcPr>
          <w:p w:rsidR="00CD2A5A" w:rsidRDefault="00CD2A5A">
            <w:pPr>
              <w:spacing w:before="40" w:after="40"/>
              <w:ind w:right="567"/>
              <w:jc w:val="right"/>
              <w:rPr>
                <w:sz w:val="20"/>
                <w:szCs w:val="20"/>
              </w:rPr>
            </w:pPr>
            <w:r>
              <w:rPr>
                <w:sz w:val="20"/>
                <w:szCs w:val="20"/>
              </w:rPr>
              <w:t>3</w:t>
            </w:r>
          </w:p>
        </w:tc>
      </w:tr>
      <w:tr w:rsidR="00CD2A5A">
        <w:trPr>
          <w:cantSplit/>
          <w:trHeight w:val="300"/>
          <w:jc w:val="center"/>
        </w:trPr>
        <w:tc>
          <w:tcPr>
            <w:tcW w:w="2639" w:type="dxa"/>
            <w:noWrap/>
            <w:vAlign w:val="bottom"/>
          </w:tcPr>
          <w:p w:rsidR="00CD2A5A" w:rsidRDefault="00CD2A5A">
            <w:pPr>
              <w:spacing w:before="40" w:after="40"/>
              <w:rPr>
                <w:sz w:val="20"/>
                <w:szCs w:val="20"/>
              </w:rPr>
            </w:pPr>
            <w:r>
              <w:rPr>
                <w:sz w:val="20"/>
                <w:szCs w:val="20"/>
              </w:rPr>
              <w:t>Mexico</w:t>
            </w:r>
          </w:p>
        </w:tc>
        <w:tc>
          <w:tcPr>
            <w:tcW w:w="1326" w:type="dxa"/>
            <w:vAlign w:val="bottom"/>
          </w:tcPr>
          <w:p w:rsidR="00CD2A5A" w:rsidRDefault="00CD2A5A">
            <w:pPr>
              <w:spacing w:before="40" w:after="40"/>
              <w:ind w:right="506"/>
              <w:jc w:val="right"/>
              <w:rPr>
                <w:sz w:val="20"/>
                <w:szCs w:val="20"/>
              </w:rPr>
            </w:pPr>
            <w:r>
              <w:rPr>
                <w:sz w:val="20"/>
                <w:szCs w:val="20"/>
              </w:rPr>
              <w:t>9</w:t>
            </w:r>
          </w:p>
        </w:tc>
        <w:tc>
          <w:tcPr>
            <w:tcW w:w="2827" w:type="dxa"/>
            <w:gridSpan w:val="2"/>
            <w:vMerge w:val="restart"/>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7 - 9</w:t>
            </w:r>
          </w:p>
        </w:tc>
        <w:tc>
          <w:tcPr>
            <w:tcW w:w="1328" w:type="dxa"/>
            <w:vAlign w:val="bottom"/>
          </w:tcPr>
          <w:p w:rsidR="00CD2A5A" w:rsidRDefault="00CD2A5A">
            <w:pPr>
              <w:spacing w:before="40" w:after="40"/>
              <w:ind w:right="567"/>
              <w:jc w:val="right"/>
              <w:rPr>
                <w:sz w:val="20"/>
                <w:szCs w:val="20"/>
              </w:rPr>
            </w:pPr>
            <w:r>
              <w:rPr>
                <w:sz w:val="20"/>
                <w:szCs w:val="20"/>
              </w:rPr>
              <w:t>3</w:t>
            </w:r>
          </w:p>
        </w:tc>
      </w:tr>
      <w:tr w:rsidR="00CD2A5A">
        <w:trPr>
          <w:cantSplit/>
          <w:trHeight w:val="300"/>
          <w:jc w:val="center"/>
        </w:trPr>
        <w:tc>
          <w:tcPr>
            <w:tcW w:w="2639" w:type="dxa"/>
            <w:noWrap/>
            <w:vAlign w:val="bottom"/>
          </w:tcPr>
          <w:p w:rsidR="00CD2A5A" w:rsidRDefault="00CD2A5A">
            <w:pPr>
              <w:spacing w:before="40" w:after="40"/>
              <w:rPr>
                <w:sz w:val="20"/>
                <w:szCs w:val="20"/>
              </w:rPr>
            </w:pPr>
            <w:r>
              <w:rPr>
                <w:noProof/>
                <w:sz w:val="20"/>
                <w:szCs w:val="20"/>
              </w:rPr>
              <w:t>Guatemala</w:t>
            </w:r>
          </w:p>
        </w:tc>
        <w:tc>
          <w:tcPr>
            <w:tcW w:w="1326" w:type="dxa"/>
            <w:vAlign w:val="bottom"/>
          </w:tcPr>
          <w:p w:rsidR="00CD2A5A" w:rsidRDefault="00CD2A5A">
            <w:pPr>
              <w:spacing w:before="40" w:after="40"/>
              <w:ind w:right="506"/>
              <w:jc w:val="right"/>
              <w:rPr>
                <w:sz w:val="20"/>
                <w:szCs w:val="20"/>
              </w:rPr>
            </w:pPr>
            <w:r>
              <w:rPr>
                <w:sz w:val="20"/>
                <w:szCs w:val="20"/>
              </w:rPr>
              <w:t>6</w:t>
            </w: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10 - 12</w:t>
            </w:r>
          </w:p>
        </w:tc>
        <w:tc>
          <w:tcPr>
            <w:tcW w:w="1328" w:type="dxa"/>
            <w:vAlign w:val="bottom"/>
          </w:tcPr>
          <w:p w:rsidR="00CD2A5A" w:rsidRDefault="00CD2A5A">
            <w:pPr>
              <w:spacing w:before="40" w:after="40"/>
              <w:ind w:right="567"/>
              <w:jc w:val="right"/>
              <w:rPr>
                <w:sz w:val="20"/>
                <w:szCs w:val="20"/>
              </w:rPr>
            </w:pPr>
            <w:r>
              <w:rPr>
                <w:sz w:val="20"/>
                <w:szCs w:val="20"/>
              </w:rPr>
              <w:t>6</w:t>
            </w:r>
          </w:p>
        </w:tc>
      </w:tr>
      <w:tr w:rsidR="00CD2A5A">
        <w:trPr>
          <w:cantSplit/>
          <w:trHeight w:val="300"/>
          <w:jc w:val="center"/>
        </w:trPr>
        <w:tc>
          <w:tcPr>
            <w:tcW w:w="2639" w:type="dxa"/>
            <w:noWrap/>
            <w:vAlign w:val="bottom"/>
          </w:tcPr>
          <w:p w:rsidR="00CD2A5A" w:rsidRDefault="00CD2A5A">
            <w:pPr>
              <w:spacing w:before="40" w:after="40"/>
              <w:rPr>
                <w:sz w:val="20"/>
                <w:szCs w:val="20"/>
              </w:rPr>
            </w:pPr>
            <w:r>
              <w:rPr>
                <w:noProof/>
                <w:sz w:val="20"/>
                <w:szCs w:val="20"/>
              </w:rPr>
              <w:t>Honduras</w:t>
            </w:r>
          </w:p>
        </w:tc>
        <w:tc>
          <w:tcPr>
            <w:tcW w:w="1326" w:type="dxa"/>
            <w:vAlign w:val="bottom"/>
          </w:tcPr>
          <w:p w:rsidR="00CD2A5A" w:rsidRDefault="00CD2A5A">
            <w:pPr>
              <w:spacing w:before="40" w:after="40"/>
              <w:ind w:right="506"/>
              <w:jc w:val="right"/>
              <w:rPr>
                <w:sz w:val="20"/>
                <w:szCs w:val="20"/>
              </w:rPr>
            </w:pPr>
            <w:r>
              <w:rPr>
                <w:sz w:val="20"/>
                <w:szCs w:val="20"/>
              </w:rPr>
              <w:t>5</w:t>
            </w: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13 - 15</w:t>
            </w:r>
          </w:p>
        </w:tc>
        <w:tc>
          <w:tcPr>
            <w:tcW w:w="1328" w:type="dxa"/>
            <w:vAlign w:val="bottom"/>
          </w:tcPr>
          <w:p w:rsidR="00CD2A5A" w:rsidRDefault="00CD2A5A">
            <w:pPr>
              <w:spacing w:before="40" w:after="40"/>
              <w:ind w:right="567"/>
              <w:jc w:val="right"/>
              <w:rPr>
                <w:sz w:val="20"/>
                <w:szCs w:val="20"/>
              </w:rPr>
            </w:pPr>
            <w:r>
              <w:rPr>
                <w:sz w:val="20"/>
                <w:szCs w:val="20"/>
              </w:rPr>
              <w:t>6</w:t>
            </w:r>
          </w:p>
        </w:tc>
      </w:tr>
      <w:tr w:rsidR="00CD2A5A">
        <w:trPr>
          <w:cantSplit/>
          <w:trHeight w:val="300"/>
          <w:jc w:val="center"/>
        </w:trPr>
        <w:tc>
          <w:tcPr>
            <w:tcW w:w="2639" w:type="dxa"/>
            <w:noWrap/>
            <w:vAlign w:val="bottom"/>
          </w:tcPr>
          <w:p w:rsidR="00CD2A5A" w:rsidRDefault="00CD2A5A">
            <w:pPr>
              <w:spacing w:before="40" w:after="40"/>
              <w:rPr>
                <w:sz w:val="20"/>
                <w:szCs w:val="20"/>
              </w:rPr>
            </w:pPr>
            <w:r>
              <w:rPr>
                <w:sz w:val="20"/>
                <w:szCs w:val="20"/>
              </w:rPr>
              <w:t>Colombia</w:t>
            </w:r>
          </w:p>
        </w:tc>
        <w:tc>
          <w:tcPr>
            <w:tcW w:w="1326" w:type="dxa"/>
            <w:vAlign w:val="bottom"/>
          </w:tcPr>
          <w:p w:rsidR="00CD2A5A" w:rsidRDefault="00CD2A5A">
            <w:pPr>
              <w:spacing w:before="40" w:after="40"/>
              <w:ind w:right="506"/>
              <w:jc w:val="right"/>
              <w:rPr>
                <w:sz w:val="20"/>
                <w:szCs w:val="20"/>
              </w:rPr>
            </w:pPr>
            <w:r>
              <w:rPr>
                <w:sz w:val="20"/>
                <w:szCs w:val="20"/>
              </w:rPr>
              <w:t>4</w:t>
            </w: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16 - 18</w:t>
            </w:r>
          </w:p>
        </w:tc>
        <w:tc>
          <w:tcPr>
            <w:tcW w:w="1328" w:type="dxa"/>
            <w:vAlign w:val="bottom"/>
          </w:tcPr>
          <w:p w:rsidR="00CD2A5A" w:rsidRDefault="00CD2A5A">
            <w:pPr>
              <w:spacing w:before="40" w:after="40"/>
              <w:ind w:right="567"/>
              <w:jc w:val="right"/>
              <w:rPr>
                <w:sz w:val="20"/>
                <w:szCs w:val="20"/>
              </w:rPr>
            </w:pPr>
            <w:r>
              <w:rPr>
                <w:sz w:val="20"/>
                <w:szCs w:val="20"/>
              </w:rPr>
              <w:t>28</w:t>
            </w:r>
          </w:p>
        </w:tc>
      </w:tr>
      <w:tr w:rsidR="00CD2A5A">
        <w:trPr>
          <w:cantSplit/>
          <w:trHeight w:val="300"/>
          <w:jc w:val="center"/>
        </w:trPr>
        <w:tc>
          <w:tcPr>
            <w:tcW w:w="3965" w:type="dxa"/>
            <w:gridSpan w:val="2"/>
            <w:vMerge w:val="restart"/>
            <w:noWrap/>
            <w:vAlign w:val="bottom"/>
          </w:tcPr>
          <w:p w:rsidR="00CD2A5A" w:rsidRDefault="00CD2A5A">
            <w:pPr>
              <w:spacing w:before="40" w:after="40"/>
              <w:rPr>
                <w:sz w:val="20"/>
                <w:szCs w:val="20"/>
              </w:rPr>
            </w:pP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19 - 21</w:t>
            </w:r>
          </w:p>
        </w:tc>
        <w:tc>
          <w:tcPr>
            <w:tcW w:w="1328" w:type="dxa"/>
            <w:vAlign w:val="bottom"/>
          </w:tcPr>
          <w:p w:rsidR="00CD2A5A" w:rsidRDefault="00CD2A5A">
            <w:pPr>
              <w:spacing w:before="40" w:after="40"/>
              <w:ind w:right="567"/>
              <w:jc w:val="right"/>
              <w:rPr>
                <w:sz w:val="20"/>
                <w:szCs w:val="20"/>
              </w:rPr>
            </w:pPr>
            <w:r>
              <w:rPr>
                <w:sz w:val="20"/>
                <w:szCs w:val="20"/>
              </w:rPr>
              <w:t>4</w:t>
            </w:r>
          </w:p>
        </w:tc>
      </w:tr>
      <w:tr w:rsidR="00CD2A5A">
        <w:trPr>
          <w:cantSplit/>
          <w:trHeight w:val="300"/>
          <w:jc w:val="center"/>
        </w:trPr>
        <w:tc>
          <w:tcPr>
            <w:tcW w:w="3965" w:type="dxa"/>
            <w:gridSpan w:val="2"/>
            <w:vMerge/>
            <w:noWrap/>
            <w:vAlign w:val="bottom"/>
          </w:tcPr>
          <w:p w:rsidR="00CD2A5A" w:rsidRDefault="00CD2A5A">
            <w:pPr>
              <w:spacing w:before="40" w:after="40"/>
              <w:rPr>
                <w:sz w:val="20"/>
                <w:szCs w:val="20"/>
              </w:rPr>
            </w:pP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22 - 24</w:t>
            </w:r>
          </w:p>
        </w:tc>
        <w:tc>
          <w:tcPr>
            <w:tcW w:w="1328" w:type="dxa"/>
            <w:vAlign w:val="bottom"/>
          </w:tcPr>
          <w:p w:rsidR="00CD2A5A" w:rsidRDefault="00CD2A5A">
            <w:pPr>
              <w:spacing w:before="40" w:after="40"/>
              <w:ind w:right="567"/>
              <w:jc w:val="right"/>
              <w:rPr>
                <w:sz w:val="20"/>
                <w:szCs w:val="20"/>
              </w:rPr>
            </w:pPr>
            <w:r>
              <w:rPr>
                <w:sz w:val="20"/>
                <w:szCs w:val="20"/>
              </w:rPr>
              <w:t>3</w:t>
            </w:r>
          </w:p>
        </w:tc>
      </w:tr>
      <w:tr w:rsidR="00CD2A5A">
        <w:trPr>
          <w:cantSplit/>
          <w:trHeight w:val="300"/>
          <w:jc w:val="center"/>
        </w:trPr>
        <w:tc>
          <w:tcPr>
            <w:tcW w:w="3965" w:type="dxa"/>
            <w:gridSpan w:val="2"/>
            <w:vMerge/>
            <w:noWrap/>
            <w:vAlign w:val="bottom"/>
          </w:tcPr>
          <w:p w:rsidR="00CD2A5A" w:rsidRDefault="00CD2A5A">
            <w:pPr>
              <w:spacing w:before="40" w:after="40"/>
              <w:rPr>
                <w:sz w:val="20"/>
                <w:szCs w:val="20"/>
              </w:rPr>
            </w:pP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25 - 27</w:t>
            </w:r>
          </w:p>
        </w:tc>
        <w:tc>
          <w:tcPr>
            <w:tcW w:w="1328" w:type="dxa"/>
            <w:vAlign w:val="bottom"/>
          </w:tcPr>
          <w:p w:rsidR="00CD2A5A" w:rsidRDefault="00CD2A5A">
            <w:pPr>
              <w:spacing w:before="40" w:after="40"/>
              <w:ind w:right="567"/>
              <w:jc w:val="right"/>
              <w:rPr>
                <w:sz w:val="20"/>
                <w:szCs w:val="20"/>
              </w:rPr>
            </w:pPr>
            <w:r>
              <w:rPr>
                <w:sz w:val="20"/>
                <w:szCs w:val="20"/>
              </w:rPr>
              <w:t>2</w:t>
            </w:r>
          </w:p>
        </w:tc>
      </w:tr>
      <w:tr w:rsidR="00CD2A5A">
        <w:trPr>
          <w:cantSplit/>
          <w:trHeight w:val="300"/>
          <w:jc w:val="center"/>
        </w:trPr>
        <w:tc>
          <w:tcPr>
            <w:tcW w:w="3965" w:type="dxa"/>
            <w:gridSpan w:val="2"/>
            <w:vMerge/>
            <w:noWrap/>
            <w:vAlign w:val="bottom"/>
          </w:tcPr>
          <w:p w:rsidR="00CD2A5A" w:rsidRDefault="00CD2A5A">
            <w:pPr>
              <w:spacing w:before="40" w:after="40"/>
              <w:rPr>
                <w:sz w:val="20"/>
                <w:szCs w:val="20"/>
              </w:rPr>
            </w:pP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28 - 30</w:t>
            </w:r>
          </w:p>
        </w:tc>
        <w:tc>
          <w:tcPr>
            <w:tcW w:w="1328" w:type="dxa"/>
            <w:vAlign w:val="bottom"/>
          </w:tcPr>
          <w:p w:rsidR="00CD2A5A" w:rsidRDefault="00CD2A5A">
            <w:pPr>
              <w:spacing w:before="40" w:after="40"/>
              <w:ind w:right="567"/>
              <w:jc w:val="right"/>
              <w:rPr>
                <w:sz w:val="20"/>
                <w:szCs w:val="20"/>
              </w:rPr>
            </w:pPr>
            <w:r>
              <w:rPr>
                <w:sz w:val="20"/>
                <w:szCs w:val="20"/>
              </w:rPr>
              <w:t>0</w:t>
            </w:r>
          </w:p>
        </w:tc>
      </w:tr>
      <w:tr w:rsidR="00CD2A5A">
        <w:trPr>
          <w:cantSplit/>
          <w:trHeight w:val="300"/>
          <w:jc w:val="center"/>
        </w:trPr>
        <w:tc>
          <w:tcPr>
            <w:tcW w:w="3965" w:type="dxa"/>
            <w:gridSpan w:val="2"/>
            <w:vMerge/>
            <w:noWrap/>
            <w:vAlign w:val="bottom"/>
          </w:tcPr>
          <w:p w:rsidR="00CD2A5A" w:rsidRDefault="00CD2A5A">
            <w:pPr>
              <w:spacing w:before="40" w:after="40"/>
              <w:rPr>
                <w:sz w:val="20"/>
                <w:szCs w:val="20"/>
              </w:rPr>
            </w:pPr>
          </w:p>
        </w:tc>
        <w:tc>
          <w:tcPr>
            <w:tcW w:w="2827" w:type="dxa"/>
            <w:gridSpan w:val="2"/>
            <w:vMerge/>
          </w:tcPr>
          <w:p w:rsidR="00CD2A5A" w:rsidRDefault="00CD2A5A">
            <w:pPr>
              <w:spacing w:before="40" w:after="40"/>
              <w:rPr>
                <w:sz w:val="20"/>
                <w:szCs w:val="20"/>
              </w:rPr>
            </w:pPr>
          </w:p>
        </w:tc>
        <w:tc>
          <w:tcPr>
            <w:tcW w:w="1292" w:type="dxa"/>
            <w:vAlign w:val="bottom"/>
          </w:tcPr>
          <w:p w:rsidR="00CD2A5A" w:rsidRDefault="00CD2A5A">
            <w:pPr>
              <w:spacing w:before="40" w:after="40"/>
              <w:jc w:val="center"/>
              <w:rPr>
                <w:sz w:val="20"/>
                <w:szCs w:val="20"/>
              </w:rPr>
            </w:pPr>
            <w:r>
              <w:rPr>
                <w:sz w:val="20"/>
                <w:szCs w:val="20"/>
              </w:rPr>
              <w:t>Over 30</w:t>
            </w:r>
          </w:p>
        </w:tc>
        <w:tc>
          <w:tcPr>
            <w:tcW w:w="1328" w:type="dxa"/>
            <w:vAlign w:val="bottom"/>
          </w:tcPr>
          <w:p w:rsidR="00CD2A5A" w:rsidRDefault="00CD2A5A">
            <w:pPr>
              <w:spacing w:before="40" w:after="40"/>
              <w:ind w:right="567"/>
              <w:jc w:val="right"/>
              <w:rPr>
                <w:sz w:val="20"/>
                <w:szCs w:val="20"/>
              </w:rPr>
            </w:pPr>
            <w:r>
              <w:rPr>
                <w:sz w:val="20"/>
                <w:szCs w:val="20"/>
              </w:rPr>
              <w:t>0</w:t>
            </w:r>
          </w:p>
        </w:tc>
      </w:tr>
      <w:tr w:rsidR="00CD2A5A">
        <w:trPr>
          <w:trHeight w:val="300"/>
          <w:jc w:val="center"/>
        </w:trPr>
        <w:tc>
          <w:tcPr>
            <w:tcW w:w="9412" w:type="dxa"/>
            <w:gridSpan w:val="6"/>
            <w:noWrap/>
            <w:vAlign w:val="bottom"/>
          </w:tcPr>
          <w:p w:rsidR="00CD2A5A" w:rsidRDefault="00CD2A5A">
            <w:pPr>
              <w:spacing w:before="40" w:after="40"/>
              <w:rPr>
                <w:sz w:val="20"/>
                <w:szCs w:val="20"/>
              </w:rPr>
            </w:pPr>
            <w:r>
              <w:rPr>
                <w:noProof/>
                <w:sz w:val="20"/>
                <w:szCs w:val="20"/>
              </w:rPr>
              <w:t xml:space="preserve">  Total 60</w:t>
            </w:r>
          </w:p>
        </w:tc>
      </w:tr>
    </w:tbl>
    <w:p w:rsidR="00CD2A5A" w:rsidRDefault="00CD2A5A">
      <w:pPr>
        <w:pStyle w:val="Header"/>
        <w:numPr>
          <w:ilvl w:val="0"/>
          <w:numId w:val="3"/>
        </w:numPr>
        <w:tabs>
          <w:tab w:val="clear" w:pos="720"/>
          <w:tab w:val="clear" w:pos="4252"/>
        </w:tabs>
        <w:spacing w:after="240"/>
        <w:ind w:left="0" w:firstLine="0"/>
        <w:rPr>
          <w:lang w:val="en-GB"/>
        </w:rPr>
      </w:pPr>
      <w:r>
        <w:rPr>
          <w:lang w:val="en-GB"/>
        </w:rPr>
        <w:t>In 2005, the General Directorate for Migration and Aliens returned 36 boys and 16 girls aged between 20 days and 17 years to their countries of origin. During 2006, 28 boys and 27 girls aged between 7 months and 17 years were returned. As a general rule, the reasons for deportation were family reunification, the repatriation of victims of trafficking, and migration documents not being in order. The children's nationalities are detailed in the following tables.</w:t>
      </w:r>
    </w:p>
    <w:p w:rsidR="00CD2A5A" w:rsidRDefault="00CD2A5A" w:rsidP="00CD2A5A">
      <w:pPr>
        <w:pStyle w:val="Figure"/>
      </w:pPr>
      <w:r>
        <w:t>Figure 72</w:t>
      </w:r>
    </w:p>
    <w:p w:rsidR="00CD2A5A" w:rsidRDefault="00CD2A5A" w:rsidP="00CD2A5A">
      <w:pPr>
        <w:pStyle w:val="Figure"/>
      </w:pPr>
      <w:r>
        <w:t>Minors returning to their countries of origin (2005)</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8"/>
        <w:gridCol w:w="3970"/>
      </w:tblGrid>
      <w:tr w:rsidR="00CD2A5A">
        <w:trPr>
          <w:trHeight w:val="255"/>
          <w:jc w:val="center"/>
        </w:trPr>
        <w:tc>
          <w:tcPr>
            <w:tcW w:w="4705" w:type="dxa"/>
            <w:noWrap/>
            <w:vAlign w:val="center"/>
          </w:tcPr>
          <w:p w:rsidR="00CD2A5A" w:rsidRDefault="00CD2A5A">
            <w:pPr>
              <w:spacing w:before="20" w:after="20"/>
              <w:jc w:val="center"/>
              <w:rPr>
                <w:b/>
                <w:i/>
                <w:sz w:val="20"/>
                <w:szCs w:val="20"/>
              </w:rPr>
            </w:pPr>
            <w:r>
              <w:rPr>
                <w:b/>
                <w:i/>
                <w:sz w:val="20"/>
                <w:szCs w:val="20"/>
              </w:rPr>
              <w:t>Country of origin</w:t>
            </w:r>
          </w:p>
        </w:tc>
        <w:tc>
          <w:tcPr>
            <w:tcW w:w="4707" w:type="dxa"/>
            <w:noWrap/>
            <w:vAlign w:val="center"/>
          </w:tcPr>
          <w:p w:rsidR="00CD2A5A" w:rsidRDefault="00CD2A5A">
            <w:pPr>
              <w:spacing w:before="20" w:after="20"/>
              <w:jc w:val="center"/>
              <w:rPr>
                <w:b/>
                <w:i/>
                <w:sz w:val="20"/>
                <w:szCs w:val="20"/>
              </w:rPr>
            </w:pPr>
            <w:r>
              <w:rPr>
                <w:b/>
                <w:i/>
                <w:sz w:val="20"/>
                <w:szCs w:val="20"/>
              </w:rPr>
              <w:t>Number of children</w:t>
            </w:r>
          </w:p>
        </w:tc>
      </w:tr>
      <w:tr w:rsidR="00CD2A5A">
        <w:trPr>
          <w:trHeight w:val="255"/>
          <w:jc w:val="center"/>
        </w:trPr>
        <w:tc>
          <w:tcPr>
            <w:tcW w:w="4705" w:type="dxa"/>
            <w:noWrap/>
            <w:vAlign w:val="bottom"/>
          </w:tcPr>
          <w:p w:rsidR="00CD2A5A" w:rsidRDefault="00CD2A5A">
            <w:pPr>
              <w:pStyle w:val="Header"/>
              <w:tabs>
                <w:tab w:val="clear" w:pos="4252"/>
              </w:tabs>
              <w:spacing w:before="20" w:after="20"/>
              <w:rPr>
                <w:sz w:val="20"/>
                <w:szCs w:val="20"/>
                <w:lang w:val="en-GB"/>
              </w:rPr>
            </w:pPr>
            <w:r>
              <w:rPr>
                <w:sz w:val="20"/>
                <w:szCs w:val="20"/>
                <w:lang w:val="en-GB"/>
              </w:rPr>
              <w:t xml:space="preserve">Guatemala </w:t>
            </w:r>
          </w:p>
        </w:tc>
        <w:tc>
          <w:tcPr>
            <w:tcW w:w="4707" w:type="dxa"/>
            <w:noWrap/>
            <w:vAlign w:val="bottom"/>
          </w:tcPr>
          <w:p w:rsidR="00CD2A5A" w:rsidRDefault="00CD2A5A">
            <w:pPr>
              <w:spacing w:before="20" w:after="20"/>
              <w:ind w:right="2012"/>
              <w:jc w:val="right"/>
              <w:rPr>
                <w:sz w:val="20"/>
                <w:szCs w:val="20"/>
              </w:rPr>
            </w:pPr>
            <w:r>
              <w:rPr>
                <w:sz w:val="20"/>
                <w:szCs w:val="20"/>
              </w:rPr>
              <w:t>10</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Nicaragua</w:t>
            </w:r>
          </w:p>
        </w:tc>
        <w:tc>
          <w:tcPr>
            <w:tcW w:w="4707" w:type="dxa"/>
            <w:noWrap/>
            <w:vAlign w:val="bottom"/>
          </w:tcPr>
          <w:p w:rsidR="00CD2A5A" w:rsidRDefault="00CD2A5A">
            <w:pPr>
              <w:spacing w:before="20" w:after="20"/>
              <w:ind w:right="2012"/>
              <w:jc w:val="right"/>
              <w:rPr>
                <w:sz w:val="20"/>
                <w:szCs w:val="20"/>
              </w:rPr>
            </w:pPr>
            <w:r>
              <w:rPr>
                <w:sz w:val="20"/>
                <w:szCs w:val="20"/>
              </w:rPr>
              <w:t>15</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Honduras</w:t>
            </w:r>
          </w:p>
        </w:tc>
        <w:tc>
          <w:tcPr>
            <w:tcW w:w="4707" w:type="dxa"/>
            <w:noWrap/>
            <w:vAlign w:val="bottom"/>
          </w:tcPr>
          <w:p w:rsidR="00CD2A5A" w:rsidRDefault="00CD2A5A">
            <w:pPr>
              <w:spacing w:before="20" w:after="20"/>
              <w:ind w:right="2012"/>
              <w:jc w:val="right"/>
              <w:rPr>
                <w:sz w:val="20"/>
                <w:szCs w:val="20"/>
              </w:rPr>
            </w:pPr>
            <w:r>
              <w:rPr>
                <w:sz w:val="20"/>
                <w:szCs w:val="20"/>
              </w:rPr>
              <w:t>25</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Mexico</w:t>
            </w:r>
          </w:p>
        </w:tc>
        <w:tc>
          <w:tcPr>
            <w:tcW w:w="4707" w:type="dxa"/>
            <w:noWrap/>
            <w:vAlign w:val="bottom"/>
          </w:tcPr>
          <w:p w:rsidR="00CD2A5A" w:rsidRDefault="00CD2A5A">
            <w:pPr>
              <w:spacing w:before="20" w:after="20"/>
              <w:ind w:right="2012"/>
              <w:jc w:val="right"/>
              <w:rPr>
                <w:sz w:val="20"/>
                <w:szCs w:val="20"/>
              </w:rPr>
            </w:pPr>
            <w:r>
              <w:rPr>
                <w:sz w:val="20"/>
                <w:szCs w:val="20"/>
              </w:rPr>
              <w:t>2</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Ecuador</w:t>
            </w:r>
          </w:p>
        </w:tc>
        <w:tc>
          <w:tcPr>
            <w:tcW w:w="4707" w:type="dxa"/>
            <w:noWrap/>
            <w:vAlign w:val="bottom"/>
          </w:tcPr>
          <w:p w:rsidR="00CD2A5A" w:rsidRDefault="00CD2A5A">
            <w:pPr>
              <w:spacing w:before="20" w:after="20"/>
              <w:ind w:right="2012"/>
              <w:jc w:val="right"/>
              <w:rPr>
                <w:sz w:val="20"/>
                <w:szCs w:val="20"/>
              </w:rPr>
            </w:pPr>
            <w:r>
              <w:rPr>
                <w:sz w:val="20"/>
                <w:szCs w:val="20"/>
              </w:rPr>
              <w:t>2</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Belize</w:t>
            </w:r>
          </w:p>
        </w:tc>
        <w:tc>
          <w:tcPr>
            <w:tcW w:w="4707" w:type="dxa"/>
            <w:noWrap/>
            <w:vAlign w:val="bottom"/>
          </w:tcPr>
          <w:p w:rsidR="00CD2A5A" w:rsidRDefault="00CD2A5A">
            <w:pPr>
              <w:spacing w:before="20" w:after="20"/>
              <w:ind w:right="2012"/>
              <w:jc w:val="right"/>
              <w:rPr>
                <w:sz w:val="20"/>
                <w:szCs w:val="20"/>
              </w:rPr>
            </w:pPr>
            <w:r>
              <w:rPr>
                <w:sz w:val="20"/>
                <w:szCs w:val="20"/>
              </w:rPr>
              <w:t>2</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Bolivia</w:t>
            </w:r>
          </w:p>
        </w:tc>
        <w:tc>
          <w:tcPr>
            <w:tcW w:w="4707" w:type="dxa"/>
            <w:noWrap/>
            <w:vAlign w:val="bottom"/>
          </w:tcPr>
          <w:p w:rsidR="00CD2A5A" w:rsidRDefault="00CD2A5A">
            <w:pPr>
              <w:spacing w:before="20" w:after="20"/>
              <w:ind w:right="2012"/>
              <w:jc w:val="right"/>
              <w:rPr>
                <w:sz w:val="20"/>
                <w:szCs w:val="20"/>
              </w:rPr>
            </w:pPr>
            <w:r>
              <w:rPr>
                <w:sz w:val="20"/>
                <w:szCs w:val="20"/>
              </w:rPr>
              <w:t>1</w:t>
            </w:r>
          </w:p>
        </w:tc>
      </w:tr>
      <w:tr w:rsidR="00CD2A5A">
        <w:trPr>
          <w:trHeight w:val="255"/>
          <w:jc w:val="center"/>
        </w:trPr>
        <w:tc>
          <w:tcPr>
            <w:tcW w:w="4705" w:type="dxa"/>
            <w:noWrap/>
            <w:vAlign w:val="bottom"/>
          </w:tcPr>
          <w:p w:rsidR="00CD2A5A" w:rsidRDefault="00CD2A5A">
            <w:pPr>
              <w:spacing w:before="20" w:after="20"/>
              <w:rPr>
                <w:sz w:val="20"/>
                <w:szCs w:val="20"/>
              </w:rPr>
            </w:pPr>
            <w:r>
              <w:rPr>
                <w:sz w:val="20"/>
                <w:szCs w:val="20"/>
              </w:rPr>
              <w:t xml:space="preserve">  Total </w:t>
            </w:r>
          </w:p>
        </w:tc>
        <w:tc>
          <w:tcPr>
            <w:tcW w:w="4707" w:type="dxa"/>
            <w:noWrap/>
            <w:vAlign w:val="bottom"/>
          </w:tcPr>
          <w:p w:rsidR="00CD2A5A" w:rsidRDefault="00CD2A5A">
            <w:pPr>
              <w:spacing w:before="20" w:after="20"/>
              <w:ind w:right="2012"/>
              <w:jc w:val="right"/>
              <w:rPr>
                <w:sz w:val="20"/>
                <w:szCs w:val="20"/>
              </w:rPr>
            </w:pPr>
            <w:r>
              <w:rPr>
                <w:sz w:val="20"/>
                <w:szCs w:val="20"/>
              </w:rPr>
              <w:t>57</w:t>
            </w:r>
          </w:p>
        </w:tc>
      </w:tr>
    </w:tbl>
    <w:p w:rsidR="00CD2A5A" w:rsidRDefault="00CD2A5A">
      <w:pPr>
        <w:pStyle w:val="StyleExhibitTitlecenteredleft0cmFirstLine0cmCenteredLe"/>
      </w:pPr>
    </w:p>
    <w:p w:rsidR="00CD2A5A" w:rsidRDefault="00CD2A5A" w:rsidP="00A32998">
      <w:pPr>
        <w:pStyle w:val="Figure"/>
      </w:pPr>
      <w:r>
        <w:t>Figure 73</w:t>
      </w:r>
    </w:p>
    <w:p w:rsidR="00CD2A5A" w:rsidRDefault="00CD2A5A" w:rsidP="00A32998">
      <w:pPr>
        <w:pStyle w:val="Figure"/>
      </w:pPr>
      <w:r>
        <w:t>Minors returning to their countries of origin (2006)</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3969"/>
      </w:tblGrid>
      <w:tr w:rsidR="00CD2A5A">
        <w:trPr>
          <w:trHeight w:val="255"/>
          <w:jc w:val="center"/>
        </w:trPr>
        <w:tc>
          <w:tcPr>
            <w:tcW w:w="4706" w:type="dxa"/>
            <w:noWrap/>
            <w:vAlign w:val="center"/>
          </w:tcPr>
          <w:p w:rsidR="00CD2A5A" w:rsidRDefault="00CD2A5A">
            <w:pPr>
              <w:pStyle w:val="Heading5"/>
              <w:spacing w:before="40" w:after="40"/>
              <w:jc w:val="center"/>
              <w:rPr>
                <w:i/>
                <w:color w:val="auto"/>
                <w:sz w:val="20"/>
                <w:szCs w:val="20"/>
                <w:lang w:val="en-GB"/>
              </w:rPr>
            </w:pPr>
            <w:r>
              <w:rPr>
                <w:i/>
                <w:color w:val="auto"/>
                <w:sz w:val="20"/>
                <w:szCs w:val="20"/>
                <w:lang w:val="en-GB"/>
              </w:rPr>
              <w:t>Country of origin</w:t>
            </w:r>
          </w:p>
        </w:tc>
        <w:tc>
          <w:tcPr>
            <w:tcW w:w="4706" w:type="dxa"/>
            <w:noWrap/>
            <w:vAlign w:val="center"/>
          </w:tcPr>
          <w:p w:rsidR="00CD2A5A" w:rsidRDefault="00CD2A5A">
            <w:pPr>
              <w:spacing w:before="40" w:after="40"/>
              <w:jc w:val="center"/>
              <w:rPr>
                <w:b/>
                <w:i/>
                <w:sz w:val="20"/>
                <w:szCs w:val="20"/>
              </w:rPr>
            </w:pPr>
            <w:r>
              <w:rPr>
                <w:b/>
                <w:i/>
                <w:sz w:val="20"/>
                <w:szCs w:val="20"/>
              </w:rPr>
              <w:t>Number of children</w:t>
            </w:r>
          </w:p>
        </w:tc>
      </w:tr>
      <w:tr w:rsidR="00CD2A5A">
        <w:trPr>
          <w:trHeight w:val="64"/>
          <w:jc w:val="center"/>
        </w:trPr>
        <w:tc>
          <w:tcPr>
            <w:tcW w:w="4706" w:type="dxa"/>
            <w:noWrap/>
            <w:vAlign w:val="bottom"/>
          </w:tcPr>
          <w:p w:rsidR="00CD2A5A" w:rsidRDefault="00CD2A5A">
            <w:pPr>
              <w:spacing w:before="40" w:after="40"/>
              <w:rPr>
                <w:sz w:val="20"/>
                <w:szCs w:val="20"/>
              </w:rPr>
            </w:pPr>
            <w:r>
              <w:rPr>
                <w:sz w:val="20"/>
                <w:szCs w:val="20"/>
              </w:rPr>
              <w:t>United States</w:t>
            </w:r>
          </w:p>
        </w:tc>
        <w:tc>
          <w:tcPr>
            <w:tcW w:w="4706" w:type="dxa"/>
            <w:noWrap/>
            <w:vAlign w:val="bottom"/>
          </w:tcPr>
          <w:p w:rsidR="00CD2A5A" w:rsidRDefault="00CD2A5A">
            <w:pPr>
              <w:spacing w:before="40" w:after="40"/>
              <w:ind w:right="2012"/>
              <w:jc w:val="right"/>
              <w:rPr>
                <w:sz w:val="20"/>
                <w:szCs w:val="20"/>
              </w:rPr>
            </w:pPr>
            <w:r>
              <w:rPr>
                <w:sz w:val="20"/>
                <w:szCs w:val="20"/>
              </w:rPr>
              <w:t>4</w:t>
            </w:r>
          </w:p>
        </w:tc>
      </w:tr>
      <w:tr w:rsidR="00CD2A5A">
        <w:trPr>
          <w:trHeight w:val="255"/>
          <w:jc w:val="center"/>
        </w:trPr>
        <w:tc>
          <w:tcPr>
            <w:tcW w:w="4706" w:type="dxa"/>
            <w:noWrap/>
            <w:vAlign w:val="bottom"/>
          </w:tcPr>
          <w:p w:rsidR="00CD2A5A" w:rsidRDefault="00CD2A5A">
            <w:pPr>
              <w:spacing w:before="40" w:after="40"/>
              <w:rPr>
                <w:sz w:val="20"/>
                <w:szCs w:val="20"/>
              </w:rPr>
            </w:pPr>
            <w:r>
              <w:rPr>
                <w:sz w:val="20"/>
                <w:szCs w:val="20"/>
              </w:rPr>
              <w:t>Mexico</w:t>
            </w:r>
          </w:p>
        </w:tc>
        <w:tc>
          <w:tcPr>
            <w:tcW w:w="4706" w:type="dxa"/>
            <w:noWrap/>
            <w:vAlign w:val="bottom"/>
          </w:tcPr>
          <w:p w:rsidR="00CD2A5A" w:rsidRDefault="00CD2A5A">
            <w:pPr>
              <w:spacing w:before="40" w:after="40"/>
              <w:ind w:right="2012"/>
              <w:jc w:val="right"/>
              <w:rPr>
                <w:sz w:val="20"/>
                <w:szCs w:val="20"/>
              </w:rPr>
            </w:pPr>
            <w:r>
              <w:rPr>
                <w:sz w:val="20"/>
                <w:szCs w:val="20"/>
              </w:rPr>
              <w:t> 22</w:t>
            </w:r>
          </w:p>
        </w:tc>
      </w:tr>
      <w:tr w:rsidR="00CD2A5A">
        <w:trPr>
          <w:trHeight w:val="255"/>
          <w:jc w:val="center"/>
        </w:trPr>
        <w:tc>
          <w:tcPr>
            <w:tcW w:w="4706" w:type="dxa"/>
            <w:noWrap/>
            <w:vAlign w:val="bottom"/>
          </w:tcPr>
          <w:p w:rsidR="00CD2A5A" w:rsidRDefault="00CD2A5A">
            <w:pPr>
              <w:spacing w:before="40" w:after="40"/>
              <w:rPr>
                <w:sz w:val="20"/>
                <w:szCs w:val="20"/>
              </w:rPr>
            </w:pPr>
            <w:r>
              <w:rPr>
                <w:sz w:val="20"/>
                <w:szCs w:val="20"/>
              </w:rPr>
              <w:t>Nicaragua</w:t>
            </w:r>
          </w:p>
        </w:tc>
        <w:tc>
          <w:tcPr>
            <w:tcW w:w="4706" w:type="dxa"/>
            <w:noWrap/>
            <w:vAlign w:val="bottom"/>
          </w:tcPr>
          <w:p w:rsidR="00CD2A5A" w:rsidRDefault="00CD2A5A">
            <w:pPr>
              <w:spacing w:before="40" w:after="40"/>
              <w:ind w:right="2012"/>
              <w:jc w:val="right"/>
              <w:rPr>
                <w:sz w:val="20"/>
                <w:szCs w:val="20"/>
              </w:rPr>
            </w:pPr>
            <w:r>
              <w:rPr>
                <w:sz w:val="20"/>
                <w:szCs w:val="20"/>
              </w:rPr>
              <w:t> 4</w:t>
            </w:r>
          </w:p>
        </w:tc>
      </w:tr>
      <w:tr w:rsidR="00CD2A5A">
        <w:trPr>
          <w:trHeight w:val="255"/>
          <w:jc w:val="center"/>
        </w:trPr>
        <w:tc>
          <w:tcPr>
            <w:tcW w:w="4706" w:type="dxa"/>
            <w:noWrap/>
            <w:vAlign w:val="bottom"/>
          </w:tcPr>
          <w:p w:rsidR="00CD2A5A" w:rsidRDefault="00CD2A5A">
            <w:pPr>
              <w:spacing w:before="40" w:after="40"/>
              <w:rPr>
                <w:sz w:val="20"/>
                <w:szCs w:val="20"/>
              </w:rPr>
            </w:pPr>
            <w:r>
              <w:rPr>
                <w:sz w:val="20"/>
                <w:szCs w:val="20"/>
              </w:rPr>
              <w:t>Honduras</w:t>
            </w:r>
          </w:p>
        </w:tc>
        <w:tc>
          <w:tcPr>
            <w:tcW w:w="4706" w:type="dxa"/>
            <w:noWrap/>
            <w:vAlign w:val="bottom"/>
          </w:tcPr>
          <w:p w:rsidR="00CD2A5A" w:rsidRDefault="00CD2A5A">
            <w:pPr>
              <w:spacing w:before="40" w:after="40"/>
              <w:ind w:right="2012"/>
              <w:jc w:val="right"/>
              <w:rPr>
                <w:sz w:val="20"/>
                <w:szCs w:val="20"/>
              </w:rPr>
            </w:pPr>
            <w:r>
              <w:rPr>
                <w:sz w:val="20"/>
                <w:szCs w:val="20"/>
              </w:rPr>
              <w:t> 18</w:t>
            </w:r>
          </w:p>
        </w:tc>
      </w:tr>
      <w:tr w:rsidR="00CD2A5A">
        <w:trPr>
          <w:trHeight w:val="255"/>
          <w:jc w:val="center"/>
        </w:trPr>
        <w:tc>
          <w:tcPr>
            <w:tcW w:w="4706" w:type="dxa"/>
            <w:noWrap/>
            <w:vAlign w:val="bottom"/>
          </w:tcPr>
          <w:p w:rsidR="00CD2A5A" w:rsidRDefault="00CD2A5A">
            <w:pPr>
              <w:spacing w:before="40" w:after="40"/>
              <w:rPr>
                <w:sz w:val="20"/>
                <w:szCs w:val="20"/>
              </w:rPr>
            </w:pPr>
            <w:r>
              <w:rPr>
                <w:sz w:val="20"/>
                <w:szCs w:val="20"/>
              </w:rPr>
              <w:t>Cuba</w:t>
            </w:r>
          </w:p>
        </w:tc>
        <w:tc>
          <w:tcPr>
            <w:tcW w:w="4706" w:type="dxa"/>
            <w:noWrap/>
            <w:vAlign w:val="bottom"/>
          </w:tcPr>
          <w:p w:rsidR="00CD2A5A" w:rsidRDefault="00CD2A5A">
            <w:pPr>
              <w:spacing w:before="40" w:after="40"/>
              <w:ind w:right="2012"/>
              <w:jc w:val="right"/>
              <w:rPr>
                <w:sz w:val="20"/>
                <w:szCs w:val="20"/>
              </w:rPr>
            </w:pPr>
            <w:r>
              <w:rPr>
                <w:sz w:val="20"/>
                <w:szCs w:val="20"/>
              </w:rPr>
              <w:t> 1</w:t>
            </w:r>
          </w:p>
        </w:tc>
      </w:tr>
      <w:tr w:rsidR="00CD2A5A">
        <w:trPr>
          <w:trHeight w:val="255"/>
          <w:jc w:val="center"/>
        </w:trPr>
        <w:tc>
          <w:tcPr>
            <w:tcW w:w="4706" w:type="dxa"/>
            <w:noWrap/>
            <w:vAlign w:val="bottom"/>
          </w:tcPr>
          <w:p w:rsidR="00CD2A5A" w:rsidRDefault="00CD2A5A">
            <w:pPr>
              <w:spacing w:before="40" w:after="40"/>
              <w:rPr>
                <w:sz w:val="20"/>
                <w:szCs w:val="20"/>
              </w:rPr>
            </w:pPr>
            <w:r>
              <w:rPr>
                <w:sz w:val="20"/>
                <w:szCs w:val="20"/>
              </w:rPr>
              <w:t>Guatemala</w:t>
            </w:r>
          </w:p>
        </w:tc>
        <w:tc>
          <w:tcPr>
            <w:tcW w:w="4706" w:type="dxa"/>
            <w:noWrap/>
            <w:vAlign w:val="bottom"/>
          </w:tcPr>
          <w:p w:rsidR="00CD2A5A" w:rsidRDefault="00CD2A5A">
            <w:pPr>
              <w:spacing w:before="40" w:after="40"/>
              <w:ind w:right="2012"/>
              <w:jc w:val="right"/>
              <w:rPr>
                <w:sz w:val="20"/>
                <w:szCs w:val="20"/>
              </w:rPr>
            </w:pPr>
            <w:r>
              <w:rPr>
                <w:sz w:val="20"/>
                <w:szCs w:val="20"/>
              </w:rPr>
              <w:t> 6</w:t>
            </w:r>
          </w:p>
        </w:tc>
      </w:tr>
      <w:tr w:rsidR="00CD2A5A">
        <w:trPr>
          <w:trHeight w:val="255"/>
          <w:jc w:val="center"/>
        </w:trPr>
        <w:tc>
          <w:tcPr>
            <w:tcW w:w="4706" w:type="dxa"/>
            <w:noWrap/>
            <w:vAlign w:val="bottom"/>
          </w:tcPr>
          <w:p w:rsidR="00CD2A5A" w:rsidRDefault="00CD2A5A">
            <w:pPr>
              <w:spacing w:before="40" w:after="40"/>
              <w:rPr>
                <w:sz w:val="20"/>
                <w:szCs w:val="20"/>
              </w:rPr>
            </w:pPr>
            <w:r>
              <w:rPr>
                <w:sz w:val="20"/>
                <w:szCs w:val="20"/>
              </w:rPr>
              <w:t xml:space="preserve">Total </w:t>
            </w:r>
          </w:p>
        </w:tc>
        <w:tc>
          <w:tcPr>
            <w:tcW w:w="4706" w:type="dxa"/>
            <w:noWrap/>
            <w:vAlign w:val="bottom"/>
          </w:tcPr>
          <w:p w:rsidR="00CD2A5A" w:rsidRDefault="00CD2A5A">
            <w:pPr>
              <w:spacing w:before="40" w:after="40"/>
              <w:ind w:right="2012"/>
              <w:jc w:val="right"/>
              <w:rPr>
                <w:sz w:val="20"/>
                <w:szCs w:val="20"/>
              </w:rPr>
            </w:pPr>
            <w:r>
              <w:rPr>
                <w:sz w:val="20"/>
                <w:szCs w:val="20"/>
              </w:rPr>
              <w:t> 56</w:t>
            </w:r>
          </w:p>
        </w:tc>
      </w:tr>
    </w:tbl>
    <w:p w:rsidR="00CD2A5A" w:rsidRDefault="00CD2A5A" w:rsidP="00A32998">
      <w:pPr>
        <w:numPr>
          <w:ilvl w:val="0"/>
          <w:numId w:val="3"/>
        </w:numPr>
        <w:tabs>
          <w:tab w:val="clear" w:pos="720"/>
        </w:tabs>
        <w:spacing w:before="240" w:after="240"/>
        <w:ind w:left="0" w:firstLine="0"/>
        <w:rPr>
          <w:lang w:val="en-US"/>
        </w:rPr>
      </w:pPr>
      <w:r>
        <w:rPr>
          <w:lang w:val="en-US"/>
        </w:rPr>
        <w:t xml:space="preserve">El Salvador has established cooperation agreements on migration with countries in the region of Central America and Mexico through the Care Protocols and Memoranda of Understanding and also through a Repatriation Reference System between migration bodies, consulates and child protection institutions. </w:t>
      </w:r>
    </w:p>
    <w:p w:rsidR="00CD2A5A" w:rsidRDefault="00CD2A5A" w:rsidP="006228EF">
      <w:pPr>
        <w:pStyle w:val="A0"/>
      </w:pPr>
      <w:r>
        <w:t>C.  Refugee children</w:t>
      </w:r>
    </w:p>
    <w:p w:rsidR="00CD2A5A" w:rsidRDefault="00CD2A5A">
      <w:pPr>
        <w:pStyle w:val="Header"/>
        <w:numPr>
          <w:ilvl w:val="0"/>
          <w:numId w:val="3"/>
        </w:numPr>
        <w:tabs>
          <w:tab w:val="clear" w:pos="720"/>
          <w:tab w:val="clear" w:pos="4252"/>
        </w:tabs>
        <w:spacing w:after="240"/>
        <w:ind w:left="0" w:firstLine="0"/>
        <w:rPr>
          <w:lang w:val="en-GB"/>
        </w:rPr>
      </w:pPr>
      <w:r>
        <w:rPr>
          <w:lang w:val="en-GB"/>
        </w:rPr>
        <w:t>According to information from the General Directorate for Migration and Aliens, over the last three years El Salvador has granted refugee status to 3 girls and 1 boy of Colombian origin forming part of family groups.</w:t>
      </w:r>
    </w:p>
    <w:p w:rsidR="00CD2A5A" w:rsidRDefault="00CD2A5A" w:rsidP="006228EF">
      <w:pPr>
        <w:pStyle w:val="A0"/>
      </w:pPr>
      <w:r>
        <w:t>D.  Children in conflict with justice</w:t>
      </w:r>
    </w:p>
    <w:p w:rsidR="00CD2A5A" w:rsidRDefault="00CD2A5A">
      <w:pPr>
        <w:numPr>
          <w:ilvl w:val="0"/>
          <w:numId w:val="3"/>
        </w:numPr>
        <w:tabs>
          <w:tab w:val="clear" w:pos="720"/>
        </w:tabs>
        <w:spacing w:after="240"/>
        <w:ind w:left="0" w:firstLine="0"/>
        <w:rPr>
          <w:lang w:val="en-US"/>
        </w:rPr>
      </w:pPr>
      <w:r>
        <w:rPr>
          <w:lang w:val="en-US"/>
        </w:rPr>
        <w:t>The legislation applicable to minors who are alleged to have committed crimes is the Juvenile Criminal Justice Act,</w:t>
      </w:r>
      <w:r>
        <w:rPr>
          <w:rStyle w:val="FootnoteReference"/>
        </w:rPr>
        <w:footnoteReference w:id="45"/>
      </w:r>
      <w:r>
        <w:rPr>
          <w:lang w:val="en-US"/>
        </w:rPr>
        <w:t xml:space="preserve"> Law on Surveillance and Control of Execution of Measures for Young Offenders, and the General Regulation of Centres of Internment for Young Offenders, and also the law regulating Executive Body institutions responsible for designing and applying children's and youth policies, particularly the ISNA.</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The Juvenile Criminal Justice Act establishes the specialized jurisdiction of Youth Magistrates, who are responsible for applying a special procedure for the judging and handing down of criminal penalties to persons aged over 12 and under 18 who are alleged to have broken the law, and also for the rights and guarantees to which such people are entitled. Children aged between 16 and 18 are only subject to the following measures laid down in the Juvenile Criminal Justice Act: social and family guidance and support, reprimand; imposition of rules of conduct; community service; probation; and imprisonment as a final resort. Children over 12 and under 16 are subject to the same measures and also some of those laid down in article 45 of the Law of the Salvadoran Institute for Full Development of Children and Adolescents (ISNA): namely return home with or without supervision; foster care placement; substitute care placement and institutional placement. </w:t>
      </w:r>
    </w:p>
    <w:p w:rsidR="00CD2A5A" w:rsidRDefault="00CD2A5A">
      <w:pPr>
        <w:keepNext/>
        <w:numPr>
          <w:ilvl w:val="0"/>
          <w:numId w:val="3"/>
        </w:numPr>
        <w:tabs>
          <w:tab w:val="clear" w:pos="720"/>
        </w:tabs>
        <w:spacing w:after="240"/>
        <w:ind w:left="0" w:firstLine="0"/>
      </w:pPr>
      <w:r>
        <w:rPr>
          <w:lang w:val="en-US"/>
        </w:rPr>
        <w:t xml:space="preserve">Various reforms were introduced to the Juvenile Offenders Act by means of Legislative Decree No 395 of 28 July 2004, published in Official Gazette No 143, Volume 364 of 30 July 2004. </w:t>
      </w:r>
      <w:r>
        <w:t>The main changes were as follows:</w:t>
      </w:r>
    </w:p>
    <w:p w:rsidR="00CD2A5A" w:rsidRDefault="00CD2A5A" w:rsidP="00A32998">
      <w:pPr>
        <w:numPr>
          <w:ilvl w:val="0"/>
          <w:numId w:val="31"/>
        </w:numPr>
        <w:tabs>
          <w:tab w:val="clear" w:pos="927"/>
        </w:tabs>
        <w:spacing w:after="200"/>
        <w:ind w:firstLine="567"/>
        <w:rPr>
          <w:lang w:val="en-US"/>
        </w:rPr>
      </w:pPr>
      <w:r>
        <w:rPr>
          <w:lang w:val="en-US"/>
        </w:rPr>
        <w:t>The name of the Juvenile Offenders Act was changed to the Juvenile Criminal Justice Act (LPJ);</w:t>
      </w:r>
    </w:p>
    <w:p w:rsidR="00CD2A5A" w:rsidRDefault="00CD2A5A" w:rsidP="00A32998">
      <w:pPr>
        <w:numPr>
          <w:ilvl w:val="0"/>
          <w:numId w:val="31"/>
        </w:numPr>
        <w:tabs>
          <w:tab w:val="clear" w:pos="927"/>
        </w:tabs>
        <w:spacing w:after="200"/>
        <w:ind w:firstLine="567"/>
        <w:rPr>
          <w:lang w:val="en-US"/>
        </w:rPr>
      </w:pPr>
      <w:r>
        <w:rPr>
          <w:lang w:val="en-US"/>
        </w:rPr>
        <w:t xml:space="preserve">The system of protection for minors’ rights to identity and privacy was changed, amending Article 5 (b), which prohibits the publication of information that directly or indirectly makes their identification possible, without prejudice to the exception laid down in Article 25 of the Act. Two paragraphs were introduced under which the competent magistrate may - as of right or upon the application of one party - authorize the publication of information on the minor’s likeness or identity in order to facilitate his or her location in cases of evasion from justice and in the presence of serious objective risk to the safety of victims, witnesses or any other person. The measure is to be suspended once the minor has been located and handed over to the competent authority; </w:t>
      </w:r>
    </w:p>
    <w:p w:rsidR="00CD2A5A" w:rsidRDefault="00CD2A5A" w:rsidP="00A32998">
      <w:pPr>
        <w:numPr>
          <w:ilvl w:val="0"/>
          <w:numId w:val="31"/>
        </w:numPr>
        <w:tabs>
          <w:tab w:val="clear" w:pos="927"/>
        </w:tabs>
        <w:spacing w:after="200"/>
        <w:ind w:firstLine="567"/>
        <w:rPr>
          <w:lang w:val="en-US"/>
        </w:rPr>
      </w:pPr>
      <w:r>
        <w:rPr>
          <w:lang w:val="en-US"/>
        </w:rPr>
        <w:t>Article 30 regulating provisions prohibiting the police from keeping criminal records was amended and replaced by another entitled “Registration”. This reform upheld the above prohibition, except in cases determined by the Office of the Public Prosecutor of the Republic or the competent magistrate. It also establishes that storing of the records will be confidential and only for purposes strictly related to court proceedings, though records will be accessible to duly authorized persons directly participating in current trial proceedings and will not be used in trials of adults relating to cases in which the same person could be involved;</w:t>
      </w:r>
    </w:p>
    <w:p w:rsidR="00CD2A5A" w:rsidRDefault="00CD2A5A" w:rsidP="00A32998">
      <w:pPr>
        <w:numPr>
          <w:ilvl w:val="0"/>
          <w:numId w:val="31"/>
        </w:numPr>
        <w:tabs>
          <w:tab w:val="clear" w:pos="927"/>
        </w:tabs>
        <w:spacing w:after="200"/>
        <w:ind w:firstLine="567"/>
        <w:rPr>
          <w:lang w:val="en-US"/>
        </w:rPr>
      </w:pPr>
      <w:r>
        <w:rPr>
          <w:lang w:val="en-US"/>
        </w:rPr>
        <w:t>The rights of victims or the injured parties are extended by an amendment to Article 51, incorporating the following rights: i) to be informed of the results of the proceedings and the follow-up to the final outcome, irrespective of whether or not they have played a part in the proceedings; ii) to play a part in conciliation, withdrawal and hearing of the case and also in any other hearings that affect their interests, in accordance with the terms of this Act; iii) to contest the discharge, acquittal or cessation of the proceedings, even when they have not played a part in the trial; iv) not to have to reveal their identity or that of their relatives under certain circumstances; v) to be provided with protective measures, and vi) to receive medical or psychological assistance, where required;</w:t>
      </w:r>
    </w:p>
    <w:p w:rsidR="00CD2A5A" w:rsidRDefault="00CD2A5A" w:rsidP="00A32998">
      <w:pPr>
        <w:numPr>
          <w:ilvl w:val="0"/>
          <w:numId w:val="31"/>
        </w:numPr>
        <w:tabs>
          <w:tab w:val="clear" w:pos="927"/>
        </w:tabs>
        <w:spacing w:after="200"/>
        <w:ind w:firstLine="567"/>
        <w:rPr>
          <w:lang w:val="en-US"/>
        </w:rPr>
      </w:pPr>
      <w:r>
        <w:rPr>
          <w:lang w:val="en-US"/>
        </w:rPr>
        <w:t>A point was added to Article 58 specifically establishing that the Salvadoran Institute for Full Development of Children and Adolescents is the body responsible for administering minors’ certificates and ensuring they are accessible and comply with the purposes for which they were created;</w:t>
      </w:r>
    </w:p>
    <w:p w:rsidR="00CD2A5A" w:rsidRDefault="00CD2A5A" w:rsidP="00A32998">
      <w:pPr>
        <w:numPr>
          <w:ilvl w:val="0"/>
          <w:numId w:val="31"/>
        </w:numPr>
        <w:tabs>
          <w:tab w:val="clear" w:pos="927"/>
        </w:tabs>
        <w:spacing w:after="200"/>
        <w:ind w:firstLine="567"/>
        <w:rPr>
          <w:lang w:val="en-US"/>
        </w:rPr>
      </w:pPr>
      <w:r>
        <w:rPr>
          <w:lang w:val="en-US"/>
        </w:rPr>
        <w:t>The crimes allowing mediation were restricted, amending Article 59 that originally allowed conciliation for all types of crimes or petty offences, except for those affecting broader interests. When the reform was approved, mediation was prohibited for the following crimes: i) manslaughter and murder; ii) extortion; iii) crimes of deprivation of liberty, kidnapping and aggravated offences against individual liberty; iv) crimes relating to sexual liberty; v) crimes that affect broader interests of society - and vi) crimes committed by minors who have reconciled the same class of intentional offence;</w:t>
      </w:r>
    </w:p>
    <w:p w:rsidR="00CD2A5A" w:rsidRDefault="00CD2A5A">
      <w:pPr>
        <w:numPr>
          <w:ilvl w:val="0"/>
          <w:numId w:val="31"/>
        </w:numPr>
        <w:tabs>
          <w:tab w:val="clear" w:pos="927"/>
        </w:tabs>
        <w:spacing w:after="240"/>
        <w:ind w:firstLine="567"/>
        <w:rPr>
          <w:lang w:val="en-US"/>
        </w:rPr>
      </w:pPr>
      <w:r>
        <w:rPr>
          <w:lang w:val="en-US"/>
        </w:rPr>
        <w:t>The maximum term for carrying out preliminary investigations was extended from 30 days to 60 days through the reform of Article 68;</w:t>
      </w:r>
    </w:p>
    <w:p w:rsidR="00CD2A5A" w:rsidRDefault="00CD2A5A" w:rsidP="00A32998">
      <w:pPr>
        <w:numPr>
          <w:ilvl w:val="0"/>
          <w:numId w:val="31"/>
        </w:numPr>
        <w:tabs>
          <w:tab w:val="clear" w:pos="927"/>
        </w:tabs>
        <w:spacing w:after="200"/>
        <w:ind w:firstLine="567"/>
        <w:rPr>
          <w:lang w:val="en-US"/>
        </w:rPr>
      </w:pPr>
      <w:r>
        <w:rPr>
          <w:lang w:val="en-US"/>
        </w:rPr>
        <w:t>Under the reform of Article 103, decisions that previously granted the right to special appeal only if they affected the rights of the defendant, can now also be appealed against if they are contrary to the interests of the Office of the Public Prosecutor of the Republic. These decisions are as follows: i) decisions imposing or denying an interim measure; ii) decisions imposing or denying joinder of causes of action; iii) decisions ordering the merit of holding a case hearing or denying it. The right of appeal was also extended to decisions that impose a fine for infringement of the Juvenile Criminal Justice Act;</w:t>
      </w:r>
    </w:p>
    <w:p w:rsidR="00CD2A5A" w:rsidRDefault="00CD2A5A" w:rsidP="00A32998">
      <w:pPr>
        <w:numPr>
          <w:ilvl w:val="0"/>
          <w:numId w:val="31"/>
        </w:numPr>
        <w:tabs>
          <w:tab w:val="clear" w:pos="927"/>
        </w:tabs>
        <w:spacing w:after="200"/>
        <w:ind w:firstLine="567"/>
        <w:rPr>
          <w:lang w:val="en-US"/>
        </w:rPr>
      </w:pPr>
      <w:r>
        <w:rPr>
          <w:lang w:val="en-US"/>
        </w:rPr>
        <w:t>Article 14 establishing the punishment of a fine for breach of obligations was amended, clarifying that the said breach could be committed not only by the official in charge of applying and complying with this Act but also a public employee, public authority or agent of authority;</w:t>
      </w:r>
    </w:p>
    <w:p w:rsidR="00CD2A5A" w:rsidRDefault="00CD2A5A" w:rsidP="00A32998">
      <w:pPr>
        <w:numPr>
          <w:ilvl w:val="0"/>
          <w:numId w:val="31"/>
        </w:numPr>
        <w:tabs>
          <w:tab w:val="clear" w:pos="927"/>
        </w:tabs>
        <w:spacing w:after="200"/>
        <w:ind w:firstLine="567"/>
        <w:rPr>
          <w:lang w:val="en-US"/>
        </w:rPr>
      </w:pPr>
      <w:r>
        <w:rPr>
          <w:lang w:val="en-US"/>
        </w:rPr>
        <w:t>A specific procedure was established for imposing fines, because previously the only instruction was to follow the procedure laid down in the Code of Criminal Procedure, through the amendment of Article 117;</w:t>
      </w:r>
    </w:p>
    <w:p w:rsidR="00CD2A5A" w:rsidRDefault="00CD2A5A">
      <w:pPr>
        <w:numPr>
          <w:ilvl w:val="0"/>
          <w:numId w:val="31"/>
        </w:numPr>
        <w:tabs>
          <w:tab w:val="clear" w:pos="927"/>
        </w:tabs>
        <w:spacing w:after="160"/>
        <w:ind w:firstLine="567"/>
        <w:rPr>
          <w:lang w:val="en-US"/>
        </w:rPr>
      </w:pPr>
      <w:r>
        <w:rPr>
          <w:lang w:val="en-US"/>
        </w:rPr>
        <w:t>The responsibility for administering Intermediate Imprisonment Centres was changed by the reform of Article 119. The intermediate centres were established to comply with the detention order for those over 18 years of age who require special treatment or whose presence at the centre could be prejudicial to minors. Like the other prisons, these centres came under the responsibility of ISNA, but under the terms of the reform issued through Legislative Decree No 20 of 15 June 2006, published in Official Gazette No 126, Volume 372, of 7 July 2006, responsibility for them passed to the Executive Body in the Government Branch.</w:t>
      </w:r>
    </w:p>
    <w:p w:rsidR="00CD2A5A" w:rsidRDefault="00CD2A5A">
      <w:pPr>
        <w:numPr>
          <w:ilvl w:val="0"/>
          <w:numId w:val="3"/>
        </w:numPr>
        <w:tabs>
          <w:tab w:val="clear" w:pos="720"/>
        </w:tabs>
        <w:spacing w:after="160"/>
        <w:ind w:left="0" w:firstLine="0"/>
        <w:rPr>
          <w:lang w:val="en-US"/>
        </w:rPr>
      </w:pPr>
      <w:r>
        <w:rPr>
          <w:lang w:val="en-US"/>
        </w:rPr>
        <w:t>The Juvenile Justice Unit of the Supreme Court of Justice produced a report analysing the statistical data, which showed the good results achieved under the juvenile criminal justice system. These data and analyses were circulated during the course of 2006 through lectures, forums, seminars and other education and training events to judicial operators and other target groups relating to the juvenile criminal justice system. The statistical data produced by the Supreme Court of Justice indicate that the number of crimes attributed to minors has fallen by approximately 10 per cent compared to the years before the entry into force of this specialized criminal justice system. In 1994, the Ministry of Justice records showed that 15% of crimes were attributed to persons aged over 16 and under 18;</w:t>
      </w:r>
      <w:r>
        <w:rPr>
          <w:rStyle w:val="FootnoteReference"/>
        </w:rPr>
        <w:footnoteReference w:id="46"/>
      </w:r>
      <w:r>
        <w:rPr>
          <w:lang w:val="en-US"/>
        </w:rPr>
        <w:t xml:space="preserve"> while this percentage fell to 5.82% during the period from January 2000 to June 2006.</w:t>
      </w:r>
    </w:p>
    <w:p w:rsidR="00CD2A5A" w:rsidRDefault="00CD2A5A" w:rsidP="00A32998">
      <w:pPr>
        <w:pStyle w:val="Figure"/>
        <w:spacing w:after="120"/>
      </w:pPr>
      <w:r>
        <w:t>Figure 74</w:t>
      </w:r>
    </w:p>
    <w:p w:rsidR="00CD2A5A" w:rsidRDefault="00CD2A5A" w:rsidP="00A32998">
      <w:pPr>
        <w:pStyle w:val="Figure"/>
        <w:spacing w:after="120"/>
      </w:pPr>
      <w:r>
        <w:t>Crime attributed to minors compared to adult crime</w:t>
      </w:r>
    </w:p>
    <w:p w:rsidR="00CD2A5A" w:rsidRDefault="00CD2A5A" w:rsidP="00A32998">
      <w:pPr>
        <w:pStyle w:val="Figure"/>
        <w:spacing w:after="120"/>
      </w:pPr>
      <w:r>
        <w:t>Criminal proceedings brought before criminal courts and juvenile courts (2000 to June 2006)</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27"/>
        <w:gridCol w:w="2976"/>
        <w:gridCol w:w="2908"/>
      </w:tblGrid>
      <w:tr w:rsidR="00CD2A5A">
        <w:trPr>
          <w:jc w:val="center"/>
        </w:trPr>
        <w:tc>
          <w:tcPr>
            <w:tcW w:w="1701" w:type="dxa"/>
            <w:vAlign w:val="center"/>
          </w:tcPr>
          <w:p w:rsidR="00CD2A5A" w:rsidRDefault="00CD2A5A">
            <w:pPr>
              <w:spacing w:before="40" w:after="40"/>
              <w:jc w:val="center"/>
              <w:rPr>
                <w:b/>
                <w:i/>
                <w:sz w:val="20"/>
                <w:szCs w:val="20"/>
              </w:rPr>
            </w:pPr>
            <w:r>
              <w:rPr>
                <w:b/>
                <w:i/>
                <w:sz w:val="20"/>
                <w:szCs w:val="20"/>
              </w:rPr>
              <w:t>Adults</w:t>
            </w:r>
          </w:p>
        </w:tc>
        <w:tc>
          <w:tcPr>
            <w:tcW w:w="1827" w:type="dxa"/>
            <w:vAlign w:val="center"/>
          </w:tcPr>
          <w:p w:rsidR="00CD2A5A" w:rsidRDefault="00CD2A5A">
            <w:pPr>
              <w:spacing w:before="40" w:after="40"/>
              <w:jc w:val="center"/>
              <w:rPr>
                <w:b/>
                <w:i/>
                <w:sz w:val="20"/>
                <w:szCs w:val="20"/>
              </w:rPr>
            </w:pPr>
            <w:r>
              <w:rPr>
                <w:b/>
                <w:i/>
                <w:sz w:val="20"/>
                <w:szCs w:val="20"/>
              </w:rPr>
              <w:t>Minors</w:t>
            </w:r>
          </w:p>
        </w:tc>
        <w:tc>
          <w:tcPr>
            <w:tcW w:w="2976" w:type="dxa"/>
            <w:vAlign w:val="center"/>
          </w:tcPr>
          <w:p w:rsidR="00CD2A5A" w:rsidRDefault="00CD2A5A">
            <w:pPr>
              <w:spacing w:before="40" w:after="40"/>
              <w:jc w:val="center"/>
              <w:rPr>
                <w:b/>
                <w:i/>
                <w:sz w:val="20"/>
                <w:szCs w:val="20"/>
              </w:rPr>
            </w:pPr>
            <w:r>
              <w:rPr>
                <w:b/>
                <w:i/>
                <w:sz w:val="20"/>
                <w:szCs w:val="20"/>
              </w:rPr>
              <w:t>% of adults</w:t>
            </w:r>
          </w:p>
        </w:tc>
        <w:tc>
          <w:tcPr>
            <w:tcW w:w="2908" w:type="dxa"/>
            <w:vAlign w:val="center"/>
          </w:tcPr>
          <w:p w:rsidR="00CD2A5A" w:rsidRDefault="00CD2A5A">
            <w:pPr>
              <w:spacing w:before="40" w:after="40"/>
              <w:jc w:val="center"/>
              <w:rPr>
                <w:b/>
                <w:i/>
                <w:sz w:val="20"/>
                <w:szCs w:val="20"/>
              </w:rPr>
            </w:pPr>
            <w:r>
              <w:rPr>
                <w:b/>
                <w:i/>
                <w:sz w:val="20"/>
                <w:szCs w:val="20"/>
              </w:rPr>
              <w:t>% of total</w:t>
            </w:r>
          </w:p>
        </w:tc>
      </w:tr>
      <w:tr w:rsidR="00CD2A5A">
        <w:trPr>
          <w:jc w:val="center"/>
        </w:trPr>
        <w:tc>
          <w:tcPr>
            <w:tcW w:w="1701" w:type="dxa"/>
          </w:tcPr>
          <w:p w:rsidR="00CD2A5A" w:rsidRDefault="00CD2A5A">
            <w:pPr>
              <w:spacing w:before="40" w:after="40"/>
              <w:jc w:val="center"/>
              <w:rPr>
                <w:sz w:val="20"/>
                <w:szCs w:val="20"/>
              </w:rPr>
            </w:pPr>
            <w:r>
              <w:rPr>
                <w:sz w:val="20"/>
                <w:szCs w:val="20"/>
              </w:rPr>
              <w:t>340,477</w:t>
            </w:r>
          </w:p>
        </w:tc>
        <w:tc>
          <w:tcPr>
            <w:tcW w:w="1827" w:type="dxa"/>
          </w:tcPr>
          <w:p w:rsidR="00CD2A5A" w:rsidRDefault="00CD2A5A">
            <w:pPr>
              <w:spacing w:before="40" w:after="40"/>
              <w:jc w:val="center"/>
              <w:rPr>
                <w:sz w:val="20"/>
                <w:szCs w:val="20"/>
              </w:rPr>
            </w:pPr>
            <w:r>
              <w:rPr>
                <w:sz w:val="20"/>
                <w:szCs w:val="20"/>
              </w:rPr>
              <w:t>19,819</w:t>
            </w:r>
          </w:p>
        </w:tc>
        <w:tc>
          <w:tcPr>
            <w:tcW w:w="2976" w:type="dxa"/>
          </w:tcPr>
          <w:p w:rsidR="00CD2A5A" w:rsidRDefault="00CD2A5A">
            <w:pPr>
              <w:spacing w:before="40" w:after="40"/>
              <w:jc w:val="center"/>
              <w:rPr>
                <w:sz w:val="20"/>
                <w:szCs w:val="20"/>
              </w:rPr>
            </w:pPr>
            <w:r>
              <w:rPr>
                <w:sz w:val="20"/>
                <w:szCs w:val="20"/>
              </w:rPr>
              <w:t>5.82</w:t>
            </w:r>
          </w:p>
        </w:tc>
        <w:tc>
          <w:tcPr>
            <w:tcW w:w="2908" w:type="dxa"/>
          </w:tcPr>
          <w:p w:rsidR="00CD2A5A" w:rsidRDefault="00CD2A5A">
            <w:pPr>
              <w:spacing w:before="40" w:after="40"/>
              <w:jc w:val="center"/>
              <w:rPr>
                <w:sz w:val="20"/>
                <w:szCs w:val="20"/>
              </w:rPr>
            </w:pPr>
            <w:r>
              <w:rPr>
                <w:sz w:val="20"/>
                <w:szCs w:val="20"/>
              </w:rPr>
              <w:t>5.50</w:t>
            </w:r>
          </w:p>
        </w:tc>
      </w:tr>
    </w:tbl>
    <w:p w:rsidR="00CD2A5A" w:rsidRDefault="00CD2A5A">
      <w:pPr>
        <w:pStyle w:val="Source"/>
        <w:spacing w:after="180"/>
      </w:pPr>
      <w:r>
        <w:rPr>
          <w:i/>
        </w:rPr>
        <w:t>Source</w:t>
      </w:r>
      <w:r>
        <w:t>: Supreme Court of Justice. http://www.csj.gob.sv/idioma.htm/Estadísticas.</w:t>
      </w:r>
    </w:p>
    <w:p w:rsidR="00CD2A5A" w:rsidRDefault="00CD2A5A">
      <w:pPr>
        <w:pStyle w:val="BodyText3"/>
        <w:keepNext/>
        <w:numPr>
          <w:ilvl w:val="0"/>
          <w:numId w:val="3"/>
        </w:numPr>
        <w:tabs>
          <w:tab w:val="clear" w:pos="720"/>
        </w:tabs>
        <w:spacing w:before="0" w:beforeAutospacing="0" w:after="180" w:afterAutospacing="0"/>
        <w:ind w:left="0" w:firstLine="0"/>
        <w:rPr>
          <w:color w:val="auto"/>
          <w:lang w:val="en-GB"/>
        </w:rPr>
      </w:pPr>
      <w:r>
        <w:rPr>
          <w:color w:val="auto"/>
          <w:lang w:val="en-GB"/>
        </w:rPr>
        <w:t>Another significant result of the criminal justice system is the relatively widespread practice of dejudicialization, in other words the application of outcomes alternative to the judicial process allowed under current law, including: mediation (LPJ; Article 59); referral to community programmes (Article 37); waiver of the right of action (art. 70), only for illegal acts punishable by imprisonment for a minimum term of under three years; and action for an injunction due to the exclusion of responsibility, withdrawal or other legal proceedings (Article 38).</w:t>
      </w:r>
    </w:p>
    <w:p w:rsidR="00CD2A5A" w:rsidRDefault="00CD2A5A">
      <w:pPr>
        <w:pStyle w:val="Header"/>
        <w:numPr>
          <w:ilvl w:val="0"/>
          <w:numId w:val="3"/>
        </w:numPr>
        <w:tabs>
          <w:tab w:val="clear" w:pos="720"/>
          <w:tab w:val="clear" w:pos="4252"/>
        </w:tabs>
        <w:spacing w:after="180"/>
        <w:ind w:left="0" w:firstLine="0"/>
        <w:rPr>
          <w:lang w:val="en-GB"/>
        </w:rPr>
      </w:pPr>
      <w:r>
        <w:rPr>
          <w:lang w:val="en-GB"/>
        </w:rPr>
        <w:t>This practice of dejudicialization may take place, at least partly, with the following information.</w:t>
      </w:r>
    </w:p>
    <w:p w:rsidR="00CD2A5A" w:rsidRDefault="00CD2A5A" w:rsidP="00CD2A5A">
      <w:pPr>
        <w:pStyle w:val="Figure"/>
      </w:pPr>
      <w:r>
        <w:t>Figure 75</w:t>
      </w:r>
    </w:p>
    <w:p w:rsidR="00CD2A5A" w:rsidRDefault="00CD2A5A" w:rsidP="00CD2A5A">
      <w:pPr>
        <w:pStyle w:val="Figure"/>
      </w:pPr>
      <w:r>
        <w:t>Cases entering and alternative dispute resolution mechanisms. Period 2000 – 2004</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2"/>
        <w:gridCol w:w="2225"/>
        <w:gridCol w:w="2925"/>
      </w:tblGrid>
      <w:tr w:rsidR="00CD2A5A">
        <w:trPr>
          <w:jc w:val="center"/>
        </w:trPr>
        <w:tc>
          <w:tcPr>
            <w:tcW w:w="2808" w:type="dxa"/>
            <w:vAlign w:val="center"/>
          </w:tcPr>
          <w:p w:rsidR="00CD2A5A" w:rsidRDefault="00CD2A5A">
            <w:pPr>
              <w:keepNext/>
              <w:spacing w:before="40" w:after="40"/>
              <w:jc w:val="center"/>
              <w:rPr>
                <w:b/>
                <w:i/>
                <w:sz w:val="20"/>
                <w:szCs w:val="20"/>
              </w:rPr>
            </w:pPr>
            <w:r>
              <w:rPr>
                <w:b/>
                <w:i/>
                <w:sz w:val="20"/>
                <w:szCs w:val="20"/>
              </w:rPr>
              <w:t>Cases entering</w:t>
            </w:r>
          </w:p>
        </w:tc>
        <w:tc>
          <w:tcPr>
            <w:tcW w:w="3393" w:type="dxa"/>
            <w:gridSpan w:val="2"/>
            <w:vAlign w:val="center"/>
          </w:tcPr>
          <w:p w:rsidR="00CD2A5A" w:rsidRDefault="00CD2A5A">
            <w:pPr>
              <w:spacing w:before="40" w:after="40"/>
              <w:jc w:val="center"/>
              <w:rPr>
                <w:b/>
                <w:i/>
                <w:sz w:val="20"/>
                <w:szCs w:val="20"/>
              </w:rPr>
            </w:pPr>
            <w:r>
              <w:rPr>
                <w:b/>
                <w:i/>
                <w:sz w:val="20"/>
                <w:szCs w:val="20"/>
              </w:rPr>
              <w:t>Alternative dispute resolution mechanisms</w:t>
            </w:r>
          </w:p>
        </w:tc>
      </w:tr>
      <w:tr w:rsidR="00CD2A5A">
        <w:trPr>
          <w:jc w:val="center"/>
        </w:trPr>
        <w:tc>
          <w:tcPr>
            <w:tcW w:w="2808" w:type="dxa"/>
            <w:vAlign w:val="center"/>
          </w:tcPr>
          <w:p w:rsidR="00CD2A5A" w:rsidRDefault="00CD2A5A">
            <w:pPr>
              <w:keepNext/>
              <w:spacing w:before="40" w:after="40"/>
              <w:jc w:val="center"/>
              <w:rPr>
                <w:b/>
                <w:i/>
                <w:sz w:val="20"/>
                <w:szCs w:val="20"/>
              </w:rPr>
            </w:pPr>
            <w:r>
              <w:rPr>
                <w:b/>
                <w:i/>
                <w:sz w:val="20"/>
                <w:szCs w:val="20"/>
              </w:rPr>
              <w:t>Number</w:t>
            </w:r>
          </w:p>
        </w:tc>
        <w:tc>
          <w:tcPr>
            <w:tcW w:w="1466" w:type="dxa"/>
            <w:vAlign w:val="center"/>
          </w:tcPr>
          <w:p w:rsidR="00CD2A5A" w:rsidRDefault="00CD2A5A">
            <w:pPr>
              <w:spacing w:before="40" w:after="40"/>
              <w:jc w:val="center"/>
              <w:rPr>
                <w:b/>
                <w:i/>
                <w:sz w:val="20"/>
                <w:szCs w:val="20"/>
              </w:rPr>
            </w:pPr>
            <w:r>
              <w:rPr>
                <w:b/>
                <w:i/>
                <w:sz w:val="20"/>
                <w:szCs w:val="20"/>
              </w:rPr>
              <w:t>Number</w:t>
            </w:r>
          </w:p>
        </w:tc>
        <w:tc>
          <w:tcPr>
            <w:tcW w:w="1927" w:type="dxa"/>
            <w:vAlign w:val="center"/>
          </w:tcPr>
          <w:p w:rsidR="00CD2A5A" w:rsidRDefault="00CD2A5A">
            <w:pPr>
              <w:spacing w:before="40" w:after="40"/>
              <w:jc w:val="center"/>
              <w:rPr>
                <w:b/>
                <w:i/>
                <w:sz w:val="20"/>
                <w:szCs w:val="20"/>
              </w:rPr>
            </w:pPr>
            <w:r>
              <w:rPr>
                <w:b/>
                <w:i/>
                <w:sz w:val="20"/>
                <w:szCs w:val="20"/>
              </w:rPr>
              <w:t>Percentage</w:t>
            </w:r>
          </w:p>
        </w:tc>
      </w:tr>
      <w:tr w:rsidR="00CD2A5A">
        <w:trPr>
          <w:jc w:val="center"/>
        </w:trPr>
        <w:tc>
          <w:tcPr>
            <w:tcW w:w="2808" w:type="dxa"/>
          </w:tcPr>
          <w:p w:rsidR="00CD2A5A" w:rsidRDefault="00CD2A5A">
            <w:pPr>
              <w:spacing w:before="40" w:after="40"/>
              <w:jc w:val="center"/>
              <w:rPr>
                <w:sz w:val="20"/>
                <w:szCs w:val="20"/>
              </w:rPr>
            </w:pPr>
            <w:r>
              <w:rPr>
                <w:sz w:val="20"/>
                <w:szCs w:val="20"/>
              </w:rPr>
              <w:t>15,402</w:t>
            </w:r>
          </w:p>
        </w:tc>
        <w:tc>
          <w:tcPr>
            <w:tcW w:w="1466" w:type="dxa"/>
          </w:tcPr>
          <w:p w:rsidR="00CD2A5A" w:rsidRDefault="00CD2A5A">
            <w:pPr>
              <w:spacing w:before="40" w:after="40"/>
              <w:jc w:val="center"/>
              <w:rPr>
                <w:sz w:val="20"/>
                <w:szCs w:val="20"/>
              </w:rPr>
            </w:pPr>
            <w:r>
              <w:rPr>
                <w:sz w:val="20"/>
                <w:szCs w:val="20"/>
              </w:rPr>
              <w:t>11,862</w:t>
            </w:r>
          </w:p>
        </w:tc>
        <w:tc>
          <w:tcPr>
            <w:tcW w:w="1927" w:type="dxa"/>
          </w:tcPr>
          <w:p w:rsidR="00CD2A5A" w:rsidRDefault="00CD2A5A">
            <w:pPr>
              <w:spacing w:before="40" w:after="40"/>
              <w:jc w:val="center"/>
              <w:rPr>
                <w:sz w:val="20"/>
                <w:szCs w:val="20"/>
              </w:rPr>
            </w:pPr>
            <w:r>
              <w:rPr>
                <w:sz w:val="20"/>
                <w:szCs w:val="20"/>
              </w:rPr>
              <w:t>77</w:t>
            </w:r>
          </w:p>
        </w:tc>
      </w:tr>
    </w:tbl>
    <w:p w:rsidR="00CD2A5A" w:rsidRDefault="00CD2A5A">
      <w:pPr>
        <w:pStyle w:val="Source"/>
      </w:pPr>
      <w:r>
        <w:rPr>
          <w:i/>
        </w:rPr>
        <w:t>Source</w:t>
      </w:r>
      <w:r>
        <w:t>: Administrative Systems Unit. Supreme Court of Justice (CSJ)</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Note that during the period 2000-2004, out of a total of 15,402 cases entering the Juvenile Court, 11,862 – or 77% – culminated in an alternative dispute resolution mechanism. </w:t>
      </w:r>
    </w:p>
    <w:p w:rsidR="00CD2A5A" w:rsidRDefault="00CD2A5A">
      <w:pPr>
        <w:pStyle w:val="Header"/>
        <w:numPr>
          <w:ilvl w:val="0"/>
          <w:numId w:val="3"/>
        </w:numPr>
        <w:tabs>
          <w:tab w:val="clear" w:pos="720"/>
          <w:tab w:val="clear" w:pos="4252"/>
        </w:tabs>
        <w:spacing w:after="240"/>
        <w:ind w:left="0" w:firstLine="0"/>
        <w:rPr>
          <w:lang w:val="en-GB"/>
        </w:rPr>
      </w:pPr>
      <w:r>
        <w:rPr>
          <w:lang w:val="en-GB"/>
        </w:rPr>
        <w:t>Another important achievement of the juvenile criminal justice system is the less frequent use of custodial sentences, both as an interim measure and as a punishment or definitive sentence, as the following table shows.</w:t>
      </w:r>
    </w:p>
    <w:p w:rsidR="00CD2A5A" w:rsidRDefault="00CD2A5A" w:rsidP="00CD2A5A">
      <w:pPr>
        <w:pStyle w:val="Figure"/>
      </w:pPr>
      <w:r>
        <w:t>Figure 76</w:t>
      </w:r>
    </w:p>
    <w:p w:rsidR="00CD2A5A" w:rsidRDefault="00CD2A5A" w:rsidP="00CD2A5A">
      <w:pPr>
        <w:pStyle w:val="Figure"/>
      </w:pPr>
      <w:r>
        <w:t>Types of measure imposed. Period: 1 January 2002 – 31 Aug 2004</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3022"/>
        <w:gridCol w:w="3022"/>
      </w:tblGrid>
      <w:tr w:rsidR="00CD2A5A">
        <w:trPr>
          <w:jc w:val="center"/>
        </w:trPr>
        <w:tc>
          <w:tcPr>
            <w:tcW w:w="3368" w:type="dxa"/>
            <w:vAlign w:val="center"/>
          </w:tcPr>
          <w:p w:rsidR="00CD2A5A" w:rsidRDefault="00CD2A5A">
            <w:pPr>
              <w:spacing w:before="40" w:after="40"/>
              <w:jc w:val="center"/>
              <w:rPr>
                <w:b/>
                <w:i/>
                <w:sz w:val="20"/>
                <w:szCs w:val="20"/>
              </w:rPr>
            </w:pPr>
            <w:r>
              <w:rPr>
                <w:b/>
                <w:i/>
                <w:sz w:val="20"/>
                <w:szCs w:val="20"/>
              </w:rPr>
              <w:t>Type of Measure</w:t>
            </w:r>
          </w:p>
        </w:tc>
        <w:tc>
          <w:tcPr>
            <w:tcW w:w="3022" w:type="dxa"/>
            <w:vAlign w:val="center"/>
          </w:tcPr>
          <w:p w:rsidR="00CD2A5A" w:rsidRDefault="00CD2A5A">
            <w:pPr>
              <w:spacing w:before="40" w:after="40"/>
              <w:jc w:val="center"/>
              <w:rPr>
                <w:b/>
                <w:i/>
                <w:sz w:val="20"/>
                <w:szCs w:val="20"/>
              </w:rPr>
            </w:pPr>
            <w:r>
              <w:rPr>
                <w:b/>
                <w:i/>
                <w:sz w:val="20"/>
                <w:szCs w:val="20"/>
              </w:rPr>
              <w:t>Number</w:t>
            </w:r>
          </w:p>
        </w:tc>
        <w:tc>
          <w:tcPr>
            <w:tcW w:w="3022" w:type="dxa"/>
            <w:vAlign w:val="center"/>
          </w:tcPr>
          <w:p w:rsidR="00CD2A5A" w:rsidRDefault="00CD2A5A">
            <w:pPr>
              <w:spacing w:before="40" w:after="40"/>
              <w:jc w:val="center"/>
              <w:rPr>
                <w:b/>
                <w:i/>
                <w:sz w:val="20"/>
                <w:szCs w:val="20"/>
              </w:rPr>
            </w:pPr>
            <w:r>
              <w:rPr>
                <w:b/>
                <w:i/>
                <w:sz w:val="20"/>
                <w:szCs w:val="20"/>
              </w:rPr>
              <w:t>Percentage</w:t>
            </w:r>
          </w:p>
        </w:tc>
      </w:tr>
      <w:tr w:rsidR="00CD2A5A">
        <w:trPr>
          <w:jc w:val="center"/>
        </w:trPr>
        <w:tc>
          <w:tcPr>
            <w:tcW w:w="3368" w:type="dxa"/>
          </w:tcPr>
          <w:p w:rsidR="00CD2A5A" w:rsidRDefault="00CD2A5A">
            <w:pPr>
              <w:spacing w:before="40" w:after="40"/>
              <w:rPr>
                <w:sz w:val="20"/>
                <w:szCs w:val="20"/>
              </w:rPr>
            </w:pPr>
            <w:r>
              <w:rPr>
                <w:sz w:val="20"/>
                <w:szCs w:val="20"/>
              </w:rPr>
              <w:t>Definitive measure</w:t>
            </w:r>
          </w:p>
        </w:tc>
        <w:tc>
          <w:tcPr>
            <w:tcW w:w="3022" w:type="dxa"/>
          </w:tcPr>
          <w:p w:rsidR="00CD2A5A" w:rsidRDefault="00CD2A5A">
            <w:pPr>
              <w:spacing w:before="40" w:after="40"/>
              <w:ind w:right="1037"/>
              <w:jc w:val="right"/>
              <w:rPr>
                <w:sz w:val="20"/>
                <w:szCs w:val="20"/>
              </w:rPr>
            </w:pPr>
            <w:r>
              <w:rPr>
                <w:sz w:val="20"/>
                <w:szCs w:val="20"/>
              </w:rPr>
              <w:t>1,065</w:t>
            </w:r>
          </w:p>
        </w:tc>
        <w:tc>
          <w:tcPr>
            <w:tcW w:w="3022" w:type="dxa"/>
          </w:tcPr>
          <w:p w:rsidR="00CD2A5A" w:rsidRDefault="00CD2A5A">
            <w:pPr>
              <w:spacing w:before="40" w:after="40"/>
              <w:ind w:right="1037"/>
              <w:jc w:val="right"/>
              <w:rPr>
                <w:sz w:val="20"/>
                <w:szCs w:val="20"/>
              </w:rPr>
            </w:pPr>
            <w:r>
              <w:rPr>
                <w:sz w:val="20"/>
                <w:szCs w:val="20"/>
              </w:rPr>
              <w:t>100.00</w:t>
            </w:r>
          </w:p>
        </w:tc>
      </w:tr>
      <w:tr w:rsidR="00CD2A5A">
        <w:trPr>
          <w:jc w:val="center"/>
        </w:trPr>
        <w:tc>
          <w:tcPr>
            <w:tcW w:w="3368" w:type="dxa"/>
          </w:tcPr>
          <w:p w:rsidR="00CD2A5A" w:rsidRDefault="00CD2A5A">
            <w:pPr>
              <w:spacing w:before="40" w:after="40"/>
              <w:rPr>
                <w:sz w:val="20"/>
                <w:szCs w:val="20"/>
              </w:rPr>
            </w:pPr>
            <w:r>
              <w:rPr>
                <w:sz w:val="20"/>
                <w:szCs w:val="20"/>
              </w:rPr>
              <w:t>Imprisonment</w:t>
            </w:r>
          </w:p>
        </w:tc>
        <w:tc>
          <w:tcPr>
            <w:tcW w:w="3022" w:type="dxa"/>
          </w:tcPr>
          <w:p w:rsidR="00CD2A5A" w:rsidRDefault="00CD2A5A">
            <w:pPr>
              <w:spacing w:before="40" w:after="40"/>
              <w:ind w:right="1037"/>
              <w:jc w:val="right"/>
              <w:rPr>
                <w:sz w:val="20"/>
                <w:szCs w:val="20"/>
              </w:rPr>
            </w:pPr>
            <w:r>
              <w:rPr>
                <w:sz w:val="20"/>
                <w:szCs w:val="20"/>
              </w:rPr>
              <w:t>284</w:t>
            </w:r>
          </w:p>
        </w:tc>
        <w:tc>
          <w:tcPr>
            <w:tcW w:w="3022" w:type="dxa"/>
          </w:tcPr>
          <w:p w:rsidR="00CD2A5A" w:rsidRDefault="00CD2A5A">
            <w:pPr>
              <w:spacing w:before="40" w:after="40"/>
              <w:ind w:right="1037"/>
              <w:jc w:val="right"/>
              <w:rPr>
                <w:sz w:val="20"/>
                <w:szCs w:val="20"/>
              </w:rPr>
            </w:pPr>
            <w:r>
              <w:rPr>
                <w:sz w:val="20"/>
                <w:szCs w:val="20"/>
              </w:rPr>
              <w:t>26.67</w:t>
            </w:r>
          </w:p>
        </w:tc>
      </w:tr>
      <w:tr w:rsidR="00CD2A5A">
        <w:trPr>
          <w:jc w:val="center"/>
        </w:trPr>
        <w:tc>
          <w:tcPr>
            <w:tcW w:w="3368" w:type="dxa"/>
          </w:tcPr>
          <w:p w:rsidR="00CD2A5A" w:rsidRDefault="00CD2A5A">
            <w:pPr>
              <w:spacing w:before="40" w:after="40"/>
              <w:rPr>
                <w:sz w:val="20"/>
                <w:szCs w:val="20"/>
              </w:rPr>
            </w:pPr>
            <w:r>
              <w:rPr>
                <w:sz w:val="20"/>
                <w:szCs w:val="20"/>
              </w:rPr>
              <w:t>Non-custodial</w:t>
            </w:r>
          </w:p>
        </w:tc>
        <w:tc>
          <w:tcPr>
            <w:tcW w:w="3022" w:type="dxa"/>
          </w:tcPr>
          <w:p w:rsidR="00CD2A5A" w:rsidRDefault="00CD2A5A">
            <w:pPr>
              <w:spacing w:before="40" w:after="40"/>
              <w:ind w:right="1037"/>
              <w:jc w:val="right"/>
              <w:rPr>
                <w:sz w:val="20"/>
                <w:szCs w:val="20"/>
              </w:rPr>
            </w:pPr>
            <w:r>
              <w:rPr>
                <w:sz w:val="20"/>
                <w:szCs w:val="20"/>
              </w:rPr>
              <w:t>781</w:t>
            </w:r>
          </w:p>
        </w:tc>
        <w:tc>
          <w:tcPr>
            <w:tcW w:w="3022" w:type="dxa"/>
          </w:tcPr>
          <w:p w:rsidR="00CD2A5A" w:rsidRDefault="00CD2A5A">
            <w:pPr>
              <w:spacing w:before="40" w:after="40"/>
              <w:ind w:right="1037"/>
              <w:jc w:val="right"/>
              <w:rPr>
                <w:sz w:val="20"/>
                <w:szCs w:val="20"/>
              </w:rPr>
            </w:pPr>
            <w:r>
              <w:rPr>
                <w:sz w:val="20"/>
                <w:szCs w:val="20"/>
              </w:rPr>
              <w:t>73.33</w:t>
            </w:r>
          </w:p>
        </w:tc>
      </w:tr>
      <w:tr w:rsidR="00CD2A5A">
        <w:trPr>
          <w:jc w:val="center"/>
        </w:trPr>
        <w:tc>
          <w:tcPr>
            <w:tcW w:w="3368" w:type="dxa"/>
          </w:tcPr>
          <w:p w:rsidR="00CD2A5A" w:rsidRDefault="00CD2A5A">
            <w:pPr>
              <w:spacing w:before="40" w:after="40"/>
              <w:rPr>
                <w:sz w:val="20"/>
                <w:szCs w:val="20"/>
              </w:rPr>
            </w:pPr>
            <w:r>
              <w:rPr>
                <w:sz w:val="20"/>
                <w:szCs w:val="20"/>
              </w:rPr>
              <w:t>Interim measure</w:t>
            </w:r>
          </w:p>
        </w:tc>
        <w:tc>
          <w:tcPr>
            <w:tcW w:w="3022" w:type="dxa"/>
          </w:tcPr>
          <w:p w:rsidR="00CD2A5A" w:rsidRDefault="00CD2A5A">
            <w:pPr>
              <w:spacing w:before="40" w:after="40"/>
              <w:ind w:right="1037"/>
              <w:jc w:val="right"/>
              <w:rPr>
                <w:sz w:val="20"/>
                <w:szCs w:val="20"/>
              </w:rPr>
            </w:pPr>
            <w:r>
              <w:rPr>
                <w:sz w:val="20"/>
                <w:szCs w:val="20"/>
              </w:rPr>
              <w:t>4,458</w:t>
            </w:r>
          </w:p>
        </w:tc>
        <w:tc>
          <w:tcPr>
            <w:tcW w:w="3022" w:type="dxa"/>
          </w:tcPr>
          <w:p w:rsidR="00CD2A5A" w:rsidRDefault="00CD2A5A">
            <w:pPr>
              <w:spacing w:before="40" w:after="40"/>
              <w:ind w:right="1037"/>
              <w:jc w:val="right"/>
              <w:rPr>
                <w:sz w:val="20"/>
                <w:szCs w:val="20"/>
              </w:rPr>
            </w:pPr>
            <w:r>
              <w:rPr>
                <w:sz w:val="20"/>
                <w:szCs w:val="20"/>
              </w:rPr>
              <w:t>100.00</w:t>
            </w:r>
          </w:p>
        </w:tc>
      </w:tr>
      <w:tr w:rsidR="00CD2A5A">
        <w:trPr>
          <w:jc w:val="center"/>
        </w:trPr>
        <w:tc>
          <w:tcPr>
            <w:tcW w:w="3368" w:type="dxa"/>
          </w:tcPr>
          <w:p w:rsidR="00CD2A5A" w:rsidRDefault="00CD2A5A">
            <w:pPr>
              <w:spacing w:before="40" w:after="40"/>
              <w:rPr>
                <w:sz w:val="20"/>
                <w:szCs w:val="20"/>
              </w:rPr>
            </w:pPr>
            <w:r>
              <w:rPr>
                <w:sz w:val="20"/>
                <w:szCs w:val="20"/>
              </w:rPr>
              <w:t>Imprisonment</w:t>
            </w:r>
          </w:p>
        </w:tc>
        <w:tc>
          <w:tcPr>
            <w:tcW w:w="3022" w:type="dxa"/>
          </w:tcPr>
          <w:p w:rsidR="00CD2A5A" w:rsidRDefault="00CD2A5A">
            <w:pPr>
              <w:spacing w:before="40" w:after="40"/>
              <w:ind w:right="1037"/>
              <w:jc w:val="right"/>
              <w:rPr>
                <w:sz w:val="20"/>
                <w:szCs w:val="20"/>
              </w:rPr>
            </w:pPr>
            <w:r>
              <w:rPr>
                <w:sz w:val="20"/>
                <w:szCs w:val="20"/>
              </w:rPr>
              <w:t>1,706</w:t>
            </w:r>
          </w:p>
        </w:tc>
        <w:tc>
          <w:tcPr>
            <w:tcW w:w="3022" w:type="dxa"/>
          </w:tcPr>
          <w:p w:rsidR="00CD2A5A" w:rsidRDefault="00CD2A5A">
            <w:pPr>
              <w:spacing w:before="40" w:after="40"/>
              <w:ind w:right="1037"/>
              <w:jc w:val="right"/>
              <w:rPr>
                <w:sz w:val="20"/>
                <w:szCs w:val="20"/>
              </w:rPr>
            </w:pPr>
            <w:r>
              <w:rPr>
                <w:sz w:val="20"/>
                <w:szCs w:val="20"/>
              </w:rPr>
              <w:t>38.27</w:t>
            </w:r>
          </w:p>
        </w:tc>
      </w:tr>
      <w:tr w:rsidR="00CD2A5A">
        <w:trPr>
          <w:jc w:val="center"/>
        </w:trPr>
        <w:tc>
          <w:tcPr>
            <w:tcW w:w="3368" w:type="dxa"/>
          </w:tcPr>
          <w:p w:rsidR="00CD2A5A" w:rsidRDefault="00CD2A5A">
            <w:pPr>
              <w:spacing w:before="40" w:after="40"/>
              <w:rPr>
                <w:sz w:val="20"/>
                <w:szCs w:val="20"/>
              </w:rPr>
            </w:pPr>
            <w:r>
              <w:rPr>
                <w:sz w:val="20"/>
                <w:szCs w:val="20"/>
              </w:rPr>
              <w:t>Non-custodial</w:t>
            </w:r>
          </w:p>
        </w:tc>
        <w:tc>
          <w:tcPr>
            <w:tcW w:w="3022" w:type="dxa"/>
          </w:tcPr>
          <w:p w:rsidR="00CD2A5A" w:rsidRDefault="00CD2A5A">
            <w:pPr>
              <w:spacing w:before="40" w:after="40"/>
              <w:ind w:right="1037"/>
              <w:jc w:val="right"/>
              <w:rPr>
                <w:sz w:val="20"/>
                <w:szCs w:val="20"/>
              </w:rPr>
            </w:pPr>
            <w:r>
              <w:rPr>
                <w:sz w:val="20"/>
                <w:szCs w:val="20"/>
              </w:rPr>
              <w:t>2,752</w:t>
            </w:r>
          </w:p>
        </w:tc>
        <w:tc>
          <w:tcPr>
            <w:tcW w:w="3022" w:type="dxa"/>
          </w:tcPr>
          <w:p w:rsidR="00CD2A5A" w:rsidRDefault="00CD2A5A">
            <w:pPr>
              <w:spacing w:before="40" w:after="40"/>
              <w:ind w:right="1037"/>
              <w:jc w:val="right"/>
              <w:rPr>
                <w:sz w:val="20"/>
                <w:szCs w:val="20"/>
              </w:rPr>
            </w:pPr>
            <w:r>
              <w:rPr>
                <w:sz w:val="20"/>
                <w:szCs w:val="20"/>
              </w:rPr>
              <w:t>61.73</w:t>
            </w:r>
          </w:p>
        </w:tc>
      </w:tr>
    </w:tbl>
    <w:p w:rsidR="00CD2A5A" w:rsidRDefault="00CD2A5A">
      <w:pPr>
        <w:pStyle w:val="Source"/>
      </w:pPr>
      <w:r>
        <w:rPr>
          <w:i/>
        </w:rPr>
        <w:t>Source</w:t>
      </w:r>
      <w:r>
        <w:t>: Administrative Systems Unit, Supreme Court of Justice</w:t>
      </w:r>
    </w:p>
    <w:p w:rsidR="00CD2A5A" w:rsidRDefault="00CD2A5A">
      <w:pPr>
        <w:pStyle w:val="Header"/>
        <w:numPr>
          <w:ilvl w:val="0"/>
          <w:numId w:val="3"/>
        </w:numPr>
        <w:tabs>
          <w:tab w:val="clear" w:pos="720"/>
          <w:tab w:val="clear" w:pos="4252"/>
        </w:tabs>
        <w:spacing w:after="240"/>
        <w:ind w:left="0" w:firstLine="0"/>
        <w:rPr>
          <w:lang w:val="en-GB"/>
        </w:rPr>
      </w:pPr>
      <w:r>
        <w:rPr>
          <w:lang w:val="en-GB"/>
        </w:rPr>
        <w:t>Over the period 1 January 2002 to 31 August 2004, out of a total of 1065 definitive measures handed down, 284 (26.67%) involved imprisonment, while 781 (73.33%) were measures that did not involve custodial sentences.</w:t>
      </w:r>
      <w:r>
        <w:rPr>
          <w:rStyle w:val="FootnoteReference"/>
          <w:lang w:val="en-GB"/>
        </w:rPr>
        <w:footnoteReference w:id="47"/>
      </w:r>
      <w:r>
        <w:rPr>
          <w:lang w:val="en-GB"/>
        </w:rPr>
        <w:t xml:space="preserve"> Over the same period, out of a total of 4,458 interim measures</w:t>
      </w:r>
      <w:r>
        <w:rPr>
          <w:rStyle w:val="FootnoteReference"/>
          <w:lang w:val="en-GB"/>
        </w:rPr>
        <w:footnoteReference w:id="48"/>
      </w:r>
      <w:r>
        <w:rPr>
          <w:lang w:val="en-GB"/>
        </w:rPr>
        <w:t xml:space="preserve"> imposed, 1,706 (38.27%) were imprisonment, while 2,752, or 61.73%, did not involve custodial sentences. Statistics recorded previously by the Courts for the Enforcement of Measures on Juvenile Offenders confirmed this encouraging practice of imposing fewer custodial sentences, as may be seen in the following table.</w:t>
      </w:r>
    </w:p>
    <w:p w:rsidR="00CD2A5A" w:rsidRDefault="00CD2A5A" w:rsidP="00CD2A5A">
      <w:pPr>
        <w:pStyle w:val="Figure"/>
      </w:pPr>
      <w:r>
        <w:t>Figure 77</w:t>
      </w:r>
    </w:p>
    <w:p w:rsidR="00CD2A5A" w:rsidRDefault="00CD2A5A" w:rsidP="00CD2A5A">
      <w:pPr>
        <w:pStyle w:val="Figure"/>
      </w:pPr>
      <w:r>
        <w:t>Custodial and non-custodial measures under the control of Courts for the Enforcement of Measures on Juvenile Offenders. Period 1995 – 2002</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790"/>
        <w:gridCol w:w="1698"/>
        <w:gridCol w:w="1698"/>
        <w:gridCol w:w="1226"/>
      </w:tblGrid>
      <w:tr w:rsidR="00CD2A5A">
        <w:tblPrEx>
          <w:tblCellMar>
            <w:top w:w="0" w:type="dxa"/>
            <w:bottom w:w="0" w:type="dxa"/>
          </w:tblCellMar>
        </w:tblPrEx>
        <w:trPr>
          <w:jc w:val="center"/>
        </w:trPr>
        <w:tc>
          <w:tcPr>
            <w:tcW w:w="4790" w:type="dxa"/>
            <w:vAlign w:val="center"/>
          </w:tcPr>
          <w:p w:rsidR="00CD2A5A" w:rsidRDefault="00CD2A5A">
            <w:pPr>
              <w:keepNext/>
              <w:spacing w:before="40" w:after="40"/>
              <w:jc w:val="center"/>
              <w:rPr>
                <w:b/>
                <w:i/>
                <w:sz w:val="20"/>
                <w:szCs w:val="20"/>
              </w:rPr>
            </w:pPr>
            <w:r>
              <w:rPr>
                <w:b/>
                <w:i/>
                <w:sz w:val="20"/>
                <w:szCs w:val="20"/>
              </w:rPr>
              <w:t>Courts</w:t>
            </w:r>
          </w:p>
        </w:tc>
        <w:tc>
          <w:tcPr>
            <w:tcW w:w="1698" w:type="dxa"/>
            <w:vAlign w:val="center"/>
          </w:tcPr>
          <w:p w:rsidR="00CD2A5A" w:rsidRDefault="00CD2A5A">
            <w:pPr>
              <w:spacing w:before="40" w:after="40"/>
              <w:jc w:val="center"/>
              <w:rPr>
                <w:b/>
                <w:i/>
                <w:sz w:val="20"/>
                <w:szCs w:val="20"/>
              </w:rPr>
            </w:pPr>
            <w:r>
              <w:rPr>
                <w:b/>
                <w:i/>
                <w:sz w:val="20"/>
                <w:szCs w:val="20"/>
              </w:rPr>
              <w:t>Imprisonment</w:t>
            </w:r>
          </w:p>
        </w:tc>
        <w:tc>
          <w:tcPr>
            <w:tcW w:w="1698" w:type="dxa"/>
            <w:vAlign w:val="center"/>
          </w:tcPr>
          <w:p w:rsidR="00CD2A5A" w:rsidRDefault="00CD2A5A">
            <w:pPr>
              <w:spacing w:before="40" w:after="40"/>
              <w:jc w:val="center"/>
              <w:rPr>
                <w:b/>
                <w:i/>
                <w:sz w:val="20"/>
                <w:szCs w:val="20"/>
              </w:rPr>
            </w:pPr>
            <w:r>
              <w:rPr>
                <w:b/>
                <w:i/>
                <w:sz w:val="20"/>
                <w:szCs w:val="20"/>
              </w:rPr>
              <w:t>Non-custodial measures</w:t>
            </w:r>
          </w:p>
        </w:tc>
        <w:tc>
          <w:tcPr>
            <w:tcW w:w="1226" w:type="dxa"/>
            <w:vAlign w:val="center"/>
          </w:tcPr>
          <w:p w:rsidR="00CD2A5A" w:rsidRDefault="00CD2A5A">
            <w:pPr>
              <w:spacing w:before="40" w:after="40"/>
              <w:jc w:val="center"/>
              <w:rPr>
                <w:b/>
                <w:i/>
                <w:sz w:val="20"/>
                <w:szCs w:val="20"/>
              </w:rPr>
            </w:pPr>
            <w:r>
              <w:rPr>
                <w:b/>
                <w:i/>
                <w:sz w:val="20"/>
                <w:szCs w:val="20"/>
              </w:rPr>
              <w:t>Totals</w:t>
            </w:r>
          </w:p>
        </w:tc>
      </w:tr>
      <w:tr w:rsidR="00CD2A5A">
        <w:tblPrEx>
          <w:tblCellMar>
            <w:top w:w="0" w:type="dxa"/>
            <w:bottom w:w="0" w:type="dxa"/>
          </w:tblCellMar>
        </w:tblPrEx>
        <w:trPr>
          <w:jc w:val="center"/>
        </w:trPr>
        <w:tc>
          <w:tcPr>
            <w:tcW w:w="4790" w:type="dxa"/>
            <w:vAlign w:val="center"/>
          </w:tcPr>
          <w:p w:rsidR="00CD2A5A" w:rsidRDefault="00CD2A5A">
            <w:pPr>
              <w:pStyle w:val="FootnoteText"/>
              <w:keepNext/>
              <w:spacing w:before="40" w:after="40" w:line="240" w:lineRule="auto"/>
              <w:rPr>
                <w:sz w:val="20"/>
                <w:lang w:val="en-GB"/>
              </w:rPr>
            </w:pPr>
            <w:r>
              <w:rPr>
                <w:sz w:val="20"/>
                <w:lang w:val="en-GB"/>
              </w:rPr>
              <w:t>1st Court of Enforcement of Measures of San Salvador</w:t>
            </w:r>
          </w:p>
        </w:tc>
        <w:tc>
          <w:tcPr>
            <w:tcW w:w="1698" w:type="dxa"/>
            <w:vAlign w:val="center"/>
          </w:tcPr>
          <w:p w:rsidR="00CD2A5A" w:rsidRDefault="00CD2A5A">
            <w:pPr>
              <w:spacing w:before="40" w:after="40"/>
              <w:ind w:right="738"/>
              <w:jc w:val="right"/>
              <w:rPr>
                <w:sz w:val="20"/>
                <w:szCs w:val="20"/>
              </w:rPr>
            </w:pPr>
            <w:r>
              <w:rPr>
                <w:sz w:val="20"/>
                <w:szCs w:val="20"/>
              </w:rPr>
              <w:t>60</w:t>
            </w:r>
          </w:p>
        </w:tc>
        <w:tc>
          <w:tcPr>
            <w:tcW w:w="1698" w:type="dxa"/>
            <w:vAlign w:val="center"/>
          </w:tcPr>
          <w:p w:rsidR="00CD2A5A" w:rsidRDefault="00CD2A5A">
            <w:pPr>
              <w:spacing w:before="40" w:after="40"/>
              <w:ind w:right="738"/>
              <w:jc w:val="right"/>
              <w:rPr>
                <w:sz w:val="20"/>
                <w:szCs w:val="20"/>
              </w:rPr>
            </w:pPr>
            <w:r>
              <w:rPr>
                <w:sz w:val="20"/>
                <w:szCs w:val="20"/>
              </w:rPr>
              <w:t>100</w:t>
            </w:r>
          </w:p>
        </w:tc>
        <w:tc>
          <w:tcPr>
            <w:tcW w:w="1226" w:type="dxa"/>
            <w:vAlign w:val="center"/>
          </w:tcPr>
          <w:p w:rsidR="00CD2A5A" w:rsidRDefault="00CD2A5A">
            <w:pPr>
              <w:spacing w:before="40" w:after="40"/>
              <w:ind w:right="553"/>
              <w:jc w:val="right"/>
              <w:rPr>
                <w:sz w:val="20"/>
                <w:szCs w:val="20"/>
              </w:rPr>
            </w:pPr>
            <w:r>
              <w:rPr>
                <w:sz w:val="20"/>
                <w:szCs w:val="20"/>
              </w:rPr>
              <w:t>160</w:t>
            </w:r>
          </w:p>
        </w:tc>
      </w:tr>
      <w:tr w:rsidR="00CD2A5A">
        <w:tblPrEx>
          <w:tblCellMar>
            <w:top w:w="0" w:type="dxa"/>
            <w:bottom w:w="0" w:type="dxa"/>
          </w:tblCellMar>
        </w:tblPrEx>
        <w:trPr>
          <w:jc w:val="center"/>
        </w:trPr>
        <w:tc>
          <w:tcPr>
            <w:tcW w:w="4790" w:type="dxa"/>
            <w:vAlign w:val="center"/>
          </w:tcPr>
          <w:p w:rsidR="00CD2A5A" w:rsidRDefault="00CD2A5A">
            <w:pPr>
              <w:spacing w:before="40" w:after="40"/>
              <w:rPr>
                <w:sz w:val="20"/>
                <w:szCs w:val="20"/>
                <w:lang w:val="en-US"/>
              </w:rPr>
            </w:pPr>
            <w:r>
              <w:rPr>
                <w:sz w:val="20"/>
                <w:szCs w:val="20"/>
                <w:lang w:val="en-US"/>
              </w:rPr>
              <w:t>2nd Court of Enforcement of Measures of San Salvador</w:t>
            </w:r>
          </w:p>
        </w:tc>
        <w:tc>
          <w:tcPr>
            <w:tcW w:w="1698" w:type="dxa"/>
            <w:vAlign w:val="center"/>
          </w:tcPr>
          <w:p w:rsidR="00CD2A5A" w:rsidRDefault="00CD2A5A">
            <w:pPr>
              <w:pStyle w:val="Footer"/>
              <w:tabs>
                <w:tab w:val="clear" w:pos="4252"/>
                <w:tab w:val="clear" w:pos="8504"/>
              </w:tabs>
              <w:spacing w:before="40" w:after="40"/>
              <w:ind w:right="738"/>
              <w:jc w:val="right"/>
              <w:rPr>
                <w:sz w:val="20"/>
                <w:szCs w:val="20"/>
                <w:lang w:val="en-GB"/>
              </w:rPr>
            </w:pPr>
            <w:r>
              <w:rPr>
                <w:sz w:val="20"/>
                <w:szCs w:val="20"/>
                <w:lang w:val="en-GB"/>
              </w:rPr>
              <w:t>80</w:t>
            </w:r>
          </w:p>
        </w:tc>
        <w:tc>
          <w:tcPr>
            <w:tcW w:w="1698" w:type="dxa"/>
            <w:vAlign w:val="center"/>
          </w:tcPr>
          <w:p w:rsidR="00CD2A5A" w:rsidRDefault="00CD2A5A">
            <w:pPr>
              <w:spacing w:before="40" w:after="40"/>
              <w:ind w:right="738"/>
              <w:jc w:val="right"/>
              <w:rPr>
                <w:sz w:val="20"/>
                <w:szCs w:val="20"/>
              </w:rPr>
            </w:pPr>
            <w:r>
              <w:rPr>
                <w:sz w:val="20"/>
                <w:szCs w:val="20"/>
              </w:rPr>
              <w:t>277</w:t>
            </w:r>
          </w:p>
        </w:tc>
        <w:tc>
          <w:tcPr>
            <w:tcW w:w="1226" w:type="dxa"/>
            <w:vAlign w:val="center"/>
          </w:tcPr>
          <w:p w:rsidR="00CD2A5A" w:rsidRDefault="00CD2A5A">
            <w:pPr>
              <w:spacing w:before="40" w:after="40"/>
              <w:ind w:right="553"/>
              <w:jc w:val="right"/>
              <w:rPr>
                <w:sz w:val="20"/>
                <w:szCs w:val="20"/>
              </w:rPr>
            </w:pPr>
            <w:r>
              <w:rPr>
                <w:sz w:val="20"/>
                <w:szCs w:val="20"/>
              </w:rPr>
              <w:t>257</w:t>
            </w:r>
          </w:p>
        </w:tc>
      </w:tr>
      <w:tr w:rsidR="00CD2A5A">
        <w:tblPrEx>
          <w:tblCellMar>
            <w:top w:w="0" w:type="dxa"/>
            <w:bottom w:w="0" w:type="dxa"/>
          </w:tblCellMar>
        </w:tblPrEx>
        <w:trPr>
          <w:jc w:val="center"/>
        </w:trPr>
        <w:tc>
          <w:tcPr>
            <w:tcW w:w="4790" w:type="dxa"/>
            <w:vAlign w:val="center"/>
          </w:tcPr>
          <w:p w:rsidR="00CD2A5A" w:rsidRDefault="00CD2A5A">
            <w:pPr>
              <w:spacing w:before="40" w:after="40"/>
              <w:rPr>
                <w:sz w:val="20"/>
                <w:szCs w:val="20"/>
                <w:lang w:val="en-US"/>
              </w:rPr>
            </w:pPr>
            <w:r>
              <w:rPr>
                <w:sz w:val="20"/>
                <w:szCs w:val="20"/>
                <w:lang w:val="en-US"/>
              </w:rPr>
              <w:t>Court of Enforcement of Measures of Santa Ana</w:t>
            </w:r>
          </w:p>
        </w:tc>
        <w:tc>
          <w:tcPr>
            <w:tcW w:w="1698" w:type="dxa"/>
            <w:vAlign w:val="center"/>
          </w:tcPr>
          <w:p w:rsidR="00CD2A5A" w:rsidRDefault="00CD2A5A">
            <w:pPr>
              <w:spacing w:before="40" w:after="40"/>
              <w:ind w:right="738"/>
              <w:jc w:val="right"/>
              <w:rPr>
                <w:sz w:val="20"/>
                <w:szCs w:val="20"/>
              </w:rPr>
            </w:pPr>
            <w:r>
              <w:rPr>
                <w:sz w:val="20"/>
                <w:szCs w:val="20"/>
              </w:rPr>
              <w:t>98</w:t>
            </w:r>
          </w:p>
        </w:tc>
        <w:tc>
          <w:tcPr>
            <w:tcW w:w="1698" w:type="dxa"/>
            <w:vAlign w:val="center"/>
          </w:tcPr>
          <w:p w:rsidR="00CD2A5A" w:rsidRDefault="00CD2A5A">
            <w:pPr>
              <w:spacing w:before="40" w:after="40"/>
              <w:ind w:right="738"/>
              <w:jc w:val="right"/>
              <w:rPr>
                <w:sz w:val="20"/>
                <w:szCs w:val="20"/>
              </w:rPr>
            </w:pPr>
            <w:r>
              <w:rPr>
                <w:sz w:val="20"/>
                <w:szCs w:val="20"/>
              </w:rPr>
              <w:t>112</w:t>
            </w:r>
          </w:p>
        </w:tc>
        <w:tc>
          <w:tcPr>
            <w:tcW w:w="1226" w:type="dxa"/>
            <w:vAlign w:val="center"/>
          </w:tcPr>
          <w:p w:rsidR="00CD2A5A" w:rsidRDefault="00CD2A5A">
            <w:pPr>
              <w:spacing w:before="40" w:after="40"/>
              <w:ind w:right="553"/>
              <w:jc w:val="right"/>
              <w:rPr>
                <w:sz w:val="20"/>
                <w:szCs w:val="20"/>
              </w:rPr>
            </w:pPr>
            <w:r>
              <w:rPr>
                <w:sz w:val="20"/>
                <w:szCs w:val="20"/>
              </w:rPr>
              <w:t>210</w:t>
            </w:r>
          </w:p>
        </w:tc>
      </w:tr>
      <w:tr w:rsidR="00CD2A5A">
        <w:tblPrEx>
          <w:tblCellMar>
            <w:top w:w="0" w:type="dxa"/>
            <w:bottom w:w="0" w:type="dxa"/>
          </w:tblCellMar>
        </w:tblPrEx>
        <w:trPr>
          <w:jc w:val="center"/>
        </w:trPr>
        <w:tc>
          <w:tcPr>
            <w:tcW w:w="4790" w:type="dxa"/>
            <w:vAlign w:val="center"/>
          </w:tcPr>
          <w:p w:rsidR="00CD2A5A" w:rsidRDefault="00CD2A5A">
            <w:pPr>
              <w:spacing w:before="40" w:after="40"/>
              <w:rPr>
                <w:sz w:val="20"/>
                <w:szCs w:val="20"/>
                <w:lang w:val="en-US"/>
              </w:rPr>
            </w:pPr>
            <w:r>
              <w:rPr>
                <w:sz w:val="20"/>
                <w:szCs w:val="20"/>
                <w:lang w:val="en-US"/>
              </w:rPr>
              <w:t>Court of Enforcement of Measures of Santa Miguel</w:t>
            </w:r>
          </w:p>
        </w:tc>
        <w:tc>
          <w:tcPr>
            <w:tcW w:w="1698" w:type="dxa"/>
            <w:vAlign w:val="center"/>
          </w:tcPr>
          <w:p w:rsidR="00CD2A5A" w:rsidRDefault="00CD2A5A">
            <w:pPr>
              <w:spacing w:before="40" w:after="40"/>
              <w:ind w:right="738"/>
              <w:jc w:val="right"/>
              <w:rPr>
                <w:sz w:val="20"/>
                <w:szCs w:val="20"/>
              </w:rPr>
            </w:pPr>
            <w:r>
              <w:rPr>
                <w:sz w:val="20"/>
                <w:szCs w:val="20"/>
              </w:rPr>
              <w:t>31</w:t>
            </w:r>
          </w:p>
        </w:tc>
        <w:tc>
          <w:tcPr>
            <w:tcW w:w="1698" w:type="dxa"/>
            <w:vAlign w:val="center"/>
          </w:tcPr>
          <w:p w:rsidR="00CD2A5A" w:rsidRDefault="00CD2A5A">
            <w:pPr>
              <w:spacing w:before="40" w:after="40"/>
              <w:ind w:right="738"/>
              <w:jc w:val="right"/>
              <w:rPr>
                <w:sz w:val="20"/>
                <w:szCs w:val="20"/>
              </w:rPr>
            </w:pPr>
            <w:r>
              <w:rPr>
                <w:sz w:val="20"/>
                <w:szCs w:val="20"/>
              </w:rPr>
              <w:t>115</w:t>
            </w:r>
          </w:p>
        </w:tc>
        <w:tc>
          <w:tcPr>
            <w:tcW w:w="1226" w:type="dxa"/>
            <w:vAlign w:val="center"/>
          </w:tcPr>
          <w:p w:rsidR="00CD2A5A" w:rsidRDefault="00CD2A5A">
            <w:pPr>
              <w:spacing w:before="40" w:after="40"/>
              <w:ind w:right="553"/>
              <w:jc w:val="right"/>
              <w:rPr>
                <w:sz w:val="20"/>
                <w:szCs w:val="20"/>
              </w:rPr>
            </w:pPr>
            <w:r>
              <w:rPr>
                <w:sz w:val="20"/>
                <w:szCs w:val="20"/>
              </w:rPr>
              <w:t>146</w:t>
            </w:r>
          </w:p>
        </w:tc>
      </w:tr>
      <w:tr w:rsidR="00CD2A5A">
        <w:tblPrEx>
          <w:tblCellMar>
            <w:top w:w="0" w:type="dxa"/>
            <w:bottom w:w="0" w:type="dxa"/>
          </w:tblCellMar>
        </w:tblPrEx>
        <w:trPr>
          <w:jc w:val="center"/>
        </w:trPr>
        <w:tc>
          <w:tcPr>
            <w:tcW w:w="4790" w:type="dxa"/>
            <w:vAlign w:val="center"/>
          </w:tcPr>
          <w:p w:rsidR="00CD2A5A" w:rsidRDefault="00CD2A5A">
            <w:pPr>
              <w:spacing w:before="40" w:after="40"/>
              <w:rPr>
                <w:sz w:val="20"/>
                <w:szCs w:val="20"/>
                <w:lang w:val="en-US"/>
              </w:rPr>
            </w:pPr>
            <w:r>
              <w:rPr>
                <w:sz w:val="20"/>
                <w:szCs w:val="20"/>
                <w:lang w:val="en-US"/>
              </w:rPr>
              <w:t>Court of Enforcement of Measures of San Vicente</w:t>
            </w:r>
          </w:p>
        </w:tc>
        <w:tc>
          <w:tcPr>
            <w:tcW w:w="1698" w:type="dxa"/>
            <w:vAlign w:val="center"/>
          </w:tcPr>
          <w:p w:rsidR="00CD2A5A" w:rsidRDefault="00CD2A5A">
            <w:pPr>
              <w:spacing w:before="40" w:after="40"/>
              <w:ind w:right="738"/>
              <w:jc w:val="right"/>
              <w:rPr>
                <w:sz w:val="20"/>
                <w:szCs w:val="20"/>
              </w:rPr>
            </w:pPr>
            <w:r>
              <w:rPr>
                <w:sz w:val="20"/>
                <w:szCs w:val="20"/>
              </w:rPr>
              <w:t>36</w:t>
            </w:r>
          </w:p>
        </w:tc>
        <w:tc>
          <w:tcPr>
            <w:tcW w:w="1698" w:type="dxa"/>
            <w:vAlign w:val="center"/>
          </w:tcPr>
          <w:p w:rsidR="00CD2A5A" w:rsidRDefault="00CD2A5A">
            <w:pPr>
              <w:spacing w:before="40" w:after="40"/>
              <w:ind w:right="738"/>
              <w:jc w:val="right"/>
              <w:rPr>
                <w:sz w:val="20"/>
                <w:szCs w:val="20"/>
              </w:rPr>
            </w:pPr>
            <w:r>
              <w:rPr>
                <w:sz w:val="20"/>
                <w:szCs w:val="20"/>
              </w:rPr>
              <w:t>62</w:t>
            </w:r>
          </w:p>
        </w:tc>
        <w:tc>
          <w:tcPr>
            <w:tcW w:w="1226" w:type="dxa"/>
            <w:vAlign w:val="center"/>
          </w:tcPr>
          <w:p w:rsidR="00CD2A5A" w:rsidRDefault="00CD2A5A">
            <w:pPr>
              <w:spacing w:before="40" w:after="40"/>
              <w:ind w:right="553"/>
              <w:jc w:val="right"/>
              <w:rPr>
                <w:sz w:val="20"/>
                <w:szCs w:val="20"/>
              </w:rPr>
            </w:pPr>
            <w:r>
              <w:rPr>
                <w:sz w:val="20"/>
                <w:szCs w:val="20"/>
              </w:rPr>
              <w:t>98</w:t>
            </w:r>
          </w:p>
        </w:tc>
      </w:tr>
      <w:tr w:rsidR="00CD2A5A">
        <w:tblPrEx>
          <w:tblCellMar>
            <w:top w:w="0" w:type="dxa"/>
            <w:bottom w:w="0" w:type="dxa"/>
          </w:tblCellMar>
        </w:tblPrEx>
        <w:trPr>
          <w:jc w:val="center"/>
        </w:trPr>
        <w:tc>
          <w:tcPr>
            <w:tcW w:w="4790" w:type="dxa"/>
            <w:vAlign w:val="center"/>
          </w:tcPr>
          <w:p w:rsidR="00CD2A5A" w:rsidRDefault="00CD2A5A">
            <w:pPr>
              <w:spacing w:before="40" w:after="40"/>
              <w:rPr>
                <w:sz w:val="20"/>
                <w:szCs w:val="20"/>
              </w:rPr>
            </w:pPr>
            <w:r>
              <w:rPr>
                <w:sz w:val="20"/>
                <w:szCs w:val="20"/>
              </w:rPr>
              <w:t>Totals</w:t>
            </w:r>
          </w:p>
        </w:tc>
        <w:tc>
          <w:tcPr>
            <w:tcW w:w="1698" w:type="dxa"/>
            <w:vAlign w:val="center"/>
          </w:tcPr>
          <w:p w:rsidR="00CD2A5A" w:rsidRDefault="00CD2A5A">
            <w:pPr>
              <w:spacing w:before="40" w:after="40"/>
              <w:ind w:right="738"/>
              <w:jc w:val="right"/>
              <w:rPr>
                <w:sz w:val="20"/>
                <w:szCs w:val="20"/>
              </w:rPr>
            </w:pPr>
            <w:r>
              <w:rPr>
                <w:sz w:val="20"/>
                <w:szCs w:val="20"/>
              </w:rPr>
              <w:t>305</w:t>
            </w:r>
          </w:p>
        </w:tc>
        <w:tc>
          <w:tcPr>
            <w:tcW w:w="1698" w:type="dxa"/>
            <w:vAlign w:val="center"/>
          </w:tcPr>
          <w:p w:rsidR="00CD2A5A" w:rsidRDefault="00CD2A5A">
            <w:pPr>
              <w:spacing w:before="40" w:after="40"/>
              <w:ind w:right="738"/>
              <w:jc w:val="right"/>
              <w:rPr>
                <w:sz w:val="20"/>
                <w:szCs w:val="20"/>
              </w:rPr>
            </w:pPr>
            <w:r>
              <w:rPr>
                <w:sz w:val="20"/>
                <w:szCs w:val="20"/>
              </w:rPr>
              <w:t>666</w:t>
            </w:r>
          </w:p>
        </w:tc>
        <w:tc>
          <w:tcPr>
            <w:tcW w:w="1226" w:type="dxa"/>
            <w:vAlign w:val="center"/>
          </w:tcPr>
          <w:p w:rsidR="00CD2A5A" w:rsidRDefault="00CD2A5A">
            <w:pPr>
              <w:spacing w:before="40" w:after="40"/>
              <w:ind w:right="553"/>
              <w:jc w:val="right"/>
              <w:rPr>
                <w:sz w:val="20"/>
                <w:szCs w:val="20"/>
              </w:rPr>
            </w:pPr>
            <w:r>
              <w:rPr>
                <w:sz w:val="20"/>
                <w:szCs w:val="20"/>
              </w:rPr>
              <w:t>971</w:t>
            </w:r>
          </w:p>
        </w:tc>
      </w:tr>
      <w:tr w:rsidR="00CD2A5A">
        <w:tblPrEx>
          <w:tblCellMar>
            <w:top w:w="0" w:type="dxa"/>
            <w:bottom w:w="0" w:type="dxa"/>
          </w:tblCellMar>
        </w:tblPrEx>
        <w:trPr>
          <w:jc w:val="center"/>
        </w:trPr>
        <w:tc>
          <w:tcPr>
            <w:tcW w:w="4790" w:type="dxa"/>
            <w:vAlign w:val="center"/>
          </w:tcPr>
          <w:p w:rsidR="00CD2A5A" w:rsidRDefault="00CD2A5A">
            <w:pPr>
              <w:spacing w:before="40" w:after="40"/>
              <w:rPr>
                <w:sz w:val="20"/>
                <w:szCs w:val="20"/>
              </w:rPr>
            </w:pPr>
            <w:r>
              <w:rPr>
                <w:sz w:val="20"/>
                <w:szCs w:val="20"/>
              </w:rPr>
              <w:t>Percentages</w:t>
            </w:r>
          </w:p>
        </w:tc>
        <w:tc>
          <w:tcPr>
            <w:tcW w:w="1698" w:type="dxa"/>
            <w:vAlign w:val="center"/>
          </w:tcPr>
          <w:p w:rsidR="00CD2A5A" w:rsidRDefault="00CD2A5A">
            <w:pPr>
              <w:spacing w:before="40" w:after="40"/>
              <w:jc w:val="center"/>
              <w:rPr>
                <w:sz w:val="20"/>
                <w:szCs w:val="20"/>
              </w:rPr>
            </w:pPr>
            <w:r>
              <w:rPr>
                <w:sz w:val="20"/>
                <w:szCs w:val="20"/>
              </w:rPr>
              <w:t>31.4%</w:t>
            </w:r>
          </w:p>
        </w:tc>
        <w:tc>
          <w:tcPr>
            <w:tcW w:w="1698" w:type="dxa"/>
            <w:vAlign w:val="center"/>
          </w:tcPr>
          <w:p w:rsidR="00CD2A5A" w:rsidRDefault="00CD2A5A">
            <w:pPr>
              <w:spacing w:before="40" w:after="40"/>
              <w:jc w:val="center"/>
              <w:rPr>
                <w:sz w:val="20"/>
                <w:szCs w:val="20"/>
              </w:rPr>
            </w:pPr>
            <w:r>
              <w:rPr>
                <w:sz w:val="20"/>
                <w:szCs w:val="20"/>
              </w:rPr>
              <w:t>68.9%</w:t>
            </w:r>
          </w:p>
        </w:tc>
        <w:tc>
          <w:tcPr>
            <w:tcW w:w="1226" w:type="dxa"/>
            <w:vAlign w:val="center"/>
          </w:tcPr>
          <w:p w:rsidR="00CD2A5A" w:rsidRDefault="00CD2A5A">
            <w:pPr>
              <w:spacing w:before="40" w:after="40"/>
              <w:jc w:val="center"/>
              <w:rPr>
                <w:sz w:val="20"/>
                <w:szCs w:val="20"/>
              </w:rPr>
            </w:pPr>
            <w:r>
              <w:rPr>
                <w:sz w:val="20"/>
                <w:szCs w:val="20"/>
              </w:rPr>
              <w:t>100%</w:t>
            </w:r>
          </w:p>
        </w:tc>
      </w:tr>
    </w:tbl>
    <w:p w:rsidR="00CD2A5A" w:rsidRDefault="00CD2A5A">
      <w:pPr>
        <w:pStyle w:val="Source"/>
      </w:pPr>
      <w:r>
        <w:rPr>
          <w:i/>
        </w:rPr>
        <w:t>Source</w:t>
      </w:r>
      <w:r>
        <w:t>: Attorney-General’s Office for the Protection of Human Rights, Human Rights of Children and Young People - Compendium of decisions and special reports on children and young people, San Salvador, 2004</w:t>
      </w:r>
    </w:p>
    <w:p w:rsidR="00CD2A5A" w:rsidRDefault="00CD2A5A">
      <w:pPr>
        <w:numPr>
          <w:ilvl w:val="0"/>
          <w:numId w:val="3"/>
        </w:numPr>
        <w:tabs>
          <w:tab w:val="clear" w:pos="720"/>
        </w:tabs>
        <w:spacing w:after="240"/>
        <w:ind w:left="0" w:firstLine="0"/>
        <w:rPr>
          <w:lang w:val="en-US"/>
        </w:rPr>
      </w:pPr>
      <w:r>
        <w:rPr>
          <w:lang w:val="en-US"/>
        </w:rPr>
        <w:t>With regard to the application of youth justice administration, the Office of the Public Prosecutor of the Republic set up the Department of Juvenile Crime in March 1995, recruiting a group of prosecutors and training them in the application of the special legal system applicable to children in conflict with the law. This special training enabled the Prosecutor to guarantee the set of rights and guarantees designed to assist children accused of breaking the law. These rights must be guaranteed from the beginning of the investigation or, if applicable, when the minor is located and placed under the order of the Prosecutor. From that moment, the minor is guaranteed the right to a defence counsel, which takes effect when the minor is summoned by the specialist prosecutor through the juvenile criminal justice process, who from that time orders the separation of captured adults and minors in preventive custody. In the same way, in line with domestic law, the principles and provisions laid down in the Convention on the Rights of the Child, the United Nations Guidelines for the Prevention of Juvenile Delinquency (Riyadh Guidelines) and the United Nations Standard Minimum rules for the Administration of Juvenile Justice (Beijing Rules) are taken into consideration.</w:t>
      </w:r>
    </w:p>
    <w:p w:rsidR="00CD2A5A" w:rsidRDefault="00CD2A5A">
      <w:pPr>
        <w:pStyle w:val="Header"/>
        <w:numPr>
          <w:ilvl w:val="0"/>
          <w:numId w:val="3"/>
        </w:numPr>
        <w:tabs>
          <w:tab w:val="clear" w:pos="720"/>
          <w:tab w:val="clear" w:pos="4252"/>
        </w:tabs>
        <w:spacing w:after="240"/>
        <w:ind w:left="0" w:firstLine="0"/>
        <w:rPr>
          <w:lang w:val="en-GB"/>
        </w:rPr>
      </w:pPr>
      <w:r>
        <w:rPr>
          <w:lang w:val="en-GB"/>
        </w:rPr>
        <w:t>It should be emphasized that the juvenile justice process is extremely short because the Prosecutor's office is allowed only 60 days to conduct the investigation. Once the minor has been located and placed into the order of the Prosecutor, he or she must therefore be brought before a judge within 72 hours. The judge must hold a hearing to formulate the charges, when any appropriate cautionary measure is handed down. The main aim of this is to guarantee an education in responsibility as established by the guiding principle of the Juvenile Criminal Justice Act, in harmony at all times with the relevant tenets of the Convention on the Rights of the Child and the best interests of the child. Within 60 days, a criminal action is brought and if an alternative dispute settlement mechanism is not forthcoming, the process culminates in a case hearing, at which it is always preferable to impose the measure that is most likely to re-educate the minor in conflict with the law.</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The Office of the Public Prosecutor of the Republic keeps a register of criminal offences  allegedly committed by persons under 18 years of age. In 2006, out of a total of 7,953 person under 18 years of age who were investigated by the Office of the Attorney General, 6,678 were detained for the purposes of judgement and 1,275 were not ordered to be taken into custody because this restriction was not justified, as indicated in the following table:</w:t>
      </w:r>
    </w:p>
    <w:p w:rsidR="00CD2A5A" w:rsidRDefault="00CD2A5A" w:rsidP="00CD2A5A">
      <w:pPr>
        <w:pStyle w:val="Figure"/>
      </w:pPr>
      <w:r>
        <w:t>Figure 78</w:t>
      </w:r>
    </w:p>
    <w:p w:rsidR="00CD2A5A" w:rsidRDefault="00CD2A5A" w:rsidP="00CD2A5A">
      <w:pPr>
        <w:pStyle w:val="Figure"/>
      </w:pPr>
      <w:r>
        <w:t>Type of detention for persons under 18 (2006)</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7"/>
        <w:gridCol w:w="3865"/>
      </w:tblGrid>
      <w:tr w:rsidR="00CD2A5A">
        <w:trPr>
          <w:jc w:val="center"/>
        </w:trPr>
        <w:tc>
          <w:tcPr>
            <w:tcW w:w="5547" w:type="dxa"/>
          </w:tcPr>
          <w:p w:rsidR="00CD2A5A" w:rsidRDefault="00CD2A5A">
            <w:pPr>
              <w:spacing w:before="40" w:after="40"/>
              <w:rPr>
                <w:bCs/>
                <w:sz w:val="20"/>
                <w:szCs w:val="20"/>
                <w:lang w:val="en-US"/>
              </w:rPr>
            </w:pPr>
          </w:p>
        </w:tc>
        <w:tc>
          <w:tcPr>
            <w:tcW w:w="3865" w:type="dxa"/>
          </w:tcPr>
          <w:p w:rsidR="00CD2A5A" w:rsidRDefault="00CD2A5A">
            <w:pPr>
              <w:spacing w:before="40" w:after="40"/>
              <w:jc w:val="center"/>
              <w:rPr>
                <w:b/>
                <w:bCs/>
                <w:i/>
                <w:sz w:val="20"/>
                <w:szCs w:val="20"/>
              </w:rPr>
            </w:pPr>
            <w:r>
              <w:rPr>
                <w:b/>
                <w:bCs/>
                <w:i/>
                <w:sz w:val="20"/>
                <w:szCs w:val="20"/>
              </w:rPr>
              <w:t>Total</w:t>
            </w:r>
          </w:p>
        </w:tc>
      </w:tr>
      <w:tr w:rsidR="00CD2A5A">
        <w:trPr>
          <w:jc w:val="center"/>
        </w:trPr>
        <w:tc>
          <w:tcPr>
            <w:tcW w:w="5547" w:type="dxa"/>
          </w:tcPr>
          <w:p w:rsidR="00CD2A5A" w:rsidRDefault="00CD2A5A">
            <w:pPr>
              <w:spacing w:before="40" w:after="40"/>
              <w:rPr>
                <w:bCs/>
                <w:sz w:val="20"/>
                <w:szCs w:val="20"/>
                <w:lang w:val="en-US"/>
              </w:rPr>
            </w:pPr>
            <w:r>
              <w:rPr>
                <w:bCs/>
                <w:sz w:val="20"/>
                <w:szCs w:val="20"/>
                <w:lang w:val="en-US"/>
              </w:rPr>
              <w:t xml:space="preserve">Detention in </w:t>
            </w:r>
            <w:r>
              <w:rPr>
                <w:bCs/>
                <w:i/>
                <w:iCs/>
                <w:sz w:val="20"/>
                <w:szCs w:val="20"/>
                <w:lang w:val="en-US"/>
              </w:rPr>
              <w:t>flagrante delicto</w:t>
            </w:r>
          </w:p>
          <w:p w:rsidR="00CD2A5A" w:rsidRDefault="00CD2A5A">
            <w:pPr>
              <w:spacing w:before="40" w:after="40"/>
              <w:rPr>
                <w:bCs/>
                <w:sz w:val="20"/>
                <w:szCs w:val="20"/>
                <w:lang w:val="en-US"/>
              </w:rPr>
            </w:pPr>
            <w:r>
              <w:rPr>
                <w:bCs/>
                <w:sz w:val="20"/>
                <w:szCs w:val="20"/>
                <w:lang w:val="en-US"/>
              </w:rPr>
              <w:t>Interim detention</w:t>
            </w:r>
          </w:p>
          <w:p w:rsidR="00CD2A5A" w:rsidRDefault="00CD2A5A">
            <w:pPr>
              <w:spacing w:before="40" w:after="40"/>
              <w:rPr>
                <w:bCs/>
                <w:sz w:val="20"/>
                <w:szCs w:val="20"/>
                <w:lang w:val="en-US"/>
              </w:rPr>
            </w:pPr>
            <w:r>
              <w:rPr>
                <w:bCs/>
                <w:sz w:val="20"/>
                <w:szCs w:val="20"/>
                <w:lang w:val="en-US"/>
              </w:rPr>
              <w:t>Administrative detention</w:t>
            </w:r>
          </w:p>
          <w:p w:rsidR="00CD2A5A" w:rsidRDefault="00CD2A5A">
            <w:pPr>
              <w:spacing w:before="40" w:after="40"/>
              <w:rPr>
                <w:bCs/>
                <w:sz w:val="20"/>
                <w:szCs w:val="20"/>
                <w:lang w:val="en-US"/>
              </w:rPr>
            </w:pPr>
            <w:r>
              <w:rPr>
                <w:bCs/>
                <w:sz w:val="20"/>
                <w:szCs w:val="20"/>
                <w:lang w:val="en-US"/>
              </w:rPr>
              <w:t>Detention with court order</w:t>
            </w:r>
          </w:p>
          <w:p w:rsidR="00CD2A5A" w:rsidRDefault="00CD2A5A">
            <w:pPr>
              <w:spacing w:before="40" w:after="40"/>
              <w:rPr>
                <w:bCs/>
                <w:sz w:val="20"/>
                <w:szCs w:val="20"/>
              </w:rPr>
            </w:pPr>
            <w:r>
              <w:rPr>
                <w:bCs/>
                <w:sz w:val="20"/>
                <w:szCs w:val="20"/>
              </w:rPr>
              <w:t>No detention</w:t>
            </w:r>
          </w:p>
        </w:tc>
        <w:tc>
          <w:tcPr>
            <w:tcW w:w="3865" w:type="dxa"/>
          </w:tcPr>
          <w:p w:rsidR="00CD2A5A" w:rsidRDefault="00CD2A5A">
            <w:pPr>
              <w:spacing w:before="40" w:after="40"/>
              <w:ind w:right="1541"/>
              <w:jc w:val="right"/>
              <w:rPr>
                <w:bCs/>
                <w:sz w:val="20"/>
                <w:szCs w:val="20"/>
              </w:rPr>
            </w:pPr>
            <w:r>
              <w:rPr>
                <w:bCs/>
                <w:sz w:val="20"/>
                <w:szCs w:val="20"/>
              </w:rPr>
              <w:t>6,574</w:t>
            </w:r>
          </w:p>
          <w:p w:rsidR="00CD2A5A" w:rsidRDefault="00CD2A5A">
            <w:pPr>
              <w:spacing w:before="40" w:after="40"/>
              <w:ind w:right="1541"/>
              <w:jc w:val="right"/>
              <w:rPr>
                <w:bCs/>
                <w:sz w:val="20"/>
                <w:szCs w:val="20"/>
              </w:rPr>
            </w:pPr>
            <w:r>
              <w:rPr>
                <w:bCs/>
                <w:sz w:val="20"/>
                <w:szCs w:val="20"/>
              </w:rPr>
              <w:t>53</w:t>
            </w:r>
          </w:p>
          <w:p w:rsidR="00CD2A5A" w:rsidRDefault="00CD2A5A">
            <w:pPr>
              <w:spacing w:before="40" w:after="40"/>
              <w:ind w:right="1541"/>
              <w:jc w:val="right"/>
              <w:rPr>
                <w:bCs/>
                <w:sz w:val="20"/>
                <w:szCs w:val="20"/>
              </w:rPr>
            </w:pPr>
            <w:r>
              <w:rPr>
                <w:bCs/>
                <w:sz w:val="20"/>
                <w:szCs w:val="20"/>
              </w:rPr>
              <w:t>48</w:t>
            </w:r>
          </w:p>
          <w:p w:rsidR="00CD2A5A" w:rsidRDefault="00CD2A5A">
            <w:pPr>
              <w:spacing w:before="40" w:after="40"/>
              <w:ind w:right="1541"/>
              <w:jc w:val="right"/>
              <w:rPr>
                <w:bCs/>
                <w:sz w:val="20"/>
                <w:szCs w:val="20"/>
              </w:rPr>
            </w:pPr>
            <w:r>
              <w:rPr>
                <w:bCs/>
                <w:sz w:val="20"/>
                <w:szCs w:val="20"/>
              </w:rPr>
              <w:t>3</w:t>
            </w:r>
          </w:p>
          <w:p w:rsidR="00CD2A5A" w:rsidRDefault="00CD2A5A">
            <w:pPr>
              <w:spacing w:before="40" w:after="40"/>
              <w:ind w:right="1541"/>
              <w:jc w:val="right"/>
              <w:rPr>
                <w:bCs/>
                <w:sz w:val="20"/>
                <w:szCs w:val="20"/>
              </w:rPr>
            </w:pPr>
            <w:r>
              <w:rPr>
                <w:bCs/>
                <w:sz w:val="20"/>
                <w:szCs w:val="20"/>
              </w:rPr>
              <w:t>1,275</w:t>
            </w:r>
          </w:p>
        </w:tc>
      </w:tr>
      <w:tr w:rsidR="00CD2A5A">
        <w:trPr>
          <w:jc w:val="center"/>
        </w:trPr>
        <w:tc>
          <w:tcPr>
            <w:tcW w:w="5547" w:type="dxa"/>
          </w:tcPr>
          <w:p w:rsidR="00CD2A5A" w:rsidRDefault="00CD2A5A">
            <w:pPr>
              <w:spacing w:before="40" w:after="40"/>
              <w:rPr>
                <w:bCs/>
                <w:sz w:val="20"/>
                <w:szCs w:val="20"/>
              </w:rPr>
            </w:pPr>
            <w:r>
              <w:rPr>
                <w:bCs/>
                <w:sz w:val="20"/>
                <w:szCs w:val="20"/>
              </w:rPr>
              <w:t xml:space="preserve">  Total</w:t>
            </w:r>
          </w:p>
        </w:tc>
        <w:tc>
          <w:tcPr>
            <w:tcW w:w="3865" w:type="dxa"/>
          </w:tcPr>
          <w:p w:rsidR="00CD2A5A" w:rsidRDefault="00CD2A5A">
            <w:pPr>
              <w:spacing w:before="40" w:after="40"/>
              <w:ind w:right="1541"/>
              <w:jc w:val="right"/>
              <w:rPr>
                <w:bCs/>
                <w:sz w:val="20"/>
                <w:szCs w:val="20"/>
              </w:rPr>
            </w:pPr>
            <w:r>
              <w:rPr>
                <w:bCs/>
                <w:sz w:val="20"/>
                <w:szCs w:val="20"/>
              </w:rPr>
              <w:t>7,953</w:t>
            </w:r>
          </w:p>
        </w:tc>
      </w:tr>
    </w:tbl>
    <w:p w:rsidR="00CD2A5A" w:rsidRDefault="00CD2A5A">
      <w:pPr>
        <w:spacing w:after="240"/>
      </w:pPr>
    </w:p>
    <w:p w:rsidR="00CD2A5A" w:rsidRDefault="00CD2A5A">
      <w:pPr>
        <w:pStyle w:val="Header"/>
        <w:numPr>
          <w:ilvl w:val="0"/>
          <w:numId w:val="3"/>
        </w:numPr>
        <w:tabs>
          <w:tab w:val="clear" w:pos="720"/>
          <w:tab w:val="clear" w:pos="4252"/>
        </w:tabs>
        <w:spacing w:after="240"/>
        <w:ind w:left="0" w:firstLine="0"/>
        <w:rPr>
          <w:lang w:val="en-GB"/>
        </w:rPr>
      </w:pPr>
      <w:r>
        <w:rPr>
          <w:lang w:val="en-GB"/>
        </w:rPr>
        <w:t>See annex XXI for other cases.</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As far as the judgement of children in conflict with the law is concerned, during 2004-2006, 12,575 children were tried in specialized juvenile courts, most of whom were male, as shown in the following table:</w:t>
      </w:r>
    </w:p>
    <w:p w:rsidR="00CD2A5A" w:rsidRDefault="00CD2A5A" w:rsidP="00CD2A5A">
      <w:pPr>
        <w:pStyle w:val="Figure"/>
      </w:pPr>
      <w:r>
        <w:t>Figure 79</w:t>
      </w:r>
    </w:p>
    <w:p w:rsidR="00CD2A5A" w:rsidRDefault="00CD2A5A" w:rsidP="00CD2A5A">
      <w:pPr>
        <w:pStyle w:val="Figure"/>
      </w:pPr>
      <w:r>
        <w:t>Persons under 18 years of age tried in juvenile courts at national level, by gender and age</w:t>
      </w:r>
    </w:p>
    <w:tbl>
      <w:tblPr>
        <w:tblpPr w:leftFromText="141" w:rightFromText="141" w:vertAnchor="text" w:horzAnchor="margin" w:tblpXSpec="center" w:tblpY="160"/>
        <w:tblW w:w="9412" w:type="dxa"/>
        <w:tblInd w:w="5" w:type="dxa"/>
        <w:tblCellMar>
          <w:left w:w="0" w:type="dxa"/>
          <w:right w:w="0" w:type="dxa"/>
        </w:tblCellMar>
        <w:tblLook w:val="0000" w:firstRow="0" w:lastRow="0" w:firstColumn="0" w:lastColumn="0" w:noHBand="0" w:noVBand="0"/>
      </w:tblPr>
      <w:tblGrid>
        <w:gridCol w:w="1291"/>
        <w:gridCol w:w="724"/>
        <w:gridCol w:w="899"/>
        <w:gridCol w:w="814"/>
        <w:gridCol w:w="755"/>
        <w:gridCol w:w="841"/>
        <w:gridCol w:w="850"/>
        <w:gridCol w:w="573"/>
        <w:gridCol w:w="426"/>
        <w:gridCol w:w="708"/>
        <w:gridCol w:w="426"/>
        <w:gridCol w:w="682"/>
        <w:gridCol w:w="423"/>
      </w:tblGrid>
      <w:tr w:rsidR="00CD2A5A">
        <w:trPr>
          <w:cantSplit/>
          <w:trHeight w:val="39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Description</w:t>
            </w:r>
          </w:p>
        </w:tc>
        <w:tc>
          <w:tcPr>
            <w:tcW w:w="0" w:type="auto"/>
            <w:gridSpan w:val="12"/>
            <w:tcBorders>
              <w:top w:val="single" w:sz="4" w:space="0" w:color="auto"/>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Total</w:t>
            </w:r>
          </w:p>
        </w:tc>
      </w:tr>
      <w:tr w:rsidR="00CD2A5A">
        <w:trPr>
          <w:cantSplit/>
          <w:trHeight w:val="390"/>
        </w:trPr>
        <w:tc>
          <w:tcPr>
            <w:tcW w:w="0" w:type="auto"/>
            <w:vMerge/>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jc w:val="center"/>
              <w:rPr>
                <w:b/>
                <w:i/>
                <w:sz w:val="20"/>
                <w:szCs w:val="20"/>
              </w:rPr>
            </w:pPr>
          </w:p>
        </w:tc>
        <w:tc>
          <w:tcPr>
            <w:tcW w:w="0" w:type="auto"/>
            <w:vMerge w:val="restart"/>
            <w:tcBorders>
              <w:top w:val="nil"/>
              <w:left w:val="single" w:sz="4" w:space="0" w:color="auto"/>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 xml:space="preserve">Grand </w:t>
            </w:r>
            <w:r>
              <w:rPr>
                <w:b/>
                <w:i/>
                <w:sz w:val="20"/>
                <w:szCs w:val="20"/>
              </w:rPr>
              <w:br/>
              <w:t>total</w:t>
            </w:r>
          </w:p>
        </w:tc>
        <w:tc>
          <w:tcPr>
            <w:tcW w:w="2468" w:type="dxa"/>
            <w:gridSpan w:val="3"/>
            <w:tcBorders>
              <w:top w:val="single" w:sz="4" w:space="0" w:color="auto"/>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Subtotals by year</w:t>
            </w:r>
          </w:p>
        </w:tc>
        <w:tc>
          <w:tcPr>
            <w:tcW w:w="1691" w:type="dxa"/>
            <w:gridSpan w:val="2"/>
            <w:tcBorders>
              <w:top w:val="single" w:sz="4" w:space="0" w:color="auto"/>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Subtotals by gender</w:t>
            </w:r>
          </w:p>
        </w:tc>
        <w:tc>
          <w:tcPr>
            <w:tcW w:w="993" w:type="dxa"/>
            <w:gridSpan w:val="2"/>
            <w:tcBorders>
              <w:top w:val="single" w:sz="4" w:space="0" w:color="auto"/>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2004</w:t>
            </w:r>
          </w:p>
        </w:tc>
        <w:tc>
          <w:tcPr>
            <w:tcW w:w="1134" w:type="dxa"/>
            <w:gridSpan w:val="2"/>
            <w:tcBorders>
              <w:top w:val="single" w:sz="4" w:space="0" w:color="auto"/>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2005</w:t>
            </w:r>
          </w:p>
        </w:tc>
        <w:tc>
          <w:tcPr>
            <w:tcW w:w="1048" w:type="dxa"/>
            <w:gridSpan w:val="2"/>
            <w:tcBorders>
              <w:top w:val="single" w:sz="4" w:space="0" w:color="auto"/>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2006</w:t>
            </w:r>
          </w:p>
        </w:tc>
      </w:tr>
      <w:tr w:rsidR="00CD2A5A">
        <w:trPr>
          <w:cantSplit/>
          <w:trHeight w:val="375"/>
        </w:trPr>
        <w:tc>
          <w:tcPr>
            <w:tcW w:w="0" w:type="auto"/>
            <w:vMerge/>
            <w:tcBorders>
              <w:top w:val="single" w:sz="4" w:space="0" w:color="auto"/>
              <w:left w:val="single" w:sz="4" w:space="0" w:color="auto"/>
              <w:bottom w:val="single" w:sz="4" w:space="0" w:color="auto"/>
              <w:right w:val="single" w:sz="4" w:space="0" w:color="auto"/>
            </w:tcBorders>
            <w:vAlign w:val="center"/>
          </w:tcPr>
          <w:p w:rsidR="00CD2A5A" w:rsidRDefault="00CD2A5A">
            <w:pPr>
              <w:keepNext/>
              <w:spacing w:before="40" w:after="40"/>
              <w:jc w:val="center"/>
              <w:rPr>
                <w:b/>
                <w:i/>
                <w:sz w:val="20"/>
                <w:szCs w:val="20"/>
              </w:rPr>
            </w:pPr>
          </w:p>
        </w:tc>
        <w:tc>
          <w:tcPr>
            <w:tcW w:w="0" w:type="auto"/>
            <w:vMerge/>
            <w:tcBorders>
              <w:top w:val="nil"/>
              <w:left w:val="single" w:sz="4" w:space="0" w:color="auto"/>
              <w:bottom w:val="single" w:sz="4" w:space="0" w:color="auto"/>
              <w:right w:val="single" w:sz="4" w:space="0" w:color="auto"/>
            </w:tcBorders>
            <w:vAlign w:val="center"/>
          </w:tcPr>
          <w:p w:rsidR="00CD2A5A" w:rsidRDefault="00CD2A5A">
            <w:pPr>
              <w:keepNext/>
              <w:spacing w:before="40" w:after="40"/>
              <w:jc w:val="center"/>
              <w:rPr>
                <w:b/>
                <w:i/>
                <w:sz w:val="20"/>
                <w:szCs w:val="20"/>
              </w:rPr>
            </w:pPr>
          </w:p>
        </w:tc>
        <w:tc>
          <w:tcPr>
            <w:tcW w:w="899"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2004</w:t>
            </w:r>
          </w:p>
        </w:tc>
        <w:tc>
          <w:tcPr>
            <w:tcW w:w="814"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2005</w:t>
            </w:r>
          </w:p>
        </w:tc>
        <w:tc>
          <w:tcPr>
            <w:tcW w:w="755"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sz w:val="20"/>
                <w:szCs w:val="20"/>
              </w:rPr>
              <w:t>2006</w:t>
            </w:r>
          </w:p>
        </w:tc>
        <w:tc>
          <w:tcPr>
            <w:tcW w:w="841"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M</w:t>
            </w:r>
          </w:p>
        </w:tc>
        <w:tc>
          <w:tcPr>
            <w:tcW w:w="850"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F</w:t>
            </w:r>
          </w:p>
        </w:tc>
        <w:tc>
          <w:tcPr>
            <w:tcW w:w="567"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M</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F</w:t>
            </w:r>
          </w:p>
        </w:tc>
        <w:tc>
          <w:tcPr>
            <w:tcW w:w="708"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M</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F</w:t>
            </w:r>
          </w:p>
        </w:tc>
        <w:tc>
          <w:tcPr>
            <w:tcW w:w="682" w:type="dxa"/>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M</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jc w:val="center"/>
              <w:rPr>
                <w:b/>
                <w:i/>
                <w:sz w:val="20"/>
                <w:szCs w:val="20"/>
              </w:rPr>
            </w:pPr>
            <w:r>
              <w:rPr>
                <w:b/>
                <w:i/>
                <w:noProof/>
                <w:sz w:val="20"/>
                <w:szCs w:val="20"/>
              </w:rPr>
              <w:t>F</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keepNext/>
              <w:spacing w:before="40" w:after="40"/>
              <w:rPr>
                <w:sz w:val="20"/>
                <w:szCs w:val="20"/>
              </w:rPr>
            </w:pPr>
            <w:r>
              <w:rPr>
                <w:noProof/>
                <w:sz w:val="20"/>
                <w:szCs w:val="20"/>
              </w:rPr>
              <w:t>Total</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12,575</w:t>
            </w:r>
          </w:p>
        </w:tc>
        <w:tc>
          <w:tcPr>
            <w:tcW w:w="899"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4,469</w:t>
            </w:r>
          </w:p>
        </w:tc>
        <w:tc>
          <w:tcPr>
            <w:tcW w:w="814"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3,855</w:t>
            </w:r>
          </w:p>
        </w:tc>
        <w:tc>
          <w:tcPr>
            <w:tcW w:w="755"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4,251</w:t>
            </w:r>
          </w:p>
        </w:tc>
        <w:tc>
          <w:tcPr>
            <w:tcW w:w="841"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11,437</w:t>
            </w:r>
          </w:p>
        </w:tc>
        <w:tc>
          <w:tcPr>
            <w:tcW w:w="850"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1,138</w:t>
            </w:r>
          </w:p>
        </w:tc>
        <w:tc>
          <w:tcPr>
            <w:tcW w:w="567"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4,130</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339</w:t>
            </w:r>
          </w:p>
        </w:tc>
        <w:tc>
          <w:tcPr>
            <w:tcW w:w="708"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3,526</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329</w:t>
            </w:r>
          </w:p>
        </w:tc>
        <w:tc>
          <w:tcPr>
            <w:tcW w:w="682"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3,781</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470</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keepNext/>
              <w:spacing w:before="40" w:after="40"/>
              <w:rPr>
                <w:sz w:val="20"/>
                <w:szCs w:val="20"/>
              </w:rPr>
            </w:pPr>
            <w:r>
              <w:rPr>
                <w:sz w:val="20"/>
                <w:szCs w:val="20"/>
              </w:rPr>
              <w:t>Aged under 12</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18</w:t>
            </w:r>
          </w:p>
        </w:tc>
        <w:tc>
          <w:tcPr>
            <w:tcW w:w="899"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6</w:t>
            </w:r>
          </w:p>
        </w:tc>
        <w:tc>
          <w:tcPr>
            <w:tcW w:w="814"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5</w:t>
            </w:r>
          </w:p>
        </w:tc>
        <w:tc>
          <w:tcPr>
            <w:tcW w:w="755"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7</w:t>
            </w:r>
          </w:p>
        </w:tc>
        <w:tc>
          <w:tcPr>
            <w:tcW w:w="841"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14</w:t>
            </w:r>
          </w:p>
        </w:tc>
        <w:tc>
          <w:tcPr>
            <w:tcW w:w="850"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w:t>
            </w:r>
          </w:p>
        </w:tc>
        <w:tc>
          <w:tcPr>
            <w:tcW w:w="567"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2</w:t>
            </w:r>
          </w:p>
        </w:tc>
        <w:tc>
          <w:tcPr>
            <w:tcW w:w="708"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w:t>
            </w:r>
          </w:p>
        </w:tc>
        <w:tc>
          <w:tcPr>
            <w:tcW w:w="682"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6</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keepNext/>
              <w:spacing w:before="40" w:after="40"/>
              <w:rPr>
                <w:sz w:val="20"/>
                <w:szCs w:val="20"/>
              </w:rPr>
            </w:pPr>
            <w:r>
              <w:rPr>
                <w:sz w:val="20"/>
                <w:szCs w:val="20"/>
              </w:rPr>
              <w:t>Age 12</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164</w:t>
            </w:r>
          </w:p>
        </w:tc>
        <w:tc>
          <w:tcPr>
            <w:tcW w:w="899"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49</w:t>
            </w:r>
          </w:p>
        </w:tc>
        <w:tc>
          <w:tcPr>
            <w:tcW w:w="814"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60</w:t>
            </w:r>
          </w:p>
        </w:tc>
        <w:tc>
          <w:tcPr>
            <w:tcW w:w="755"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55</w:t>
            </w:r>
          </w:p>
        </w:tc>
        <w:tc>
          <w:tcPr>
            <w:tcW w:w="841"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142</w:t>
            </w:r>
          </w:p>
        </w:tc>
        <w:tc>
          <w:tcPr>
            <w:tcW w:w="850"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22</w:t>
            </w:r>
          </w:p>
        </w:tc>
        <w:tc>
          <w:tcPr>
            <w:tcW w:w="567"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37</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12</w:t>
            </w:r>
          </w:p>
        </w:tc>
        <w:tc>
          <w:tcPr>
            <w:tcW w:w="708"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56</w:t>
            </w:r>
          </w:p>
        </w:tc>
        <w:tc>
          <w:tcPr>
            <w:tcW w:w="426"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w:t>
            </w:r>
          </w:p>
        </w:tc>
        <w:tc>
          <w:tcPr>
            <w:tcW w:w="682" w:type="dxa"/>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49</w:t>
            </w:r>
          </w:p>
        </w:tc>
        <w:tc>
          <w:tcPr>
            <w:tcW w:w="0" w:type="auto"/>
            <w:tcBorders>
              <w:top w:val="nil"/>
              <w:left w:val="nil"/>
              <w:bottom w:val="single" w:sz="4" w:space="0" w:color="auto"/>
              <w:right w:val="single" w:sz="4" w:space="0" w:color="auto"/>
            </w:tcBorders>
            <w:vAlign w:val="center"/>
          </w:tcPr>
          <w:p w:rsidR="00CD2A5A" w:rsidRDefault="00CD2A5A">
            <w:pPr>
              <w:keepNext/>
              <w:spacing w:before="40" w:after="40"/>
              <w:ind w:right="113"/>
              <w:jc w:val="right"/>
              <w:rPr>
                <w:sz w:val="20"/>
                <w:szCs w:val="20"/>
              </w:rPr>
            </w:pPr>
            <w:r>
              <w:rPr>
                <w:sz w:val="20"/>
                <w:szCs w:val="20"/>
              </w:rPr>
              <w:t>6</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spacing w:before="40" w:after="40"/>
              <w:rPr>
                <w:sz w:val="20"/>
                <w:szCs w:val="20"/>
              </w:rPr>
            </w:pPr>
            <w:r>
              <w:rPr>
                <w:sz w:val="20"/>
                <w:szCs w:val="20"/>
              </w:rPr>
              <w:t>Age 13</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430</w:t>
            </w:r>
          </w:p>
        </w:tc>
        <w:tc>
          <w:tcPr>
            <w:tcW w:w="899"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146</w:t>
            </w:r>
          </w:p>
        </w:tc>
        <w:tc>
          <w:tcPr>
            <w:tcW w:w="814"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141</w:t>
            </w:r>
          </w:p>
        </w:tc>
        <w:tc>
          <w:tcPr>
            <w:tcW w:w="755"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143</w:t>
            </w:r>
          </w:p>
        </w:tc>
        <w:tc>
          <w:tcPr>
            <w:tcW w:w="841"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373</w:t>
            </w:r>
          </w:p>
        </w:tc>
        <w:tc>
          <w:tcPr>
            <w:tcW w:w="850"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57</w:t>
            </w:r>
          </w:p>
        </w:tc>
        <w:tc>
          <w:tcPr>
            <w:tcW w:w="567"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133</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13</w:t>
            </w:r>
          </w:p>
        </w:tc>
        <w:tc>
          <w:tcPr>
            <w:tcW w:w="708"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124</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17</w:t>
            </w:r>
          </w:p>
        </w:tc>
        <w:tc>
          <w:tcPr>
            <w:tcW w:w="682"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116</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27</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spacing w:before="40" w:after="40"/>
              <w:rPr>
                <w:sz w:val="20"/>
                <w:szCs w:val="20"/>
              </w:rPr>
            </w:pPr>
            <w:r>
              <w:rPr>
                <w:sz w:val="20"/>
                <w:szCs w:val="20"/>
              </w:rPr>
              <w:t>Age 14</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951</w:t>
            </w:r>
          </w:p>
        </w:tc>
        <w:tc>
          <w:tcPr>
            <w:tcW w:w="899"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340</w:t>
            </w:r>
          </w:p>
        </w:tc>
        <w:tc>
          <w:tcPr>
            <w:tcW w:w="814"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268</w:t>
            </w:r>
          </w:p>
        </w:tc>
        <w:tc>
          <w:tcPr>
            <w:tcW w:w="755"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343</w:t>
            </w:r>
          </w:p>
        </w:tc>
        <w:tc>
          <w:tcPr>
            <w:tcW w:w="841"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830</w:t>
            </w:r>
          </w:p>
        </w:tc>
        <w:tc>
          <w:tcPr>
            <w:tcW w:w="850"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121</w:t>
            </w:r>
          </w:p>
        </w:tc>
        <w:tc>
          <w:tcPr>
            <w:tcW w:w="567"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296</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44</w:t>
            </w:r>
          </w:p>
        </w:tc>
        <w:tc>
          <w:tcPr>
            <w:tcW w:w="708"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234</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34</w:t>
            </w:r>
          </w:p>
        </w:tc>
        <w:tc>
          <w:tcPr>
            <w:tcW w:w="682"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300</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43</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spacing w:before="40" w:after="40"/>
              <w:rPr>
                <w:sz w:val="20"/>
                <w:szCs w:val="20"/>
              </w:rPr>
            </w:pPr>
            <w:r>
              <w:rPr>
                <w:sz w:val="20"/>
                <w:szCs w:val="20"/>
              </w:rPr>
              <w:t>Age 15</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1,873</w:t>
            </w:r>
          </w:p>
        </w:tc>
        <w:tc>
          <w:tcPr>
            <w:tcW w:w="899"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712</w:t>
            </w:r>
          </w:p>
        </w:tc>
        <w:tc>
          <w:tcPr>
            <w:tcW w:w="814"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534</w:t>
            </w:r>
          </w:p>
        </w:tc>
        <w:tc>
          <w:tcPr>
            <w:tcW w:w="755"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627</w:t>
            </w:r>
          </w:p>
        </w:tc>
        <w:tc>
          <w:tcPr>
            <w:tcW w:w="841"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1,652</w:t>
            </w:r>
          </w:p>
        </w:tc>
        <w:tc>
          <w:tcPr>
            <w:tcW w:w="850"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221</w:t>
            </w:r>
          </w:p>
        </w:tc>
        <w:tc>
          <w:tcPr>
            <w:tcW w:w="567"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633</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79</w:t>
            </w:r>
          </w:p>
        </w:tc>
        <w:tc>
          <w:tcPr>
            <w:tcW w:w="708"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475</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59</w:t>
            </w:r>
          </w:p>
        </w:tc>
        <w:tc>
          <w:tcPr>
            <w:tcW w:w="682"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544</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83</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spacing w:before="40" w:after="40"/>
              <w:rPr>
                <w:sz w:val="20"/>
                <w:szCs w:val="20"/>
              </w:rPr>
            </w:pPr>
            <w:r>
              <w:rPr>
                <w:sz w:val="20"/>
                <w:szCs w:val="20"/>
              </w:rPr>
              <w:t>Age 16</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3,483</w:t>
            </w:r>
          </w:p>
        </w:tc>
        <w:tc>
          <w:tcPr>
            <w:tcW w:w="899"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1,304</w:t>
            </w:r>
          </w:p>
        </w:tc>
        <w:tc>
          <w:tcPr>
            <w:tcW w:w="814"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983</w:t>
            </w:r>
          </w:p>
        </w:tc>
        <w:tc>
          <w:tcPr>
            <w:tcW w:w="755"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1196</w:t>
            </w:r>
          </w:p>
        </w:tc>
        <w:tc>
          <w:tcPr>
            <w:tcW w:w="841"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3185</w:t>
            </w:r>
          </w:p>
        </w:tc>
        <w:tc>
          <w:tcPr>
            <w:tcW w:w="850"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298</w:t>
            </w:r>
          </w:p>
        </w:tc>
        <w:tc>
          <w:tcPr>
            <w:tcW w:w="567"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1,209</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95</w:t>
            </w:r>
          </w:p>
        </w:tc>
        <w:tc>
          <w:tcPr>
            <w:tcW w:w="708"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911</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72</w:t>
            </w:r>
          </w:p>
        </w:tc>
        <w:tc>
          <w:tcPr>
            <w:tcW w:w="682"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1,065</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131</w:t>
            </w:r>
          </w:p>
        </w:tc>
      </w:tr>
      <w:tr w:rsidR="00CD2A5A">
        <w:trPr>
          <w:trHeight w:val="540"/>
        </w:trPr>
        <w:tc>
          <w:tcPr>
            <w:tcW w:w="0" w:type="auto"/>
            <w:tcBorders>
              <w:top w:val="nil"/>
              <w:left w:val="single" w:sz="4" w:space="0" w:color="auto"/>
              <w:bottom w:val="single" w:sz="4" w:space="0" w:color="auto"/>
              <w:right w:val="single" w:sz="4" w:space="0" w:color="auto"/>
            </w:tcBorders>
            <w:vAlign w:val="center"/>
          </w:tcPr>
          <w:p w:rsidR="00CD2A5A" w:rsidRDefault="00CD2A5A">
            <w:pPr>
              <w:spacing w:before="40" w:after="40"/>
              <w:rPr>
                <w:sz w:val="20"/>
                <w:szCs w:val="20"/>
              </w:rPr>
            </w:pPr>
            <w:r>
              <w:rPr>
                <w:sz w:val="20"/>
                <w:szCs w:val="20"/>
              </w:rPr>
              <w:t>Age 17</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5,656</w:t>
            </w:r>
          </w:p>
        </w:tc>
        <w:tc>
          <w:tcPr>
            <w:tcW w:w="899"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1,912</w:t>
            </w:r>
          </w:p>
        </w:tc>
        <w:tc>
          <w:tcPr>
            <w:tcW w:w="814"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1,864</w:t>
            </w:r>
          </w:p>
        </w:tc>
        <w:tc>
          <w:tcPr>
            <w:tcW w:w="755"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1,880</w:t>
            </w:r>
          </w:p>
        </w:tc>
        <w:tc>
          <w:tcPr>
            <w:tcW w:w="841"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5,241</w:t>
            </w:r>
          </w:p>
        </w:tc>
        <w:tc>
          <w:tcPr>
            <w:tcW w:w="850"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415</w:t>
            </w:r>
          </w:p>
        </w:tc>
        <w:tc>
          <w:tcPr>
            <w:tcW w:w="567"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1818</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94</w:t>
            </w:r>
          </w:p>
        </w:tc>
        <w:tc>
          <w:tcPr>
            <w:tcW w:w="708"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1722</w:t>
            </w:r>
          </w:p>
        </w:tc>
        <w:tc>
          <w:tcPr>
            <w:tcW w:w="426"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142</w:t>
            </w:r>
          </w:p>
        </w:tc>
        <w:tc>
          <w:tcPr>
            <w:tcW w:w="682" w:type="dxa"/>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1701</w:t>
            </w:r>
          </w:p>
        </w:tc>
        <w:tc>
          <w:tcPr>
            <w:tcW w:w="0" w:type="auto"/>
            <w:tcBorders>
              <w:top w:val="nil"/>
              <w:left w:val="nil"/>
              <w:bottom w:val="single" w:sz="4" w:space="0" w:color="auto"/>
              <w:right w:val="single" w:sz="4" w:space="0" w:color="auto"/>
            </w:tcBorders>
            <w:vAlign w:val="center"/>
          </w:tcPr>
          <w:p w:rsidR="00CD2A5A" w:rsidRDefault="00CD2A5A">
            <w:pPr>
              <w:spacing w:before="40" w:after="40"/>
              <w:ind w:right="113"/>
              <w:jc w:val="right"/>
              <w:rPr>
                <w:sz w:val="20"/>
                <w:szCs w:val="20"/>
              </w:rPr>
            </w:pPr>
            <w:r>
              <w:rPr>
                <w:sz w:val="20"/>
                <w:szCs w:val="20"/>
              </w:rPr>
              <w:t>179</w:t>
            </w:r>
          </w:p>
        </w:tc>
      </w:tr>
    </w:tbl>
    <w:p w:rsidR="00CD2A5A" w:rsidRDefault="00CD2A5A">
      <w:pPr>
        <w:spacing w:after="240"/>
      </w:pP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According to the Juvenile Criminal Justice Act, children who are tried may be subject to interim or definitive measures other than imprisonment , as shown in the following table:</w:t>
      </w:r>
    </w:p>
    <w:p w:rsidR="00CD2A5A" w:rsidRDefault="00CD2A5A" w:rsidP="001F311E">
      <w:pPr>
        <w:pStyle w:val="Figure"/>
        <w:spacing w:after="120"/>
      </w:pPr>
      <w:r>
        <w:t>Figure 80</w:t>
      </w:r>
    </w:p>
    <w:p w:rsidR="00CD2A5A" w:rsidRDefault="00CD2A5A" w:rsidP="001F311E">
      <w:pPr>
        <w:pStyle w:val="Figure"/>
        <w:spacing w:after="120"/>
      </w:pPr>
      <w:r>
        <w:t xml:space="preserve">Statistical data on interim and definitive measures handed down to minors </w:t>
      </w:r>
      <w:r w:rsidR="00555A92">
        <w:br/>
      </w:r>
      <w:r>
        <w:t>in Juvenile Courts at national level</w:t>
      </w:r>
    </w:p>
    <w:tbl>
      <w:tblPr>
        <w:tblpPr w:tblpXSpec="center"/>
        <w:tblW w:w="9412" w:type="dxa"/>
        <w:jc w:val="center"/>
        <w:tblInd w:w="5" w:type="dxa"/>
        <w:tblCellMar>
          <w:left w:w="0" w:type="dxa"/>
          <w:right w:w="0" w:type="dxa"/>
        </w:tblCellMar>
        <w:tblLook w:val="0000" w:firstRow="0" w:lastRow="0" w:firstColumn="0" w:lastColumn="0" w:noHBand="0" w:noVBand="0"/>
      </w:tblPr>
      <w:tblGrid>
        <w:gridCol w:w="761"/>
        <w:gridCol w:w="658"/>
        <w:gridCol w:w="968"/>
        <w:gridCol w:w="922"/>
        <w:gridCol w:w="1114"/>
        <w:gridCol w:w="920"/>
        <w:gridCol w:w="1114"/>
        <w:gridCol w:w="922"/>
        <w:gridCol w:w="1116"/>
        <w:gridCol w:w="917"/>
      </w:tblGrid>
      <w:tr w:rsidR="00CD2A5A">
        <w:trPr>
          <w:cantSplit/>
          <w:trHeight w:val="375"/>
          <w:jc w:val="center"/>
        </w:trPr>
        <w:tc>
          <w:tcPr>
            <w:tcW w:w="404" w:type="pct"/>
            <w:vMerge w:val="restart"/>
            <w:tcBorders>
              <w:top w:val="single" w:sz="4" w:space="0" w:color="auto"/>
              <w:left w:val="single" w:sz="4" w:space="0" w:color="auto"/>
              <w:bottom w:val="single" w:sz="4" w:space="0" w:color="000000"/>
              <w:right w:val="single" w:sz="4" w:space="0" w:color="auto"/>
            </w:tcBorders>
            <w:vAlign w:val="center"/>
          </w:tcPr>
          <w:p w:rsidR="00CD2A5A" w:rsidRDefault="00CD2A5A">
            <w:pPr>
              <w:spacing w:before="40" w:after="40"/>
              <w:jc w:val="center"/>
              <w:rPr>
                <w:b/>
                <w:i/>
                <w:sz w:val="20"/>
                <w:szCs w:val="20"/>
              </w:rPr>
            </w:pPr>
            <w:r>
              <w:rPr>
                <w:b/>
                <w:i/>
                <w:sz w:val="20"/>
                <w:szCs w:val="20"/>
              </w:rPr>
              <w:t>Juvenile courts</w:t>
            </w:r>
          </w:p>
        </w:tc>
        <w:tc>
          <w:tcPr>
            <w:tcW w:w="349"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p>
        </w:tc>
        <w:tc>
          <w:tcPr>
            <w:tcW w:w="1004"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Total</w:t>
            </w:r>
          </w:p>
        </w:tc>
        <w:tc>
          <w:tcPr>
            <w:tcW w:w="1081"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2004</w:t>
            </w:r>
          </w:p>
        </w:tc>
        <w:tc>
          <w:tcPr>
            <w:tcW w:w="1082"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2005</w:t>
            </w:r>
          </w:p>
        </w:tc>
        <w:tc>
          <w:tcPr>
            <w:tcW w:w="1081" w:type="pct"/>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2006</w:t>
            </w:r>
          </w:p>
        </w:tc>
      </w:tr>
      <w:tr w:rsidR="00CD2A5A">
        <w:trPr>
          <w:cantSplit/>
          <w:trHeight w:val="360"/>
          <w:jc w:val="center"/>
        </w:trPr>
        <w:tc>
          <w:tcPr>
            <w:tcW w:w="404" w:type="pct"/>
            <w:vMerge/>
            <w:tcBorders>
              <w:top w:val="single" w:sz="4" w:space="0" w:color="auto"/>
              <w:left w:val="single" w:sz="4" w:space="0" w:color="auto"/>
              <w:bottom w:val="single" w:sz="4" w:space="0" w:color="000000"/>
              <w:right w:val="single" w:sz="4" w:space="0" w:color="auto"/>
            </w:tcBorders>
            <w:vAlign w:val="center"/>
          </w:tcPr>
          <w:p w:rsidR="00CD2A5A" w:rsidRDefault="00CD2A5A">
            <w:pPr>
              <w:spacing w:before="40" w:after="40"/>
              <w:jc w:val="center"/>
              <w:rPr>
                <w:b/>
                <w:i/>
                <w:sz w:val="20"/>
                <w:szCs w:val="20"/>
              </w:rPr>
            </w:pPr>
          </w:p>
        </w:tc>
        <w:tc>
          <w:tcPr>
            <w:tcW w:w="349"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Total</w:t>
            </w:r>
          </w:p>
        </w:tc>
        <w:tc>
          <w:tcPr>
            <w:tcW w:w="514"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490"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c>
          <w:tcPr>
            <w:tcW w:w="592"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489"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c>
          <w:tcPr>
            <w:tcW w:w="592"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490"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c>
          <w:tcPr>
            <w:tcW w:w="593"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488" w:type="pct"/>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r>
      <w:tr w:rsidR="00CD2A5A">
        <w:trPr>
          <w:trHeight w:val="480"/>
          <w:jc w:val="center"/>
        </w:trPr>
        <w:tc>
          <w:tcPr>
            <w:tcW w:w="404" w:type="pct"/>
            <w:tcBorders>
              <w:top w:val="nil"/>
              <w:left w:val="single" w:sz="4" w:space="0" w:color="auto"/>
              <w:bottom w:val="single" w:sz="4" w:space="0" w:color="auto"/>
              <w:right w:val="single" w:sz="4" w:space="0" w:color="auto"/>
            </w:tcBorders>
            <w:vAlign w:val="center"/>
          </w:tcPr>
          <w:p w:rsidR="00CD2A5A" w:rsidRDefault="00CD2A5A">
            <w:pPr>
              <w:spacing w:before="40" w:after="40"/>
              <w:jc w:val="center"/>
              <w:rPr>
                <w:b/>
                <w:sz w:val="20"/>
                <w:szCs w:val="20"/>
              </w:rPr>
            </w:pPr>
            <w:r>
              <w:rPr>
                <w:b/>
                <w:sz w:val="20"/>
                <w:szCs w:val="20"/>
              </w:rPr>
              <w:t>Totals</w:t>
            </w:r>
          </w:p>
        </w:tc>
        <w:tc>
          <w:tcPr>
            <w:tcW w:w="349"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5,843</w:t>
            </w:r>
          </w:p>
        </w:tc>
        <w:tc>
          <w:tcPr>
            <w:tcW w:w="514"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4,521</w:t>
            </w:r>
          </w:p>
        </w:tc>
        <w:tc>
          <w:tcPr>
            <w:tcW w:w="490"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1,322</w:t>
            </w:r>
          </w:p>
        </w:tc>
        <w:tc>
          <w:tcPr>
            <w:tcW w:w="592"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1,337</w:t>
            </w:r>
          </w:p>
        </w:tc>
        <w:tc>
          <w:tcPr>
            <w:tcW w:w="489"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354</w:t>
            </w:r>
          </w:p>
        </w:tc>
        <w:tc>
          <w:tcPr>
            <w:tcW w:w="592"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1,425</w:t>
            </w:r>
          </w:p>
        </w:tc>
        <w:tc>
          <w:tcPr>
            <w:tcW w:w="490"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444</w:t>
            </w:r>
          </w:p>
        </w:tc>
        <w:tc>
          <w:tcPr>
            <w:tcW w:w="593"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1,759</w:t>
            </w:r>
          </w:p>
        </w:tc>
        <w:tc>
          <w:tcPr>
            <w:tcW w:w="488"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524</w:t>
            </w:r>
          </w:p>
        </w:tc>
      </w:tr>
    </w:tbl>
    <w:p w:rsidR="00CD2A5A" w:rsidRDefault="00CD2A5A">
      <w:pPr>
        <w:spacing w:after="240"/>
        <w:rPr>
          <w:b/>
          <w:bCs/>
        </w:rPr>
      </w:pP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Interim and definitive custodial sentences by specialised courts for minors during the period are shown in the following table:</w:t>
      </w:r>
    </w:p>
    <w:p w:rsidR="00CD2A5A" w:rsidRDefault="00CD2A5A" w:rsidP="001F311E">
      <w:pPr>
        <w:pStyle w:val="Figure"/>
        <w:spacing w:after="120"/>
      </w:pPr>
      <w:r>
        <w:t>Figure 81</w:t>
      </w:r>
    </w:p>
    <w:p w:rsidR="00CD2A5A" w:rsidRDefault="00CD2A5A" w:rsidP="001F311E">
      <w:pPr>
        <w:pStyle w:val="Figure"/>
        <w:spacing w:after="120"/>
      </w:pPr>
      <w:r>
        <w:t xml:space="preserve">Statistical data on interim and definitive custodial measures handed down </w:t>
      </w:r>
      <w:r>
        <w:br/>
        <w:t>to minors in Juvenile Courts at national level</w:t>
      </w:r>
    </w:p>
    <w:tbl>
      <w:tblPr>
        <w:tblpPr w:tblpXSpec="center"/>
        <w:tblW w:w="9412" w:type="dxa"/>
        <w:jc w:val="center"/>
        <w:tblInd w:w="5" w:type="dxa"/>
        <w:tblLayout w:type="fixed"/>
        <w:tblCellMar>
          <w:left w:w="0" w:type="dxa"/>
          <w:right w:w="0" w:type="dxa"/>
        </w:tblCellMar>
        <w:tblLook w:val="0000" w:firstRow="0" w:lastRow="0" w:firstColumn="0" w:lastColumn="0" w:noHBand="0" w:noVBand="0"/>
      </w:tblPr>
      <w:tblGrid>
        <w:gridCol w:w="1443"/>
        <w:gridCol w:w="598"/>
        <w:gridCol w:w="776"/>
        <w:gridCol w:w="1066"/>
        <w:gridCol w:w="777"/>
        <w:gridCol w:w="1066"/>
        <w:gridCol w:w="777"/>
        <w:gridCol w:w="1066"/>
        <w:gridCol w:w="777"/>
        <w:gridCol w:w="1066"/>
      </w:tblGrid>
      <w:tr w:rsidR="00CD2A5A">
        <w:trPr>
          <w:cantSplit/>
          <w:trHeight w:val="375"/>
          <w:jc w:val="center"/>
        </w:trPr>
        <w:tc>
          <w:tcPr>
            <w:tcW w:w="1443" w:type="dxa"/>
            <w:vMerge w:val="restart"/>
            <w:tcBorders>
              <w:top w:val="single" w:sz="4" w:space="0" w:color="auto"/>
              <w:left w:val="single" w:sz="4" w:space="0" w:color="auto"/>
              <w:bottom w:val="single" w:sz="4" w:space="0" w:color="000000"/>
              <w:right w:val="single" w:sz="4" w:space="0" w:color="auto"/>
            </w:tcBorders>
            <w:vAlign w:val="center"/>
          </w:tcPr>
          <w:p w:rsidR="00CD2A5A" w:rsidRDefault="00CD2A5A">
            <w:pPr>
              <w:spacing w:before="40" w:after="40"/>
              <w:jc w:val="center"/>
              <w:rPr>
                <w:b/>
                <w:i/>
                <w:sz w:val="20"/>
                <w:szCs w:val="20"/>
              </w:rPr>
            </w:pPr>
            <w:r>
              <w:rPr>
                <w:b/>
                <w:i/>
                <w:sz w:val="20"/>
                <w:szCs w:val="20"/>
              </w:rPr>
              <w:t>Juvenile courts</w:t>
            </w:r>
          </w:p>
        </w:tc>
        <w:tc>
          <w:tcPr>
            <w:tcW w:w="2440" w:type="dxa"/>
            <w:gridSpan w:val="3"/>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Total</w:t>
            </w:r>
          </w:p>
        </w:tc>
        <w:tc>
          <w:tcPr>
            <w:tcW w:w="1843" w:type="dxa"/>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2004</w:t>
            </w:r>
          </w:p>
        </w:tc>
        <w:tc>
          <w:tcPr>
            <w:tcW w:w="1843" w:type="dxa"/>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2005</w:t>
            </w:r>
          </w:p>
        </w:tc>
        <w:tc>
          <w:tcPr>
            <w:tcW w:w="1843" w:type="dxa"/>
            <w:gridSpan w:val="2"/>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2006</w:t>
            </w:r>
          </w:p>
        </w:tc>
      </w:tr>
      <w:tr w:rsidR="00CD2A5A">
        <w:trPr>
          <w:cantSplit/>
          <w:trHeight w:val="360"/>
          <w:jc w:val="center"/>
        </w:trPr>
        <w:tc>
          <w:tcPr>
            <w:tcW w:w="1443" w:type="dxa"/>
            <w:vMerge/>
            <w:tcBorders>
              <w:top w:val="single" w:sz="4" w:space="0" w:color="auto"/>
              <w:left w:val="single" w:sz="4" w:space="0" w:color="auto"/>
              <w:bottom w:val="single" w:sz="4" w:space="0" w:color="000000"/>
              <w:right w:val="single" w:sz="4" w:space="0" w:color="auto"/>
            </w:tcBorders>
            <w:vAlign w:val="center"/>
          </w:tcPr>
          <w:p w:rsidR="00CD2A5A" w:rsidRDefault="00CD2A5A">
            <w:pPr>
              <w:spacing w:before="40" w:after="40"/>
              <w:jc w:val="center"/>
              <w:rPr>
                <w:b/>
                <w:i/>
                <w:sz w:val="20"/>
                <w:szCs w:val="20"/>
              </w:rPr>
            </w:pPr>
          </w:p>
        </w:tc>
        <w:tc>
          <w:tcPr>
            <w:tcW w:w="598"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Total</w:t>
            </w:r>
          </w:p>
        </w:tc>
        <w:tc>
          <w:tcPr>
            <w:tcW w:w="776"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c>
          <w:tcPr>
            <w:tcW w:w="777"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c>
          <w:tcPr>
            <w:tcW w:w="777"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c>
          <w:tcPr>
            <w:tcW w:w="777"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Interim</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Definitive</w:t>
            </w:r>
          </w:p>
        </w:tc>
      </w:tr>
      <w:tr w:rsidR="00CD2A5A">
        <w:trPr>
          <w:trHeight w:val="340"/>
          <w:jc w:val="center"/>
        </w:trPr>
        <w:tc>
          <w:tcPr>
            <w:tcW w:w="1443" w:type="dxa"/>
            <w:tcBorders>
              <w:top w:val="nil"/>
              <w:left w:val="single" w:sz="4" w:space="0" w:color="auto"/>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Total</w:t>
            </w:r>
          </w:p>
        </w:tc>
        <w:tc>
          <w:tcPr>
            <w:tcW w:w="598"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1,790</w:t>
            </w:r>
          </w:p>
        </w:tc>
        <w:tc>
          <w:tcPr>
            <w:tcW w:w="776"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1,424</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366</w:t>
            </w:r>
          </w:p>
        </w:tc>
        <w:tc>
          <w:tcPr>
            <w:tcW w:w="777"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402</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86</w:t>
            </w:r>
          </w:p>
        </w:tc>
        <w:tc>
          <w:tcPr>
            <w:tcW w:w="777"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440</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131</w:t>
            </w:r>
          </w:p>
        </w:tc>
        <w:tc>
          <w:tcPr>
            <w:tcW w:w="777"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582</w:t>
            </w:r>
          </w:p>
        </w:tc>
        <w:tc>
          <w:tcPr>
            <w:tcW w:w="1066" w:type="dxa"/>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149</w:t>
            </w:r>
          </w:p>
        </w:tc>
      </w:tr>
    </w:tbl>
    <w:p w:rsidR="00CD2A5A" w:rsidRDefault="00CD2A5A">
      <w:pPr>
        <w:spacing w:after="240"/>
      </w:pP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Children in conflict with the law found guilty of committing a punishable offence are detailed in the following table:</w:t>
      </w:r>
    </w:p>
    <w:p w:rsidR="00CD2A5A" w:rsidRDefault="00CD2A5A" w:rsidP="001F311E">
      <w:pPr>
        <w:pStyle w:val="Figure"/>
        <w:spacing w:after="120"/>
      </w:pPr>
      <w:r>
        <w:t>Figure 82</w:t>
      </w:r>
    </w:p>
    <w:tbl>
      <w:tblPr>
        <w:tblpPr w:tblpXSpec="center"/>
        <w:tblW w:w="9412" w:type="dxa"/>
        <w:jc w:val="center"/>
        <w:tblLayout w:type="fixed"/>
        <w:tblCellMar>
          <w:left w:w="0" w:type="dxa"/>
          <w:right w:w="0" w:type="dxa"/>
        </w:tblCellMar>
        <w:tblLook w:val="0000" w:firstRow="0" w:lastRow="0" w:firstColumn="0" w:lastColumn="0" w:noHBand="0" w:noVBand="0"/>
      </w:tblPr>
      <w:tblGrid>
        <w:gridCol w:w="2796"/>
        <w:gridCol w:w="1638"/>
        <w:gridCol w:w="1660"/>
        <w:gridCol w:w="1660"/>
        <w:gridCol w:w="1658"/>
      </w:tblGrid>
      <w:tr w:rsidR="00CD2A5A">
        <w:trPr>
          <w:trHeight w:val="465"/>
          <w:jc w:val="center"/>
        </w:trPr>
        <w:tc>
          <w:tcPr>
            <w:tcW w:w="5000" w:type="pct"/>
            <w:gridSpan w:val="5"/>
            <w:tcBorders>
              <w:top w:val="nil"/>
              <w:left w:val="nil"/>
              <w:bottom w:val="nil"/>
              <w:right w:val="nil"/>
            </w:tcBorders>
            <w:vAlign w:val="center"/>
          </w:tcPr>
          <w:p w:rsidR="00CD2A5A" w:rsidRDefault="00CD2A5A">
            <w:pPr>
              <w:spacing w:before="40" w:after="40"/>
              <w:jc w:val="center"/>
              <w:rPr>
                <w:sz w:val="20"/>
                <w:szCs w:val="20"/>
                <w:lang w:val="en-US"/>
              </w:rPr>
            </w:pPr>
            <w:r>
              <w:rPr>
                <w:b/>
                <w:bCs/>
                <w:sz w:val="20"/>
                <w:szCs w:val="20"/>
                <w:lang w:val="en-US"/>
              </w:rPr>
              <w:t>Number of minors sentenced or found guilty in Juvenile Courts at national level</w:t>
            </w:r>
          </w:p>
        </w:tc>
      </w:tr>
      <w:tr w:rsidR="00CD2A5A">
        <w:trPr>
          <w:trHeight w:val="375"/>
          <w:jc w:val="center"/>
        </w:trPr>
        <w:tc>
          <w:tcPr>
            <w:tcW w:w="1485" w:type="pct"/>
            <w:tcBorders>
              <w:top w:val="single" w:sz="4" w:space="0" w:color="auto"/>
              <w:left w:val="single" w:sz="4" w:space="0" w:color="auto"/>
              <w:bottom w:val="nil"/>
              <w:right w:val="single" w:sz="4" w:space="0" w:color="auto"/>
            </w:tcBorders>
            <w:vAlign w:val="center"/>
          </w:tcPr>
          <w:p w:rsidR="00CD2A5A" w:rsidRDefault="00CD2A5A">
            <w:pPr>
              <w:spacing w:before="40" w:after="40"/>
              <w:jc w:val="center"/>
              <w:rPr>
                <w:b/>
                <w:i/>
                <w:sz w:val="20"/>
                <w:szCs w:val="20"/>
              </w:rPr>
            </w:pPr>
            <w:r>
              <w:rPr>
                <w:b/>
                <w:i/>
                <w:sz w:val="20"/>
                <w:szCs w:val="20"/>
              </w:rPr>
              <w:t>Juvenile courts</w:t>
            </w:r>
          </w:p>
        </w:tc>
        <w:tc>
          <w:tcPr>
            <w:tcW w:w="870"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Total</w:t>
            </w:r>
          </w:p>
        </w:tc>
        <w:tc>
          <w:tcPr>
            <w:tcW w:w="88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2004</w:t>
            </w:r>
          </w:p>
        </w:tc>
        <w:tc>
          <w:tcPr>
            <w:tcW w:w="88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2005</w:t>
            </w:r>
          </w:p>
        </w:tc>
        <w:tc>
          <w:tcPr>
            <w:tcW w:w="88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b/>
                <w:i/>
                <w:sz w:val="20"/>
                <w:szCs w:val="20"/>
              </w:rPr>
            </w:pPr>
            <w:r>
              <w:rPr>
                <w:b/>
                <w:i/>
                <w:sz w:val="20"/>
                <w:szCs w:val="20"/>
              </w:rPr>
              <w:t>2006</w:t>
            </w:r>
          </w:p>
        </w:tc>
      </w:tr>
      <w:tr w:rsidR="00CD2A5A">
        <w:trPr>
          <w:trHeight w:val="281"/>
          <w:jc w:val="center"/>
        </w:trPr>
        <w:tc>
          <w:tcPr>
            <w:tcW w:w="1485" w:type="pc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40"/>
              <w:rPr>
                <w:sz w:val="20"/>
                <w:szCs w:val="20"/>
              </w:rPr>
            </w:pPr>
            <w:r>
              <w:rPr>
                <w:sz w:val="20"/>
                <w:szCs w:val="20"/>
              </w:rPr>
              <w:t>Total</w:t>
            </w:r>
          </w:p>
        </w:tc>
        <w:tc>
          <w:tcPr>
            <w:tcW w:w="870"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1,085</w:t>
            </w:r>
          </w:p>
        </w:tc>
        <w:tc>
          <w:tcPr>
            <w:tcW w:w="882"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281</w:t>
            </w:r>
          </w:p>
        </w:tc>
        <w:tc>
          <w:tcPr>
            <w:tcW w:w="882"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376</w:t>
            </w:r>
          </w:p>
        </w:tc>
        <w:tc>
          <w:tcPr>
            <w:tcW w:w="882" w:type="pct"/>
            <w:tcBorders>
              <w:top w:val="nil"/>
              <w:left w:val="nil"/>
              <w:bottom w:val="single" w:sz="4" w:space="0" w:color="auto"/>
              <w:right w:val="single" w:sz="4" w:space="0" w:color="auto"/>
            </w:tcBorders>
            <w:vAlign w:val="center"/>
          </w:tcPr>
          <w:p w:rsidR="00CD2A5A" w:rsidRDefault="00CD2A5A">
            <w:pPr>
              <w:spacing w:before="40" w:after="40"/>
              <w:jc w:val="center"/>
              <w:rPr>
                <w:sz w:val="20"/>
                <w:szCs w:val="20"/>
              </w:rPr>
            </w:pPr>
            <w:r>
              <w:rPr>
                <w:sz w:val="20"/>
                <w:szCs w:val="20"/>
              </w:rPr>
              <w:t>428</w:t>
            </w:r>
          </w:p>
        </w:tc>
      </w:tr>
    </w:tbl>
    <w:p w:rsidR="00CD2A5A" w:rsidRDefault="00CD2A5A">
      <w:pPr>
        <w:spacing w:after="240"/>
      </w:pP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During the period 2004-2006, more than 3,600 children accused of breaking the law were reported to ISNA, as shown in the following table. </w:t>
      </w:r>
    </w:p>
    <w:p w:rsidR="00CD2A5A" w:rsidRDefault="00CD2A5A" w:rsidP="00CD2A5A">
      <w:pPr>
        <w:pStyle w:val="Figure"/>
      </w:pPr>
      <w:r>
        <w:t>Figure 83</w:t>
      </w:r>
    </w:p>
    <w:p w:rsidR="00CD2A5A" w:rsidRDefault="00CD2A5A" w:rsidP="00CD2A5A">
      <w:pPr>
        <w:pStyle w:val="Figure"/>
      </w:pPr>
      <w:r>
        <w:t>Total population covered, classified according to gender (2004, 2005 and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267"/>
        <w:gridCol w:w="1250"/>
        <w:gridCol w:w="1267"/>
        <w:gridCol w:w="1165"/>
        <w:gridCol w:w="1267"/>
        <w:gridCol w:w="1163"/>
      </w:tblGrid>
      <w:tr w:rsidR="00CD2A5A">
        <w:trPr>
          <w:cantSplit/>
          <w:trHeight w:val="187"/>
          <w:jc w:val="center"/>
        </w:trPr>
        <w:tc>
          <w:tcPr>
            <w:tcW w:w="1080" w:type="pct"/>
            <w:vMerge w:val="restart"/>
            <w:vAlign w:val="center"/>
          </w:tcPr>
          <w:p w:rsidR="00CD2A5A" w:rsidRDefault="00CD2A5A">
            <w:pPr>
              <w:keepNext/>
              <w:spacing w:before="40" w:after="40"/>
              <w:jc w:val="center"/>
              <w:rPr>
                <w:b/>
                <w:i/>
                <w:sz w:val="20"/>
                <w:szCs w:val="20"/>
              </w:rPr>
            </w:pPr>
            <w:r>
              <w:rPr>
                <w:b/>
                <w:i/>
                <w:sz w:val="20"/>
                <w:szCs w:val="20"/>
              </w:rPr>
              <w:t>Gender</w:t>
            </w:r>
          </w:p>
        </w:tc>
        <w:tc>
          <w:tcPr>
            <w:tcW w:w="1337" w:type="pct"/>
            <w:gridSpan w:val="2"/>
            <w:vAlign w:val="center"/>
          </w:tcPr>
          <w:p w:rsidR="00CD2A5A" w:rsidRDefault="00CD2A5A">
            <w:pPr>
              <w:spacing w:before="40" w:after="40"/>
              <w:jc w:val="center"/>
              <w:rPr>
                <w:b/>
                <w:i/>
                <w:sz w:val="20"/>
                <w:szCs w:val="20"/>
              </w:rPr>
            </w:pPr>
            <w:r>
              <w:rPr>
                <w:b/>
                <w:i/>
                <w:sz w:val="20"/>
                <w:szCs w:val="20"/>
              </w:rPr>
              <w:t>2004</w:t>
            </w:r>
          </w:p>
        </w:tc>
        <w:tc>
          <w:tcPr>
            <w:tcW w:w="1292" w:type="pct"/>
            <w:gridSpan w:val="2"/>
            <w:vAlign w:val="center"/>
          </w:tcPr>
          <w:p w:rsidR="00CD2A5A" w:rsidRDefault="00CD2A5A">
            <w:pPr>
              <w:spacing w:before="40" w:after="40"/>
              <w:jc w:val="center"/>
              <w:rPr>
                <w:b/>
                <w:i/>
                <w:sz w:val="20"/>
                <w:szCs w:val="20"/>
              </w:rPr>
            </w:pPr>
            <w:r>
              <w:rPr>
                <w:b/>
                <w:i/>
                <w:sz w:val="20"/>
                <w:szCs w:val="20"/>
              </w:rPr>
              <w:t>2005</w:t>
            </w:r>
          </w:p>
        </w:tc>
        <w:tc>
          <w:tcPr>
            <w:tcW w:w="1291" w:type="pct"/>
            <w:gridSpan w:val="2"/>
            <w:vAlign w:val="center"/>
          </w:tcPr>
          <w:p w:rsidR="00CD2A5A" w:rsidRDefault="00CD2A5A">
            <w:pPr>
              <w:spacing w:before="40" w:after="40"/>
              <w:jc w:val="center"/>
              <w:rPr>
                <w:b/>
                <w:i/>
                <w:sz w:val="20"/>
                <w:szCs w:val="20"/>
              </w:rPr>
            </w:pPr>
            <w:r>
              <w:rPr>
                <w:b/>
                <w:i/>
                <w:sz w:val="20"/>
                <w:szCs w:val="20"/>
              </w:rPr>
              <w:t>2006</w:t>
            </w:r>
          </w:p>
        </w:tc>
      </w:tr>
      <w:tr w:rsidR="00CD2A5A">
        <w:trPr>
          <w:cantSplit/>
          <w:trHeight w:val="187"/>
          <w:jc w:val="center"/>
        </w:trPr>
        <w:tc>
          <w:tcPr>
            <w:tcW w:w="1080" w:type="pct"/>
            <w:vMerge/>
            <w:vAlign w:val="center"/>
          </w:tcPr>
          <w:p w:rsidR="00CD2A5A" w:rsidRDefault="00CD2A5A">
            <w:pPr>
              <w:spacing w:before="40" w:after="40"/>
              <w:jc w:val="center"/>
              <w:rPr>
                <w:b/>
                <w:i/>
                <w:sz w:val="20"/>
                <w:szCs w:val="20"/>
              </w:rPr>
            </w:pPr>
          </w:p>
        </w:tc>
        <w:tc>
          <w:tcPr>
            <w:tcW w:w="673" w:type="pct"/>
            <w:vAlign w:val="center"/>
          </w:tcPr>
          <w:p w:rsidR="00CD2A5A" w:rsidRDefault="00CD2A5A">
            <w:pPr>
              <w:spacing w:before="40" w:after="40"/>
              <w:jc w:val="center"/>
              <w:rPr>
                <w:b/>
                <w:i/>
                <w:sz w:val="20"/>
                <w:szCs w:val="20"/>
              </w:rPr>
            </w:pPr>
            <w:r>
              <w:rPr>
                <w:b/>
                <w:i/>
                <w:sz w:val="20"/>
                <w:szCs w:val="20"/>
              </w:rPr>
              <w:t>Adolescents</w:t>
            </w:r>
          </w:p>
        </w:tc>
        <w:tc>
          <w:tcPr>
            <w:tcW w:w="664" w:type="pct"/>
            <w:vAlign w:val="center"/>
          </w:tcPr>
          <w:p w:rsidR="00CD2A5A" w:rsidRDefault="00CD2A5A">
            <w:pPr>
              <w:spacing w:before="40" w:after="40"/>
              <w:jc w:val="center"/>
              <w:rPr>
                <w:b/>
                <w:i/>
                <w:sz w:val="20"/>
                <w:szCs w:val="20"/>
              </w:rPr>
            </w:pPr>
            <w:r>
              <w:rPr>
                <w:b/>
                <w:i/>
                <w:sz w:val="20"/>
                <w:szCs w:val="20"/>
              </w:rPr>
              <w:t>%</w:t>
            </w:r>
          </w:p>
        </w:tc>
        <w:tc>
          <w:tcPr>
            <w:tcW w:w="673" w:type="pct"/>
            <w:vAlign w:val="center"/>
          </w:tcPr>
          <w:p w:rsidR="00CD2A5A" w:rsidRDefault="00CD2A5A">
            <w:pPr>
              <w:spacing w:before="40" w:after="40"/>
              <w:jc w:val="center"/>
              <w:rPr>
                <w:b/>
                <w:i/>
                <w:sz w:val="20"/>
                <w:szCs w:val="20"/>
              </w:rPr>
            </w:pPr>
            <w:r>
              <w:rPr>
                <w:b/>
                <w:i/>
                <w:sz w:val="20"/>
                <w:szCs w:val="20"/>
              </w:rPr>
              <w:t>Adolescents</w:t>
            </w:r>
          </w:p>
        </w:tc>
        <w:tc>
          <w:tcPr>
            <w:tcW w:w="619" w:type="pct"/>
            <w:vAlign w:val="center"/>
          </w:tcPr>
          <w:p w:rsidR="00CD2A5A" w:rsidRDefault="00CD2A5A">
            <w:pPr>
              <w:spacing w:before="40" w:after="40"/>
              <w:jc w:val="center"/>
              <w:rPr>
                <w:b/>
                <w:i/>
                <w:sz w:val="20"/>
                <w:szCs w:val="20"/>
              </w:rPr>
            </w:pPr>
            <w:r>
              <w:rPr>
                <w:b/>
                <w:i/>
                <w:sz w:val="20"/>
                <w:szCs w:val="20"/>
              </w:rPr>
              <w:t>%</w:t>
            </w:r>
          </w:p>
        </w:tc>
        <w:tc>
          <w:tcPr>
            <w:tcW w:w="673" w:type="pct"/>
            <w:vAlign w:val="center"/>
          </w:tcPr>
          <w:p w:rsidR="00CD2A5A" w:rsidRDefault="00CD2A5A">
            <w:pPr>
              <w:spacing w:before="40" w:after="40"/>
              <w:jc w:val="center"/>
              <w:rPr>
                <w:b/>
                <w:i/>
                <w:sz w:val="20"/>
                <w:szCs w:val="20"/>
              </w:rPr>
            </w:pPr>
            <w:r>
              <w:rPr>
                <w:b/>
                <w:i/>
                <w:sz w:val="20"/>
                <w:szCs w:val="20"/>
              </w:rPr>
              <w:t>Adolescents</w:t>
            </w:r>
          </w:p>
        </w:tc>
        <w:tc>
          <w:tcPr>
            <w:tcW w:w="618" w:type="pct"/>
            <w:vAlign w:val="center"/>
          </w:tcPr>
          <w:p w:rsidR="00CD2A5A" w:rsidRDefault="00CD2A5A">
            <w:pPr>
              <w:spacing w:before="40" w:after="40"/>
              <w:jc w:val="center"/>
              <w:rPr>
                <w:b/>
                <w:i/>
                <w:sz w:val="20"/>
                <w:szCs w:val="20"/>
              </w:rPr>
            </w:pPr>
            <w:r>
              <w:rPr>
                <w:b/>
                <w:i/>
                <w:sz w:val="20"/>
                <w:szCs w:val="20"/>
              </w:rPr>
              <w:t>%</w:t>
            </w:r>
          </w:p>
        </w:tc>
      </w:tr>
      <w:tr w:rsidR="00CD2A5A">
        <w:trPr>
          <w:trHeight w:val="227"/>
          <w:jc w:val="center"/>
        </w:trPr>
        <w:tc>
          <w:tcPr>
            <w:tcW w:w="1080" w:type="pct"/>
            <w:vAlign w:val="center"/>
          </w:tcPr>
          <w:p w:rsidR="00CD2A5A" w:rsidRDefault="00CD2A5A">
            <w:pPr>
              <w:spacing w:before="40" w:after="40"/>
              <w:rPr>
                <w:sz w:val="20"/>
                <w:szCs w:val="20"/>
              </w:rPr>
            </w:pPr>
            <w:r>
              <w:rPr>
                <w:sz w:val="20"/>
                <w:szCs w:val="20"/>
              </w:rPr>
              <w:t xml:space="preserve">Female </w:t>
            </w:r>
          </w:p>
        </w:tc>
        <w:tc>
          <w:tcPr>
            <w:tcW w:w="673" w:type="pct"/>
            <w:vAlign w:val="center"/>
          </w:tcPr>
          <w:p w:rsidR="00CD2A5A" w:rsidRDefault="00CD2A5A">
            <w:pPr>
              <w:spacing w:before="40" w:after="40"/>
              <w:ind w:right="203"/>
              <w:jc w:val="right"/>
              <w:rPr>
                <w:sz w:val="20"/>
                <w:szCs w:val="20"/>
              </w:rPr>
            </w:pPr>
            <w:r>
              <w:rPr>
                <w:sz w:val="20"/>
                <w:szCs w:val="20"/>
              </w:rPr>
              <w:t>121</w:t>
            </w:r>
          </w:p>
        </w:tc>
        <w:tc>
          <w:tcPr>
            <w:tcW w:w="664" w:type="pct"/>
            <w:vAlign w:val="center"/>
          </w:tcPr>
          <w:p w:rsidR="00CD2A5A" w:rsidRDefault="00CD2A5A">
            <w:pPr>
              <w:spacing w:before="40" w:after="40"/>
              <w:jc w:val="center"/>
              <w:rPr>
                <w:sz w:val="20"/>
                <w:szCs w:val="20"/>
              </w:rPr>
            </w:pPr>
            <w:r>
              <w:rPr>
                <w:sz w:val="20"/>
                <w:szCs w:val="20"/>
              </w:rPr>
              <w:t>9.3%</w:t>
            </w:r>
          </w:p>
        </w:tc>
        <w:tc>
          <w:tcPr>
            <w:tcW w:w="673" w:type="pct"/>
            <w:vAlign w:val="center"/>
          </w:tcPr>
          <w:p w:rsidR="00CD2A5A" w:rsidRDefault="00CD2A5A">
            <w:pPr>
              <w:spacing w:before="40" w:after="40"/>
              <w:ind w:right="203"/>
              <w:jc w:val="right"/>
              <w:rPr>
                <w:sz w:val="20"/>
                <w:szCs w:val="20"/>
              </w:rPr>
            </w:pPr>
            <w:r>
              <w:rPr>
                <w:sz w:val="20"/>
                <w:szCs w:val="20"/>
              </w:rPr>
              <w:t>101</w:t>
            </w:r>
          </w:p>
        </w:tc>
        <w:tc>
          <w:tcPr>
            <w:tcW w:w="619" w:type="pct"/>
            <w:vAlign w:val="center"/>
          </w:tcPr>
          <w:p w:rsidR="00CD2A5A" w:rsidRDefault="00CD2A5A">
            <w:pPr>
              <w:spacing w:before="40" w:after="40"/>
              <w:jc w:val="center"/>
              <w:rPr>
                <w:sz w:val="20"/>
                <w:szCs w:val="20"/>
              </w:rPr>
            </w:pPr>
            <w:r>
              <w:rPr>
                <w:sz w:val="20"/>
                <w:szCs w:val="20"/>
              </w:rPr>
              <w:t>9%</w:t>
            </w:r>
          </w:p>
        </w:tc>
        <w:tc>
          <w:tcPr>
            <w:tcW w:w="673" w:type="pct"/>
            <w:vAlign w:val="center"/>
          </w:tcPr>
          <w:p w:rsidR="00CD2A5A" w:rsidRDefault="00CD2A5A">
            <w:pPr>
              <w:spacing w:before="40" w:after="40"/>
              <w:ind w:right="203"/>
              <w:jc w:val="right"/>
              <w:rPr>
                <w:sz w:val="20"/>
                <w:szCs w:val="20"/>
              </w:rPr>
            </w:pPr>
            <w:r>
              <w:rPr>
                <w:sz w:val="20"/>
                <w:szCs w:val="20"/>
              </w:rPr>
              <w:t>79</w:t>
            </w:r>
          </w:p>
        </w:tc>
        <w:tc>
          <w:tcPr>
            <w:tcW w:w="618" w:type="pct"/>
            <w:vAlign w:val="center"/>
          </w:tcPr>
          <w:p w:rsidR="00CD2A5A" w:rsidRDefault="00CD2A5A">
            <w:pPr>
              <w:spacing w:before="40" w:after="40"/>
              <w:jc w:val="center"/>
              <w:rPr>
                <w:sz w:val="20"/>
                <w:szCs w:val="20"/>
              </w:rPr>
            </w:pPr>
            <w:r>
              <w:rPr>
                <w:sz w:val="20"/>
                <w:szCs w:val="20"/>
              </w:rPr>
              <w:t>7%</w:t>
            </w:r>
          </w:p>
        </w:tc>
      </w:tr>
      <w:tr w:rsidR="00CD2A5A">
        <w:trPr>
          <w:trHeight w:val="227"/>
          <w:jc w:val="center"/>
        </w:trPr>
        <w:tc>
          <w:tcPr>
            <w:tcW w:w="1080" w:type="pct"/>
            <w:vAlign w:val="center"/>
          </w:tcPr>
          <w:p w:rsidR="00CD2A5A" w:rsidRDefault="00CD2A5A">
            <w:pPr>
              <w:spacing w:before="40" w:after="40"/>
              <w:rPr>
                <w:sz w:val="20"/>
                <w:szCs w:val="20"/>
              </w:rPr>
            </w:pPr>
            <w:r>
              <w:rPr>
                <w:sz w:val="20"/>
                <w:szCs w:val="20"/>
              </w:rPr>
              <w:t>Male</w:t>
            </w:r>
          </w:p>
        </w:tc>
        <w:tc>
          <w:tcPr>
            <w:tcW w:w="673" w:type="pct"/>
            <w:vAlign w:val="center"/>
          </w:tcPr>
          <w:p w:rsidR="00CD2A5A" w:rsidRDefault="00CD2A5A">
            <w:pPr>
              <w:spacing w:before="40" w:after="40"/>
              <w:ind w:right="203"/>
              <w:jc w:val="right"/>
              <w:rPr>
                <w:sz w:val="20"/>
                <w:szCs w:val="20"/>
              </w:rPr>
            </w:pPr>
            <w:r>
              <w:rPr>
                <w:sz w:val="20"/>
                <w:szCs w:val="20"/>
              </w:rPr>
              <w:t>1,187</w:t>
            </w:r>
          </w:p>
        </w:tc>
        <w:tc>
          <w:tcPr>
            <w:tcW w:w="664" w:type="pct"/>
            <w:vAlign w:val="center"/>
          </w:tcPr>
          <w:p w:rsidR="00CD2A5A" w:rsidRDefault="00CD2A5A">
            <w:pPr>
              <w:spacing w:before="40" w:after="40"/>
              <w:jc w:val="center"/>
              <w:rPr>
                <w:sz w:val="20"/>
                <w:szCs w:val="20"/>
              </w:rPr>
            </w:pPr>
            <w:r>
              <w:rPr>
                <w:sz w:val="20"/>
                <w:szCs w:val="20"/>
              </w:rPr>
              <w:t>90.7%</w:t>
            </w:r>
          </w:p>
        </w:tc>
        <w:tc>
          <w:tcPr>
            <w:tcW w:w="673" w:type="pct"/>
            <w:vAlign w:val="center"/>
          </w:tcPr>
          <w:p w:rsidR="00CD2A5A" w:rsidRDefault="00CD2A5A">
            <w:pPr>
              <w:spacing w:before="40" w:after="40"/>
              <w:ind w:right="203"/>
              <w:jc w:val="right"/>
              <w:rPr>
                <w:sz w:val="20"/>
                <w:szCs w:val="20"/>
              </w:rPr>
            </w:pPr>
            <w:r>
              <w:rPr>
                <w:sz w:val="20"/>
                <w:szCs w:val="20"/>
              </w:rPr>
              <w:t>1,069</w:t>
            </w:r>
          </w:p>
        </w:tc>
        <w:tc>
          <w:tcPr>
            <w:tcW w:w="619" w:type="pct"/>
            <w:vAlign w:val="center"/>
          </w:tcPr>
          <w:p w:rsidR="00CD2A5A" w:rsidRDefault="00CD2A5A">
            <w:pPr>
              <w:spacing w:before="40" w:after="40"/>
              <w:jc w:val="center"/>
              <w:rPr>
                <w:sz w:val="20"/>
                <w:szCs w:val="20"/>
              </w:rPr>
            </w:pPr>
            <w:r>
              <w:rPr>
                <w:sz w:val="20"/>
                <w:szCs w:val="20"/>
              </w:rPr>
              <w:t>91%</w:t>
            </w:r>
          </w:p>
        </w:tc>
        <w:tc>
          <w:tcPr>
            <w:tcW w:w="673" w:type="pct"/>
            <w:vAlign w:val="center"/>
          </w:tcPr>
          <w:p w:rsidR="00CD2A5A" w:rsidRDefault="00CD2A5A">
            <w:pPr>
              <w:spacing w:before="40" w:after="40"/>
              <w:ind w:right="203"/>
              <w:jc w:val="right"/>
              <w:rPr>
                <w:sz w:val="20"/>
                <w:szCs w:val="20"/>
              </w:rPr>
            </w:pPr>
            <w:r>
              <w:rPr>
                <w:sz w:val="20"/>
                <w:szCs w:val="20"/>
              </w:rPr>
              <w:t>1,102</w:t>
            </w:r>
          </w:p>
        </w:tc>
        <w:tc>
          <w:tcPr>
            <w:tcW w:w="618" w:type="pct"/>
            <w:vAlign w:val="center"/>
          </w:tcPr>
          <w:p w:rsidR="00CD2A5A" w:rsidRDefault="00CD2A5A">
            <w:pPr>
              <w:spacing w:before="40" w:after="40"/>
              <w:jc w:val="center"/>
              <w:rPr>
                <w:sz w:val="20"/>
                <w:szCs w:val="20"/>
              </w:rPr>
            </w:pPr>
            <w:r>
              <w:rPr>
                <w:sz w:val="20"/>
                <w:szCs w:val="20"/>
              </w:rPr>
              <w:t>93%</w:t>
            </w:r>
          </w:p>
        </w:tc>
      </w:tr>
      <w:tr w:rsidR="00CD2A5A">
        <w:trPr>
          <w:trHeight w:val="227"/>
          <w:jc w:val="center"/>
        </w:trPr>
        <w:tc>
          <w:tcPr>
            <w:tcW w:w="1080" w:type="pct"/>
            <w:vAlign w:val="center"/>
          </w:tcPr>
          <w:p w:rsidR="00CD2A5A" w:rsidRDefault="00CD2A5A">
            <w:pPr>
              <w:spacing w:before="40" w:after="40"/>
              <w:rPr>
                <w:sz w:val="20"/>
                <w:szCs w:val="20"/>
              </w:rPr>
            </w:pPr>
            <w:r>
              <w:rPr>
                <w:sz w:val="20"/>
                <w:szCs w:val="20"/>
              </w:rPr>
              <w:t>Total</w:t>
            </w:r>
          </w:p>
        </w:tc>
        <w:tc>
          <w:tcPr>
            <w:tcW w:w="673" w:type="pct"/>
            <w:vAlign w:val="center"/>
          </w:tcPr>
          <w:p w:rsidR="00CD2A5A" w:rsidRDefault="00CD2A5A">
            <w:pPr>
              <w:spacing w:before="40" w:after="40"/>
              <w:ind w:right="203"/>
              <w:jc w:val="right"/>
              <w:rPr>
                <w:sz w:val="20"/>
                <w:szCs w:val="20"/>
              </w:rPr>
            </w:pPr>
            <w:r>
              <w:rPr>
                <w:sz w:val="20"/>
                <w:szCs w:val="20"/>
              </w:rPr>
              <w:t>1,308</w:t>
            </w:r>
          </w:p>
        </w:tc>
        <w:tc>
          <w:tcPr>
            <w:tcW w:w="664" w:type="pct"/>
            <w:vAlign w:val="center"/>
          </w:tcPr>
          <w:p w:rsidR="00CD2A5A" w:rsidRDefault="00CD2A5A">
            <w:pPr>
              <w:spacing w:before="40" w:after="40"/>
              <w:jc w:val="center"/>
              <w:rPr>
                <w:sz w:val="20"/>
                <w:szCs w:val="20"/>
              </w:rPr>
            </w:pPr>
            <w:r>
              <w:rPr>
                <w:sz w:val="20"/>
                <w:szCs w:val="20"/>
              </w:rPr>
              <w:t>100%</w:t>
            </w:r>
          </w:p>
        </w:tc>
        <w:tc>
          <w:tcPr>
            <w:tcW w:w="673" w:type="pct"/>
            <w:vAlign w:val="center"/>
          </w:tcPr>
          <w:p w:rsidR="00CD2A5A" w:rsidRDefault="00CD2A5A">
            <w:pPr>
              <w:spacing w:before="40" w:after="40"/>
              <w:ind w:right="203"/>
              <w:jc w:val="right"/>
              <w:rPr>
                <w:sz w:val="20"/>
                <w:szCs w:val="20"/>
              </w:rPr>
            </w:pPr>
            <w:r>
              <w:rPr>
                <w:sz w:val="20"/>
                <w:szCs w:val="20"/>
              </w:rPr>
              <w:t>1,170</w:t>
            </w:r>
          </w:p>
        </w:tc>
        <w:tc>
          <w:tcPr>
            <w:tcW w:w="619" w:type="pct"/>
            <w:vAlign w:val="center"/>
          </w:tcPr>
          <w:p w:rsidR="00CD2A5A" w:rsidRDefault="00CD2A5A">
            <w:pPr>
              <w:spacing w:before="40" w:after="40"/>
              <w:jc w:val="center"/>
              <w:rPr>
                <w:sz w:val="20"/>
                <w:szCs w:val="20"/>
              </w:rPr>
            </w:pPr>
            <w:r>
              <w:rPr>
                <w:sz w:val="20"/>
                <w:szCs w:val="20"/>
              </w:rPr>
              <w:t>100%</w:t>
            </w:r>
          </w:p>
        </w:tc>
        <w:tc>
          <w:tcPr>
            <w:tcW w:w="673" w:type="pct"/>
            <w:vAlign w:val="bottom"/>
          </w:tcPr>
          <w:p w:rsidR="00CD2A5A" w:rsidRDefault="00CD2A5A">
            <w:pPr>
              <w:spacing w:before="40" w:after="40"/>
              <w:ind w:right="203"/>
              <w:jc w:val="right"/>
              <w:rPr>
                <w:sz w:val="20"/>
                <w:szCs w:val="20"/>
              </w:rPr>
            </w:pPr>
            <w:r>
              <w:rPr>
                <w:sz w:val="20"/>
                <w:szCs w:val="20"/>
              </w:rPr>
              <w:t>1,181</w:t>
            </w:r>
          </w:p>
        </w:tc>
        <w:tc>
          <w:tcPr>
            <w:tcW w:w="618" w:type="pct"/>
            <w:vAlign w:val="bottom"/>
          </w:tcPr>
          <w:p w:rsidR="00CD2A5A" w:rsidRDefault="00CD2A5A">
            <w:pPr>
              <w:spacing w:before="40" w:after="40"/>
              <w:jc w:val="center"/>
              <w:rPr>
                <w:sz w:val="20"/>
                <w:szCs w:val="20"/>
              </w:rPr>
            </w:pPr>
            <w:r>
              <w:rPr>
                <w:sz w:val="20"/>
                <w:szCs w:val="20"/>
              </w:rPr>
              <w:t>100%</w:t>
            </w:r>
          </w:p>
        </w:tc>
      </w:tr>
    </w:tbl>
    <w:p w:rsidR="00CD2A5A" w:rsidRDefault="00CD2A5A">
      <w:pPr>
        <w:pStyle w:val="Header"/>
        <w:tabs>
          <w:tab w:val="clear" w:pos="4252"/>
        </w:tabs>
        <w:spacing w:after="240"/>
        <w:rPr>
          <w:lang w:val="en-GB"/>
        </w:rPr>
      </w:pPr>
    </w:p>
    <w:p w:rsidR="00CD2A5A" w:rsidRDefault="00CD2A5A">
      <w:pPr>
        <w:pStyle w:val="Header"/>
        <w:numPr>
          <w:ilvl w:val="0"/>
          <w:numId w:val="3"/>
        </w:numPr>
        <w:tabs>
          <w:tab w:val="clear" w:pos="720"/>
          <w:tab w:val="clear" w:pos="4252"/>
        </w:tabs>
        <w:spacing w:after="240"/>
        <w:ind w:left="0" w:firstLine="0"/>
        <w:rPr>
          <w:lang w:val="en-GB"/>
        </w:rPr>
      </w:pPr>
      <w:r>
        <w:rPr>
          <w:lang w:val="en-GB"/>
        </w:rPr>
        <w:t>The minors reported to ISNA were referred to Rehabilitation Centres or followed up by ISNA to monitor the alternative measures imposed by the Juvenile Courts.</w:t>
      </w:r>
    </w:p>
    <w:p w:rsidR="00CD2A5A" w:rsidRDefault="00CD2A5A" w:rsidP="00555A92">
      <w:pPr>
        <w:pStyle w:val="Figure"/>
        <w:spacing w:after="120"/>
      </w:pPr>
      <w:r>
        <w:t>Figure 84</w:t>
      </w:r>
    </w:p>
    <w:p w:rsidR="00CD2A5A" w:rsidRDefault="00CD2A5A" w:rsidP="00555A92">
      <w:pPr>
        <w:pStyle w:val="Figure"/>
        <w:spacing w:after="120"/>
      </w:pPr>
      <w:r>
        <w:t>Total Population in the care of the ISNA Rehabilitation Subsystem by care area, 2004– 2006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1125"/>
        <w:gridCol w:w="1126"/>
        <w:gridCol w:w="1126"/>
        <w:gridCol w:w="1125"/>
        <w:gridCol w:w="1126"/>
        <w:gridCol w:w="1126"/>
      </w:tblGrid>
      <w:tr w:rsidR="00CD2A5A">
        <w:trPr>
          <w:cantSplit/>
          <w:trHeight w:val="187"/>
          <w:jc w:val="center"/>
        </w:trPr>
        <w:tc>
          <w:tcPr>
            <w:tcW w:w="2658" w:type="dxa"/>
            <w:vMerge w:val="restart"/>
            <w:vAlign w:val="center"/>
          </w:tcPr>
          <w:p w:rsidR="00CD2A5A" w:rsidRDefault="00CD2A5A">
            <w:pPr>
              <w:pStyle w:val="Heading5"/>
              <w:spacing w:before="40" w:after="40"/>
              <w:jc w:val="center"/>
              <w:rPr>
                <w:i/>
                <w:color w:val="auto"/>
                <w:sz w:val="20"/>
                <w:szCs w:val="20"/>
                <w:lang w:val="en-GB"/>
              </w:rPr>
            </w:pPr>
            <w:r>
              <w:rPr>
                <w:i/>
                <w:color w:val="auto"/>
                <w:sz w:val="20"/>
                <w:szCs w:val="20"/>
                <w:lang w:val="en-GB"/>
              </w:rPr>
              <w:t>Care area</w:t>
            </w:r>
          </w:p>
        </w:tc>
        <w:tc>
          <w:tcPr>
            <w:tcW w:w="2251" w:type="dxa"/>
            <w:gridSpan w:val="2"/>
            <w:vAlign w:val="center"/>
          </w:tcPr>
          <w:p w:rsidR="00CD2A5A" w:rsidRDefault="00CD2A5A">
            <w:pPr>
              <w:spacing w:before="40" w:after="40"/>
              <w:jc w:val="center"/>
              <w:rPr>
                <w:b/>
                <w:i/>
                <w:sz w:val="20"/>
                <w:szCs w:val="20"/>
              </w:rPr>
            </w:pPr>
            <w:r>
              <w:rPr>
                <w:b/>
                <w:i/>
                <w:sz w:val="20"/>
                <w:szCs w:val="20"/>
              </w:rPr>
              <w:t>2004</w:t>
            </w:r>
          </w:p>
        </w:tc>
        <w:tc>
          <w:tcPr>
            <w:tcW w:w="2251" w:type="dxa"/>
            <w:gridSpan w:val="2"/>
            <w:vAlign w:val="center"/>
          </w:tcPr>
          <w:p w:rsidR="00CD2A5A" w:rsidRDefault="00CD2A5A">
            <w:pPr>
              <w:spacing w:before="40" w:after="40"/>
              <w:jc w:val="center"/>
              <w:rPr>
                <w:b/>
                <w:i/>
                <w:sz w:val="20"/>
                <w:szCs w:val="20"/>
              </w:rPr>
            </w:pPr>
            <w:r>
              <w:rPr>
                <w:b/>
                <w:i/>
                <w:sz w:val="20"/>
                <w:szCs w:val="20"/>
              </w:rPr>
              <w:t>2005</w:t>
            </w:r>
          </w:p>
        </w:tc>
        <w:tc>
          <w:tcPr>
            <w:tcW w:w="2252" w:type="dxa"/>
            <w:gridSpan w:val="2"/>
            <w:vAlign w:val="center"/>
          </w:tcPr>
          <w:p w:rsidR="00CD2A5A" w:rsidRDefault="00CD2A5A">
            <w:pPr>
              <w:spacing w:before="40" w:after="40"/>
              <w:jc w:val="center"/>
              <w:rPr>
                <w:b/>
                <w:i/>
                <w:sz w:val="20"/>
                <w:szCs w:val="20"/>
              </w:rPr>
            </w:pPr>
            <w:r>
              <w:rPr>
                <w:b/>
                <w:i/>
                <w:sz w:val="20"/>
                <w:szCs w:val="20"/>
              </w:rPr>
              <w:t>2006</w:t>
            </w:r>
          </w:p>
        </w:tc>
      </w:tr>
      <w:tr w:rsidR="00CD2A5A">
        <w:trPr>
          <w:cantSplit/>
          <w:trHeight w:val="187"/>
          <w:jc w:val="center"/>
        </w:trPr>
        <w:tc>
          <w:tcPr>
            <w:tcW w:w="2658" w:type="dxa"/>
            <w:vMerge/>
            <w:vAlign w:val="center"/>
          </w:tcPr>
          <w:p w:rsidR="00CD2A5A" w:rsidRDefault="00CD2A5A">
            <w:pPr>
              <w:spacing w:before="40" w:after="40"/>
              <w:jc w:val="center"/>
              <w:rPr>
                <w:b/>
                <w:i/>
                <w:sz w:val="20"/>
                <w:szCs w:val="20"/>
              </w:rPr>
            </w:pPr>
          </w:p>
        </w:tc>
        <w:tc>
          <w:tcPr>
            <w:tcW w:w="1125" w:type="dxa"/>
            <w:vAlign w:val="center"/>
          </w:tcPr>
          <w:p w:rsidR="00CD2A5A" w:rsidRDefault="00CD2A5A">
            <w:pPr>
              <w:spacing w:before="40" w:after="40"/>
              <w:jc w:val="center"/>
              <w:rPr>
                <w:b/>
                <w:i/>
                <w:sz w:val="20"/>
                <w:szCs w:val="20"/>
              </w:rPr>
            </w:pPr>
            <w:r>
              <w:rPr>
                <w:b/>
                <w:i/>
                <w:sz w:val="20"/>
                <w:szCs w:val="20"/>
              </w:rPr>
              <w:t>Young people</w:t>
            </w:r>
          </w:p>
        </w:tc>
        <w:tc>
          <w:tcPr>
            <w:tcW w:w="1126" w:type="dxa"/>
            <w:vAlign w:val="center"/>
          </w:tcPr>
          <w:p w:rsidR="00CD2A5A" w:rsidRDefault="00CD2A5A">
            <w:pPr>
              <w:spacing w:before="40" w:after="40"/>
              <w:jc w:val="center"/>
              <w:rPr>
                <w:b/>
                <w:i/>
                <w:sz w:val="20"/>
                <w:szCs w:val="20"/>
              </w:rPr>
            </w:pPr>
            <w:r>
              <w:rPr>
                <w:b/>
                <w:i/>
                <w:sz w:val="20"/>
                <w:szCs w:val="20"/>
              </w:rPr>
              <w:t>%</w:t>
            </w:r>
          </w:p>
        </w:tc>
        <w:tc>
          <w:tcPr>
            <w:tcW w:w="1126" w:type="dxa"/>
            <w:vAlign w:val="center"/>
          </w:tcPr>
          <w:p w:rsidR="00CD2A5A" w:rsidRDefault="00CD2A5A">
            <w:pPr>
              <w:spacing w:before="40" w:after="40"/>
              <w:jc w:val="center"/>
              <w:rPr>
                <w:b/>
                <w:i/>
                <w:sz w:val="20"/>
                <w:szCs w:val="20"/>
              </w:rPr>
            </w:pPr>
            <w:r>
              <w:rPr>
                <w:b/>
                <w:i/>
                <w:sz w:val="20"/>
                <w:szCs w:val="20"/>
              </w:rPr>
              <w:t>Young people</w:t>
            </w:r>
          </w:p>
        </w:tc>
        <w:tc>
          <w:tcPr>
            <w:tcW w:w="1125" w:type="dxa"/>
            <w:vAlign w:val="center"/>
          </w:tcPr>
          <w:p w:rsidR="00CD2A5A" w:rsidRDefault="00CD2A5A">
            <w:pPr>
              <w:spacing w:before="40" w:after="40"/>
              <w:jc w:val="center"/>
              <w:rPr>
                <w:b/>
                <w:i/>
                <w:sz w:val="20"/>
                <w:szCs w:val="20"/>
              </w:rPr>
            </w:pPr>
            <w:r>
              <w:rPr>
                <w:b/>
                <w:i/>
                <w:sz w:val="20"/>
                <w:szCs w:val="20"/>
              </w:rPr>
              <w:t>%</w:t>
            </w:r>
          </w:p>
        </w:tc>
        <w:tc>
          <w:tcPr>
            <w:tcW w:w="1126" w:type="dxa"/>
            <w:vAlign w:val="center"/>
          </w:tcPr>
          <w:p w:rsidR="00CD2A5A" w:rsidRDefault="00CD2A5A">
            <w:pPr>
              <w:spacing w:before="40" w:after="40"/>
              <w:jc w:val="center"/>
              <w:rPr>
                <w:b/>
                <w:i/>
                <w:sz w:val="20"/>
                <w:szCs w:val="20"/>
              </w:rPr>
            </w:pPr>
            <w:r>
              <w:rPr>
                <w:b/>
                <w:i/>
                <w:sz w:val="20"/>
                <w:szCs w:val="20"/>
              </w:rPr>
              <w:t>Young people</w:t>
            </w:r>
          </w:p>
        </w:tc>
        <w:tc>
          <w:tcPr>
            <w:tcW w:w="1126" w:type="dxa"/>
            <w:vAlign w:val="center"/>
          </w:tcPr>
          <w:p w:rsidR="00CD2A5A" w:rsidRDefault="00CD2A5A">
            <w:pPr>
              <w:spacing w:before="40" w:after="40"/>
              <w:jc w:val="center"/>
              <w:rPr>
                <w:b/>
                <w:i/>
                <w:sz w:val="20"/>
                <w:szCs w:val="20"/>
              </w:rPr>
            </w:pPr>
            <w:r>
              <w:rPr>
                <w:b/>
                <w:i/>
                <w:sz w:val="20"/>
                <w:szCs w:val="20"/>
              </w:rPr>
              <w:t>%</w:t>
            </w:r>
          </w:p>
        </w:tc>
      </w:tr>
      <w:tr w:rsidR="00CD2A5A">
        <w:trPr>
          <w:trHeight w:val="227"/>
          <w:jc w:val="center"/>
        </w:trPr>
        <w:tc>
          <w:tcPr>
            <w:tcW w:w="2658" w:type="dxa"/>
            <w:vAlign w:val="center"/>
          </w:tcPr>
          <w:p w:rsidR="00CD2A5A" w:rsidRDefault="00CD2A5A">
            <w:pPr>
              <w:spacing w:before="40" w:after="40"/>
              <w:rPr>
                <w:sz w:val="20"/>
                <w:szCs w:val="20"/>
              </w:rPr>
            </w:pPr>
            <w:r>
              <w:rPr>
                <w:sz w:val="20"/>
                <w:szCs w:val="20"/>
              </w:rPr>
              <w:t>Rehabilitation centres</w:t>
            </w:r>
          </w:p>
        </w:tc>
        <w:tc>
          <w:tcPr>
            <w:tcW w:w="1125" w:type="dxa"/>
            <w:vAlign w:val="center"/>
          </w:tcPr>
          <w:p w:rsidR="00CD2A5A" w:rsidRDefault="00CD2A5A">
            <w:pPr>
              <w:spacing w:before="40" w:after="40"/>
              <w:ind w:right="90"/>
              <w:jc w:val="right"/>
              <w:rPr>
                <w:sz w:val="20"/>
                <w:szCs w:val="20"/>
              </w:rPr>
            </w:pPr>
            <w:r>
              <w:rPr>
                <w:sz w:val="20"/>
                <w:szCs w:val="20"/>
              </w:rPr>
              <w:t>1,206</w:t>
            </w:r>
          </w:p>
        </w:tc>
        <w:tc>
          <w:tcPr>
            <w:tcW w:w="1126" w:type="dxa"/>
            <w:vAlign w:val="center"/>
          </w:tcPr>
          <w:p w:rsidR="00CD2A5A" w:rsidRDefault="00CD2A5A">
            <w:pPr>
              <w:spacing w:before="40" w:after="40"/>
              <w:jc w:val="center"/>
              <w:rPr>
                <w:sz w:val="20"/>
                <w:szCs w:val="20"/>
              </w:rPr>
            </w:pPr>
            <w:r>
              <w:rPr>
                <w:sz w:val="20"/>
                <w:szCs w:val="20"/>
              </w:rPr>
              <w:t>92.2%</w:t>
            </w:r>
          </w:p>
        </w:tc>
        <w:tc>
          <w:tcPr>
            <w:tcW w:w="1126" w:type="dxa"/>
            <w:vAlign w:val="center"/>
          </w:tcPr>
          <w:p w:rsidR="00CD2A5A" w:rsidRDefault="00CD2A5A">
            <w:pPr>
              <w:spacing w:before="40" w:after="40"/>
              <w:ind w:right="90"/>
              <w:jc w:val="right"/>
              <w:rPr>
                <w:sz w:val="20"/>
                <w:szCs w:val="20"/>
              </w:rPr>
            </w:pPr>
            <w:r>
              <w:rPr>
                <w:sz w:val="20"/>
                <w:szCs w:val="20"/>
              </w:rPr>
              <w:t>1,111</w:t>
            </w:r>
          </w:p>
        </w:tc>
        <w:tc>
          <w:tcPr>
            <w:tcW w:w="1125" w:type="dxa"/>
            <w:vAlign w:val="center"/>
          </w:tcPr>
          <w:p w:rsidR="00CD2A5A" w:rsidRDefault="00CD2A5A">
            <w:pPr>
              <w:spacing w:before="40" w:after="40"/>
              <w:jc w:val="center"/>
              <w:rPr>
                <w:sz w:val="20"/>
                <w:szCs w:val="20"/>
              </w:rPr>
            </w:pPr>
            <w:r>
              <w:rPr>
                <w:sz w:val="20"/>
                <w:szCs w:val="20"/>
              </w:rPr>
              <w:t>95%</w:t>
            </w:r>
          </w:p>
        </w:tc>
        <w:tc>
          <w:tcPr>
            <w:tcW w:w="1126" w:type="dxa"/>
            <w:vAlign w:val="center"/>
          </w:tcPr>
          <w:p w:rsidR="00CD2A5A" w:rsidRDefault="00CD2A5A">
            <w:pPr>
              <w:spacing w:before="40" w:after="40"/>
              <w:ind w:right="90"/>
              <w:jc w:val="right"/>
              <w:rPr>
                <w:sz w:val="20"/>
                <w:szCs w:val="20"/>
              </w:rPr>
            </w:pPr>
            <w:r>
              <w:rPr>
                <w:sz w:val="20"/>
                <w:szCs w:val="20"/>
              </w:rPr>
              <w:t>1,113</w:t>
            </w:r>
          </w:p>
        </w:tc>
        <w:tc>
          <w:tcPr>
            <w:tcW w:w="1126" w:type="dxa"/>
            <w:vAlign w:val="center"/>
          </w:tcPr>
          <w:p w:rsidR="00CD2A5A" w:rsidRDefault="00CD2A5A">
            <w:pPr>
              <w:spacing w:before="40" w:after="40"/>
              <w:jc w:val="center"/>
              <w:rPr>
                <w:sz w:val="20"/>
                <w:szCs w:val="20"/>
              </w:rPr>
            </w:pPr>
            <w:r>
              <w:rPr>
                <w:sz w:val="20"/>
                <w:szCs w:val="20"/>
              </w:rPr>
              <w:t>94%</w:t>
            </w:r>
          </w:p>
        </w:tc>
      </w:tr>
      <w:tr w:rsidR="00CD2A5A">
        <w:trPr>
          <w:trHeight w:val="227"/>
          <w:jc w:val="center"/>
        </w:trPr>
        <w:tc>
          <w:tcPr>
            <w:tcW w:w="2658" w:type="dxa"/>
            <w:vAlign w:val="center"/>
          </w:tcPr>
          <w:p w:rsidR="00CD2A5A" w:rsidRDefault="00CD2A5A">
            <w:pPr>
              <w:spacing w:before="40" w:after="40"/>
              <w:rPr>
                <w:sz w:val="20"/>
                <w:szCs w:val="20"/>
              </w:rPr>
            </w:pPr>
            <w:r>
              <w:rPr>
                <w:sz w:val="20"/>
                <w:szCs w:val="20"/>
              </w:rPr>
              <w:t>Alternative measures</w:t>
            </w:r>
          </w:p>
        </w:tc>
        <w:tc>
          <w:tcPr>
            <w:tcW w:w="1125" w:type="dxa"/>
            <w:vAlign w:val="center"/>
          </w:tcPr>
          <w:p w:rsidR="00CD2A5A" w:rsidRDefault="00CD2A5A">
            <w:pPr>
              <w:spacing w:before="40" w:after="40"/>
              <w:ind w:right="90"/>
              <w:jc w:val="right"/>
              <w:rPr>
                <w:sz w:val="20"/>
                <w:szCs w:val="20"/>
              </w:rPr>
            </w:pPr>
            <w:r>
              <w:rPr>
                <w:sz w:val="20"/>
                <w:szCs w:val="20"/>
              </w:rPr>
              <w:t>102</w:t>
            </w:r>
          </w:p>
        </w:tc>
        <w:tc>
          <w:tcPr>
            <w:tcW w:w="1126" w:type="dxa"/>
            <w:vAlign w:val="center"/>
          </w:tcPr>
          <w:p w:rsidR="00CD2A5A" w:rsidRDefault="00CD2A5A">
            <w:pPr>
              <w:spacing w:before="40" w:after="40"/>
              <w:jc w:val="center"/>
              <w:rPr>
                <w:sz w:val="20"/>
                <w:szCs w:val="20"/>
              </w:rPr>
            </w:pPr>
            <w:r>
              <w:rPr>
                <w:sz w:val="20"/>
                <w:szCs w:val="20"/>
              </w:rPr>
              <w:t>7.8%</w:t>
            </w:r>
          </w:p>
        </w:tc>
        <w:tc>
          <w:tcPr>
            <w:tcW w:w="1126" w:type="dxa"/>
            <w:vAlign w:val="center"/>
          </w:tcPr>
          <w:p w:rsidR="00CD2A5A" w:rsidRDefault="00CD2A5A">
            <w:pPr>
              <w:spacing w:before="40" w:after="40"/>
              <w:ind w:right="90"/>
              <w:jc w:val="right"/>
              <w:rPr>
                <w:sz w:val="20"/>
                <w:szCs w:val="20"/>
              </w:rPr>
            </w:pPr>
            <w:r>
              <w:rPr>
                <w:sz w:val="20"/>
                <w:szCs w:val="20"/>
              </w:rPr>
              <w:t>59</w:t>
            </w:r>
          </w:p>
        </w:tc>
        <w:tc>
          <w:tcPr>
            <w:tcW w:w="1125" w:type="dxa"/>
            <w:vAlign w:val="center"/>
          </w:tcPr>
          <w:p w:rsidR="00CD2A5A" w:rsidRDefault="00CD2A5A">
            <w:pPr>
              <w:spacing w:before="40" w:after="40"/>
              <w:jc w:val="center"/>
              <w:rPr>
                <w:sz w:val="20"/>
                <w:szCs w:val="20"/>
              </w:rPr>
            </w:pPr>
            <w:r>
              <w:rPr>
                <w:sz w:val="20"/>
                <w:szCs w:val="20"/>
              </w:rPr>
              <w:t>5%</w:t>
            </w:r>
          </w:p>
        </w:tc>
        <w:tc>
          <w:tcPr>
            <w:tcW w:w="1126" w:type="dxa"/>
            <w:vAlign w:val="center"/>
          </w:tcPr>
          <w:p w:rsidR="00CD2A5A" w:rsidRDefault="00CD2A5A">
            <w:pPr>
              <w:spacing w:before="40" w:after="40"/>
              <w:ind w:right="90"/>
              <w:jc w:val="right"/>
              <w:rPr>
                <w:sz w:val="20"/>
                <w:szCs w:val="20"/>
              </w:rPr>
            </w:pPr>
            <w:r>
              <w:rPr>
                <w:sz w:val="20"/>
                <w:szCs w:val="20"/>
              </w:rPr>
              <w:t>68</w:t>
            </w:r>
          </w:p>
        </w:tc>
        <w:tc>
          <w:tcPr>
            <w:tcW w:w="1126" w:type="dxa"/>
            <w:vAlign w:val="center"/>
          </w:tcPr>
          <w:p w:rsidR="00CD2A5A" w:rsidRDefault="00CD2A5A">
            <w:pPr>
              <w:spacing w:before="40" w:after="40"/>
              <w:jc w:val="center"/>
              <w:rPr>
                <w:sz w:val="20"/>
                <w:szCs w:val="20"/>
              </w:rPr>
            </w:pPr>
            <w:r>
              <w:rPr>
                <w:sz w:val="20"/>
                <w:szCs w:val="20"/>
              </w:rPr>
              <w:t>6%</w:t>
            </w:r>
          </w:p>
        </w:tc>
      </w:tr>
      <w:tr w:rsidR="00CD2A5A">
        <w:trPr>
          <w:trHeight w:val="227"/>
          <w:jc w:val="center"/>
        </w:trPr>
        <w:tc>
          <w:tcPr>
            <w:tcW w:w="2658" w:type="dxa"/>
            <w:vAlign w:val="center"/>
          </w:tcPr>
          <w:p w:rsidR="00CD2A5A" w:rsidRDefault="00CD2A5A">
            <w:pPr>
              <w:spacing w:before="40" w:after="40"/>
              <w:rPr>
                <w:sz w:val="20"/>
                <w:szCs w:val="20"/>
              </w:rPr>
            </w:pPr>
            <w:r>
              <w:rPr>
                <w:sz w:val="20"/>
                <w:szCs w:val="20"/>
              </w:rPr>
              <w:t>Total</w:t>
            </w:r>
          </w:p>
        </w:tc>
        <w:tc>
          <w:tcPr>
            <w:tcW w:w="1125" w:type="dxa"/>
            <w:vAlign w:val="center"/>
          </w:tcPr>
          <w:p w:rsidR="00CD2A5A" w:rsidRDefault="00CD2A5A">
            <w:pPr>
              <w:spacing w:before="40" w:after="40"/>
              <w:ind w:right="90"/>
              <w:jc w:val="right"/>
              <w:rPr>
                <w:sz w:val="20"/>
                <w:szCs w:val="20"/>
              </w:rPr>
            </w:pPr>
            <w:r>
              <w:rPr>
                <w:sz w:val="20"/>
                <w:szCs w:val="20"/>
              </w:rPr>
              <w:t>1,308</w:t>
            </w:r>
          </w:p>
        </w:tc>
        <w:tc>
          <w:tcPr>
            <w:tcW w:w="1126" w:type="dxa"/>
            <w:vAlign w:val="center"/>
          </w:tcPr>
          <w:p w:rsidR="00CD2A5A" w:rsidRDefault="00CD2A5A">
            <w:pPr>
              <w:spacing w:before="40" w:after="40"/>
              <w:jc w:val="center"/>
              <w:rPr>
                <w:sz w:val="20"/>
                <w:szCs w:val="20"/>
              </w:rPr>
            </w:pPr>
            <w:r>
              <w:rPr>
                <w:sz w:val="20"/>
                <w:szCs w:val="20"/>
              </w:rPr>
              <w:t>100%</w:t>
            </w:r>
          </w:p>
        </w:tc>
        <w:tc>
          <w:tcPr>
            <w:tcW w:w="1126" w:type="dxa"/>
            <w:vAlign w:val="center"/>
          </w:tcPr>
          <w:p w:rsidR="00CD2A5A" w:rsidRDefault="00CD2A5A">
            <w:pPr>
              <w:spacing w:before="40" w:after="40"/>
              <w:ind w:right="90"/>
              <w:jc w:val="right"/>
              <w:rPr>
                <w:sz w:val="20"/>
                <w:szCs w:val="20"/>
              </w:rPr>
            </w:pPr>
            <w:r>
              <w:rPr>
                <w:sz w:val="20"/>
                <w:szCs w:val="20"/>
              </w:rPr>
              <w:t>1,170</w:t>
            </w:r>
          </w:p>
        </w:tc>
        <w:tc>
          <w:tcPr>
            <w:tcW w:w="1125" w:type="dxa"/>
            <w:vAlign w:val="center"/>
          </w:tcPr>
          <w:p w:rsidR="00CD2A5A" w:rsidRDefault="00CD2A5A">
            <w:pPr>
              <w:spacing w:before="40" w:after="40"/>
              <w:jc w:val="center"/>
              <w:rPr>
                <w:sz w:val="20"/>
                <w:szCs w:val="20"/>
              </w:rPr>
            </w:pPr>
            <w:r>
              <w:rPr>
                <w:sz w:val="20"/>
                <w:szCs w:val="20"/>
              </w:rPr>
              <w:t>100%</w:t>
            </w:r>
          </w:p>
        </w:tc>
        <w:tc>
          <w:tcPr>
            <w:tcW w:w="1126" w:type="dxa"/>
            <w:vAlign w:val="center"/>
          </w:tcPr>
          <w:p w:rsidR="00CD2A5A" w:rsidRDefault="00CD2A5A">
            <w:pPr>
              <w:spacing w:before="40" w:after="40"/>
              <w:ind w:right="90"/>
              <w:jc w:val="right"/>
              <w:rPr>
                <w:sz w:val="20"/>
                <w:szCs w:val="20"/>
              </w:rPr>
            </w:pPr>
            <w:r>
              <w:rPr>
                <w:sz w:val="20"/>
                <w:szCs w:val="20"/>
              </w:rPr>
              <w:t>1,181</w:t>
            </w:r>
          </w:p>
        </w:tc>
        <w:tc>
          <w:tcPr>
            <w:tcW w:w="1126" w:type="dxa"/>
            <w:vAlign w:val="center"/>
          </w:tcPr>
          <w:p w:rsidR="00CD2A5A" w:rsidRDefault="00CD2A5A">
            <w:pPr>
              <w:spacing w:before="40" w:after="40"/>
              <w:jc w:val="center"/>
              <w:rPr>
                <w:sz w:val="20"/>
                <w:szCs w:val="20"/>
              </w:rPr>
            </w:pPr>
            <w:r>
              <w:rPr>
                <w:sz w:val="20"/>
                <w:szCs w:val="20"/>
              </w:rPr>
              <w:t>100%</w:t>
            </w:r>
          </w:p>
        </w:tc>
      </w:tr>
    </w:tbl>
    <w:p w:rsidR="00CD2A5A" w:rsidRDefault="00CD2A5A">
      <w:pPr>
        <w:pStyle w:val="Header"/>
        <w:tabs>
          <w:tab w:val="clear" w:pos="4252"/>
        </w:tabs>
        <w:spacing w:after="240"/>
        <w:rPr>
          <w:lang w:val="en-GB"/>
        </w:rPr>
      </w:pPr>
    </w:p>
    <w:p w:rsidR="00CD2A5A" w:rsidRDefault="00CD2A5A">
      <w:pPr>
        <w:pStyle w:val="Header"/>
        <w:numPr>
          <w:ilvl w:val="0"/>
          <w:numId w:val="3"/>
        </w:numPr>
        <w:tabs>
          <w:tab w:val="clear" w:pos="720"/>
          <w:tab w:val="clear" w:pos="4252"/>
        </w:tabs>
        <w:spacing w:after="240"/>
        <w:ind w:left="0" w:firstLine="0"/>
        <w:rPr>
          <w:lang w:val="en-GB"/>
        </w:rPr>
      </w:pPr>
      <w:r>
        <w:rPr>
          <w:lang w:val="en-GB"/>
        </w:rPr>
        <w:t>ISNA detention centres have a capacity for a total of 760 minors, as follows: Tonacatepeque, 460; El Espino, 100; Ilobasco Centre (male) 150; and Ilobasco Centre (female), 50.</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At the time of writing, 487 people were in custody, as shown in the following table:</w:t>
      </w:r>
    </w:p>
    <w:p w:rsidR="00CD2A5A" w:rsidRDefault="00CD2A5A" w:rsidP="00555A92">
      <w:pPr>
        <w:pStyle w:val="Figure"/>
        <w:spacing w:after="120"/>
      </w:pPr>
      <w:r>
        <w:t>Figure 85</w:t>
      </w:r>
    </w:p>
    <w:p w:rsidR="00CD2A5A" w:rsidRDefault="00CD2A5A" w:rsidP="00555A92">
      <w:pPr>
        <w:pStyle w:val="Figure"/>
        <w:spacing w:after="120"/>
      </w:pPr>
      <w:r>
        <w:t>Minors and persons over 18 detained in ISNA Detention Centres. (June 2007)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984"/>
        <w:gridCol w:w="1815"/>
        <w:gridCol w:w="2494"/>
      </w:tblGrid>
      <w:tr w:rsidR="00CD2A5A">
        <w:trPr>
          <w:trHeight w:val="255"/>
          <w:jc w:val="center"/>
        </w:trPr>
        <w:tc>
          <w:tcPr>
            <w:tcW w:w="3119" w:type="dxa"/>
            <w:noWrap/>
            <w:vAlign w:val="center"/>
          </w:tcPr>
          <w:p w:rsidR="00CD2A5A" w:rsidRDefault="00CD2A5A">
            <w:pPr>
              <w:pStyle w:val="Heading5"/>
              <w:spacing w:before="40" w:after="40"/>
              <w:jc w:val="center"/>
              <w:rPr>
                <w:i/>
                <w:color w:val="auto"/>
                <w:sz w:val="20"/>
                <w:szCs w:val="20"/>
                <w:lang w:val="en-GB"/>
              </w:rPr>
            </w:pPr>
            <w:r>
              <w:rPr>
                <w:i/>
                <w:color w:val="auto"/>
                <w:sz w:val="20"/>
                <w:szCs w:val="20"/>
                <w:lang w:val="en-GB"/>
              </w:rPr>
              <w:t>Population/Age</w:t>
            </w:r>
          </w:p>
        </w:tc>
        <w:tc>
          <w:tcPr>
            <w:tcW w:w="1984" w:type="dxa"/>
            <w:noWrap/>
            <w:vAlign w:val="center"/>
          </w:tcPr>
          <w:p w:rsidR="00CD2A5A" w:rsidRDefault="00CD2A5A">
            <w:pPr>
              <w:spacing w:before="40" w:after="40"/>
              <w:jc w:val="center"/>
              <w:rPr>
                <w:b/>
                <w:i/>
                <w:sz w:val="20"/>
                <w:szCs w:val="20"/>
              </w:rPr>
            </w:pPr>
            <w:r>
              <w:rPr>
                <w:b/>
                <w:i/>
                <w:sz w:val="20"/>
                <w:szCs w:val="20"/>
              </w:rPr>
              <w:t>Aged 18 and over</w:t>
            </w:r>
          </w:p>
        </w:tc>
        <w:tc>
          <w:tcPr>
            <w:tcW w:w="1815" w:type="dxa"/>
            <w:noWrap/>
            <w:vAlign w:val="center"/>
          </w:tcPr>
          <w:p w:rsidR="00CD2A5A" w:rsidRDefault="00CD2A5A">
            <w:pPr>
              <w:spacing w:before="40" w:after="40"/>
              <w:jc w:val="center"/>
              <w:rPr>
                <w:b/>
                <w:i/>
                <w:sz w:val="20"/>
                <w:szCs w:val="20"/>
              </w:rPr>
            </w:pPr>
            <w:r>
              <w:rPr>
                <w:b/>
                <w:i/>
                <w:sz w:val="20"/>
                <w:szCs w:val="20"/>
              </w:rPr>
              <w:t>Aged under 18</w:t>
            </w:r>
          </w:p>
        </w:tc>
        <w:tc>
          <w:tcPr>
            <w:tcW w:w="2494" w:type="dxa"/>
            <w:vAlign w:val="center"/>
          </w:tcPr>
          <w:p w:rsidR="00CD2A5A" w:rsidRDefault="00CD2A5A">
            <w:pPr>
              <w:spacing w:before="40" w:after="40"/>
              <w:jc w:val="center"/>
              <w:rPr>
                <w:b/>
                <w:i/>
                <w:sz w:val="20"/>
                <w:szCs w:val="20"/>
                <w:lang w:val="en-US"/>
              </w:rPr>
            </w:pPr>
            <w:r>
              <w:rPr>
                <w:b/>
                <w:i/>
                <w:sz w:val="20"/>
                <w:szCs w:val="20"/>
                <w:lang w:val="en-US"/>
              </w:rPr>
              <w:t>Over-18s in the Intermediate Centre, in compliance with Article 119 of the Juvenile Criminal Justice Act</w:t>
            </w:r>
          </w:p>
        </w:tc>
      </w:tr>
      <w:tr w:rsidR="00CD2A5A">
        <w:trPr>
          <w:cantSplit/>
          <w:trHeight w:val="300"/>
          <w:jc w:val="center"/>
        </w:trPr>
        <w:tc>
          <w:tcPr>
            <w:tcW w:w="3119" w:type="dxa"/>
            <w:noWrap/>
            <w:vAlign w:val="bottom"/>
          </w:tcPr>
          <w:p w:rsidR="00CD2A5A" w:rsidRDefault="00CD2A5A">
            <w:pPr>
              <w:spacing w:before="40" w:after="40"/>
              <w:rPr>
                <w:sz w:val="20"/>
                <w:szCs w:val="20"/>
              </w:rPr>
            </w:pPr>
            <w:r>
              <w:rPr>
                <w:sz w:val="20"/>
                <w:szCs w:val="20"/>
              </w:rPr>
              <w:t>Male definitive inmates</w:t>
            </w:r>
          </w:p>
        </w:tc>
        <w:tc>
          <w:tcPr>
            <w:tcW w:w="1984" w:type="dxa"/>
            <w:noWrap/>
            <w:vAlign w:val="bottom"/>
          </w:tcPr>
          <w:p w:rsidR="00CD2A5A" w:rsidRDefault="00CD2A5A">
            <w:pPr>
              <w:spacing w:before="40" w:after="40"/>
              <w:ind w:right="780"/>
              <w:jc w:val="right"/>
              <w:rPr>
                <w:sz w:val="20"/>
                <w:szCs w:val="20"/>
              </w:rPr>
            </w:pPr>
            <w:r>
              <w:rPr>
                <w:sz w:val="20"/>
                <w:szCs w:val="20"/>
              </w:rPr>
              <w:t>153</w:t>
            </w:r>
          </w:p>
        </w:tc>
        <w:tc>
          <w:tcPr>
            <w:tcW w:w="1815" w:type="dxa"/>
            <w:noWrap/>
            <w:vAlign w:val="bottom"/>
          </w:tcPr>
          <w:p w:rsidR="00CD2A5A" w:rsidRDefault="00CD2A5A">
            <w:pPr>
              <w:spacing w:before="40" w:after="40"/>
              <w:ind w:right="780"/>
              <w:jc w:val="right"/>
              <w:rPr>
                <w:sz w:val="20"/>
                <w:szCs w:val="20"/>
              </w:rPr>
            </w:pPr>
            <w:r>
              <w:rPr>
                <w:sz w:val="20"/>
                <w:szCs w:val="20"/>
              </w:rPr>
              <w:t>129</w:t>
            </w:r>
          </w:p>
        </w:tc>
        <w:tc>
          <w:tcPr>
            <w:tcW w:w="2494" w:type="dxa"/>
            <w:vMerge w:val="restart"/>
            <w:vAlign w:val="center"/>
          </w:tcPr>
          <w:p w:rsidR="00CD2A5A" w:rsidRDefault="00CD2A5A">
            <w:pPr>
              <w:spacing w:before="40" w:after="40"/>
              <w:jc w:val="center"/>
              <w:rPr>
                <w:sz w:val="20"/>
                <w:szCs w:val="20"/>
              </w:rPr>
            </w:pPr>
            <w:r>
              <w:rPr>
                <w:sz w:val="20"/>
                <w:szCs w:val="20"/>
              </w:rPr>
              <w:t>30</w:t>
            </w:r>
          </w:p>
        </w:tc>
      </w:tr>
      <w:tr w:rsidR="00CD2A5A">
        <w:trPr>
          <w:cantSplit/>
          <w:trHeight w:val="300"/>
          <w:jc w:val="center"/>
        </w:trPr>
        <w:tc>
          <w:tcPr>
            <w:tcW w:w="3119" w:type="dxa"/>
            <w:noWrap/>
            <w:vAlign w:val="bottom"/>
          </w:tcPr>
          <w:p w:rsidR="00CD2A5A" w:rsidRDefault="00CD2A5A">
            <w:pPr>
              <w:spacing w:before="40" w:after="40"/>
              <w:rPr>
                <w:sz w:val="20"/>
                <w:szCs w:val="20"/>
              </w:rPr>
            </w:pPr>
            <w:r>
              <w:rPr>
                <w:sz w:val="20"/>
                <w:szCs w:val="20"/>
              </w:rPr>
              <w:t>Female definitive inmates</w:t>
            </w:r>
          </w:p>
        </w:tc>
        <w:tc>
          <w:tcPr>
            <w:tcW w:w="1984" w:type="dxa"/>
            <w:noWrap/>
            <w:vAlign w:val="bottom"/>
          </w:tcPr>
          <w:p w:rsidR="00CD2A5A" w:rsidRDefault="00CD2A5A">
            <w:pPr>
              <w:spacing w:before="40" w:after="40"/>
              <w:ind w:right="780"/>
              <w:jc w:val="right"/>
              <w:rPr>
                <w:sz w:val="20"/>
                <w:szCs w:val="20"/>
              </w:rPr>
            </w:pPr>
            <w:r>
              <w:rPr>
                <w:sz w:val="20"/>
                <w:szCs w:val="20"/>
              </w:rPr>
              <w:t>8</w:t>
            </w:r>
          </w:p>
        </w:tc>
        <w:tc>
          <w:tcPr>
            <w:tcW w:w="1815" w:type="dxa"/>
            <w:noWrap/>
            <w:vAlign w:val="bottom"/>
          </w:tcPr>
          <w:p w:rsidR="00CD2A5A" w:rsidRDefault="00CD2A5A">
            <w:pPr>
              <w:spacing w:before="40" w:after="40"/>
              <w:ind w:right="780"/>
              <w:jc w:val="right"/>
              <w:rPr>
                <w:sz w:val="20"/>
                <w:szCs w:val="20"/>
              </w:rPr>
            </w:pPr>
            <w:r>
              <w:rPr>
                <w:sz w:val="20"/>
                <w:szCs w:val="20"/>
              </w:rPr>
              <w:t>5</w:t>
            </w:r>
          </w:p>
        </w:tc>
        <w:tc>
          <w:tcPr>
            <w:tcW w:w="2494" w:type="dxa"/>
            <w:vMerge/>
          </w:tcPr>
          <w:p w:rsidR="00CD2A5A" w:rsidRDefault="00CD2A5A">
            <w:pPr>
              <w:spacing w:before="40" w:after="40"/>
              <w:rPr>
                <w:sz w:val="20"/>
                <w:szCs w:val="20"/>
              </w:rPr>
            </w:pPr>
          </w:p>
        </w:tc>
      </w:tr>
      <w:tr w:rsidR="00CD2A5A">
        <w:trPr>
          <w:cantSplit/>
          <w:trHeight w:val="300"/>
          <w:jc w:val="center"/>
        </w:trPr>
        <w:tc>
          <w:tcPr>
            <w:tcW w:w="3119" w:type="dxa"/>
            <w:noWrap/>
            <w:vAlign w:val="bottom"/>
          </w:tcPr>
          <w:p w:rsidR="00CD2A5A" w:rsidRDefault="00CD2A5A">
            <w:pPr>
              <w:spacing w:before="40" w:after="40"/>
              <w:rPr>
                <w:sz w:val="20"/>
                <w:szCs w:val="20"/>
              </w:rPr>
            </w:pPr>
            <w:r>
              <w:rPr>
                <w:sz w:val="20"/>
                <w:szCs w:val="20"/>
              </w:rPr>
              <w:t>Interim male inmates</w:t>
            </w:r>
          </w:p>
        </w:tc>
        <w:tc>
          <w:tcPr>
            <w:tcW w:w="1984" w:type="dxa"/>
            <w:noWrap/>
            <w:vAlign w:val="bottom"/>
          </w:tcPr>
          <w:p w:rsidR="00CD2A5A" w:rsidRDefault="00CD2A5A">
            <w:pPr>
              <w:spacing w:before="40" w:after="40"/>
              <w:ind w:right="780"/>
              <w:jc w:val="right"/>
              <w:rPr>
                <w:sz w:val="20"/>
                <w:szCs w:val="20"/>
              </w:rPr>
            </w:pPr>
            <w:r>
              <w:rPr>
                <w:sz w:val="20"/>
                <w:szCs w:val="20"/>
              </w:rPr>
              <w:t>19</w:t>
            </w:r>
          </w:p>
        </w:tc>
        <w:tc>
          <w:tcPr>
            <w:tcW w:w="1815" w:type="dxa"/>
            <w:noWrap/>
            <w:vAlign w:val="bottom"/>
          </w:tcPr>
          <w:p w:rsidR="00CD2A5A" w:rsidRDefault="00CD2A5A">
            <w:pPr>
              <w:spacing w:before="40" w:after="40"/>
              <w:ind w:right="780"/>
              <w:jc w:val="right"/>
              <w:rPr>
                <w:sz w:val="20"/>
                <w:szCs w:val="20"/>
              </w:rPr>
            </w:pPr>
            <w:r>
              <w:rPr>
                <w:sz w:val="20"/>
                <w:szCs w:val="20"/>
              </w:rPr>
              <w:t>154</w:t>
            </w:r>
          </w:p>
        </w:tc>
        <w:tc>
          <w:tcPr>
            <w:tcW w:w="2494" w:type="dxa"/>
            <w:vMerge/>
          </w:tcPr>
          <w:p w:rsidR="00CD2A5A" w:rsidRDefault="00CD2A5A">
            <w:pPr>
              <w:spacing w:before="40" w:after="40"/>
              <w:rPr>
                <w:sz w:val="20"/>
                <w:szCs w:val="20"/>
              </w:rPr>
            </w:pPr>
          </w:p>
        </w:tc>
      </w:tr>
      <w:tr w:rsidR="00CD2A5A">
        <w:trPr>
          <w:cantSplit/>
          <w:trHeight w:val="300"/>
          <w:jc w:val="center"/>
        </w:trPr>
        <w:tc>
          <w:tcPr>
            <w:tcW w:w="3119" w:type="dxa"/>
            <w:noWrap/>
            <w:vAlign w:val="bottom"/>
          </w:tcPr>
          <w:p w:rsidR="00CD2A5A" w:rsidRDefault="00CD2A5A">
            <w:pPr>
              <w:spacing w:before="40" w:after="40"/>
              <w:rPr>
                <w:sz w:val="20"/>
                <w:szCs w:val="20"/>
              </w:rPr>
            </w:pPr>
            <w:r>
              <w:rPr>
                <w:sz w:val="20"/>
                <w:szCs w:val="20"/>
              </w:rPr>
              <w:t>Interim female inmates</w:t>
            </w:r>
          </w:p>
        </w:tc>
        <w:tc>
          <w:tcPr>
            <w:tcW w:w="1984" w:type="dxa"/>
            <w:noWrap/>
            <w:vAlign w:val="bottom"/>
          </w:tcPr>
          <w:p w:rsidR="00CD2A5A" w:rsidRDefault="00CD2A5A">
            <w:pPr>
              <w:spacing w:before="40" w:after="40"/>
              <w:ind w:right="780"/>
              <w:jc w:val="right"/>
              <w:rPr>
                <w:sz w:val="20"/>
                <w:szCs w:val="20"/>
              </w:rPr>
            </w:pPr>
            <w:r>
              <w:rPr>
                <w:sz w:val="20"/>
                <w:szCs w:val="20"/>
              </w:rPr>
              <w:t>2</w:t>
            </w:r>
          </w:p>
        </w:tc>
        <w:tc>
          <w:tcPr>
            <w:tcW w:w="1815" w:type="dxa"/>
            <w:noWrap/>
            <w:vAlign w:val="bottom"/>
          </w:tcPr>
          <w:p w:rsidR="00CD2A5A" w:rsidRDefault="00CD2A5A">
            <w:pPr>
              <w:spacing w:before="40" w:after="40"/>
              <w:ind w:right="780"/>
              <w:jc w:val="right"/>
              <w:rPr>
                <w:sz w:val="20"/>
                <w:szCs w:val="20"/>
              </w:rPr>
            </w:pPr>
            <w:r>
              <w:rPr>
                <w:sz w:val="20"/>
                <w:szCs w:val="20"/>
              </w:rPr>
              <w:t>17</w:t>
            </w:r>
          </w:p>
        </w:tc>
        <w:tc>
          <w:tcPr>
            <w:tcW w:w="2494" w:type="dxa"/>
            <w:vMerge/>
          </w:tcPr>
          <w:p w:rsidR="00CD2A5A" w:rsidRDefault="00CD2A5A">
            <w:pPr>
              <w:spacing w:before="40" w:after="40"/>
              <w:rPr>
                <w:sz w:val="20"/>
                <w:szCs w:val="20"/>
              </w:rPr>
            </w:pPr>
          </w:p>
        </w:tc>
      </w:tr>
      <w:tr w:rsidR="00CD2A5A">
        <w:trPr>
          <w:cantSplit/>
          <w:trHeight w:val="64"/>
          <w:jc w:val="center"/>
        </w:trPr>
        <w:tc>
          <w:tcPr>
            <w:tcW w:w="3119" w:type="dxa"/>
            <w:noWrap/>
            <w:vAlign w:val="center"/>
          </w:tcPr>
          <w:p w:rsidR="00CD2A5A" w:rsidRDefault="00CD2A5A">
            <w:pPr>
              <w:pStyle w:val="Heading5"/>
              <w:spacing w:before="40" w:after="40"/>
              <w:rPr>
                <w:color w:val="auto"/>
                <w:sz w:val="20"/>
                <w:szCs w:val="20"/>
                <w:lang w:val="en-GB"/>
              </w:rPr>
            </w:pPr>
            <w:r>
              <w:rPr>
                <w:color w:val="auto"/>
                <w:sz w:val="20"/>
                <w:szCs w:val="20"/>
                <w:lang w:val="en-GB"/>
              </w:rPr>
              <w:t>Subtotal</w:t>
            </w:r>
          </w:p>
        </w:tc>
        <w:tc>
          <w:tcPr>
            <w:tcW w:w="1984" w:type="dxa"/>
            <w:noWrap/>
            <w:vAlign w:val="bottom"/>
          </w:tcPr>
          <w:p w:rsidR="00CD2A5A" w:rsidRDefault="00CD2A5A">
            <w:pPr>
              <w:spacing w:before="40" w:after="40"/>
              <w:ind w:right="780"/>
              <w:jc w:val="right"/>
              <w:rPr>
                <w:sz w:val="20"/>
                <w:szCs w:val="20"/>
              </w:rPr>
            </w:pPr>
            <w:r>
              <w:rPr>
                <w:sz w:val="20"/>
                <w:szCs w:val="20"/>
              </w:rPr>
              <w:t>182</w:t>
            </w:r>
          </w:p>
        </w:tc>
        <w:tc>
          <w:tcPr>
            <w:tcW w:w="1815" w:type="dxa"/>
            <w:vAlign w:val="bottom"/>
          </w:tcPr>
          <w:p w:rsidR="00CD2A5A" w:rsidRDefault="00CD2A5A">
            <w:pPr>
              <w:spacing w:before="40" w:after="40"/>
              <w:ind w:right="780"/>
              <w:jc w:val="right"/>
              <w:rPr>
                <w:sz w:val="20"/>
                <w:szCs w:val="20"/>
              </w:rPr>
            </w:pPr>
            <w:r>
              <w:rPr>
                <w:sz w:val="20"/>
                <w:szCs w:val="20"/>
              </w:rPr>
              <w:t>305</w:t>
            </w:r>
          </w:p>
        </w:tc>
        <w:tc>
          <w:tcPr>
            <w:tcW w:w="2494" w:type="dxa"/>
            <w:vMerge/>
          </w:tcPr>
          <w:p w:rsidR="00CD2A5A" w:rsidRDefault="00CD2A5A">
            <w:pPr>
              <w:spacing w:before="40" w:after="40"/>
              <w:rPr>
                <w:sz w:val="20"/>
                <w:szCs w:val="20"/>
              </w:rPr>
            </w:pPr>
          </w:p>
        </w:tc>
      </w:tr>
      <w:tr w:rsidR="00CD2A5A">
        <w:trPr>
          <w:cantSplit/>
          <w:trHeight w:val="255"/>
          <w:jc w:val="center"/>
        </w:trPr>
        <w:tc>
          <w:tcPr>
            <w:tcW w:w="3119" w:type="dxa"/>
            <w:noWrap/>
            <w:vAlign w:val="center"/>
          </w:tcPr>
          <w:p w:rsidR="00CD2A5A" w:rsidRDefault="00CD2A5A">
            <w:pPr>
              <w:pStyle w:val="Heading5"/>
              <w:spacing w:before="40" w:after="40"/>
              <w:rPr>
                <w:color w:val="auto"/>
                <w:sz w:val="20"/>
                <w:szCs w:val="20"/>
                <w:lang w:val="en-GB"/>
              </w:rPr>
            </w:pPr>
            <w:r>
              <w:rPr>
                <w:color w:val="auto"/>
                <w:sz w:val="20"/>
                <w:szCs w:val="20"/>
                <w:lang w:val="en-GB"/>
              </w:rPr>
              <w:t>Total per centre</w:t>
            </w:r>
          </w:p>
        </w:tc>
        <w:tc>
          <w:tcPr>
            <w:tcW w:w="3799" w:type="dxa"/>
            <w:gridSpan w:val="2"/>
            <w:noWrap/>
            <w:vAlign w:val="bottom"/>
          </w:tcPr>
          <w:p w:rsidR="00CD2A5A" w:rsidRDefault="00CD2A5A">
            <w:pPr>
              <w:spacing w:before="40" w:after="40"/>
              <w:jc w:val="center"/>
              <w:rPr>
                <w:sz w:val="20"/>
                <w:szCs w:val="20"/>
              </w:rPr>
            </w:pPr>
            <w:r>
              <w:rPr>
                <w:sz w:val="20"/>
                <w:szCs w:val="20"/>
              </w:rPr>
              <w:t>487</w:t>
            </w:r>
          </w:p>
        </w:tc>
        <w:tc>
          <w:tcPr>
            <w:tcW w:w="2494" w:type="dxa"/>
            <w:vMerge/>
          </w:tcPr>
          <w:p w:rsidR="00CD2A5A" w:rsidRDefault="00CD2A5A">
            <w:pPr>
              <w:spacing w:before="40" w:after="40"/>
              <w:rPr>
                <w:sz w:val="20"/>
                <w:szCs w:val="20"/>
              </w:rPr>
            </w:pPr>
          </w:p>
        </w:tc>
      </w:tr>
    </w:tbl>
    <w:p w:rsidR="00CD2A5A" w:rsidRDefault="00CD2A5A">
      <w:pPr>
        <w:pStyle w:val="Source"/>
      </w:pPr>
      <w:r>
        <w:t xml:space="preserve"> *These include young people serving custodial sentences who committed crimes when they were minors. In other words, they have passed their 18th birthdays and are still serving their custodial sentences.</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The four rehabilitation centres employ a total of 196 staff. These staff members have been duly trained by ISNA and external bodies to perform their functions. </w:t>
      </w:r>
    </w:p>
    <w:p w:rsidR="00CD2A5A" w:rsidRDefault="00CD2A5A">
      <w:pPr>
        <w:pStyle w:val="Header"/>
        <w:numPr>
          <w:ilvl w:val="0"/>
          <w:numId w:val="3"/>
        </w:numPr>
        <w:tabs>
          <w:tab w:val="clear" w:pos="720"/>
          <w:tab w:val="clear" w:pos="4252"/>
        </w:tabs>
        <w:spacing w:after="240"/>
        <w:ind w:left="0" w:firstLine="0"/>
        <w:rPr>
          <w:lang w:val="en-GB"/>
        </w:rPr>
      </w:pPr>
      <w:r>
        <w:rPr>
          <w:lang w:val="en-GB"/>
        </w:rPr>
        <w:t>Minors under the responsibility of the ISNA take part in programmes of reintegration, teaching or vocational training and also programmes of formal education, recreation, culture, health and vocational training in accordance with the Juvenile Criminal Justice Act and the Detention Centre Regulation. The Centres also run therapy and Alcoholics Anonymous communities. At the date of this report, 42 people were taking part in special rehabilitation programmes involving supervised release. Due to the reintegration programmes, the percentage of reoffenders is 27%. Minors in conflict with the law also benefit from programmes run by the National Youth Secretariat, such as the Granja Escuela Izalco, mentioned previously, ‘</w:t>
      </w:r>
      <w:r>
        <w:rPr>
          <w:i/>
          <w:lang w:val="en-GB"/>
        </w:rPr>
        <w:t>deportevías</w:t>
      </w:r>
      <w:r>
        <w:rPr>
          <w:lang w:val="en-GB"/>
        </w:rPr>
        <w:t>’ (street sports) events held in Offenders’ Centres and the Nehemías Project, when 97 in people in conflict with the law are offered reintegration opportunities.</w:t>
      </w:r>
    </w:p>
    <w:p w:rsidR="00CD2A5A" w:rsidRDefault="00CD2A5A">
      <w:pPr>
        <w:pStyle w:val="Header"/>
        <w:numPr>
          <w:ilvl w:val="0"/>
          <w:numId w:val="3"/>
        </w:numPr>
        <w:tabs>
          <w:tab w:val="clear" w:pos="720"/>
          <w:tab w:val="clear" w:pos="4252"/>
        </w:tabs>
        <w:spacing w:after="240"/>
        <w:ind w:left="0" w:firstLine="0"/>
        <w:rPr>
          <w:lang w:val="en-GB"/>
        </w:rPr>
      </w:pPr>
      <w:r>
        <w:rPr>
          <w:lang w:val="en-GB"/>
        </w:rPr>
        <w:t>More than 10,500 children have been offered special rehabilitation care by ISNA and NGOs authorised by the Institute.</w:t>
      </w:r>
    </w:p>
    <w:p w:rsidR="00CD2A5A" w:rsidRDefault="00CD2A5A" w:rsidP="00555A92">
      <w:pPr>
        <w:pStyle w:val="Figure"/>
        <w:spacing w:after="120"/>
      </w:pPr>
      <w:r>
        <w:t>Figure 86</w:t>
      </w:r>
    </w:p>
    <w:p w:rsidR="00CD2A5A" w:rsidRDefault="00CD2A5A" w:rsidP="00555A92">
      <w:pPr>
        <w:pStyle w:val="Figure"/>
        <w:spacing w:after="120"/>
      </w:pPr>
      <w:r>
        <w:t>Number of children offered special rehabilitation care</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2"/>
        <w:gridCol w:w="1717"/>
        <w:gridCol w:w="1689"/>
        <w:gridCol w:w="1774"/>
      </w:tblGrid>
      <w:tr w:rsidR="00CD2A5A">
        <w:trPr>
          <w:trHeight w:val="285"/>
          <w:jc w:val="center"/>
        </w:trPr>
        <w:tc>
          <w:tcPr>
            <w:tcW w:w="9412" w:type="dxa"/>
            <w:gridSpan w:val="4"/>
            <w:noWrap/>
            <w:vAlign w:val="center"/>
          </w:tcPr>
          <w:p w:rsidR="00CD2A5A" w:rsidRDefault="00CD2A5A">
            <w:pPr>
              <w:spacing w:before="40" w:after="40"/>
              <w:jc w:val="center"/>
              <w:rPr>
                <w:b/>
                <w:i/>
                <w:sz w:val="20"/>
                <w:szCs w:val="20"/>
                <w:lang w:val="en-US"/>
              </w:rPr>
            </w:pPr>
            <w:r>
              <w:rPr>
                <w:b/>
                <w:i/>
                <w:sz w:val="20"/>
                <w:szCs w:val="20"/>
                <w:lang w:val="en-US"/>
              </w:rPr>
              <w:t>Table showing population cared for in centres and shelters run by NGOs and ISNA</w:t>
            </w:r>
          </w:p>
        </w:tc>
      </w:tr>
      <w:tr w:rsidR="00CD2A5A">
        <w:trPr>
          <w:trHeight w:val="285"/>
          <w:jc w:val="center"/>
        </w:trPr>
        <w:tc>
          <w:tcPr>
            <w:tcW w:w="4232" w:type="dxa"/>
            <w:noWrap/>
            <w:vAlign w:val="bottom"/>
          </w:tcPr>
          <w:p w:rsidR="00CD2A5A" w:rsidRDefault="00CD2A5A">
            <w:pPr>
              <w:spacing w:before="40" w:after="40"/>
              <w:rPr>
                <w:sz w:val="20"/>
                <w:szCs w:val="20"/>
                <w:lang w:val="en-US"/>
              </w:rPr>
            </w:pPr>
          </w:p>
        </w:tc>
        <w:tc>
          <w:tcPr>
            <w:tcW w:w="1717" w:type="dxa"/>
            <w:noWrap/>
            <w:vAlign w:val="center"/>
          </w:tcPr>
          <w:p w:rsidR="00CD2A5A" w:rsidRDefault="00CD2A5A">
            <w:pPr>
              <w:spacing w:before="40" w:after="40"/>
              <w:jc w:val="center"/>
              <w:rPr>
                <w:b/>
                <w:i/>
                <w:sz w:val="20"/>
                <w:szCs w:val="20"/>
              </w:rPr>
            </w:pPr>
            <w:r>
              <w:rPr>
                <w:b/>
                <w:i/>
                <w:sz w:val="20"/>
                <w:szCs w:val="20"/>
              </w:rPr>
              <w:t>2004</w:t>
            </w:r>
          </w:p>
        </w:tc>
        <w:tc>
          <w:tcPr>
            <w:tcW w:w="1689" w:type="dxa"/>
            <w:noWrap/>
            <w:vAlign w:val="center"/>
          </w:tcPr>
          <w:p w:rsidR="00CD2A5A" w:rsidRDefault="00CD2A5A">
            <w:pPr>
              <w:spacing w:before="40" w:after="40"/>
              <w:jc w:val="center"/>
              <w:rPr>
                <w:b/>
                <w:i/>
                <w:sz w:val="20"/>
                <w:szCs w:val="20"/>
              </w:rPr>
            </w:pPr>
            <w:r>
              <w:rPr>
                <w:b/>
                <w:i/>
                <w:sz w:val="20"/>
                <w:szCs w:val="20"/>
              </w:rPr>
              <w:t>2005</w:t>
            </w:r>
          </w:p>
        </w:tc>
        <w:tc>
          <w:tcPr>
            <w:tcW w:w="1774" w:type="dxa"/>
            <w:noWrap/>
            <w:vAlign w:val="center"/>
          </w:tcPr>
          <w:p w:rsidR="00CD2A5A" w:rsidRDefault="00CD2A5A">
            <w:pPr>
              <w:spacing w:before="40" w:after="40"/>
              <w:jc w:val="center"/>
              <w:rPr>
                <w:b/>
                <w:i/>
                <w:sz w:val="20"/>
                <w:szCs w:val="20"/>
              </w:rPr>
            </w:pPr>
            <w:r>
              <w:rPr>
                <w:b/>
                <w:i/>
                <w:sz w:val="20"/>
                <w:szCs w:val="20"/>
              </w:rPr>
              <w:t>2006</w:t>
            </w:r>
          </w:p>
        </w:tc>
      </w:tr>
      <w:tr w:rsidR="00CD2A5A">
        <w:trPr>
          <w:trHeight w:val="285"/>
          <w:jc w:val="center"/>
        </w:trPr>
        <w:tc>
          <w:tcPr>
            <w:tcW w:w="4232" w:type="dxa"/>
            <w:noWrap/>
            <w:vAlign w:val="bottom"/>
          </w:tcPr>
          <w:p w:rsidR="00CD2A5A" w:rsidRDefault="00CD2A5A">
            <w:pPr>
              <w:spacing w:before="40" w:after="40"/>
              <w:rPr>
                <w:sz w:val="20"/>
                <w:szCs w:val="20"/>
              </w:rPr>
            </w:pPr>
            <w:r>
              <w:rPr>
                <w:sz w:val="20"/>
                <w:szCs w:val="20"/>
              </w:rPr>
              <w:t xml:space="preserve">NGOs </w:t>
            </w:r>
          </w:p>
        </w:tc>
        <w:tc>
          <w:tcPr>
            <w:tcW w:w="1717" w:type="dxa"/>
            <w:noWrap/>
            <w:vAlign w:val="bottom"/>
          </w:tcPr>
          <w:p w:rsidR="00CD2A5A" w:rsidRDefault="00CD2A5A">
            <w:pPr>
              <w:spacing w:before="40" w:after="40"/>
              <w:ind w:right="634"/>
              <w:jc w:val="right"/>
              <w:rPr>
                <w:sz w:val="20"/>
                <w:szCs w:val="20"/>
              </w:rPr>
            </w:pPr>
            <w:r>
              <w:rPr>
                <w:sz w:val="20"/>
                <w:szCs w:val="20"/>
              </w:rPr>
              <w:t>2,520</w:t>
            </w:r>
          </w:p>
        </w:tc>
        <w:tc>
          <w:tcPr>
            <w:tcW w:w="1689" w:type="dxa"/>
            <w:noWrap/>
            <w:vAlign w:val="bottom"/>
          </w:tcPr>
          <w:p w:rsidR="00CD2A5A" w:rsidRDefault="00CD2A5A">
            <w:pPr>
              <w:spacing w:before="40" w:after="40"/>
              <w:ind w:right="634"/>
              <w:jc w:val="right"/>
              <w:rPr>
                <w:sz w:val="20"/>
                <w:szCs w:val="20"/>
              </w:rPr>
            </w:pPr>
            <w:r>
              <w:rPr>
                <w:sz w:val="20"/>
                <w:szCs w:val="20"/>
              </w:rPr>
              <w:t>2,464</w:t>
            </w:r>
          </w:p>
        </w:tc>
        <w:tc>
          <w:tcPr>
            <w:tcW w:w="1774" w:type="dxa"/>
            <w:noWrap/>
            <w:vAlign w:val="bottom"/>
          </w:tcPr>
          <w:p w:rsidR="00CD2A5A" w:rsidRDefault="00CD2A5A">
            <w:pPr>
              <w:spacing w:before="40" w:after="40"/>
              <w:ind w:right="634"/>
              <w:jc w:val="right"/>
              <w:rPr>
                <w:sz w:val="20"/>
                <w:szCs w:val="20"/>
              </w:rPr>
            </w:pPr>
            <w:r>
              <w:rPr>
                <w:sz w:val="20"/>
                <w:szCs w:val="20"/>
              </w:rPr>
              <w:t>2,765</w:t>
            </w:r>
          </w:p>
        </w:tc>
      </w:tr>
      <w:tr w:rsidR="00CD2A5A">
        <w:trPr>
          <w:trHeight w:val="285"/>
          <w:jc w:val="center"/>
        </w:trPr>
        <w:tc>
          <w:tcPr>
            <w:tcW w:w="4232" w:type="dxa"/>
            <w:noWrap/>
            <w:vAlign w:val="bottom"/>
          </w:tcPr>
          <w:p w:rsidR="00CD2A5A" w:rsidRDefault="00CD2A5A">
            <w:pPr>
              <w:spacing w:before="40" w:after="40"/>
              <w:rPr>
                <w:sz w:val="20"/>
                <w:szCs w:val="20"/>
              </w:rPr>
            </w:pPr>
            <w:r>
              <w:rPr>
                <w:sz w:val="20"/>
                <w:szCs w:val="20"/>
              </w:rPr>
              <w:t>ISNA</w:t>
            </w:r>
          </w:p>
        </w:tc>
        <w:tc>
          <w:tcPr>
            <w:tcW w:w="1717" w:type="dxa"/>
            <w:noWrap/>
            <w:vAlign w:val="bottom"/>
          </w:tcPr>
          <w:p w:rsidR="00CD2A5A" w:rsidRDefault="00CD2A5A">
            <w:pPr>
              <w:spacing w:before="40" w:after="40"/>
              <w:ind w:right="634"/>
              <w:jc w:val="right"/>
              <w:rPr>
                <w:sz w:val="20"/>
                <w:szCs w:val="20"/>
              </w:rPr>
            </w:pPr>
            <w:r>
              <w:rPr>
                <w:sz w:val="20"/>
                <w:szCs w:val="20"/>
              </w:rPr>
              <w:t>939</w:t>
            </w:r>
          </w:p>
        </w:tc>
        <w:tc>
          <w:tcPr>
            <w:tcW w:w="1689" w:type="dxa"/>
            <w:noWrap/>
            <w:vAlign w:val="bottom"/>
          </w:tcPr>
          <w:p w:rsidR="00CD2A5A" w:rsidRDefault="00CD2A5A">
            <w:pPr>
              <w:spacing w:before="40" w:after="40"/>
              <w:ind w:right="634"/>
              <w:jc w:val="right"/>
              <w:rPr>
                <w:sz w:val="20"/>
                <w:szCs w:val="20"/>
              </w:rPr>
            </w:pPr>
            <w:r>
              <w:rPr>
                <w:sz w:val="20"/>
                <w:szCs w:val="20"/>
              </w:rPr>
              <w:t>955</w:t>
            </w:r>
          </w:p>
        </w:tc>
        <w:tc>
          <w:tcPr>
            <w:tcW w:w="1774" w:type="dxa"/>
            <w:noWrap/>
            <w:vAlign w:val="bottom"/>
          </w:tcPr>
          <w:p w:rsidR="00CD2A5A" w:rsidRDefault="00CD2A5A">
            <w:pPr>
              <w:spacing w:before="40" w:after="40"/>
              <w:ind w:right="634"/>
              <w:jc w:val="right"/>
              <w:rPr>
                <w:sz w:val="20"/>
                <w:szCs w:val="20"/>
              </w:rPr>
            </w:pPr>
            <w:r>
              <w:rPr>
                <w:sz w:val="20"/>
                <w:szCs w:val="20"/>
              </w:rPr>
              <w:t>930</w:t>
            </w:r>
          </w:p>
        </w:tc>
      </w:tr>
      <w:tr w:rsidR="00CD2A5A">
        <w:trPr>
          <w:trHeight w:val="285"/>
          <w:jc w:val="center"/>
        </w:trPr>
        <w:tc>
          <w:tcPr>
            <w:tcW w:w="4232" w:type="dxa"/>
            <w:noWrap/>
            <w:vAlign w:val="bottom"/>
          </w:tcPr>
          <w:p w:rsidR="00CD2A5A" w:rsidRDefault="00CD2A5A">
            <w:pPr>
              <w:spacing w:before="40" w:after="40"/>
              <w:rPr>
                <w:sz w:val="20"/>
                <w:szCs w:val="20"/>
              </w:rPr>
            </w:pPr>
          </w:p>
        </w:tc>
        <w:tc>
          <w:tcPr>
            <w:tcW w:w="1717" w:type="dxa"/>
            <w:noWrap/>
            <w:vAlign w:val="bottom"/>
          </w:tcPr>
          <w:p w:rsidR="00CD2A5A" w:rsidRDefault="00CD2A5A">
            <w:pPr>
              <w:spacing w:before="40" w:after="40"/>
              <w:ind w:right="634"/>
              <w:jc w:val="right"/>
              <w:rPr>
                <w:sz w:val="20"/>
                <w:szCs w:val="20"/>
              </w:rPr>
            </w:pPr>
            <w:r>
              <w:rPr>
                <w:sz w:val="20"/>
                <w:szCs w:val="20"/>
              </w:rPr>
              <w:t>3,459</w:t>
            </w:r>
          </w:p>
        </w:tc>
        <w:tc>
          <w:tcPr>
            <w:tcW w:w="1689" w:type="dxa"/>
            <w:noWrap/>
            <w:vAlign w:val="bottom"/>
          </w:tcPr>
          <w:p w:rsidR="00CD2A5A" w:rsidRDefault="00CD2A5A">
            <w:pPr>
              <w:spacing w:before="40" w:after="40"/>
              <w:ind w:right="634"/>
              <w:jc w:val="right"/>
              <w:rPr>
                <w:sz w:val="20"/>
                <w:szCs w:val="20"/>
              </w:rPr>
            </w:pPr>
            <w:r>
              <w:rPr>
                <w:sz w:val="20"/>
                <w:szCs w:val="20"/>
              </w:rPr>
              <w:t>3,419</w:t>
            </w:r>
          </w:p>
        </w:tc>
        <w:tc>
          <w:tcPr>
            <w:tcW w:w="1774" w:type="dxa"/>
            <w:noWrap/>
            <w:vAlign w:val="bottom"/>
          </w:tcPr>
          <w:p w:rsidR="00CD2A5A" w:rsidRDefault="00CD2A5A">
            <w:pPr>
              <w:spacing w:before="40" w:after="40"/>
              <w:ind w:right="634"/>
              <w:jc w:val="right"/>
              <w:rPr>
                <w:sz w:val="20"/>
                <w:szCs w:val="20"/>
              </w:rPr>
            </w:pPr>
            <w:r>
              <w:rPr>
                <w:sz w:val="20"/>
                <w:szCs w:val="20"/>
              </w:rPr>
              <w:t>3,695</w:t>
            </w:r>
          </w:p>
        </w:tc>
      </w:tr>
    </w:tbl>
    <w:p w:rsidR="00CD2A5A" w:rsidRDefault="00CD2A5A">
      <w:pPr>
        <w:pStyle w:val="Source"/>
      </w:pPr>
      <w:r>
        <w:rPr>
          <w:i/>
        </w:rPr>
        <w:t>Source</w:t>
      </w:r>
      <w:r>
        <w:t>: Child Information System and reports of ISNA regional branches.</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The National Youth Secretariat has also run various schemes to prevent juvenile delinquency, such as the Juvenile Rescue Centre Project, which looks after 80 gang members, located in las Primaveras, Quezaltepeque, las Brisas, Colonia IVU; or the Solidarity Support Project, which seeks to establish a culture of social solidarity between young people in situations of high-risk and vulnerability. One project worthy of particular mention is the Youth Secretariat’s </w:t>
      </w:r>
      <w:r>
        <w:rPr>
          <w:i/>
          <w:lang w:val="en-GB"/>
        </w:rPr>
        <w:t>Mano Extendida</w:t>
      </w:r>
      <w:r>
        <w:rPr>
          <w:lang w:val="en-GB"/>
        </w:rPr>
        <w:t xml:space="preserve"> (Outstretched Hand) project which sets out to rehabilitate young people by educating them and integrating them into society and the employment market, isolating them from antisocial behaviour and high-risk environments. This project runs schemes and plans with the aim of preventing young Salvadorans from becoming involved in violence or criminal activities, joining gangs, truanting from schools, becoming drug addicts or destitute or having underage pregnancies. The programme diagnoses young people affected by violence, gangs, truancy, drugs, destitution and underage pregnancy and maps out strategic partners for preventing risk in young people. </w:t>
      </w:r>
      <w:r>
        <w:rPr>
          <w:noProof/>
          <w:lang w:val="en-GB"/>
        </w:rPr>
        <w:t>It s</w:t>
      </w:r>
      <w:r>
        <w:rPr>
          <w:lang w:val="en-GB"/>
        </w:rPr>
        <w:t>upports young people at risk and in conflict with the law, runs violence-prevention activities in schools and communities and establishes alliances for this purpose with strategic partners.</w:t>
      </w:r>
    </w:p>
    <w:p w:rsidR="00CD2A5A" w:rsidRDefault="00CD2A5A">
      <w:pPr>
        <w:keepNext/>
        <w:numPr>
          <w:ilvl w:val="0"/>
          <w:numId w:val="3"/>
        </w:numPr>
        <w:tabs>
          <w:tab w:val="clear" w:pos="720"/>
        </w:tabs>
        <w:spacing w:after="240"/>
        <w:ind w:left="0" w:firstLine="0"/>
        <w:rPr>
          <w:lang w:val="en-US"/>
        </w:rPr>
      </w:pPr>
      <w:r>
        <w:rPr>
          <w:lang w:val="en-US"/>
        </w:rPr>
        <w:t>ISNA has also established a procedure for supervising of detention centres with the aim of ensuring that they operate more effectively and to prevent any infringement of the human rights of children and adolescents under its responsibility. In accordance with its functions, the ISNA Monitoring and Evaluation Department is responsible for:</w:t>
      </w:r>
    </w:p>
    <w:p w:rsidR="00CD2A5A" w:rsidRDefault="00CD2A5A">
      <w:pPr>
        <w:pStyle w:val="BodyTextIndent"/>
        <w:numPr>
          <w:ilvl w:val="0"/>
          <w:numId w:val="32"/>
        </w:numPr>
        <w:tabs>
          <w:tab w:val="clear" w:pos="927"/>
        </w:tabs>
        <w:spacing w:after="240"/>
        <w:ind w:firstLine="567"/>
        <w:jc w:val="left"/>
        <w:rPr>
          <w:lang w:val="en-GB"/>
        </w:rPr>
      </w:pPr>
      <w:r>
        <w:rPr>
          <w:lang w:val="en-GB"/>
        </w:rPr>
        <w:t>Examining the documents of private agencies legally registered and authorised to shelter children and adolescents with the aim of finding out the background and working context of these institutions and checking that they possess working plans, forms for entering information in the Child Information System (SIPI), and an agreement with the ISNA Steering Board to allow the work of monitoring and evaluation;</w:t>
      </w:r>
    </w:p>
    <w:p w:rsidR="00CD2A5A" w:rsidRDefault="00CD2A5A">
      <w:pPr>
        <w:pStyle w:val="BodyTextIndent"/>
        <w:numPr>
          <w:ilvl w:val="0"/>
          <w:numId w:val="32"/>
        </w:numPr>
        <w:tabs>
          <w:tab w:val="clear" w:pos="927"/>
        </w:tabs>
        <w:spacing w:after="240"/>
        <w:ind w:firstLine="567"/>
        <w:jc w:val="left"/>
        <w:rPr>
          <w:lang w:val="en-GB"/>
        </w:rPr>
      </w:pPr>
      <w:r>
        <w:rPr>
          <w:lang w:val="en-GB"/>
        </w:rPr>
        <w:t xml:space="preserve">Analysing the working programmes, projects and plans of legally registered entities for the purposes of comparing them with Childhood Care Models drawn up by the Registration and Supervision Division; </w:t>
      </w:r>
    </w:p>
    <w:p w:rsidR="00CD2A5A" w:rsidRDefault="00CD2A5A">
      <w:pPr>
        <w:pStyle w:val="BodyTextIndent"/>
        <w:numPr>
          <w:ilvl w:val="0"/>
          <w:numId w:val="32"/>
        </w:numPr>
        <w:tabs>
          <w:tab w:val="clear" w:pos="927"/>
        </w:tabs>
        <w:spacing w:after="240"/>
        <w:ind w:firstLine="567"/>
        <w:jc w:val="left"/>
        <w:rPr>
          <w:lang w:val="en-GB"/>
        </w:rPr>
      </w:pPr>
      <w:r>
        <w:rPr>
          <w:lang w:val="en-GB"/>
        </w:rPr>
        <w:t>Delimiting supervision strategies for legally registered entities;</w:t>
      </w:r>
    </w:p>
    <w:p w:rsidR="00CD2A5A" w:rsidRDefault="00CD2A5A">
      <w:pPr>
        <w:pStyle w:val="BodyTextIndent"/>
        <w:numPr>
          <w:ilvl w:val="0"/>
          <w:numId w:val="32"/>
        </w:numPr>
        <w:tabs>
          <w:tab w:val="clear" w:pos="927"/>
        </w:tabs>
        <w:spacing w:after="240"/>
        <w:ind w:firstLine="567"/>
        <w:jc w:val="left"/>
        <w:rPr>
          <w:lang w:val="en-GB"/>
        </w:rPr>
      </w:pPr>
      <w:r>
        <w:rPr>
          <w:lang w:val="en-GB"/>
        </w:rPr>
        <w:t>Implementing monitoring and evaluation processes for agencies requiring immediate and urgent intervention to correct or rectify their actions and establish spot monitoring mechanisms for the entities involved;</w:t>
      </w:r>
    </w:p>
    <w:p w:rsidR="00CD2A5A" w:rsidRDefault="00CD2A5A">
      <w:pPr>
        <w:numPr>
          <w:ilvl w:val="0"/>
          <w:numId w:val="32"/>
        </w:numPr>
        <w:tabs>
          <w:tab w:val="clear" w:pos="927"/>
        </w:tabs>
        <w:spacing w:after="240"/>
        <w:ind w:firstLine="567"/>
        <w:rPr>
          <w:lang w:val="en-US"/>
        </w:rPr>
      </w:pPr>
      <w:r>
        <w:rPr>
          <w:lang w:val="en-US"/>
        </w:rPr>
        <w:t>Preparing reports with suggestions for reinforcing entities whose work is affected by anomalies or shortcomings. Technical resources are deployed for this purpose or the necessary actions are promoted, including legal actions, to ensure that the entities are able to resolve their problems and shortcomings;</w:t>
      </w:r>
    </w:p>
    <w:p w:rsidR="00CD2A5A" w:rsidRDefault="00CD2A5A">
      <w:pPr>
        <w:numPr>
          <w:ilvl w:val="0"/>
          <w:numId w:val="32"/>
        </w:numPr>
        <w:tabs>
          <w:tab w:val="clear" w:pos="927"/>
        </w:tabs>
        <w:spacing w:after="240"/>
        <w:ind w:firstLine="567"/>
        <w:rPr>
          <w:lang w:val="en-US"/>
        </w:rPr>
      </w:pPr>
      <w:r>
        <w:rPr>
          <w:lang w:val="en-US"/>
        </w:rPr>
        <w:t>Carrying out checks on monitoring visits, half-yearly evaluations and reports, and</w:t>
      </w:r>
    </w:p>
    <w:p w:rsidR="00CD2A5A" w:rsidRDefault="00CD2A5A">
      <w:pPr>
        <w:numPr>
          <w:ilvl w:val="0"/>
          <w:numId w:val="32"/>
        </w:numPr>
        <w:tabs>
          <w:tab w:val="clear" w:pos="927"/>
        </w:tabs>
        <w:spacing w:after="240"/>
        <w:ind w:firstLine="567"/>
        <w:rPr>
          <w:lang w:val="en-US"/>
        </w:rPr>
      </w:pPr>
      <w:r>
        <w:rPr>
          <w:lang w:val="en-US"/>
        </w:rPr>
        <w:t xml:space="preserve">Carrying out an evaluation process every six months on legally registered agencies. </w:t>
      </w:r>
    </w:p>
    <w:p w:rsidR="00CD2A5A" w:rsidRDefault="00CD2A5A">
      <w:pPr>
        <w:numPr>
          <w:ilvl w:val="0"/>
          <w:numId w:val="3"/>
        </w:numPr>
        <w:tabs>
          <w:tab w:val="clear" w:pos="720"/>
        </w:tabs>
        <w:spacing w:after="240"/>
        <w:ind w:left="0" w:firstLine="0"/>
        <w:rPr>
          <w:lang w:val="en-US"/>
        </w:rPr>
      </w:pPr>
      <w:r>
        <w:rPr>
          <w:lang w:val="en-US"/>
        </w:rPr>
        <w:t>ISNA has run training courses for police and juvenile detention centre officials with the aim of safeguarding the personal integrity of children and adolescents under its responsibility. Trained rehabilitation staff members include: 13 members of technical teams (psychologists, social and legal workers); 63 guidance counsellors; 16 school teachers, and 15 workshop instructors. Eleven seminars have been implemented, delivered by the Public Prosecutor’s Office For The Protection Of Human Rights, and a degree course for community teachers delivered by the Universidad Don Bosco and UNICEF. The training courses offered an opportunity to cover various topics, including human rights, conflict resolution and educational mediation, teamwork, public safety, accident protection for children and young people, techniques for evaluating sex offenders, occupational accidents, HIV/AIDS and participation in local environmental management.</w:t>
      </w:r>
    </w:p>
    <w:p w:rsidR="00CD2A5A" w:rsidRDefault="00CD2A5A">
      <w:pPr>
        <w:pStyle w:val="BodyText3"/>
        <w:numPr>
          <w:ilvl w:val="0"/>
          <w:numId w:val="3"/>
        </w:numPr>
        <w:tabs>
          <w:tab w:val="clear" w:pos="720"/>
        </w:tabs>
        <w:spacing w:before="0" w:beforeAutospacing="0" w:after="240" w:afterAutospacing="0"/>
        <w:ind w:left="0" w:firstLine="0"/>
        <w:rPr>
          <w:color w:val="auto"/>
          <w:lang w:val="en-GB"/>
        </w:rPr>
      </w:pPr>
      <w:r>
        <w:rPr>
          <w:color w:val="auto"/>
          <w:lang w:val="en-GB"/>
        </w:rPr>
        <w:t xml:space="preserve">In order to offer an educational response in line with the needs of all children, especially those at social risk or educational disadvantage, the Ministry of Education set out four strategic lines of action in its National Education Plan 2021 that respond, support and guide the needs of teachers and students and also those of parents, with the aim of providing educational opportunities for girls who are victims of sexual exploitation. Action is taken both in educational establishments and with teaching staff to care for children who are victims of sexual or abuse exploitation in this area. These include: inter-institutional coordination; the management of educational support for effective access to the curriculum; the development of prevention programmes in educational establishments through the network of psychologists; the implementation of strategies and measures to guarantee access to education, mainly for those in situations of risk; the design and development of processes of educational guidance for teachers and information and awareness programmes aimed at the educational and non-educational community, which were broadcast on state television </w:t>
      </w:r>
      <w:r>
        <w:rPr>
          <w:i/>
          <w:iCs/>
          <w:color w:val="auto"/>
          <w:lang w:val="en-GB"/>
        </w:rPr>
        <w:t>Canal 10</w:t>
      </w:r>
      <w:r>
        <w:rPr>
          <w:color w:val="auto"/>
          <w:lang w:val="en-GB"/>
        </w:rPr>
        <w:t xml:space="preserve">, in a programme entitled </w:t>
      </w:r>
      <w:r>
        <w:rPr>
          <w:i/>
          <w:iCs/>
          <w:color w:val="auto"/>
          <w:lang w:val="en-GB"/>
        </w:rPr>
        <w:t>Franja de la Calidad Educativa.</w:t>
      </w:r>
      <w:r>
        <w:rPr>
          <w:color w:val="auto"/>
          <w:lang w:val="en-GB"/>
        </w:rPr>
        <w:t xml:space="preserve"> Representatives of the various institutions making up the working group on the commercial sexual exploitation of children and adolescents took part in these programmes. </w:t>
      </w:r>
    </w:p>
    <w:p w:rsidR="00CD2A5A" w:rsidRDefault="00CD2A5A">
      <w:pPr>
        <w:numPr>
          <w:ilvl w:val="0"/>
          <w:numId w:val="3"/>
        </w:numPr>
        <w:tabs>
          <w:tab w:val="clear" w:pos="720"/>
        </w:tabs>
        <w:autoSpaceDE w:val="0"/>
        <w:autoSpaceDN w:val="0"/>
        <w:adjustRightInd w:val="0"/>
        <w:spacing w:after="240"/>
        <w:ind w:left="0" w:firstLine="0"/>
        <w:rPr>
          <w:lang w:val="en-US"/>
        </w:rPr>
      </w:pPr>
      <w:r>
        <w:rPr>
          <w:lang w:val="en-US"/>
        </w:rPr>
        <w:t>Various activities were carried out with schools, namely: information campaigns against the sexual abuse of children and adolescents, with the aim of guiding students to prevent any type of abuse that they may fall prey to in schools; prevention programmes through the network of psychologists and student support from the social service of the Modular Open University; individual psychological care for those who require it. In some schools the care was more focused on students who have been victims.</w:t>
      </w:r>
    </w:p>
    <w:p w:rsidR="00CD2A5A" w:rsidRDefault="00CD2A5A">
      <w:pPr>
        <w:pStyle w:val="FootnoteText"/>
        <w:numPr>
          <w:ilvl w:val="0"/>
          <w:numId w:val="3"/>
        </w:numPr>
        <w:tabs>
          <w:tab w:val="clear" w:pos="720"/>
        </w:tabs>
        <w:autoSpaceDE w:val="0"/>
        <w:autoSpaceDN w:val="0"/>
        <w:adjustRightInd w:val="0"/>
        <w:spacing w:line="240" w:lineRule="auto"/>
        <w:ind w:left="0" w:firstLine="0"/>
        <w:rPr>
          <w:szCs w:val="24"/>
          <w:lang w:val="en-GB"/>
        </w:rPr>
      </w:pPr>
      <w:r>
        <w:rPr>
          <w:szCs w:val="24"/>
          <w:lang w:val="en-GB"/>
        </w:rPr>
        <w:t>The following measures were taken with staff of educational institutions, teachers and psychologists: discussions with the aim of preventing sexual abuse by the educational establishment; donations of CDs and printed material from the ILO containing information helping to prevent sexual abuse within the school; specialized bibliographic material; support for parents within the schools; regional workshops with teachers - and access to education within public institutions.</w:t>
      </w:r>
    </w:p>
    <w:p w:rsidR="00CD2A5A" w:rsidRDefault="00CD2A5A">
      <w:pPr>
        <w:pStyle w:val="FootnoteText"/>
        <w:numPr>
          <w:ilvl w:val="0"/>
          <w:numId w:val="3"/>
        </w:numPr>
        <w:tabs>
          <w:tab w:val="clear" w:pos="720"/>
        </w:tabs>
        <w:autoSpaceDE w:val="0"/>
        <w:autoSpaceDN w:val="0"/>
        <w:adjustRightInd w:val="0"/>
        <w:spacing w:line="240" w:lineRule="auto"/>
        <w:ind w:left="0" w:firstLine="0"/>
        <w:rPr>
          <w:szCs w:val="24"/>
          <w:lang w:val="en-GB"/>
        </w:rPr>
      </w:pPr>
      <w:r>
        <w:rPr>
          <w:szCs w:val="24"/>
          <w:lang w:val="en-GB"/>
        </w:rPr>
        <w:t>Measures taken in coordination with other institutions included: handing-out of printed material; implementation of prevention programmes by agreement with private universities; discussions on the topic in schools, and development of the topic with parents in the schools.</w:t>
      </w:r>
    </w:p>
    <w:p w:rsidR="00CD2A5A" w:rsidRDefault="00CD2A5A" w:rsidP="006228EF">
      <w:pPr>
        <w:pStyle w:val="A0"/>
      </w:pPr>
      <w:r>
        <w:t>E.  Children subject to exploitation and the worst forms of child labour</w:t>
      </w:r>
    </w:p>
    <w:p w:rsidR="00CD2A5A" w:rsidRDefault="00CD2A5A">
      <w:pPr>
        <w:numPr>
          <w:ilvl w:val="0"/>
          <w:numId w:val="3"/>
        </w:numPr>
        <w:tabs>
          <w:tab w:val="clear" w:pos="720"/>
        </w:tabs>
        <w:spacing w:after="240"/>
        <w:ind w:left="0" w:firstLine="0"/>
        <w:rPr>
          <w:lang w:val="en-US"/>
        </w:rPr>
      </w:pPr>
      <w:r>
        <w:rPr>
          <w:lang w:val="en-US"/>
        </w:rPr>
        <w:t>The Salvadoran Constitution states that children under 14 must continue with their compulsory education by law and cannot be employed in any type of work. It also states that children under 16 may not work longer than six hours a day and thirty-four weeks in any type of job. It also prohibits children under 18 from working in unhealthy and hazardous jobs or night-work.</w:t>
      </w:r>
    </w:p>
    <w:p w:rsidR="00CD2A5A" w:rsidRDefault="00CD2A5A">
      <w:pPr>
        <w:pStyle w:val="Header"/>
        <w:numPr>
          <w:ilvl w:val="0"/>
          <w:numId w:val="3"/>
        </w:numPr>
        <w:tabs>
          <w:tab w:val="clear" w:pos="720"/>
          <w:tab w:val="clear" w:pos="4252"/>
        </w:tabs>
        <w:spacing w:after="240"/>
        <w:ind w:left="0" w:firstLine="0"/>
        <w:rPr>
          <w:lang w:val="en-GB"/>
        </w:rPr>
      </w:pPr>
      <w:r>
        <w:rPr>
          <w:lang w:val="en-GB"/>
        </w:rPr>
        <w:t>This constitutional is enshrined in the Labour Code, specifically in Articles 105 (prohibition of persons under 18 years of age working in hazardous jobs), 106 (definition of hazardous jobs), 107 (prohibition of children from working in bars, restaurants, pool halls or similar establishments), 108 (definition of unhealthy jobs), 114 (prohibition of minors under fourteen from working), and 116 (working day and job restrictions for minors under the age of 16).</w:t>
      </w:r>
    </w:p>
    <w:p w:rsidR="00CD2A5A" w:rsidRDefault="00CD2A5A">
      <w:pPr>
        <w:pStyle w:val="Header"/>
        <w:numPr>
          <w:ilvl w:val="0"/>
          <w:numId w:val="3"/>
        </w:numPr>
        <w:tabs>
          <w:tab w:val="clear" w:pos="720"/>
          <w:tab w:val="clear" w:pos="4252"/>
        </w:tabs>
        <w:spacing w:after="240"/>
        <w:ind w:left="0" w:firstLine="0"/>
        <w:rPr>
          <w:lang w:val="en-GB"/>
        </w:rPr>
      </w:pPr>
      <w:r>
        <w:rPr>
          <w:lang w:val="en-GB"/>
        </w:rPr>
        <w:t>Following this legal imperative, and under its commitment to strengthen society and the family, the Salvadoran government promoted the setting-up of a social protection network aiming to promote equal opportunities and the integration of vulnerable groups in situations of poverty, including children defined as being in situations of child labour and those who are at risk or sexually exploited for commercial purposes.</w:t>
      </w:r>
    </w:p>
    <w:p w:rsidR="00CD2A5A" w:rsidRDefault="00CD2A5A">
      <w:pPr>
        <w:numPr>
          <w:ilvl w:val="0"/>
          <w:numId w:val="3"/>
        </w:numPr>
        <w:tabs>
          <w:tab w:val="clear" w:pos="720"/>
        </w:tabs>
        <w:spacing w:after="240"/>
        <w:ind w:left="0" w:firstLine="0"/>
        <w:rPr>
          <w:lang w:val="en-US"/>
        </w:rPr>
      </w:pPr>
      <w:r>
        <w:rPr>
          <w:lang w:val="en-US"/>
        </w:rPr>
        <w:t>According to the 2003 Multipurpose Household Survey, the country’s population of children aged between 5 and 17 is 1,986,286. According to data in the preliminary report "</w:t>
      </w:r>
      <w:r>
        <w:rPr>
          <w:i/>
          <w:lang w:val="en-US"/>
        </w:rPr>
        <w:t>Entendiendo el trabajo infantil en El Salvador, 2003-2005</w:t>
      </w:r>
      <w:r>
        <w:rPr>
          <w:lang w:val="en-US"/>
        </w:rPr>
        <w:t>"</w:t>
      </w:r>
      <w:r>
        <w:rPr>
          <w:rStyle w:val="FootnoteReference"/>
        </w:rPr>
        <w:footnoteReference w:id="49"/>
      </w:r>
      <w:r>
        <w:rPr>
          <w:lang w:val="en-US"/>
        </w:rPr>
        <w:t xml:space="preserve"> (Understanding child labour in El Salvador, 2003-2005) 288,221 children and adolescents are working (paid and unpaid) in El Salvador. In relative terms, this represents 14.5% of the population of children aged 5 to 17.</w:t>
      </w:r>
    </w:p>
    <w:p w:rsidR="00CD2A5A" w:rsidRDefault="00CD2A5A" w:rsidP="00555A92">
      <w:pPr>
        <w:pStyle w:val="Figure"/>
        <w:spacing w:after="120"/>
      </w:pPr>
      <w:r>
        <w:t>Figure 87</w:t>
      </w:r>
    </w:p>
    <w:p w:rsidR="00CD2A5A" w:rsidRDefault="00CD2A5A" w:rsidP="00555A92">
      <w:pPr>
        <w:pStyle w:val="Figure"/>
        <w:spacing w:after="120"/>
      </w:pPr>
      <w:r>
        <w:t>Main reasons why parents allow their underage children to work</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6"/>
        <w:gridCol w:w="1046"/>
        <w:gridCol w:w="1046"/>
        <w:gridCol w:w="1046"/>
        <w:gridCol w:w="1046"/>
        <w:gridCol w:w="1046"/>
        <w:gridCol w:w="1046"/>
      </w:tblGrid>
      <w:tr w:rsidR="00CD2A5A" w:rsidTr="00555A92">
        <w:trPr>
          <w:jc w:val="center"/>
        </w:trPr>
        <w:tc>
          <w:tcPr>
            <w:tcW w:w="3136" w:type="dxa"/>
          </w:tcPr>
          <w:p w:rsidR="00CD2A5A" w:rsidRDefault="00CD2A5A" w:rsidP="00555A92">
            <w:pPr>
              <w:spacing w:before="20"/>
              <w:jc w:val="center"/>
              <w:rPr>
                <w:sz w:val="20"/>
                <w:szCs w:val="20"/>
                <w:lang w:val="en-US"/>
              </w:rPr>
            </w:pPr>
          </w:p>
        </w:tc>
        <w:tc>
          <w:tcPr>
            <w:tcW w:w="3138" w:type="dxa"/>
            <w:gridSpan w:val="3"/>
          </w:tcPr>
          <w:p w:rsidR="00CD2A5A" w:rsidRDefault="00CD2A5A" w:rsidP="00555A92">
            <w:pPr>
              <w:spacing w:before="20"/>
              <w:jc w:val="center"/>
              <w:rPr>
                <w:b/>
                <w:i/>
                <w:sz w:val="20"/>
                <w:szCs w:val="20"/>
                <w:lang w:val="en-US"/>
              </w:rPr>
            </w:pPr>
            <w:r>
              <w:rPr>
                <w:b/>
                <w:i/>
                <w:sz w:val="20"/>
                <w:szCs w:val="20"/>
                <w:lang w:val="en-US"/>
              </w:rPr>
              <w:t>Male</w:t>
            </w:r>
          </w:p>
        </w:tc>
        <w:tc>
          <w:tcPr>
            <w:tcW w:w="3138" w:type="dxa"/>
            <w:gridSpan w:val="3"/>
          </w:tcPr>
          <w:p w:rsidR="00CD2A5A" w:rsidRDefault="00CD2A5A" w:rsidP="00555A92">
            <w:pPr>
              <w:spacing w:before="20"/>
              <w:jc w:val="center"/>
              <w:rPr>
                <w:b/>
                <w:i/>
                <w:sz w:val="20"/>
                <w:szCs w:val="20"/>
                <w:lang w:val="en-US"/>
              </w:rPr>
            </w:pPr>
            <w:r>
              <w:rPr>
                <w:b/>
                <w:i/>
                <w:sz w:val="20"/>
                <w:szCs w:val="20"/>
                <w:lang w:val="en-US"/>
              </w:rPr>
              <w:t>Female</w:t>
            </w:r>
          </w:p>
        </w:tc>
      </w:tr>
      <w:tr w:rsidR="00CD2A5A" w:rsidTr="00555A92">
        <w:trPr>
          <w:jc w:val="center"/>
        </w:trPr>
        <w:tc>
          <w:tcPr>
            <w:tcW w:w="3136" w:type="dxa"/>
            <w:vAlign w:val="center"/>
          </w:tcPr>
          <w:p w:rsidR="00CD2A5A" w:rsidRDefault="00CD2A5A" w:rsidP="00555A92">
            <w:pPr>
              <w:spacing w:before="20"/>
              <w:jc w:val="center"/>
              <w:rPr>
                <w:b/>
                <w:i/>
                <w:sz w:val="20"/>
                <w:szCs w:val="20"/>
                <w:lang w:val="en-US"/>
              </w:rPr>
            </w:pPr>
            <w:r>
              <w:rPr>
                <w:b/>
                <w:i/>
                <w:sz w:val="20"/>
                <w:szCs w:val="20"/>
                <w:lang w:val="en-US"/>
              </w:rPr>
              <w:t>Main reason why parents allow them to work</w:t>
            </w:r>
          </w:p>
        </w:tc>
        <w:tc>
          <w:tcPr>
            <w:tcW w:w="1046" w:type="dxa"/>
            <w:vAlign w:val="center"/>
          </w:tcPr>
          <w:p w:rsidR="00CD2A5A" w:rsidRDefault="00CD2A5A" w:rsidP="00555A92">
            <w:pPr>
              <w:spacing w:before="20"/>
              <w:jc w:val="center"/>
              <w:rPr>
                <w:b/>
                <w:i/>
                <w:sz w:val="20"/>
                <w:szCs w:val="20"/>
              </w:rPr>
            </w:pPr>
            <w:r>
              <w:rPr>
                <w:b/>
                <w:i/>
                <w:sz w:val="20"/>
                <w:szCs w:val="20"/>
              </w:rPr>
              <w:t>Urban</w:t>
            </w:r>
          </w:p>
        </w:tc>
        <w:tc>
          <w:tcPr>
            <w:tcW w:w="1046" w:type="dxa"/>
            <w:vAlign w:val="center"/>
          </w:tcPr>
          <w:p w:rsidR="00CD2A5A" w:rsidRDefault="00CD2A5A" w:rsidP="00555A92">
            <w:pPr>
              <w:spacing w:before="20"/>
              <w:jc w:val="center"/>
              <w:rPr>
                <w:b/>
                <w:i/>
                <w:sz w:val="20"/>
                <w:szCs w:val="20"/>
              </w:rPr>
            </w:pPr>
            <w:r>
              <w:rPr>
                <w:b/>
                <w:i/>
                <w:sz w:val="20"/>
                <w:szCs w:val="20"/>
              </w:rPr>
              <w:t>Rural</w:t>
            </w:r>
          </w:p>
        </w:tc>
        <w:tc>
          <w:tcPr>
            <w:tcW w:w="1046" w:type="dxa"/>
            <w:vAlign w:val="center"/>
          </w:tcPr>
          <w:p w:rsidR="00CD2A5A" w:rsidRDefault="00CD2A5A" w:rsidP="00555A92">
            <w:pPr>
              <w:spacing w:before="20"/>
              <w:jc w:val="center"/>
              <w:rPr>
                <w:b/>
                <w:i/>
                <w:sz w:val="20"/>
                <w:szCs w:val="20"/>
              </w:rPr>
            </w:pPr>
            <w:r>
              <w:rPr>
                <w:b/>
                <w:i/>
                <w:sz w:val="20"/>
                <w:szCs w:val="20"/>
              </w:rPr>
              <w:t>Total</w:t>
            </w:r>
          </w:p>
        </w:tc>
        <w:tc>
          <w:tcPr>
            <w:tcW w:w="1046" w:type="dxa"/>
            <w:vAlign w:val="center"/>
          </w:tcPr>
          <w:p w:rsidR="00CD2A5A" w:rsidRDefault="00CD2A5A" w:rsidP="00555A92">
            <w:pPr>
              <w:spacing w:before="20"/>
              <w:jc w:val="center"/>
              <w:rPr>
                <w:b/>
                <w:i/>
                <w:sz w:val="20"/>
                <w:szCs w:val="20"/>
              </w:rPr>
            </w:pPr>
            <w:r>
              <w:rPr>
                <w:b/>
                <w:i/>
                <w:sz w:val="20"/>
                <w:szCs w:val="20"/>
              </w:rPr>
              <w:t>Urban</w:t>
            </w:r>
          </w:p>
        </w:tc>
        <w:tc>
          <w:tcPr>
            <w:tcW w:w="1046" w:type="dxa"/>
            <w:vAlign w:val="center"/>
          </w:tcPr>
          <w:p w:rsidR="00CD2A5A" w:rsidRDefault="00CD2A5A" w:rsidP="00555A92">
            <w:pPr>
              <w:spacing w:before="20"/>
              <w:jc w:val="center"/>
              <w:rPr>
                <w:b/>
                <w:i/>
                <w:sz w:val="20"/>
                <w:szCs w:val="20"/>
              </w:rPr>
            </w:pPr>
            <w:r>
              <w:rPr>
                <w:b/>
                <w:i/>
                <w:sz w:val="20"/>
                <w:szCs w:val="20"/>
              </w:rPr>
              <w:t>Rural</w:t>
            </w:r>
          </w:p>
        </w:tc>
        <w:tc>
          <w:tcPr>
            <w:tcW w:w="1046" w:type="dxa"/>
            <w:vAlign w:val="center"/>
          </w:tcPr>
          <w:p w:rsidR="00CD2A5A" w:rsidRDefault="00CD2A5A" w:rsidP="00555A92">
            <w:pPr>
              <w:spacing w:before="20"/>
              <w:jc w:val="center"/>
              <w:rPr>
                <w:b/>
                <w:i/>
                <w:sz w:val="20"/>
                <w:szCs w:val="20"/>
              </w:rPr>
            </w:pPr>
            <w:r>
              <w:rPr>
                <w:b/>
                <w:i/>
                <w:sz w:val="20"/>
                <w:szCs w:val="20"/>
              </w:rPr>
              <w:t>Total</w:t>
            </w:r>
          </w:p>
        </w:tc>
      </w:tr>
      <w:tr w:rsidR="00CD2A5A" w:rsidTr="00555A92">
        <w:trPr>
          <w:jc w:val="center"/>
        </w:trPr>
        <w:tc>
          <w:tcPr>
            <w:tcW w:w="3136" w:type="dxa"/>
          </w:tcPr>
          <w:p w:rsidR="00CD2A5A" w:rsidRDefault="00CD2A5A" w:rsidP="00555A92">
            <w:pPr>
              <w:spacing w:before="20"/>
              <w:rPr>
                <w:sz w:val="20"/>
                <w:szCs w:val="20"/>
              </w:rPr>
            </w:pPr>
            <w:r>
              <w:rPr>
                <w:sz w:val="20"/>
                <w:szCs w:val="20"/>
              </w:rPr>
              <w:t>Total</w:t>
            </w:r>
          </w:p>
        </w:tc>
        <w:tc>
          <w:tcPr>
            <w:tcW w:w="1046" w:type="dxa"/>
          </w:tcPr>
          <w:p w:rsidR="00CD2A5A" w:rsidRDefault="00CD2A5A" w:rsidP="00555A92">
            <w:pPr>
              <w:tabs>
                <w:tab w:val="decimal" w:pos="416"/>
              </w:tabs>
              <w:spacing w:before="20"/>
              <w:rPr>
                <w:sz w:val="20"/>
                <w:szCs w:val="20"/>
              </w:rPr>
            </w:pPr>
            <w:r>
              <w:rPr>
                <w:sz w:val="20"/>
                <w:szCs w:val="20"/>
              </w:rPr>
              <w:t>100.00</w:t>
            </w:r>
          </w:p>
        </w:tc>
        <w:tc>
          <w:tcPr>
            <w:tcW w:w="1046" w:type="dxa"/>
          </w:tcPr>
          <w:p w:rsidR="00CD2A5A" w:rsidRDefault="00CD2A5A" w:rsidP="00555A92">
            <w:pPr>
              <w:tabs>
                <w:tab w:val="decimal" w:pos="416"/>
              </w:tabs>
              <w:spacing w:before="20"/>
              <w:rPr>
                <w:sz w:val="20"/>
                <w:szCs w:val="20"/>
              </w:rPr>
            </w:pPr>
            <w:r>
              <w:rPr>
                <w:sz w:val="20"/>
                <w:szCs w:val="20"/>
              </w:rPr>
              <w:t>100.00</w:t>
            </w:r>
          </w:p>
        </w:tc>
        <w:tc>
          <w:tcPr>
            <w:tcW w:w="1046" w:type="dxa"/>
          </w:tcPr>
          <w:p w:rsidR="00CD2A5A" w:rsidRDefault="00CD2A5A" w:rsidP="00555A92">
            <w:pPr>
              <w:tabs>
                <w:tab w:val="decimal" w:pos="416"/>
              </w:tabs>
              <w:spacing w:before="20"/>
              <w:rPr>
                <w:sz w:val="20"/>
                <w:szCs w:val="20"/>
              </w:rPr>
            </w:pPr>
            <w:r>
              <w:rPr>
                <w:sz w:val="20"/>
                <w:szCs w:val="20"/>
              </w:rPr>
              <w:t>100.00</w:t>
            </w:r>
          </w:p>
        </w:tc>
        <w:tc>
          <w:tcPr>
            <w:tcW w:w="1046" w:type="dxa"/>
          </w:tcPr>
          <w:p w:rsidR="00CD2A5A" w:rsidRDefault="00CD2A5A" w:rsidP="00555A92">
            <w:pPr>
              <w:tabs>
                <w:tab w:val="decimal" w:pos="416"/>
              </w:tabs>
              <w:spacing w:before="20"/>
              <w:rPr>
                <w:sz w:val="20"/>
                <w:szCs w:val="20"/>
              </w:rPr>
            </w:pPr>
            <w:r>
              <w:rPr>
                <w:sz w:val="20"/>
                <w:szCs w:val="20"/>
              </w:rPr>
              <w:t>100.00</w:t>
            </w:r>
          </w:p>
        </w:tc>
        <w:tc>
          <w:tcPr>
            <w:tcW w:w="1046" w:type="dxa"/>
          </w:tcPr>
          <w:p w:rsidR="00CD2A5A" w:rsidRDefault="00CD2A5A" w:rsidP="00555A92">
            <w:pPr>
              <w:tabs>
                <w:tab w:val="decimal" w:pos="416"/>
              </w:tabs>
              <w:spacing w:before="20"/>
              <w:rPr>
                <w:sz w:val="20"/>
                <w:szCs w:val="20"/>
              </w:rPr>
            </w:pPr>
            <w:r>
              <w:rPr>
                <w:sz w:val="20"/>
                <w:szCs w:val="20"/>
              </w:rPr>
              <w:t>100.00</w:t>
            </w:r>
          </w:p>
        </w:tc>
        <w:tc>
          <w:tcPr>
            <w:tcW w:w="1046" w:type="dxa"/>
          </w:tcPr>
          <w:p w:rsidR="00CD2A5A" w:rsidRDefault="00CD2A5A" w:rsidP="00555A92">
            <w:pPr>
              <w:tabs>
                <w:tab w:val="decimal" w:pos="416"/>
              </w:tabs>
              <w:spacing w:before="20"/>
              <w:rPr>
                <w:sz w:val="20"/>
                <w:szCs w:val="20"/>
              </w:rPr>
            </w:pPr>
            <w:r>
              <w:rPr>
                <w:sz w:val="20"/>
                <w:szCs w:val="20"/>
              </w:rPr>
              <w:t>100.00</w:t>
            </w:r>
          </w:p>
        </w:tc>
      </w:tr>
      <w:tr w:rsidR="00CD2A5A" w:rsidTr="00555A92">
        <w:trPr>
          <w:jc w:val="center"/>
        </w:trPr>
        <w:tc>
          <w:tcPr>
            <w:tcW w:w="3136" w:type="dxa"/>
          </w:tcPr>
          <w:p w:rsidR="00CD2A5A" w:rsidRDefault="00CD2A5A" w:rsidP="00555A92">
            <w:pPr>
              <w:spacing w:before="20"/>
              <w:rPr>
                <w:sz w:val="20"/>
                <w:szCs w:val="20"/>
              </w:rPr>
            </w:pPr>
            <w:r>
              <w:rPr>
                <w:sz w:val="20"/>
                <w:szCs w:val="20"/>
              </w:rPr>
              <w:t>To supplement household income</w:t>
            </w:r>
          </w:p>
        </w:tc>
        <w:tc>
          <w:tcPr>
            <w:tcW w:w="1046" w:type="dxa"/>
          </w:tcPr>
          <w:p w:rsidR="00CD2A5A" w:rsidRDefault="00CD2A5A" w:rsidP="00555A92">
            <w:pPr>
              <w:tabs>
                <w:tab w:val="decimal" w:pos="416"/>
              </w:tabs>
              <w:spacing w:before="20"/>
              <w:ind w:right="227"/>
              <w:rPr>
                <w:sz w:val="20"/>
                <w:szCs w:val="20"/>
              </w:rPr>
            </w:pPr>
            <w:r>
              <w:rPr>
                <w:sz w:val="20"/>
                <w:szCs w:val="20"/>
              </w:rPr>
              <w:t>34.6</w:t>
            </w:r>
          </w:p>
        </w:tc>
        <w:tc>
          <w:tcPr>
            <w:tcW w:w="1046" w:type="dxa"/>
          </w:tcPr>
          <w:p w:rsidR="00CD2A5A" w:rsidRDefault="00CD2A5A" w:rsidP="00555A92">
            <w:pPr>
              <w:tabs>
                <w:tab w:val="decimal" w:pos="416"/>
              </w:tabs>
              <w:spacing w:before="20"/>
              <w:ind w:right="227"/>
              <w:rPr>
                <w:sz w:val="20"/>
                <w:szCs w:val="20"/>
              </w:rPr>
            </w:pPr>
            <w:r>
              <w:rPr>
                <w:sz w:val="20"/>
                <w:szCs w:val="20"/>
              </w:rPr>
              <w:t>39.5</w:t>
            </w:r>
          </w:p>
        </w:tc>
        <w:tc>
          <w:tcPr>
            <w:tcW w:w="1046" w:type="dxa"/>
          </w:tcPr>
          <w:p w:rsidR="00CD2A5A" w:rsidRDefault="00CD2A5A" w:rsidP="00555A92">
            <w:pPr>
              <w:tabs>
                <w:tab w:val="decimal" w:pos="416"/>
              </w:tabs>
              <w:spacing w:before="20"/>
              <w:ind w:right="227"/>
              <w:rPr>
                <w:sz w:val="20"/>
                <w:szCs w:val="20"/>
              </w:rPr>
            </w:pPr>
            <w:r>
              <w:rPr>
                <w:sz w:val="20"/>
                <w:szCs w:val="20"/>
              </w:rPr>
              <w:t>37.9</w:t>
            </w:r>
          </w:p>
        </w:tc>
        <w:tc>
          <w:tcPr>
            <w:tcW w:w="1046" w:type="dxa"/>
          </w:tcPr>
          <w:p w:rsidR="00CD2A5A" w:rsidRDefault="00CD2A5A" w:rsidP="00555A92">
            <w:pPr>
              <w:tabs>
                <w:tab w:val="decimal" w:pos="416"/>
              </w:tabs>
              <w:spacing w:before="20"/>
              <w:ind w:right="227"/>
              <w:rPr>
                <w:sz w:val="20"/>
                <w:szCs w:val="20"/>
              </w:rPr>
            </w:pPr>
            <w:r>
              <w:rPr>
                <w:sz w:val="20"/>
                <w:szCs w:val="20"/>
              </w:rPr>
              <w:t>36.0</w:t>
            </w:r>
          </w:p>
        </w:tc>
        <w:tc>
          <w:tcPr>
            <w:tcW w:w="1046" w:type="dxa"/>
          </w:tcPr>
          <w:p w:rsidR="00CD2A5A" w:rsidRDefault="00CD2A5A" w:rsidP="00555A92">
            <w:pPr>
              <w:tabs>
                <w:tab w:val="decimal" w:pos="416"/>
              </w:tabs>
              <w:spacing w:before="20"/>
              <w:ind w:right="227"/>
              <w:rPr>
                <w:sz w:val="20"/>
                <w:szCs w:val="20"/>
              </w:rPr>
            </w:pPr>
            <w:r>
              <w:rPr>
                <w:sz w:val="20"/>
                <w:szCs w:val="20"/>
              </w:rPr>
              <w:t>53.3</w:t>
            </w:r>
          </w:p>
        </w:tc>
        <w:tc>
          <w:tcPr>
            <w:tcW w:w="1046" w:type="dxa"/>
          </w:tcPr>
          <w:p w:rsidR="00CD2A5A" w:rsidRDefault="00CD2A5A" w:rsidP="00555A92">
            <w:pPr>
              <w:tabs>
                <w:tab w:val="decimal" w:pos="416"/>
              </w:tabs>
              <w:spacing w:before="20"/>
              <w:ind w:right="227"/>
              <w:rPr>
                <w:sz w:val="20"/>
                <w:szCs w:val="20"/>
              </w:rPr>
            </w:pPr>
            <w:r>
              <w:rPr>
                <w:sz w:val="20"/>
                <w:szCs w:val="20"/>
              </w:rPr>
              <w:t>43.8</w:t>
            </w:r>
          </w:p>
        </w:tc>
      </w:tr>
      <w:tr w:rsidR="00CD2A5A" w:rsidTr="00555A92">
        <w:trPr>
          <w:jc w:val="center"/>
        </w:trPr>
        <w:tc>
          <w:tcPr>
            <w:tcW w:w="3136" w:type="dxa"/>
          </w:tcPr>
          <w:p w:rsidR="00CD2A5A" w:rsidRDefault="00CD2A5A" w:rsidP="00555A92">
            <w:pPr>
              <w:spacing w:before="20"/>
              <w:rPr>
                <w:sz w:val="20"/>
                <w:szCs w:val="20"/>
                <w:lang w:val="en-US"/>
              </w:rPr>
            </w:pPr>
            <w:r>
              <w:rPr>
                <w:sz w:val="20"/>
                <w:szCs w:val="20"/>
                <w:lang w:val="en-US"/>
              </w:rPr>
              <w:t>To help in the family business</w:t>
            </w:r>
          </w:p>
        </w:tc>
        <w:tc>
          <w:tcPr>
            <w:tcW w:w="1046" w:type="dxa"/>
          </w:tcPr>
          <w:p w:rsidR="00CD2A5A" w:rsidRDefault="00CD2A5A" w:rsidP="00555A92">
            <w:pPr>
              <w:tabs>
                <w:tab w:val="decimal" w:pos="416"/>
              </w:tabs>
              <w:spacing w:before="20"/>
              <w:ind w:right="227"/>
              <w:rPr>
                <w:sz w:val="20"/>
                <w:szCs w:val="20"/>
              </w:rPr>
            </w:pPr>
            <w:r>
              <w:rPr>
                <w:sz w:val="20"/>
                <w:szCs w:val="20"/>
              </w:rPr>
              <w:t>41.4</w:t>
            </w:r>
          </w:p>
        </w:tc>
        <w:tc>
          <w:tcPr>
            <w:tcW w:w="1046" w:type="dxa"/>
          </w:tcPr>
          <w:p w:rsidR="00CD2A5A" w:rsidRDefault="00CD2A5A" w:rsidP="00555A92">
            <w:pPr>
              <w:tabs>
                <w:tab w:val="decimal" w:pos="416"/>
              </w:tabs>
              <w:spacing w:before="20"/>
              <w:ind w:right="227"/>
              <w:rPr>
                <w:sz w:val="20"/>
                <w:szCs w:val="20"/>
              </w:rPr>
            </w:pPr>
            <w:r>
              <w:rPr>
                <w:sz w:val="20"/>
                <w:szCs w:val="20"/>
              </w:rPr>
              <w:t>44.8</w:t>
            </w:r>
          </w:p>
        </w:tc>
        <w:tc>
          <w:tcPr>
            <w:tcW w:w="1046" w:type="dxa"/>
          </w:tcPr>
          <w:p w:rsidR="00CD2A5A" w:rsidRDefault="00CD2A5A" w:rsidP="00555A92">
            <w:pPr>
              <w:tabs>
                <w:tab w:val="decimal" w:pos="416"/>
              </w:tabs>
              <w:spacing w:before="20"/>
              <w:ind w:right="227"/>
              <w:rPr>
                <w:sz w:val="20"/>
                <w:szCs w:val="20"/>
              </w:rPr>
            </w:pPr>
            <w:r>
              <w:rPr>
                <w:sz w:val="20"/>
                <w:szCs w:val="20"/>
              </w:rPr>
              <w:t>43.7</w:t>
            </w:r>
          </w:p>
        </w:tc>
        <w:tc>
          <w:tcPr>
            <w:tcW w:w="1046" w:type="dxa"/>
          </w:tcPr>
          <w:p w:rsidR="00CD2A5A" w:rsidRDefault="00CD2A5A" w:rsidP="00555A92">
            <w:pPr>
              <w:tabs>
                <w:tab w:val="decimal" w:pos="416"/>
              </w:tabs>
              <w:spacing w:before="20"/>
              <w:ind w:right="227"/>
              <w:rPr>
                <w:sz w:val="20"/>
                <w:szCs w:val="20"/>
              </w:rPr>
            </w:pPr>
            <w:r>
              <w:rPr>
                <w:sz w:val="20"/>
                <w:szCs w:val="20"/>
              </w:rPr>
              <w:t>52.3</w:t>
            </w:r>
          </w:p>
        </w:tc>
        <w:tc>
          <w:tcPr>
            <w:tcW w:w="1046" w:type="dxa"/>
          </w:tcPr>
          <w:p w:rsidR="00CD2A5A" w:rsidRDefault="00CD2A5A" w:rsidP="00555A92">
            <w:pPr>
              <w:tabs>
                <w:tab w:val="decimal" w:pos="416"/>
              </w:tabs>
              <w:spacing w:before="20"/>
              <w:ind w:right="227"/>
              <w:rPr>
                <w:sz w:val="20"/>
                <w:szCs w:val="20"/>
              </w:rPr>
            </w:pPr>
            <w:r>
              <w:rPr>
                <w:sz w:val="20"/>
                <w:szCs w:val="20"/>
              </w:rPr>
              <w:t>40.0</w:t>
            </w:r>
          </w:p>
        </w:tc>
        <w:tc>
          <w:tcPr>
            <w:tcW w:w="1046" w:type="dxa"/>
          </w:tcPr>
          <w:p w:rsidR="00CD2A5A" w:rsidRDefault="00CD2A5A" w:rsidP="00555A92">
            <w:pPr>
              <w:tabs>
                <w:tab w:val="decimal" w:pos="416"/>
              </w:tabs>
              <w:spacing w:before="20"/>
              <w:ind w:right="227"/>
              <w:rPr>
                <w:sz w:val="20"/>
                <w:szCs w:val="20"/>
              </w:rPr>
            </w:pPr>
            <w:r>
              <w:rPr>
                <w:sz w:val="20"/>
                <w:szCs w:val="20"/>
              </w:rPr>
              <w:t>46.8</w:t>
            </w:r>
          </w:p>
        </w:tc>
      </w:tr>
      <w:tr w:rsidR="00CD2A5A" w:rsidTr="00555A92">
        <w:trPr>
          <w:jc w:val="center"/>
        </w:trPr>
        <w:tc>
          <w:tcPr>
            <w:tcW w:w="3136" w:type="dxa"/>
          </w:tcPr>
          <w:p w:rsidR="00CD2A5A" w:rsidRDefault="00CD2A5A" w:rsidP="00555A92">
            <w:pPr>
              <w:spacing w:before="20"/>
              <w:rPr>
                <w:sz w:val="20"/>
                <w:szCs w:val="20"/>
              </w:rPr>
            </w:pPr>
            <w:r>
              <w:rPr>
                <w:sz w:val="20"/>
                <w:szCs w:val="20"/>
              </w:rPr>
              <w:t>To support themselves</w:t>
            </w:r>
          </w:p>
        </w:tc>
        <w:tc>
          <w:tcPr>
            <w:tcW w:w="1046" w:type="dxa"/>
          </w:tcPr>
          <w:p w:rsidR="00CD2A5A" w:rsidRDefault="00CD2A5A" w:rsidP="00555A92">
            <w:pPr>
              <w:tabs>
                <w:tab w:val="decimal" w:pos="416"/>
              </w:tabs>
              <w:spacing w:before="20"/>
              <w:ind w:right="227"/>
              <w:rPr>
                <w:sz w:val="20"/>
                <w:szCs w:val="20"/>
              </w:rPr>
            </w:pPr>
            <w:r>
              <w:rPr>
                <w:sz w:val="20"/>
                <w:szCs w:val="20"/>
              </w:rPr>
              <w:t>13.5</w:t>
            </w:r>
          </w:p>
        </w:tc>
        <w:tc>
          <w:tcPr>
            <w:tcW w:w="1046" w:type="dxa"/>
          </w:tcPr>
          <w:p w:rsidR="00CD2A5A" w:rsidRDefault="00CD2A5A" w:rsidP="00555A92">
            <w:pPr>
              <w:tabs>
                <w:tab w:val="decimal" w:pos="416"/>
              </w:tabs>
              <w:spacing w:before="20"/>
              <w:ind w:right="227"/>
              <w:rPr>
                <w:sz w:val="20"/>
                <w:szCs w:val="20"/>
              </w:rPr>
            </w:pPr>
            <w:r>
              <w:rPr>
                <w:sz w:val="20"/>
                <w:szCs w:val="20"/>
              </w:rPr>
              <w:t>8.6</w:t>
            </w:r>
          </w:p>
        </w:tc>
        <w:tc>
          <w:tcPr>
            <w:tcW w:w="1046" w:type="dxa"/>
          </w:tcPr>
          <w:p w:rsidR="00CD2A5A" w:rsidRDefault="00CD2A5A" w:rsidP="00555A92">
            <w:pPr>
              <w:tabs>
                <w:tab w:val="decimal" w:pos="416"/>
              </w:tabs>
              <w:spacing w:before="20"/>
              <w:ind w:right="227"/>
              <w:rPr>
                <w:sz w:val="20"/>
                <w:szCs w:val="20"/>
              </w:rPr>
            </w:pPr>
            <w:r>
              <w:rPr>
                <w:sz w:val="20"/>
                <w:szCs w:val="20"/>
              </w:rPr>
              <w:t>10.2</w:t>
            </w:r>
          </w:p>
        </w:tc>
        <w:tc>
          <w:tcPr>
            <w:tcW w:w="1046" w:type="dxa"/>
          </w:tcPr>
          <w:p w:rsidR="00CD2A5A" w:rsidRDefault="00CD2A5A" w:rsidP="00555A92">
            <w:pPr>
              <w:tabs>
                <w:tab w:val="decimal" w:pos="416"/>
              </w:tabs>
              <w:spacing w:before="20"/>
              <w:ind w:right="227"/>
              <w:rPr>
                <w:sz w:val="20"/>
                <w:szCs w:val="20"/>
              </w:rPr>
            </w:pPr>
            <w:r>
              <w:rPr>
                <w:sz w:val="20"/>
                <w:szCs w:val="20"/>
              </w:rPr>
              <w:t>7.5</w:t>
            </w:r>
          </w:p>
        </w:tc>
        <w:tc>
          <w:tcPr>
            <w:tcW w:w="1046" w:type="dxa"/>
          </w:tcPr>
          <w:p w:rsidR="00CD2A5A" w:rsidRDefault="00CD2A5A" w:rsidP="00555A92">
            <w:pPr>
              <w:tabs>
                <w:tab w:val="decimal" w:pos="416"/>
              </w:tabs>
              <w:spacing w:before="20"/>
              <w:ind w:right="227"/>
              <w:rPr>
                <w:sz w:val="20"/>
                <w:szCs w:val="20"/>
              </w:rPr>
            </w:pPr>
            <w:r>
              <w:rPr>
                <w:sz w:val="20"/>
                <w:szCs w:val="20"/>
              </w:rPr>
              <w:t>4.1</w:t>
            </w:r>
          </w:p>
        </w:tc>
        <w:tc>
          <w:tcPr>
            <w:tcW w:w="1046" w:type="dxa"/>
          </w:tcPr>
          <w:p w:rsidR="00CD2A5A" w:rsidRDefault="00CD2A5A" w:rsidP="00555A92">
            <w:pPr>
              <w:tabs>
                <w:tab w:val="decimal" w:pos="416"/>
              </w:tabs>
              <w:spacing w:before="20"/>
              <w:ind w:right="227"/>
              <w:rPr>
                <w:sz w:val="20"/>
                <w:szCs w:val="20"/>
              </w:rPr>
            </w:pPr>
            <w:r>
              <w:rPr>
                <w:sz w:val="20"/>
                <w:szCs w:val="20"/>
              </w:rPr>
              <w:t>6.0</w:t>
            </w:r>
          </w:p>
        </w:tc>
      </w:tr>
      <w:tr w:rsidR="00CD2A5A" w:rsidTr="00555A92">
        <w:trPr>
          <w:jc w:val="center"/>
        </w:trPr>
        <w:tc>
          <w:tcPr>
            <w:tcW w:w="3136" w:type="dxa"/>
          </w:tcPr>
          <w:p w:rsidR="00CD2A5A" w:rsidRDefault="00CD2A5A" w:rsidP="00555A92">
            <w:pPr>
              <w:spacing w:before="20"/>
              <w:rPr>
                <w:sz w:val="20"/>
                <w:szCs w:val="20"/>
                <w:lang w:val="en-US"/>
              </w:rPr>
            </w:pPr>
            <w:r>
              <w:rPr>
                <w:sz w:val="20"/>
                <w:szCs w:val="20"/>
                <w:lang w:val="en-US"/>
              </w:rPr>
              <w:t>Not enough money for studies</w:t>
            </w:r>
          </w:p>
        </w:tc>
        <w:tc>
          <w:tcPr>
            <w:tcW w:w="1046" w:type="dxa"/>
          </w:tcPr>
          <w:p w:rsidR="00CD2A5A" w:rsidRDefault="00CD2A5A" w:rsidP="00555A92">
            <w:pPr>
              <w:tabs>
                <w:tab w:val="decimal" w:pos="416"/>
              </w:tabs>
              <w:spacing w:before="20"/>
              <w:ind w:right="227"/>
              <w:rPr>
                <w:sz w:val="20"/>
                <w:szCs w:val="20"/>
              </w:rPr>
            </w:pPr>
            <w:r>
              <w:rPr>
                <w:sz w:val="20"/>
                <w:szCs w:val="20"/>
              </w:rPr>
              <w:t>4.6</w:t>
            </w:r>
          </w:p>
        </w:tc>
        <w:tc>
          <w:tcPr>
            <w:tcW w:w="1046" w:type="dxa"/>
          </w:tcPr>
          <w:p w:rsidR="00CD2A5A" w:rsidRDefault="00CD2A5A" w:rsidP="00555A92">
            <w:pPr>
              <w:tabs>
                <w:tab w:val="decimal" w:pos="416"/>
              </w:tabs>
              <w:spacing w:before="20"/>
              <w:ind w:right="227"/>
              <w:rPr>
                <w:sz w:val="20"/>
                <w:szCs w:val="20"/>
              </w:rPr>
            </w:pPr>
            <w:r>
              <w:rPr>
                <w:sz w:val="20"/>
                <w:szCs w:val="20"/>
              </w:rPr>
              <w:t>2.6</w:t>
            </w:r>
          </w:p>
        </w:tc>
        <w:tc>
          <w:tcPr>
            <w:tcW w:w="1046" w:type="dxa"/>
          </w:tcPr>
          <w:p w:rsidR="00CD2A5A" w:rsidRDefault="00CD2A5A" w:rsidP="00555A92">
            <w:pPr>
              <w:tabs>
                <w:tab w:val="decimal" w:pos="416"/>
              </w:tabs>
              <w:spacing w:before="20"/>
              <w:ind w:right="227"/>
              <w:rPr>
                <w:sz w:val="20"/>
                <w:szCs w:val="20"/>
              </w:rPr>
            </w:pPr>
            <w:r>
              <w:rPr>
                <w:sz w:val="20"/>
                <w:szCs w:val="20"/>
              </w:rPr>
              <w:t>3.2</w:t>
            </w:r>
          </w:p>
        </w:tc>
        <w:tc>
          <w:tcPr>
            <w:tcW w:w="1046" w:type="dxa"/>
          </w:tcPr>
          <w:p w:rsidR="00CD2A5A" w:rsidRDefault="00CD2A5A" w:rsidP="00555A92">
            <w:pPr>
              <w:tabs>
                <w:tab w:val="decimal" w:pos="416"/>
              </w:tabs>
              <w:spacing w:before="20"/>
              <w:ind w:right="227"/>
              <w:rPr>
                <w:sz w:val="20"/>
                <w:szCs w:val="20"/>
              </w:rPr>
            </w:pPr>
            <w:r>
              <w:rPr>
                <w:sz w:val="20"/>
                <w:szCs w:val="20"/>
              </w:rPr>
              <w:t>0.9</w:t>
            </w:r>
          </w:p>
        </w:tc>
        <w:tc>
          <w:tcPr>
            <w:tcW w:w="1046" w:type="dxa"/>
          </w:tcPr>
          <w:p w:rsidR="00CD2A5A" w:rsidRDefault="00CD2A5A" w:rsidP="00555A92">
            <w:pPr>
              <w:tabs>
                <w:tab w:val="decimal" w:pos="416"/>
              </w:tabs>
              <w:spacing w:before="20"/>
              <w:ind w:right="227"/>
              <w:rPr>
                <w:sz w:val="20"/>
                <w:szCs w:val="20"/>
              </w:rPr>
            </w:pPr>
            <w:r>
              <w:rPr>
                <w:sz w:val="20"/>
                <w:szCs w:val="20"/>
              </w:rPr>
              <w:t>0.9</w:t>
            </w:r>
          </w:p>
        </w:tc>
        <w:tc>
          <w:tcPr>
            <w:tcW w:w="1046" w:type="dxa"/>
          </w:tcPr>
          <w:p w:rsidR="00CD2A5A" w:rsidRDefault="00CD2A5A" w:rsidP="00555A92">
            <w:pPr>
              <w:tabs>
                <w:tab w:val="decimal" w:pos="416"/>
              </w:tabs>
              <w:spacing w:before="20"/>
              <w:ind w:right="227"/>
              <w:rPr>
                <w:sz w:val="20"/>
                <w:szCs w:val="20"/>
              </w:rPr>
            </w:pPr>
            <w:r>
              <w:rPr>
                <w:sz w:val="20"/>
                <w:szCs w:val="20"/>
              </w:rPr>
              <w:t>1.2</w:t>
            </w:r>
          </w:p>
        </w:tc>
      </w:tr>
      <w:tr w:rsidR="00CD2A5A" w:rsidTr="00555A92">
        <w:trPr>
          <w:jc w:val="center"/>
        </w:trPr>
        <w:tc>
          <w:tcPr>
            <w:tcW w:w="3136" w:type="dxa"/>
          </w:tcPr>
          <w:p w:rsidR="00CD2A5A" w:rsidRDefault="00CD2A5A" w:rsidP="00555A92">
            <w:pPr>
              <w:spacing w:before="20"/>
              <w:rPr>
                <w:sz w:val="20"/>
                <w:szCs w:val="20"/>
              </w:rPr>
            </w:pPr>
            <w:r>
              <w:rPr>
                <w:sz w:val="20"/>
                <w:szCs w:val="20"/>
              </w:rPr>
              <w:t>Others</w:t>
            </w:r>
          </w:p>
        </w:tc>
        <w:tc>
          <w:tcPr>
            <w:tcW w:w="1046" w:type="dxa"/>
          </w:tcPr>
          <w:p w:rsidR="00CD2A5A" w:rsidRDefault="00CD2A5A" w:rsidP="00555A92">
            <w:pPr>
              <w:tabs>
                <w:tab w:val="decimal" w:pos="416"/>
              </w:tabs>
              <w:spacing w:before="20"/>
              <w:ind w:right="227"/>
              <w:rPr>
                <w:sz w:val="20"/>
                <w:szCs w:val="20"/>
              </w:rPr>
            </w:pPr>
            <w:r>
              <w:rPr>
                <w:sz w:val="20"/>
                <w:szCs w:val="20"/>
              </w:rPr>
              <w:t>5.9</w:t>
            </w:r>
          </w:p>
        </w:tc>
        <w:tc>
          <w:tcPr>
            <w:tcW w:w="1046" w:type="dxa"/>
          </w:tcPr>
          <w:p w:rsidR="00CD2A5A" w:rsidRDefault="00CD2A5A" w:rsidP="00555A92">
            <w:pPr>
              <w:tabs>
                <w:tab w:val="decimal" w:pos="416"/>
              </w:tabs>
              <w:spacing w:before="20"/>
              <w:ind w:right="227"/>
              <w:rPr>
                <w:sz w:val="20"/>
                <w:szCs w:val="20"/>
              </w:rPr>
            </w:pPr>
            <w:r>
              <w:rPr>
                <w:sz w:val="20"/>
                <w:szCs w:val="20"/>
              </w:rPr>
              <w:t>4.5</w:t>
            </w:r>
          </w:p>
        </w:tc>
        <w:tc>
          <w:tcPr>
            <w:tcW w:w="1046" w:type="dxa"/>
          </w:tcPr>
          <w:p w:rsidR="00CD2A5A" w:rsidRDefault="00CD2A5A" w:rsidP="00555A92">
            <w:pPr>
              <w:tabs>
                <w:tab w:val="decimal" w:pos="416"/>
              </w:tabs>
              <w:spacing w:before="20"/>
              <w:ind w:right="227"/>
              <w:rPr>
                <w:sz w:val="20"/>
                <w:szCs w:val="20"/>
              </w:rPr>
            </w:pPr>
            <w:r>
              <w:rPr>
                <w:sz w:val="20"/>
                <w:szCs w:val="20"/>
              </w:rPr>
              <w:t>5.0</w:t>
            </w:r>
          </w:p>
        </w:tc>
        <w:tc>
          <w:tcPr>
            <w:tcW w:w="1046" w:type="dxa"/>
          </w:tcPr>
          <w:p w:rsidR="00CD2A5A" w:rsidRDefault="00CD2A5A" w:rsidP="00555A92">
            <w:pPr>
              <w:tabs>
                <w:tab w:val="decimal" w:pos="416"/>
              </w:tabs>
              <w:spacing w:before="20"/>
              <w:ind w:right="227"/>
              <w:rPr>
                <w:sz w:val="20"/>
                <w:szCs w:val="20"/>
              </w:rPr>
            </w:pPr>
            <w:r>
              <w:rPr>
                <w:sz w:val="20"/>
                <w:szCs w:val="20"/>
              </w:rPr>
              <w:t>3.3</w:t>
            </w:r>
          </w:p>
        </w:tc>
        <w:tc>
          <w:tcPr>
            <w:tcW w:w="1046" w:type="dxa"/>
          </w:tcPr>
          <w:p w:rsidR="00CD2A5A" w:rsidRDefault="00CD2A5A" w:rsidP="00555A92">
            <w:pPr>
              <w:tabs>
                <w:tab w:val="decimal" w:pos="416"/>
              </w:tabs>
              <w:spacing w:before="20"/>
              <w:ind w:right="227"/>
              <w:rPr>
                <w:sz w:val="20"/>
                <w:szCs w:val="20"/>
              </w:rPr>
            </w:pPr>
            <w:r>
              <w:rPr>
                <w:sz w:val="20"/>
                <w:szCs w:val="20"/>
              </w:rPr>
              <w:t>1.5</w:t>
            </w:r>
          </w:p>
        </w:tc>
        <w:tc>
          <w:tcPr>
            <w:tcW w:w="1046" w:type="dxa"/>
          </w:tcPr>
          <w:p w:rsidR="00CD2A5A" w:rsidRDefault="00CD2A5A" w:rsidP="00555A92">
            <w:pPr>
              <w:tabs>
                <w:tab w:val="decimal" w:pos="416"/>
              </w:tabs>
              <w:spacing w:before="20"/>
              <w:ind w:right="227"/>
              <w:rPr>
                <w:sz w:val="20"/>
                <w:szCs w:val="20"/>
              </w:rPr>
            </w:pPr>
            <w:r>
              <w:rPr>
                <w:sz w:val="20"/>
                <w:szCs w:val="20"/>
              </w:rPr>
              <w:t>2.2</w:t>
            </w:r>
          </w:p>
        </w:tc>
      </w:tr>
    </w:tbl>
    <w:p w:rsidR="00CD2A5A" w:rsidRDefault="00CD2A5A" w:rsidP="00555A92">
      <w:pPr>
        <w:pStyle w:val="Source"/>
        <w:spacing w:before="40"/>
      </w:pPr>
      <w:r>
        <w:rPr>
          <w:i/>
        </w:rPr>
        <w:t>Source</w:t>
      </w:r>
      <w:r>
        <w:t>: DIGESTYC EHPM. Child Labour form, fourth quarter of 2003.</w:t>
      </w:r>
    </w:p>
    <w:p w:rsidR="00CD2A5A" w:rsidRDefault="00CD2A5A">
      <w:pPr>
        <w:numPr>
          <w:ilvl w:val="0"/>
          <w:numId w:val="3"/>
        </w:numPr>
        <w:tabs>
          <w:tab w:val="clear" w:pos="720"/>
        </w:tabs>
        <w:spacing w:after="240"/>
        <w:ind w:left="0" w:firstLine="0"/>
        <w:rPr>
          <w:lang w:val="en-US"/>
        </w:rPr>
      </w:pPr>
      <w:r>
        <w:rPr>
          <w:lang w:val="en-US"/>
        </w:rPr>
        <w:t xml:space="preserve">It is estimated that 46,657 children and adolescents have been prevented from working and withdrawn from work through direct action programmes, in coordination with ILO/IPEC. </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 The fight against child labour is the main responsibility of the Ministry of Employment and Social Security, which receives technical and financial cooperation from the IPEC/IOL programme and has earmarked the following resources for this goal. </w:t>
      </w:r>
    </w:p>
    <w:p w:rsidR="00CD2A5A" w:rsidRDefault="00CD2A5A" w:rsidP="00CD2A5A">
      <w:pPr>
        <w:pStyle w:val="Figure"/>
      </w:pPr>
      <w:r>
        <w:t>Figure 88</w:t>
      </w:r>
    </w:p>
    <w:p w:rsidR="00CD2A5A" w:rsidRDefault="00CD2A5A" w:rsidP="00CD2A5A">
      <w:pPr>
        <w:pStyle w:val="Figure"/>
      </w:pPr>
      <w:r>
        <w:t>Ministry of employment and social security</w:t>
      </w:r>
    </w:p>
    <w:p w:rsidR="00CD2A5A" w:rsidRDefault="00CD2A5A" w:rsidP="00CD2A5A">
      <w:pPr>
        <w:pStyle w:val="Figure"/>
      </w:pPr>
      <w:r>
        <w:t>Ministry of employment and social security contribution tocombatting child labour</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1176"/>
        <w:gridCol w:w="1176"/>
        <w:gridCol w:w="1176"/>
        <w:gridCol w:w="1177"/>
      </w:tblGrid>
      <w:tr w:rsidR="00CD2A5A">
        <w:trPr>
          <w:tblHeader/>
          <w:jc w:val="center"/>
        </w:trPr>
        <w:tc>
          <w:tcPr>
            <w:tcW w:w="9412" w:type="dxa"/>
            <w:gridSpan w:val="5"/>
            <w:vAlign w:val="center"/>
          </w:tcPr>
          <w:p w:rsidR="00CD2A5A" w:rsidRDefault="00CD2A5A">
            <w:pPr>
              <w:spacing w:before="40" w:after="40"/>
              <w:jc w:val="center"/>
              <w:rPr>
                <w:b/>
                <w:i/>
                <w:sz w:val="20"/>
                <w:szCs w:val="20"/>
              </w:rPr>
            </w:pPr>
            <w:r>
              <w:rPr>
                <w:b/>
                <w:i/>
                <w:sz w:val="20"/>
                <w:szCs w:val="20"/>
              </w:rPr>
              <w:t>Dollars</w:t>
            </w:r>
          </w:p>
        </w:tc>
      </w:tr>
      <w:tr w:rsidR="00CD2A5A">
        <w:trPr>
          <w:tblHeader/>
          <w:jc w:val="center"/>
        </w:trPr>
        <w:tc>
          <w:tcPr>
            <w:tcW w:w="4707" w:type="dxa"/>
            <w:vAlign w:val="center"/>
          </w:tcPr>
          <w:p w:rsidR="00CD2A5A" w:rsidRDefault="00CD2A5A">
            <w:pPr>
              <w:spacing w:before="40" w:after="40"/>
              <w:jc w:val="center"/>
              <w:rPr>
                <w:b/>
                <w:i/>
                <w:sz w:val="20"/>
                <w:szCs w:val="20"/>
              </w:rPr>
            </w:pPr>
            <w:r>
              <w:rPr>
                <w:b/>
                <w:i/>
                <w:sz w:val="20"/>
                <w:szCs w:val="20"/>
              </w:rPr>
              <w:t>Actions/year</w:t>
            </w:r>
          </w:p>
        </w:tc>
        <w:tc>
          <w:tcPr>
            <w:tcW w:w="1176" w:type="dxa"/>
            <w:vAlign w:val="center"/>
          </w:tcPr>
          <w:p w:rsidR="00CD2A5A" w:rsidRDefault="00CD2A5A">
            <w:pPr>
              <w:spacing w:before="40" w:after="40"/>
              <w:jc w:val="center"/>
              <w:rPr>
                <w:b/>
                <w:i/>
                <w:sz w:val="20"/>
                <w:szCs w:val="20"/>
              </w:rPr>
            </w:pPr>
            <w:r>
              <w:rPr>
                <w:b/>
                <w:i/>
                <w:sz w:val="20"/>
                <w:szCs w:val="20"/>
              </w:rPr>
              <w:t>2004</w:t>
            </w:r>
          </w:p>
        </w:tc>
        <w:tc>
          <w:tcPr>
            <w:tcW w:w="1176" w:type="dxa"/>
            <w:vAlign w:val="center"/>
          </w:tcPr>
          <w:p w:rsidR="00CD2A5A" w:rsidRDefault="00CD2A5A">
            <w:pPr>
              <w:spacing w:before="40" w:after="40"/>
              <w:jc w:val="center"/>
              <w:rPr>
                <w:b/>
                <w:i/>
                <w:sz w:val="20"/>
                <w:szCs w:val="20"/>
              </w:rPr>
            </w:pPr>
            <w:r>
              <w:rPr>
                <w:b/>
                <w:i/>
                <w:sz w:val="20"/>
                <w:szCs w:val="20"/>
              </w:rPr>
              <w:t>2005</w:t>
            </w:r>
          </w:p>
        </w:tc>
        <w:tc>
          <w:tcPr>
            <w:tcW w:w="1176" w:type="dxa"/>
            <w:vAlign w:val="center"/>
          </w:tcPr>
          <w:p w:rsidR="00CD2A5A" w:rsidRDefault="00CD2A5A">
            <w:pPr>
              <w:spacing w:before="40" w:after="40"/>
              <w:jc w:val="center"/>
              <w:rPr>
                <w:b/>
                <w:i/>
                <w:sz w:val="20"/>
                <w:szCs w:val="20"/>
              </w:rPr>
            </w:pPr>
            <w:r>
              <w:rPr>
                <w:b/>
                <w:i/>
                <w:sz w:val="20"/>
                <w:szCs w:val="20"/>
              </w:rPr>
              <w:t>2006</w:t>
            </w:r>
          </w:p>
        </w:tc>
        <w:tc>
          <w:tcPr>
            <w:tcW w:w="1177" w:type="dxa"/>
            <w:vAlign w:val="center"/>
          </w:tcPr>
          <w:p w:rsidR="00CD2A5A" w:rsidRDefault="00CD2A5A">
            <w:pPr>
              <w:spacing w:before="40" w:after="40"/>
              <w:jc w:val="center"/>
              <w:rPr>
                <w:b/>
                <w:i/>
                <w:sz w:val="20"/>
                <w:szCs w:val="20"/>
              </w:rPr>
            </w:pPr>
            <w:r>
              <w:rPr>
                <w:b/>
                <w:i/>
                <w:sz w:val="20"/>
                <w:szCs w:val="20"/>
              </w:rPr>
              <w:t>Total</w:t>
            </w:r>
          </w:p>
        </w:tc>
      </w:tr>
      <w:tr w:rsidR="00CD2A5A">
        <w:trPr>
          <w:jc w:val="center"/>
        </w:trPr>
        <w:tc>
          <w:tcPr>
            <w:tcW w:w="4707" w:type="dxa"/>
          </w:tcPr>
          <w:p w:rsidR="00CD2A5A" w:rsidRDefault="00CD2A5A">
            <w:pPr>
              <w:spacing w:before="40" w:after="40"/>
              <w:rPr>
                <w:sz w:val="20"/>
                <w:szCs w:val="20"/>
              </w:rPr>
            </w:pPr>
            <w:r>
              <w:rPr>
                <w:sz w:val="20"/>
                <w:szCs w:val="20"/>
              </w:rPr>
              <w:t>Technical Committee</w:t>
            </w:r>
          </w:p>
        </w:tc>
        <w:tc>
          <w:tcPr>
            <w:tcW w:w="1176" w:type="dxa"/>
          </w:tcPr>
          <w:p w:rsidR="00CD2A5A" w:rsidRDefault="00CD2A5A">
            <w:pPr>
              <w:spacing w:before="40" w:after="40"/>
              <w:ind w:right="138"/>
              <w:jc w:val="right"/>
              <w:rPr>
                <w:sz w:val="20"/>
                <w:szCs w:val="20"/>
              </w:rPr>
            </w:pPr>
          </w:p>
        </w:tc>
        <w:tc>
          <w:tcPr>
            <w:tcW w:w="1176" w:type="dxa"/>
          </w:tcPr>
          <w:p w:rsidR="00CD2A5A" w:rsidRDefault="00CD2A5A">
            <w:pPr>
              <w:spacing w:before="40" w:after="40"/>
              <w:ind w:right="138"/>
              <w:jc w:val="right"/>
              <w:rPr>
                <w:sz w:val="20"/>
                <w:szCs w:val="20"/>
              </w:rPr>
            </w:pPr>
            <w:r>
              <w:rPr>
                <w:sz w:val="20"/>
                <w:szCs w:val="20"/>
              </w:rPr>
              <w:t>4,800.00</w:t>
            </w:r>
          </w:p>
        </w:tc>
        <w:tc>
          <w:tcPr>
            <w:tcW w:w="1176" w:type="dxa"/>
          </w:tcPr>
          <w:p w:rsidR="00CD2A5A" w:rsidRDefault="00CD2A5A">
            <w:pPr>
              <w:spacing w:before="40" w:after="40"/>
              <w:ind w:right="138"/>
              <w:jc w:val="right"/>
              <w:rPr>
                <w:sz w:val="20"/>
                <w:szCs w:val="20"/>
              </w:rPr>
            </w:pPr>
            <w:r>
              <w:rPr>
                <w:sz w:val="20"/>
                <w:szCs w:val="20"/>
              </w:rPr>
              <w:t>4,800.00</w:t>
            </w:r>
          </w:p>
        </w:tc>
        <w:tc>
          <w:tcPr>
            <w:tcW w:w="1177" w:type="dxa"/>
          </w:tcPr>
          <w:p w:rsidR="00CD2A5A" w:rsidRDefault="00CD2A5A">
            <w:pPr>
              <w:spacing w:before="40" w:after="40"/>
              <w:ind w:right="138"/>
              <w:jc w:val="right"/>
              <w:rPr>
                <w:sz w:val="20"/>
                <w:szCs w:val="20"/>
              </w:rPr>
            </w:pPr>
            <w:r>
              <w:rPr>
                <w:sz w:val="20"/>
                <w:szCs w:val="20"/>
              </w:rPr>
              <w:t>9,600.00</w:t>
            </w:r>
          </w:p>
        </w:tc>
      </w:tr>
      <w:tr w:rsidR="00CD2A5A">
        <w:trPr>
          <w:jc w:val="center"/>
        </w:trPr>
        <w:tc>
          <w:tcPr>
            <w:tcW w:w="4707" w:type="dxa"/>
          </w:tcPr>
          <w:p w:rsidR="00CD2A5A" w:rsidRDefault="00CD2A5A">
            <w:pPr>
              <w:spacing w:before="40" w:after="40"/>
              <w:rPr>
                <w:sz w:val="20"/>
                <w:szCs w:val="20"/>
                <w:lang w:val="en-US"/>
              </w:rPr>
            </w:pPr>
            <w:r>
              <w:rPr>
                <w:sz w:val="20"/>
                <w:szCs w:val="20"/>
                <w:lang w:val="en-US"/>
              </w:rPr>
              <w:t>Agricultural inspection</w:t>
            </w:r>
          </w:p>
          <w:p w:rsidR="00CD2A5A" w:rsidRDefault="00CD2A5A">
            <w:pPr>
              <w:spacing w:before="40" w:after="40"/>
              <w:rPr>
                <w:sz w:val="20"/>
                <w:szCs w:val="20"/>
                <w:lang w:val="en-US"/>
              </w:rPr>
            </w:pPr>
            <w:r>
              <w:rPr>
                <w:sz w:val="20"/>
                <w:szCs w:val="20"/>
                <w:lang w:val="en-US"/>
              </w:rPr>
              <w:t>(inspections of sugarcane farms)</w:t>
            </w:r>
          </w:p>
        </w:tc>
        <w:tc>
          <w:tcPr>
            <w:tcW w:w="1176" w:type="dxa"/>
          </w:tcPr>
          <w:p w:rsidR="00CD2A5A" w:rsidRDefault="00CD2A5A">
            <w:pPr>
              <w:spacing w:before="40" w:after="40"/>
              <w:ind w:right="138"/>
              <w:jc w:val="right"/>
              <w:rPr>
                <w:sz w:val="20"/>
                <w:szCs w:val="20"/>
              </w:rPr>
            </w:pPr>
            <w:r>
              <w:rPr>
                <w:sz w:val="20"/>
                <w:szCs w:val="20"/>
              </w:rPr>
              <w:t>14,285.0</w:t>
            </w:r>
          </w:p>
        </w:tc>
        <w:tc>
          <w:tcPr>
            <w:tcW w:w="1176" w:type="dxa"/>
          </w:tcPr>
          <w:p w:rsidR="00CD2A5A" w:rsidRDefault="00CD2A5A">
            <w:pPr>
              <w:spacing w:before="40" w:after="40"/>
              <w:ind w:right="138"/>
              <w:jc w:val="right"/>
              <w:rPr>
                <w:sz w:val="20"/>
                <w:szCs w:val="20"/>
              </w:rPr>
            </w:pPr>
            <w:r>
              <w:rPr>
                <w:sz w:val="20"/>
                <w:szCs w:val="20"/>
              </w:rPr>
              <w:t>14,285.0</w:t>
            </w:r>
          </w:p>
        </w:tc>
        <w:tc>
          <w:tcPr>
            <w:tcW w:w="1176" w:type="dxa"/>
          </w:tcPr>
          <w:p w:rsidR="00CD2A5A" w:rsidRDefault="00CD2A5A">
            <w:pPr>
              <w:spacing w:before="40" w:after="40"/>
              <w:ind w:right="138"/>
              <w:jc w:val="right"/>
              <w:rPr>
                <w:sz w:val="20"/>
                <w:szCs w:val="20"/>
              </w:rPr>
            </w:pPr>
            <w:r>
              <w:rPr>
                <w:sz w:val="20"/>
                <w:szCs w:val="20"/>
              </w:rPr>
              <w:t>14,285.0</w:t>
            </w:r>
          </w:p>
        </w:tc>
        <w:tc>
          <w:tcPr>
            <w:tcW w:w="1177" w:type="dxa"/>
          </w:tcPr>
          <w:p w:rsidR="00CD2A5A" w:rsidRDefault="00CD2A5A">
            <w:pPr>
              <w:spacing w:before="40" w:after="40"/>
              <w:ind w:right="138"/>
              <w:jc w:val="right"/>
              <w:rPr>
                <w:sz w:val="20"/>
                <w:szCs w:val="20"/>
              </w:rPr>
            </w:pPr>
            <w:r>
              <w:rPr>
                <w:sz w:val="20"/>
                <w:szCs w:val="20"/>
              </w:rPr>
              <w:t>42,855.0</w:t>
            </w:r>
          </w:p>
        </w:tc>
      </w:tr>
      <w:tr w:rsidR="00CD2A5A">
        <w:trPr>
          <w:jc w:val="center"/>
        </w:trPr>
        <w:tc>
          <w:tcPr>
            <w:tcW w:w="4707" w:type="dxa"/>
          </w:tcPr>
          <w:p w:rsidR="00CD2A5A" w:rsidRDefault="00CD2A5A">
            <w:pPr>
              <w:spacing w:before="40" w:after="40"/>
              <w:rPr>
                <w:sz w:val="20"/>
                <w:szCs w:val="20"/>
                <w:lang w:val="en-US"/>
              </w:rPr>
            </w:pPr>
            <w:r>
              <w:rPr>
                <w:sz w:val="20"/>
                <w:szCs w:val="20"/>
                <w:lang w:val="en-US"/>
              </w:rPr>
              <w:t>“Prohibition of Hazardous Child Labour”</w:t>
            </w:r>
          </w:p>
          <w:p w:rsidR="00CD2A5A" w:rsidRDefault="00CD2A5A">
            <w:pPr>
              <w:spacing w:before="40" w:after="40"/>
              <w:rPr>
                <w:sz w:val="20"/>
                <w:szCs w:val="20"/>
              </w:rPr>
            </w:pPr>
            <w:r>
              <w:rPr>
                <w:sz w:val="20"/>
                <w:szCs w:val="20"/>
              </w:rPr>
              <w:t>Community training</w:t>
            </w:r>
          </w:p>
        </w:tc>
        <w:tc>
          <w:tcPr>
            <w:tcW w:w="1176" w:type="dxa"/>
          </w:tcPr>
          <w:p w:rsidR="00CD2A5A" w:rsidRDefault="00CD2A5A">
            <w:pPr>
              <w:spacing w:before="40" w:after="40"/>
              <w:ind w:right="138"/>
              <w:jc w:val="right"/>
              <w:rPr>
                <w:sz w:val="20"/>
                <w:szCs w:val="20"/>
              </w:rPr>
            </w:pPr>
            <w:r>
              <w:rPr>
                <w:sz w:val="20"/>
                <w:szCs w:val="20"/>
              </w:rPr>
              <w:t>2,667.0</w:t>
            </w:r>
          </w:p>
        </w:tc>
        <w:tc>
          <w:tcPr>
            <w:tcW w:w="1176" w:type="dxa"/>
          </w:tcPr>
          <w:p w:rsidR="00CD2A5A" w:rsidRDefault="00CD2A5A">
            <w:pPr>
              <w:spacing w:before="40" w:after="40"/>
              <w:ind w:right="138"/>
              <w:jc w:val="right"/>
              <w:rPr>
                <w:sz w:val="20"/>
                <w:szCs w:val="20"/>
              </w:rPr>
            </w:pPr>
            <w:r>
              <w:rPr>
                <w:sz w:val="20"/>
                <w:szCs w:val="20"/>
              </w:rPr>
              <w:t>2,667.0</w:t>
            </w:r>
          </w:p>
        </w:tc>
        <w:tc>
          <w:tcPr>
            <w:tcW w:w="1176" w:type="dxa"/>
          </w:tcPr>
          <w:p w:rsidR="00CD2A5A" w:rsidRDefault="00CD2A5A">
            <w:pPr>
              <w:spacing w:before="40" w:after="40"/>
              <w:ind w:right="138"/>
              <w:jc w:val="right"/>
              <w:rPr>
                <w:sz w:val="20"/>
                <w:szCs w:val="20"/>
              </w:rPr>
            </w:pPr>
            <w:r>
              <w:rPr>
                <w:sz w:val="20"/>
                <w:szCs w:val="20"/>
              </w:rPr>
              <w:t>2,667.0</w:t>
            </w:r>
          </w:p>
        </w:tc>
        <w:tc>
          <w:tcPr>
            <w:tcW w:w="1177" w:type="dxa"/>
          </w:tcPr>
          <w:p w:rsidR="00CD2A5A" w:rsidRDefault="00CD2A5A">
            <w:pPr>
              <w:spacing w:before="40" w:after="40"/>
              <w:ind w:right="138"/>
              <w:jc w:val="right"/>
              <w:rPr>
                <w:sz w:val="20"/>
                <w:szCs w:val="20"/>
              </w:rPr>
            </w:pPr>
            <w:r>
              <w:rPr>
                <w:sz w:val="20"/>
                <w:szCs w:val="20"/>
              </w:rPr>
              <w:t>8,001.0</w:t>
            </w:r>
          </w:p>
        </w:tc>
      </w:tr>
      <w:tr w:rsidR="00CD2A5A">
        <w:trPr>
          <w:jc w:val="center"/>
        </w:trPr>
        <w:tc>
          <w:tcPr>
            <w:tcW w:w="4707" w:type="dxa"/>
          </w:tcPr>
          <w:p w:rsidR="00CD2A5A" w:rsidRDefault="00CD2A5A">
            <w:pPr>
              <w:spacing w:before="40" w:after="40"/>
              <w:rPr>
                <w:sz w:val="20"/>
                <w:szCs w:val="20"/>
                <w:lang w:val="en-US"/>
              </w:rPr>
            </w:pPr>
            <w:r>
              <w:rPr>
                <w:sz w:val="20"/>
                <w:szCs w:val="20"/>
                <w:lang w:val="en-US"/>
              </w:rPr>
              <w:t>Building a website on child labour</w:t>
            </w:r>
          </w:p>
        </w:tc>
        <w:tc>
          <w:tcPr>
            <w:tcW w:w="1176" w:type="dxa"/>
          </w:tcPr>
          <w:p w:rsidR="00CD2A5A" w:rsidRDefault="00CD2A5A">
            <w:pPr>
              <w:spacing w:before="40" w:after="40"/>
              <w:ind w:right="138"/>
              <w:jc w:val="right"/>
              <w:rPr>
                <w:sz w:val="20"/>
                <w:szCs w:val="20"/>
              </w:rPr>
            </w:pPr>
            <w:r>
              <w:rPr>
                <w:sz w:val="20"/>
                <w:szCs w:val="20"/>
              </w:rPr>
              <w:t>4,000.0</w:t>
            </w:r>
          </w:p>
        </w:tc>
        <w:tc>
          <w:tcPr>
            <w:tcW w:w="1176" w:type="dxa"/>
          </w:tcPr>
          <w:p w:rsidR="00CD2A5A" w:rsidRDefault="00CD2A5A">
            <w:pPr>
              <w:spacing w:before="40" w:after="40"/>
              <w:ind w:right="138"/>
              <w:jc w:val="right"/>
              <w:rPr>
                <w:sz w:val="20"/>
                <w:szCs w:val="20"/>
              </w:rPr>
            </w:pPr>
          </w:p>
        </w:tc>
        <w:tc>
          <w:tcPr>
            <w:tcW w:w="1176" w:type="dxa"/>
          </w:tcPr>
          <w:p w:rsidR="00CD2A5A" w:rsidRDefault="00CD2A5A">
            <w:pPr>
              <w:spacing w:before="40" w:after="40"/>
              <w:ind w:right="138"/>
              <w:jc w:val="right"/>
              <w:rPr>
                <w:sz w:val="20"/>
                <w:szCs w:val="20"/>
              </w:rPr>
            </w:pPr>
          </w:p>
        </w:tc>
        <w:tc>
          <w:tcPr>
            <w:tcW w:w="1177" w:type="dxa"/>
          </w:tcPr>
          <w:p w:rsidR="00CD2A5A" w:rsidRDefault="00CD2A5A">
            <w:pPr>
              <w:spacing w:before="40" w:after="40"/>
              <w:ind w:right="138"/>
              <w:jc w:val="right"/>
              <w:rPr>
                <w:sz w:val="20"/>
                <w:szCs w:val="20"/>
              </w:rPr>
            </w:pPr>
            <w:r>
              <w:rPr>
                <w:sz w:val="20"/>
                <w:szCs w:val="20"/>
              </w:rPr>
              <w:t>4,000.0</w:t>
            </w:r>
          </w:p>
        </w:tc>
      </w:tr>
      <w:tr w:rsidR="00CD2A5A">
        <w:trPr>
          <w:jc w:val="center"/>
        </w:trPr>
        <w:tc>
          <w:tcPr>
            <w:tcW w:w="4707" w:type="dxa"/>
          </w:tcPr>
          <w:p w:rsidR="00CD2A5A" w:rsidRDefault="00CD2A5A">
            <w:pPr>
              <w:spacing w:before="40" w:after="40"/>
              <w:rPr>
                <w:sz w:val="20"/>
                <w:szCs w:val="20"/>
              </w:rPr>
            </w:pPr>
            <w:r>
              <w:rPr>
                <w:sz w:val="20"/>
                <w:szCs w:val="20"/>
              </w:rPr>
              <w:t>Child labour unit</w:t>
            </w:r>
          </w:p>
        </w:tc>
        <w:tc>
          <w:tcPr>
            <w:tcW w:w="1176" w:type="dxa"/>
          </w:tcPr>
          <w:p w:rsidR="00CD2A5A" w:rsidRDefault="00CD2A5A">
            <w:pPr>
              <w:spacing w:before="40" w:after="40"/>
              <w:ind w:right="138"/>
              <w:rPr>
                <w:sz w:val="20"/>
                <w:szCs w:val="20"/>
              </w:rPr>
            </w:pPr>
            <w:r>
              <w:rPr>
                <w:sz w:val="20"/>
                <w:szCs w:val="20"/>
              </w:rPr>
              <w:t>10,114.3</w:t>
            </w:r>
          </w:p>
        </w:tc>
        <w:tc>
          <w:tcPr>
            <w:tcW w:w="1176" w:type="dxa"/>
          </w:tcPr>
          <w:p w:rsidR="00CD2A5A" w:rsidRDefault="00CD2A5A">
            <w:pPr>
              <w:spacing w:before="40" w:after="40"/>
              <w:ind w:right="138"/>
              <w:rPr>
                <w:sz w:val="20"/>
                <w:szCs w:val="20"/>
              </w:rPr>
            </w:pPr>
            <w:r>
              <w:rPr>
                <w:sz w:val="20"/>
                <w:szCs w:val="20"/>
              </w:rPr>
              <w:t>10,114.3</w:t>
            </w:r>
          </w:p>
        </w:tc>
        <w:tc>
          <w:tcPr>
            <w:tcW w:w="1176" w:type="dxa"/>
          </w:tcPr>
          <w:p w:rsidR="00CD2A5A" w:rsidRDefault="00CD2A5A">
            <w:pPr>
              <w:spacing w:before="40" w:after="40"/>
              <w:ind w:right="138"/>
              <w:rPr>
                <w:sz w:val="20"/>
                <w:szCs w:val="20"/>
              </w:rPr>
            </w:pPr>
            <w:r>
              <w:rPr>
                <w:sz w:val="20"/>
                <w:szCs w:val="20"/>
              </w:rPr>
              <w:t>10,114.4</w:t>
            </w:r>
          </w:p>
        </w:tc>
        <w:tc>
          <w:tcPr>
            <w:tcW w:w="1177" w:type="dxa"/>
          </w:tcPr>
          <w:p w:rsidR="00CD2A5A" w:rsidRDefault="00CD2A5A">
            <w:pPr>
              <w:spacing w:before="40" w:after="40"/>
              <w:ind w:right="138"/>
              <w:rPr>
                <w:sz w:val="20"/>
                <w:szCs w:val="20"/>
              </w:rPr>
            </w:pPr>
            <w:r>
              <w:rPr>
                <w:sz w:val="20"/>
                <w:szCs w:val="20"/>
              </w:rPr>
              <w:t>30,343.0</w:t>
            </w:r>
          </w:p>
        </w:tc>
      </w:tr>
      <w:tr w:rsidR="00CD2A5A">
        <w:trPr>
          <w:jc w:val="center"/>
        </w:trPr>
        <w:tc>
          <w:tcPr>
            <w:tcW w:w="4707" w:type="dxa"/>
          </w:tcPr>
          <w:p w:rsidR="00CD2A5A" w:rsidRDefault="00CD2A5A">
            <w:pPr>
              <w:spacing w:before="40" w:after="40"/>
              <w:rPr>
                <w:sz w:val="20"/>
                <w:szCs w:val="20"/>
              </w:rPr>
            </w:pPr>
            <w:r>
              <w:rPr>
                <w:sz w:val="20"/>
                <w:szCs w:val="20"/>
              </w:rPr>
              <w:t>Loans to workers’ centres</w:t>
            </w:r>
          </w:p>
        </w:tc>
        <w:tc>
          <w:tcPr>
            <w:tcW w:w="1176" w:type="dxa"/>
          </w:tcPr>
          <w:p w:rsidR="00CD2A5A" w:rsidRDefault="00CD2A5A">
            <w:pPr>
              <w:spacing w:before="40" w:after="40"/>
              <w:ind w:right="138"/>
              <w:rPr>
                <w:sz w:val="20"/>
                <w:szCs w:val="20"/>
              </w:rPr>
            </w:pPr>
            <w:r>
              <w:rPr>
                <w:sz w:val="20"/>
                <w:szCs w:val="20"/>
              </w:rPr>
              <w:t>3,667.0</w:t>
            </w:r>
          </w:p>
        </w:tc>
        <w:tc>
          <w:tcPr>
            <w:tcW w:w="1176" w:type="dxa"/>
          </w:tcPr>
          <w:p w:rsidR="00CD2A5A" w:rsidRDefault="00CD2A5A">
            <w:pPr>
              <w:spacing w:before="40" w:after="40"/>
              <w:ind w:right="138"/>
              <w:rPr>
                <w:sz w:val="20"/>
                <w:szCs w:val="20"/>
              </w:rPr>
            </w:pPr>
            <w:r>
              <w:rPr>
                <w:sz w:val="20"/>
                <w:szCs w:val="20"/>
              </w:rPr>
              <w:t>3,667.0</w:t>
            </w:r>
          </w:p>
        </w:tc>
        <w:tc>
          <w:tcPr>
            <w:tcW w:w="1176" w:type="dxa"/>
          </w:tcPr>
          <w:p w:rsidR="00CD2A5A" w:rsidRDefault="00CD2A5A">
            <w:pPr>
              <w:spacing w:before="40" w:after="40"/>
              <w:ind w:right="138"/>
              <w:rPr>
                <w:sz w:val="20"/>
                <w:szCs w:val="20"/>
              </w:rPr>
            </w:pPr>
            <w:r>
              <w:rPr>
                <w:sz w:val="20"/>
                <w:szCs w:val="20"/>
              </w:rPr>
              <w:t>3,667.0</w:t>
            </w:r>
          </w:p>
        </w:tc>
        <w:tc>
          <w:tcPr>
            <w:tcW w:w="1177" w:type="dxa"/>
          </w:tcPr>
          <w:p w:rsidR="00CD2A5A" w:rsidRDefault="00CD2A5A">
            <w:pPr>
              <w:spacing w:before="40" w:after="40"/>
              <w:ind w:right="138"/>
              <w:rPr>
                <w:sz w:val="20"/>
                <w:szCs w:val="20"/>
              </w:rPr>
            </w:pPr>
            <w:r>
              <w:rPr>
                <w:sz w:val="20"/>
                <w:szCs w:val="20"/>
              </w:rPr>
              <w:t>11,001.0</w:t>
            </w:r>
          </w:p>
        </w:tc>
      </w:tr>
      <w:tr w:rsidR="00CD2A5A">
        <w:trPr>
          <w:jc w:val="center"/>
        </w:trPr>
        <w:tc>
          <w:tcPr>
            <w:tcW w:w="4707" w:type="dxa"/>
          </w:tcPr>
          <w:p w:rsidR="00CD2A5A" w:rsidRDefault="00CD2A5A">
            <w:pPr>
              <w:spacing w:before="40" w:after="40"/>
              <w:rPr>
                <w:sz w:val="20"/>
                <w:szCs w:val="20"/>
              </w:rPr>
            </w:pPr>
            <w:r>
              <w:rPr>
                <w:sz w:val="20"/>
                <w:szCs w:val="20"/>
              </w:rPr>
              <w:t>Careers workshops</w:t>
            </w:r>
          </w:p>
        </w:tc>
        <w:tc>
          <w:tcPr>
            <w:tcW w:w="1176" w:type="dxa"/>
          </w:tcPr>
          <w:p w:rsidR="00CD2A5A" w:rsidRDefault="00CD2A5A">
            <w:pPr>
              <w:spacing w:before="40" w:after="40"/>
              <w:ind w:right="138"/>
              <w:rPr>
                <w:sz w:val="20"/>
                <w:szCs w:val="20"/>
              </w:rPr>
            </w:pPr>
          </w:p>
        </w:tc>
        <w:tc>
          <w:tcPr>
            <w:tcW w:w="1176" w:type="dxa"/>
          </w:tcPr>
          <w:p w:rsidR="00CD2A5A" w:rsidRDefault="00CD2A5A">
            <w:pPr>
              <w:spacing w:before="40" w:after="40"/>
              <w:ind w:right="138"/>
              <w:rPr>
                <w:sz w:val="20"/>
                <w:szCs w:val="20"/>
              </w:rPr>
            </w:pPr>
            <w:r>
              <w:rPr>
                <w:sz w:val="20"/>
                <w:szCs w:val="20"/>
              </w:rPr>
              <w:t>1,000.0</w:t>
            </w:r>
          </w:p>
        </w:tc>
        <w:tc>
          <w:tcPr>
            <w:tcW w:w="1176" w:type="dxa"/>
          </w:tcPr>
          <w:p w:rsidR="00CD2A5A" w:rsidRDefault="00CD2A5A">
            <w:pPr>
              <w:spacing w:before="40" w:after="40"/>
              <w:ind w:right="138"/>
              <w:rPr>
                <w:sz w:val="20"/>
                <w:szCs w:val="20"/>
              </w:rPr>
            </w:pPr>
          </w:p>
        </w:tc>
        <w:tc>
          <w:tcPr>
            <w:tcW w:w="1177" w:type="dxa"/>
          </w:tcPr>
          <w:p w:rsidR="00CD2A5A" w:rsidRDefault="00CD2A5A">
            <w:pPr>
              <w:spacing w:before="40" w:after="40"/>
              <w:ind w:right="138"/>
              <w:rPr>
                <w:sz w:val="20"/>
                <w:szCs w:val="20"/>
              </w:rPr>
            </w:pPr>
            <w:r>
              <w:rPr>
                <w:sz w:val="20"/>
                <w:szCs w:val="20"/>
              </w:rPr>
              <w:t>1,000.0</w:t>
            </w:r>
          </w:p>
        </w:tc>
      </w:tr>
      <w:tr w:rsidR="00CD2A5A">
        <w:trPr>
          <w:jc w:val="center"/>
        </w:trPr>
        <w:tc>
          <w:tcPr>
            <w:tcW w:w="4707" w:type="dxa"/>
          </w:tcPr>
          <w:p w:rsidR="00CD2A5A" w:rsidRDefault="00CD2A5A">
            <w:pPr>
              <w:spacing w:before="40" w:after="40"/>
              <w:rPr>
                <w:sz w:val="20"/>
                <w:szCs w:val="20"/>
              </w:rPr>
            </w:pPr>
            <w:r>
              <w:rPr>
                <w:sz w:val="20"/>
                <w:szCs w:val="20"/>
              </w:rPr>
              <w:t>Employment mediation</w:t>
            </w:r>
          </w:p>
        </w:tc>
        <w:tc>
          <w:tcPr>
            <w:tcW w:w="1176" w:type="dxa"/>
          </w:tcPr>
          <w:p w:rsidR="00CD2A5A" w:rsidRDefault="00CD2A5A">
            <w:pPr>
              <w:spacing w:before="40" w:after="40"/>
              <w:ind w:right="138"/>
              <w:rPr>
                <w:sz w:val="20"/>
                <w:szCs w:val="20"/>
              </w:rPr>
            </w:pPr>
          </w:p>
        </w:tc>
        <w:tc>
          <w:tcPr>
            <w:tcW w:w="1176" w:type="dxa"/>
          </w:tcPr>
          <w:p w:rsidR="00CD2A5A" w:rsidRDefault="00CD2A5A">
            <w:pPr>
              <w:spacing w:before="40" w:after="40"/>
              <w:ind w:right="138"/>
              <w:rPr>
                <w:sz w:val="20"/>
                <w:szCs w:val="20"/>
              </w:rPr>
            </w:pPr>
          </w:p>
        </w:tc>
        <w:tc>
          <w:tcPr>
            <w:tcW w:w="1176" w:type="dxa"/>
          </w:tcPr>
          <w:p w:rsidR="00CD2A5A" w:rsidRDefault="00CD2A5A">
            <w:pPr>
              <w:spacing w:before="40" w:after="40"/>
              <w:ind w:right="138"/>
              <w:rPr>
                <w:sz w:val="20"/>
                <w:szCs w:val="20"/>
              </w:rPr>
            </w:pPr>
            <w:r>
              <w:rPr>
                <w:sz w:val="20"/>
                <w:szCs w:val="20"/>
              </w:rPr>
              <w:t>1,000.0</w:t>
            </w:r>
          </w:p>
        </w:tc>
        <w:tc>
          <w:tcPr>
            <w:tcW w:w="1177" w:type="dxa"/>
          </w:tcPr>
          <w:p w:rsidR="00CD2A5A" w:rsidRDefault="00CD2A5A">
            <w:pPr>
              <w:spacing w:before="40" w:after="40"/>
              <w:ind w:right="138"/>
              <w:rPr>
                <w:sz w:val="20"/>
                <w:szCs w:val="20"/>
              </w:rPr>
            </w:pPr>
            <w:r>
              <w:rPr>
                <w:sz w:val="20"/>
                <w:szCs w:val="20"/>
              </w:rPr>
              <w:t>1,000.0</w:t>
            </w:r>
          </w:p>
        </w:tc>
      </w:tr>
      <w:tr w:rsidR="00CD2A5A">
        <w:trPr>
          <w:jc w:val="center"/>
        </w:trPr>
        <w:tc>
          <w:tcPr>
            <w:tcW w:w="4707" w:type="dxa"/>
          </w:tcPr>
          <w:p w:rsidR="00CD2A5A" w:rsidRDefault="00CD2A5A">
            <w:pPr>
              <w:spacing w:before="40" w:after="40"/>
              <w:rPr>
                <w:sz w:val="20"/>
                <w:szCs w:val="20"/>
              </w:rPr>
            </w:pPr>
            <w:r>
              <w:rPr>
                <w:sz w:val="20"/>
                <w:szCs w:val="20"/>
              </w:rPr>
              <w:t>TOTAL</w:t>
            </w:r>
          </w:p>
        </w:tc>
        <w:tc>
          <w:tcPr>
            <w:tcW w:w="1176" w:type="dxa"/>
          </w:tcPr>
          <w:p w:rsidR="00CD2A5A" w:rsidRDefault="00CD2A5A">
            <w:pPr>
              <w:spacing w:before="40" w:after="40"/>
              <w:ind w:right="138"/>
              <w:rPr>
                <w:sz w:val="20"/>
                <w:szCs w:val="20"/>
              </w:rPr>
            </w:pPr>
            <w:r>
              <w:rPr>
                <w:sz w:val="20"/>
                <w:szCs w:val="20"/>
              </w:rPr>
              <w:t>34,733.3</w:t>
            </w:r>
          </w:p>
        </w:tc>
        <w:tc>
          <w:tcPr>
            <w:tcW w:w="1176" w:type="dxa"/>
          </w:tcPr>
          <w:p w:rsidR="00CD2A5A" w:rsidRDefault="00CD2A5A">
            <w:pPr>
              <w:spacing w:before="40" w:after="40"/>
              <w:ind w:right="138"/>
              <w:rPr>
                <w:sz w:val="20"/>
                <w:szCs w:val="20"/>
              </w:rPr>
            </w:pPr>
            <w:r>
              <w:rPr>
                <w:sz w:val="20"/>
                <w:szCs w:val="20"/>
              </w:rPr>
              <w:t>36,533.3</w:t>
            </w:r>
          </w:p>
        </w:tc>
        <w:tc>
          <w:tcPr>
            <w:tcW w:w="1176" w:type="dxa"/>
          </w:tcPr>
          <w:p w:rsidR="00CD2A5A" w:rsidRDefault="00CD2A5A">
            <w:pPr>
              <w:spacing w:before="40" w:after="40"/>
              <w:ind w:right="138"/>
              <w:rPr>
                <w:sz w:val="20"/>
                <w:szCs w:val="20"/>
              </w:rPr>
            </w:pPr>
            <w:r>
              <w:rPr>
                <w:sz w:val="20"/>
                <w:szCs w:val="20"/>
              </w:rPr>
              <w:t>36,533.4</w:t>
            </w:r>
          </w:p>
        </w:tc>
        <w:tc>
          <w:tcPr>
            <w:tcW w:w="1177" w:type="dxa"/>
          </w:tcPr>
          <w:p w:rsidR="00CD2A5A" w:rsidRDefault="00CD2A5A">
            <w:pPr>
              <w:spacing w:before="40" w:after="40"/>
              <w:ind w:right="138"/>
              <w:rPr>
                <w:sz w:val="20"/>
                <w:szCs w:val="20"/>
              </w:rPr>
            </w:pPr>
            <w:r>
              <w:rPr>
                <w:sz w:val="20"/>
                <w:szCs w:val="20"/>
              </w:rPr>
              <w:t>107,800.0</w:t>
            </w:r>
          </w:p>
        </w:tc>
      </w:tr>
      <w:tr w:rsidR="00CD2A5A">
        <w:trPr>
          <w:jc w:val="center"/>
        </w:trPr>
        <w:tc>
          <w:tcPr>
            <w:tcW w:w="4707" w:type="dxa"/>
          </w:tcPr>
          <w:p w:rsidR="00CD2A5A" w:rsidRDefault="00CD2A5A">
            <w:pPr>
              <w:spacing w:before="40" w:after="40"/>
              <w:rPr>
                <w:sz w:val="20"/>
                <w:szCs w:val="20"/>
              </w:rPr>
            </w:pPr>
          </w:p>
        </w:tc>
        <w:tc>
          <w:tcPr>
            <w:tcW w:w="1176" w:type="dxa"/>
          </w:tcPr>
          <w:p w:rsidR="00CD2A5A" w:rsidRDefault="00CD2A5A">
            <w:pPr>
              <w:spacing w:before="40" w:after="40"/>
              <w:ind w:right="138"/>
              <w:rPr>
                <w:sz w:val="20"/>
                <w:szCs w:val="20"/>
              </w:rPr>
            </w:pPr>
          </w:p>
        </w:tc>
        <w:tc>
          <w:tcPr>
            <w:tcW w:w="1176" w:type="dxa"/>
          </w:tcPr>
          <w:p w:rsidR="00CD2A5A" w:rsidRDefault="00CD2A5A">
            <w:pPr>
              <w:spacing w:before="40" w:after="40"/>
              <w:ind w:right="138"/>
              <w:rPr>
                <w:sz w:val="20"/>
                <w:szCs w:val="20"/>
              </w:rPr>
            </w:pPr>
          </w:p>
        </w:tc>
        <w:tc>
          <w:tcPr>
            <w:tcW w:w="1176" w:type="dxa"/>
          </w:tcPr>
          <w:p w:rsidR="00CD2A5A" w:rsidRDefault="00CD2A5A">
            <w:pPr>
              <w:spacing w:before="40" w:after="40"/>
              <w:ind w:right="138"/>
              <w:rPr>
                <w:sz w:val="20"/>
                <w:szCs w:val="20"/>
              </w:rPr>
            </w:pPr>
          </w:p>
        </w:tc>
        <w:tc>
          <w:tcPr>
            <w:tcW w:w="1177" w:type="dxa"/>
          </w:tcPr>
          <w:p w:rsidR="00CD2A5A" w:rsidRDefault="00CD2A5A">
            <w:pPr>
              <w:spacing w:before="40" w:after="40"/>
              <w:ind w:right="138"/>
              <w:rPr>
                <w:sz w:val="20"/>
                <w:szCs w:val="20"/>
              </w:rPr>
            </w:pPr>
          </w:p>
        </w:tc>
      </w:tr>
      <w:tr w:rsidR="00CD2A5A">
        <w:trPr>
          <w:jc w:val="center"/>
        </w:trPr>
        <w:tc>
          <w:tcPr>
            <w:tcW w:w="4707" w:type="dxa"/>
          </w:tcPr>
          <w:p w:rsidR="00CD2A5A" w:rsidRDefault="00CD2A5A">
            <w:pPr>
              <w:spacing w:before="40" w:after="40"/>
              <w:rPr>
                <w:sz w:val="20"/>
                <w:szCs w:val="20"/>
              </w:rPr>
            </w:pPr>
            <w:r>
              <w:rPr>
                <w:sz w:val="20"/>
                <w:szCs w:val="20"/>
              </w:rPr>
              <w:t>INSAFORP</w:t>
            </w:r>
          </w:p>
        </w:tc>
        <w:tc>
          <w:tcPr>
            <w:tcW w:w="1176" w:type="dxa"/>
          </w:tcPr>
          <w:p w:rsidR="00CD2A5A" w:rsidRDefault="00CD2A5A">
            <w:pPr>
              <w:spacing w:before="40" w:after="40"/>
              <w:ind w:right="138"/>
              <w:rPr>
                <w:sz w:val="20"/>
                <w:szCs w:val="20"/>
              </w:rPr>
            </w:pPr>
            <w:r>
              <w:rPr>
                <w:sz w:val="20"/>
                <w:szCs w:val="20"/>
              </w:rPr>
              <w:t>6,667.0</w:t>
            </w:r>
          </w:p>
        </w:tc>
        <w:tc>
          <w:tcPr>
            <w:tcW w:w="1176" w:type="dxa"/>
          </w:tcPr>
          <w:p w:rsidR="00CD2A5A" w:rsidRDefault="00CD2A5A">
            <w:pPr>
              <w:spacing w:before="40" w:after="40"/>
              <w:ind w:right="138"/>
              <w:rPr>
                <w:sz w:val="20"/>
                <w:szCs w:val="20"/>
              </w:rPr>
            </w:pPr>
            <w:r>
              <w:rPr>
                <w:sz w:val="20"/>
                <w:szCs w:val="20"/>
              </w:rPr>
              <w:t>6,666.0</w:t>
            </w:r>
          </w:p>
        </w:tc>
        <w:tc>
          <w:tcPr>
            <w:tcW w:w="1176" w:type="dxa"/>
          </w:tcPr>
          <w:p w:rsidR="00CD2A5A" w:rsidRDefault="00CD2A5A">
            <w:pPr>
              <w:spacing w:before="40" w:after="40"/>
              <w:ind w:right="138"/>
              <w:rPr>
                <w:sz w:val="20"/>
                <w:szCs w:val="20"/>
              </w:rPr>
            </w:pPr>
            <w:r>
              <w:rPr>
                <w:sz w:val="20"/>
                <w:szCs w:val="20"/>
              </w:rPr>
              <w:t>6,667.0</w:t>
            </w:r>
          </w:p>
        </w:tc>
        <w:tc>
          <w:tcPr>
            <w:tcW w:w="1177" w:type="dxa"/>
          </w:tcPr>
          <w:p w:rsidR="00CD2A5A" w:rsidRDefault="00CD2A5A">
            <w:pPr>
              <w:spacing w:before="40" w:after="40"/>
              <w:ind w:right="138"/>
              <w:rPr>
                <w:sz w:val="20"/>
                <w:szCs w:val="20"/>
              </w:rPr>
            </w:pPr>
            <w:r>
              <w:rPr>
                <w:sz w:val="20"/>
                <w:szCs w:val="20"/>
              </w:rPr>
              <w:t>20,000.0</w:t>
            </w:r>
          </w:p>
        </w:tc>
      </w:tr>
    </w:tbl>
    <w:p w:rsidR="00CD2A5A" w:rsidRDefault="00CD2A5A">
      <w:pPr>
        <w:spacing w:after="240"/>
      </w:pP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El Salvador adopted the following measures with the aim of eradicating child labour in the country and effectively complying with the commitments it assumed on ratification of ILO Convention 182:</w:t>
      </w:r>
    </w:p>
    <w:p w:rsidR="00CD2A5A" w:rsidRDefault="00CD2A5A">
      <w:pPr>
        <w:numPr>
          <w:ilvl w:val="1"/>
          <w:numId w:val="3"/>
        </w:numPr>
        <w:tabs>
          <w:tab w:val="clear" w:pos="1200"/>
        </w:tabs>
        <w:spacing w:after="240"/>
        <w:ind w:left="0" w:firstLine="567"/>
        <w:rPr>
          <w:lang w:val="en-US"/>
        </w:rPr>
      </w:pPr>
      <w:r>
        <w:rPr>
          <w:lang w:val="en-US"/>
        </w:rPr>
        <w:t>In 2000, El Salvador become one of the first countries in the world to ratify ILO Convention 182 of 1999 concerning the prohibition and immediate action for the elimination of the worst forms of child labour;</w:t>
      </w:r>
    </w:p>
    <w:p w:rsidR="00CD2A5A" w:rsidRDefault="00CD2A5A">
      <w:pPr>
        <w:numPr>
          <w:ilvl w:val="1"/>
          <w:numId w:val="3"/>
        </w:numPr>
        <w:tabs>
          <w:tab w:val="clear" w:pos="1200"/>
        </w:tabs>
        <w:spacing w:after="240"/>
        <w:ind w:left="0" w:firstLine="567"/>
        <w:rPr>
          <w:lang w:val="en-US"/>
        </w:rPr>
      </w:pPr>
      <w:r>
        <w:rPr>
          <w:lang w:val="en-US"/>
        </w:rPr>
        <w:t>The government signed a Memorandum of Understanding with the ILO on 13 June 1996 and renewed this on 25 November 2009. In this it ratified its national commitment against child labour and laid the bases for receiving technical cooperation to help devise a National Plan against Child Labour;</w:t>
      </w:r>
    </w:p>
    <w:p w:rsidR="00CD2A5A" w:rsidRDefault="00CD2A5A">
      <w:pPr>
        <w:numPr>
          <w:ilvl w:val="1"/>
          <w:numId w:val="3"/>
        </w:numPr>
        <w:tabs>
          <w:tab w:val="clear" w:pos="1200"/>
        </w:tabs>
        <w:spacing w:after="240"/>
        <w:ind w:left="0" w:firstLine="567"/>
        <w:rPr>
          <w:lang w:val="en-US"/>
        </w:rPr>
      </w:pPr>
      <w:r>
        <w:rPr>
          <w:lang w:val="en-US"/>
        </w:rPr>
        <w:t xml:space="preserve">The Government Plan drawn up by the President Elías Antonio Saca included a commitment to “pursue efforts to eradicate child labour” within the area of Social and Family Reinforcement; </w:t>
      </w:r>
    </w:p>
    <w:p w:rsidR="00CD2A5A" w:rsidRDefault="00CD2A5A">
      <w:pPr>
        <w:numPr>
          <w:ilvl w:val="1"/>
          <w:numId w:val="3"/>
        </w:numPr>
        <w:tabs>
          <w:tab w:val="clear" w:pos="1200"/>
        </w:tabs>
        <w:spacing w:after="240"/>
        <w:ind w:left="0" w:firstLine="567"/>
        <w:rPr>
          <w:lang w:val="en-US"/>
        </w:rPr>
      </w:pPr>
      <w:r>
        <w:rPr>
          <w:lang w:val="en-US"/>
        </w:rPr>
        <w:t>A participative effort by the entire country made it possible to devise and launch a National Plan against the Worst Forms of Child Labour 2006-2009;</w:t>
      </w:r>
    </w:p>
    <w:p w:rsidR="00CD2A5A" w:rsidRDefault="00CD2A5A">
      <w:pPr>
        <w:numPr>
          <w:ilvl w:val="1"/>
          <w:numId w:val="3"/>
        </w:numPr>
        <w:tabs>
          <w:tab w:val="clear" w:pos="1200"/>
        </w:tabs>
        <w:spacing w:after="240"/>
        <w:ind w:left="0" w:firstLine="567"/>
        <w:rPr>
          <w:lang w:val="en-US"/>
        </w:rPr>
      </w:pPr>
      <w:r>
        <w:rPr>
          <w:lang w:val="en-US"/>
        </w:rPr>
        <w:t>In 2002, a National Committee for the Eradication of the Worst Forms of Child Labour was set up by the Ministry of Employment and Social Security, subsequently formalized by Executive Order No 66 of 16 June 2005,</w:t>
      </w:r>
      <w:r>
        <w:rPr>
          <w:rStyle w:val="FootnoteReference"/>
        </w:rPr>
        <w:footnoteReference w:id="50"/>
      </w:r>
      <w:r>
        <w:rPr>
          <w:lang w:val="en-US"/>
        </w:rPr>
        <w:t xml:space="preserve"> and a Technical Committee was appointed to support the work of the National Committee for the Eradication of the Worst Forms of Child Labour;</w:t>
      </w:r>
    </w:p>
    <w:p w:rsidR="00CD2A5A" w:rsidRDefault="00CD2A5A">
      <w:pPr>
        <w:numPr>
          <w:ilvl w:val="1"/>
          <w:numId w:val="3"/>
        </w:numPr>
        <w:tabs>
          <w:tab w:val="clear" w:pos="1200"/>
        </w:tabs>
        <w:spacing w:after="220"/>
        <w:ind w:left="0" w:firstLine="567"/>
        <w:rPr>
          <w:lang w:val="en-US"/>
        </w:rPr>
      </w:pPr>
      <w:r>
        <w:rPr>
          <w:lang w:val="en-US"/>
        </w:rPr>
        <w:t>The struggle against child labour was incorporated in the 2021 Education Plan from 2004;</w:t>
      </w:r>
    </w:p>
    <w:p w:rsidR="00CD2A5A" w:rsidRDefault="00CD2A5A">
      <w:pPr>
        <w:numPr>
          <w:ilvl w:val="1"/>
          <w:numId w:val="3"/>
        </w:numPr>
        <w:tabs>
          <w:tab w:val="clear" w:pos="1200"/>
        </w:tabs>
        <w:spacing w:after="220"/>
        <w:ind w:left="0" w:firstLine="567"/>
        <w:rPr>
          <w:lang w:val="en-US"/>
        </w:rPr>
      </w:pPr>
      <w:r>
        <w:rPr>
          <w:lang w:val="en-US"/>
        </w:rPr>
        <w:t>On 18 February 2005, the Ministry of Agriculture and Livestock signed a Memorandum of Understanding with the ILO, , setting out new commitments by the El Salvador Government, most specifically relating to efforts to eradicate child labour in farming;</w:t>
      </w:r>
    </w:p>
    <w:p w:rsidR="00CD2A5A" w:rsidRDefault="00CD2A5A">
      <w:pPr>
        <w:numPr>
          <w:ilvl w:val="1"/>
          <w:numId w:val="3"/>
        </w:numPr>
        <w:tabs>
          <w:tab w:val="clear" w:pos="1200"/>
        </w:tabs>
        <w:spacing w:after="220"/>
        <w:ind w:left="0" w:firstLine="567"/>
        <w:rPr>
          <w:lang w:val="en-US"/>
        </w:rPr>
      </w:pPr>
      <w:r>
        <w:rPr>
          <w:lang w:val="en-US"/>
        </w:rPr>
        <w:t xml:space="preserve">The Ministry of Employment and Social Security worked in cooperation with ILO-IPEC to implement programmes aimed at working children and their family groups. Funding of $ 370,000 was allocated to measures in vocational training and other areas; </w:t>
      </w:r>
    </w:p>
    <w:p w:rsidR="00CD2A5A" w:rsidRDefault="00CD2A5A">
      <w:pPr>
        <w:numPr>
          <w:ilvl w:val="1"/>
          <w:numId w:val="3"/>
        </w:numPr>
        <w:tabs>
          <w:tab w:val="clear" w:pos="1200"/>
        </w:tabs>
        <w:spacing w:after="220"/>
        <w:ind w:left="0" w:firstLine="567"/>
        <w:rPr>
          <w:lang w:val="en-US"/>
        </w:rPr>
      </w:pPr>
      <w:r>
        <w:rPr>
          <w:lang w:val="en-US"/>
        </w:rPr>
        <w:t xml:space="preserve">A permanent form on child labour was developed and incorporated into the Multipurpose Household Survey (EHPM). In 2001, at the request of ILO-IPEC, a special form on child labour was developed within the EHPM. The General Directorate for Statistics and Censuses of the Ministry of the Economy subsequently incorporated it as a permanent form from 2005; </w:t>
      </w:r>
    </w:p>
    <w:p w:rsidR="00CD2A5A" w:rsidRDefault="00CD2A5A">
      <w:pPr>
        <w:numPr>
          <w:ilvl w:val="1"/>
          <w:numId w:val="3"/>
        </w:numPr>
        <w:tabs>
          <w:tab w:val="clear" w:pos="1200"/>
        </w:tabs>
        <w:spacing w:after="220"/>
        <w:ind w:left="0" w:firstLine="567"/>
        <w:rPr>
          <w:lang w:val="en-US"/>
        </w:rPr>
      </w:pPr>
      <w:r>
        <w:rPr>
          <w:lang w:val="en-US"/>
        </w:rPr>
        <w:t>Child labour variables were permanently incorporated into the Ministry of Education’s School Enrolment Census from 2004;</w:t>
      </w:r>
    </w:p>
    <w:p w:rsidR="00CD2A5A" w:rsidRDefault="00CD2A5A">
      <w:pPr>
        <w:numPr>
          <w:ilvl w:val="1"/>
          <w:numId w:val="3"/>
        </w:numPr>
        <w:tabs>
          <w:tab w:val="clear" w:pos="1200"/>
        </w:tabs>
        <w:spacing w:after="220"/>
        <w:ind w:left="0" w:firstLine="567"/>
        <w:rPr>
          <w:lang w:val="en-US"/>
        </w:rPr>
      </w:pPr>
      <w:r>
        <w:rPr>
          <w:lang w:val="en-US"/>
        </w:rPr>
        <w:t xml:space="preserve">Workbooks were developed for fourth, fifth and sixth grade elementary school pupils to prompt them to reflect on the special conditions of children working in the country.  A total of 3,000 exercise books were delivered; </w:t>
      </w:r>
    </w:p>
    <w:p w:rsidR="00CD2A5A" w:rsidRDefault="00CD2A5A">
      <w:pPr>
        <w:numPr>
          <w:ilvl w:val="1"/>
          <w:numId w:val="3"/>
        </w:numPr>
        <w:tabs>
          <w:tab w:val="clear" w:pos="1200"/>
        </w:tabs>
        <w:spacing w:after="220"/>
        <w:ind w:left="0" w:firstLine="567"/>
        <w:rPr>
          <w:lang w:val="en-US"/>
        </w:rPr>
      </w:pPr>
      <w:r>
        <w:rPr>
          <w:lang w:val="en-US"/>
        </w:rPr>
        <w:t xml:space="preserve">Training courses were developed for teachers on catering for the educational needs of working children; </w:t>
      </w:r>
    </w:p>
    <w:p w:rsidR="00CD2A5A" w:rsidRDefault="00CD2A5A">
      <w:pPr>
        <w:numPr>
          <w:ilvl w:val="1"/>
          <w:numId w:val="3"/>
        </w:numPr>
        <w:tabs>
          <w:tab w:val="clear" w:pos="1200"/>
        </w:tabs>
        <w:spacing w:after="220"/>
        <w:ind w:left="0" w:firstLine="567"/>
        <w:rPr>
          <w:lang w:val="en-US"/>
        </w:rPr>
      </w:pPr>
      <w:r>
        <w:rPr>
          <w:lang w:val="en-US"/>
        </w:rPr>
        <w:t>35 local and municipal committees were set up for monitoring child labour, mainly in the municipalities of Sonsonate, Jiquilisco, Usulután and Jucuarán;</w:t>
      </w:r>
    </w:p>
    <w:p w:rsidR="00CD2A5A" w:rsidRDefault="00CD2A5A">
      <w:pPr>
        <w:numPr>
          <w:ilvl w:val="1"/>
          <w:numId w:val="3"/>
        </w:numPr>
        <w:tabs>
          <w:tab w:val="clear" w:pos="1200"/>
        </w:tabs>
        <w:spacing w:after="220"/>
        <w:ind w:left="0" w:firstLine="567"/>
        <w:rPr>
          <w:lang w:val="en-US"/>
        </w:rPr>
      </w:pPr>
      <w:r>
        <w:rPr>
          <w:lang w:val="en-US"/>
        </w:rPr>
        <w:t>Micro-enterprise initiatives were fostered in communities with the highest rates of child labour;</w:t>
      </w:r>
    </w:p>
    <w:p w:rsidR="00CD2A5A" w:rsidRDefault="00CD2A5A">
      <w:pPr>
        <w:numPr>
          <w:ilvl w:val="1"/>
          <w:numId w:val="3"/>
        </w:numPr>
        <w:tabs>
          <w:tab w:val="clear" w:pos="1200"/>
        </w:tabs>
        <w:spacing w:after="220"/>
        <w:ind w:left="0" w:firstLine="567"/>
        <w:rPr>
          <w:spacing w:val="-2"/>
          <w:lang w:val="en-US"/>
        </w:rPr>
      </w:pPr>
      <w:r>
        <w:rPr>
          <w:spacing w:val="-2"/>
          <w:lang w:val="en-US"/>
        </w:rPr>
        <w:t xml:space="preserve">A Child Labour Unit was set up within the Ministry of Employment and Social Security on 25 November 2002, and also within the General Directorate of Statistics and Censuses; </w:t>
      </w:r>
    </w:p>
    <w:p w:rsidR="00CD2A5A" w:rsidRDefault="00CD2A5A">
      <w:pPr>
        <w:numPr>
          <w:ilvl w:val="1"/>
          <w:numId w:val="3"/>
        </w:numPr>
        <w:tabs>
          <w:tab w:val="clear" w:pos="1200"/>
        </w:tabs>
        <w:spacing w:after="220"/>
        <w:ind w:left="0" w:firstLine="567"/>
        <w:rPr>
          <w:lang w:val="en-US"/>
        </w:rPr>
      </w:pPr>
      <w:r>
        <w:rPr>
          <w:lang w:val="en-US"/>
        </w:rPr>
        <w:t>Training courses on child labour were held by the Ministry of Employment and Social Security within the framework of institution-building. These were aimed at technical staff from various public institutions that make up the Technical Committee for the Eradication of the Worst Forms of Child Labour;</w:t>
      </w:r>
    </w:p>
    <w:p w:rsidR="00CD2A5A" w:rsidRDefault="00CD2A5A">
      <w:pPr>
        <w:numPr>
          <w:ilvl w:val="1"/>
          <w:numId w:val="3"/>
        </w:numPr>
        <w:tabs>
          <w:tab w:val="clear" w:pos="1200"/>
        </w:tabs>
        <w:spacing w:after="220"/>
        <w:ind w:left="0" w:firstLine="567"/>
        <w:rPr>
          <w:lang w:val="en-US"/>
        </w:rPr>
      </w:pPr>
      <w:r>
        <w:rPr>
          <w:lang w:val="en-US"/>
        </w:rPr>
        <w:t>Communication and awareness campaigns on the subject of child labour were rolled out nationwide through the media and other channels, namely: posters, information leaflets and talks. This awareness gained force when the current Government entered office, in other words from 2004;</w:t>
      </w:r>
    </w:p>
    <w:p w:rsidR="00CD2A5A" w:rsidRDefault="00CD2A5A">
      <w:pPr>
        <w:numPr>
          <w:ilvl w:val="1"/>
          <w:numId w:val="3"/>
        </w:numPr>
        <w:tabs>
          <w:tab w:val="clear" w:pos="1200"/>
        </w:tabs>
        <w:spacing w:after="200"/>
        <w:ind w:left="0" w:firstLine="567"/>
        <w:rPr>
          <w:lang w:val="en-US"/>
        </w:rPr>
      </w:pPr>
      <w:r>
        <w:rPr>
          <w:lang w:val="en-US"/>
        </w:rPr>
        <w:t xml:space="preserve">The Unit for the Eradication of Child Labour was reinforced by recruiting five technicians and also 10 employment inspectors who work full-time to combat child labour in its worst forms. This increase was made possible by a budget increase of $2.5 million allocated to the Ministry of Employment and Social Security in 2006. This was used to recruit a total of 106 new employment inspectors, including the 10 mentioned above. It is also important to emphasize that the 2006 recruitment campaign increased the total number of Ministry of Employment and Social Security inspectors to 159. All of them have been made aware of the issues and have received training in the care of minors affected by the scourge of child labour in its worst forms; </w:t>
      </w:r>
    </w:p>
    <w:p w:rsidR="00CD2A5A" w:rsidRDefault="00CD2A5A">
      <w:pPr>
        <w:numPr>
          <w:ilvl w:val="1"/>
          <w:numId w:val="3"/>
        </w:numPr>
        <w:tabs>
          <w:tab w:val="clear" w:pos="1200"/>
        </w:tabs>
        <w:spacing w:after="200"/>
        <w:ind w:left="0" w:firstLine="567"/>
        <w:rPr>
          <w:spacing w:val="-4"/>
          <w:lang w:val="en-US"/>
        </w:rPr>
      </w:pPr>
      <w:r>
        <w:rPr>
          <w:spacing w:val="-4"/>
          <w:lang w:val="en-US"/>
        </w:rPr>
        <w:t>Government backup has been provided to non-governmental organisations implementing projects to encourage them to adopt procedures and strategies for the eradication of child labour;</w:t>
      </w:r>
    </w:p>
    <w:p w:rsidR="00CD2A5A" w:rsidRDefault="00CD2A5A">
      <w:pPr>
        <w:numPr>
          <w:ilvl w:val="1"/>
          <w:numId w:val="3"/>
        </w:numPr>
        <w:tabs>
          <w:tab w:val="clear" w:pos="1200"/>
        </w:tabs>
        <w:spacing w:after="200"/>
        <w:ind w:left="0" w:firstLine="567"/>
        <w:rPr>
          <w:lang w:val="en-US"/>
        </w:rPr>
      </w:pPr>
      <w:r>
        <w:rPr>
          <w:lang w:val="en-US"/>
        </w:rPr>
        <w:t>A working party against the commercial sexual exploitation of children and adolescents has led to greater openness and a multi-institutional approach. This was set up on 1 November 2004 and on 31 October 2006 an agreement was signed to extend its operation for a further two years;</w:t>
      </w:r>
    </w:p>
    <w:p w:rsidR="00CD2A5A" w:rsidRDefault="00CD2A5A">
      <w:pPr>
        <w:numPr>
          <w:ilvl w:val="1"/>
          <w:numId w:val="3"/>
        </w:numPr>
        <w:tabs>
          <w:tab w:val="clear" w:pos="1200"/>
        </w:tabs>
        <w:spacing w:after="200"/>
        <w:ind w:left="0" w:firstLine="567"/>
        <w:rPr>
          <w:lang w:val="en-US"/>
        </w:rPr>
      </w:pPr>
      <w:r>
        <w:rPr>
          <w:lang w:val="en-US"/>
        </w:rPr>
        <w:t>Greater national and international coordination has been achieved to combat trafficking and other crimes against children and adolescents;</w:t>
      </w:r>
    </w:p>
    <w:p w:rsidR="00CD2A5A" w:rsidRDefault="00CD2A5A">
      <w:pPr>
        <w:numPr>
          <w:ilvl w:val="1"/>
          <w:numId w:val="3"/>
        </w:numPr>
        <w:tabs>
          <w:tab w:val="clear" w:pos="1200"/>
        </w:tabs>
        <w:spacing w:after="200"/>
        <w:ind w:left="0" w:firstLine="567"/>
        <w:rPr>
          <w:lang w:val="en-US"/>
        </w:rPr>
      </w:pPr>
      <w:r>
        <w:rPr>
          <w:lang w:val="en-US"/>
        </w:rPr>
        <w:t xml:space="preserve">Support has been given to the work of the Ministry of Education in its efforts to cater for the special educational needs of the working student population through direct action programmes with education as their main thrust. The project is also being implemented to set up a total of 96 remedial classes that cater for 5,000 children rescued from high-risk jobs. </w:t>
      </w:r>
    </w:p>
    <w:p w:rsidR="00CD2A5A" w:rsidRDefault="00CD2A5A">
      <w:pPr>
        <w:numPr>
          <w:ilvl w:val="1"/>
          <w:numId w:val="3"/>
        </w:numPr>
        <w:tabs>
          <w:tab w:val="clear" w:pos="1200"/>
        </w:tabs>
        <w:spacing w:after="200"/>
        <w:ind w:left="0" w:firstLine="567"/>
        <w:rPr>
          <w:lang w:val="en-US"/>
        </w:rPr>
      </w:pPr>
      <w:r>
        <w:rPr>
          <w:lang w:val="en-US"/>
        </w:rPr>
        <w:t>During 2005 and 2006, a degree course in child labour was developed for university lecturers. The course was taken by 25 lecturers and administrators from the Universidad Pedagógica de El Salvador.</w:t>
      </w:r>
    </w:p>
    <w:p w:rsidR="00CD2A5A" w:rsidRDefault="00CD2A5A">
      <w:pPr>
        <w:numPr>
          <w:ilvl w:val="1"/>
          <w:numId w:val="3"/>
        </w:numPr>
        <w:tabs>
          <w:tab w:val="clear" w:pos="1200"/>
        </w:tabs>
        <w:spacing w:after="200"/>
        <w:ind w:left="0" w:firstLine="567"/>
        <w:rPr>
          <w:lang w:val="en-US"/>
        </w:rPr>
      </w:pPr>
      <w:r>
        <w:rPr>
          <w:lang w:val="en-US"/>
        </w:rPr>
        <w:t>The Solidarity Network programme was set up to care for the education and health of poor families in the country’s most deprived municipalities.</w:t>
      </w:r>
      <w:r>
        <w:rPr>
          <w:rStyle w:val="FootnoteReference"/>
        </w:rPr>
        <w:footnoteReference w:id="51"/>
      </w:r>
    </w:p>
    <w:p w:rsidR="00CD2A5A" w:rsidRDefault="00CD2A5A">
      <w:pPr>
        <w:pStyle w:val="1"/>
        <w:numPr>
          <w:ilvl w:val="0"/>
          <w:numId w:val="3"/>
        </w:numPr>
        <w:tabs>
          <w:tab w:val="clear" w:pos="720"/>
        </w:tabs>
        <w:spacing w:after="200"/>
        <w:ind w:left="0" w:firstLine="0"/>
        <w:jc w:val="left"/>
        <w:rPr>
          <w:lang w:val="en-GB"/>
        </w:rPr>
      </w:pPr>
      <w:r>
        <w:rPr>
          <w:lang w:val="en-GB"/>
        </w:rPr>
        <w:t xml:space="preserve">In 2005, the Government of El Salvador also began to deploy its “Opportunities Plan”, which includes a set of social programmes designed to significantly reduce extreme poverty, strengthen the infrastructure of the poorest municipalities and extend the network of basic services in terms of coverage and quality. The programmes involved in the plan include “Solidarity Network” and “Microloans for Comprehensive Development”, designed to offer direct benefit to 100,000 families from the poorest municipalities in the country. It is hoped that this venture will help to rescue children working in the worst forms of child labour because one condition of the scheme is that financial transfers cannot be made directly to families unless children in the beneficiary household are enrolled at school and attending regularly. </w:t>
      </w:r>
    </w:p>
    <w:p w:rsidR="00CD2A5A" w:rsidRDefault="00CD2A5A" w:rsidP="00555A92">
      <w:pPr>
        <w:numPr>
          <w:ilvl w:val="0"/>
          <w:numId w:val="3"/>
        </w:numPr>
        <w:tabs>
          <w:tab w:val="clear" w:pos="720"/>
        </w:tabs>
        <w:spacing w:after="160"/>
        <w:ind w:left="0" w:firstLine="0"/>
        <w:rPr>
          <w:spacing w:val="-2"/>
          <w:lang w:val="en-US"/>
        </w:rPr>
      </w:pPr>
      <w:r>
        <w:rPr>
          <w:spacing w:val="-2"/>
          <w:lang w:val="en-US"/>
        </w:rPr>
        <w:t>One of the main achievements over this period was the preparation and publication of the “National Plan for the Eradication of the Worst Forms of Child Labour in El Salvador 2006-2009”, which was launched in September 2006. The plan takes the form of a strategic public management tool designed to guide national efforts to eradicate the worst forms of child labour.</w:t>
      </w:r>
      <w:r>
        <w:rPr>
          <w:rStyle w:val="FootnoteReference"/>
          <w:spacing w:val="-2"/>
        </w:rPr>
        <w:footnoteReference w:id="52"/>
      </w:r>
      <w:r>
        <w:rPr>
          <w:spacing w:val="-2"/>
          <w:lang w:val="en-US"/>
        </w:rPr>
        <w:t xml:space="preserve"> As the plan is implemented, it will help to comply with the undertakings assumed by El Salvador, in line with the contents of the White Paper, to guarantee that nationally produced goods and services will be untainted by child labour. The plan constitutes a State tool of public policy to guide the efforts of all institutions that make up the National Committee for the Eradication of the Worst Forms of Child Labour. As a sign of their good intent, the institutions participating in the National Committee have already allowed for the implementation of National Plan undertakings in their operational plans and they are drawing up action plans for the activities that each will carry out during 2007. In order to ensure that the measures will be sustainable, the Plan also seeks to guarantee the necessary financial, physical, human, methodological and technological resources for the implementing institutions to ensure that they are appropriate and sufficient to increase the coverage and quality of services aiming to eradicate the worst forms of child labour. The mission of the 2006-2009 National Plan is as follows: to be the key instrument for guiding measures that will rid the country of the worst forms of child labour; a country where children can develop holistically, plan their futures and be offered tangible opportunities for making their plans come true. The National Plan contains seven strategic areas of action: reinforcement of the legal framework; institution-building; educational facilities; health care, recreation, culture and sport; increasing income and communication and social awareness. All these contain specific goals and the governmental department responsible for each area, with the relevant timing milestones.</w:t>
      </w:r>
      <w:r>
        <w:rPr>
          <w:rStyle w:val="FootnoteReference"/>
          <w:spacing w:val="-2"/>
        </w:rPr>
        <w:footnoteReference w:id="53"/>
      </w:r>
    </w:p>
    <w:p w:rsidR="00CD2A5A" w:rsidRDefault="00CD2A5A">
      <w:pPr>
        <w:pStyle w:val="BodyText"/>
        <w:widowControl/>
        <w:numPr>
          <w:ilvl w:val="0"/>
          <w:numId w:val="3"/>
        </w:numPr>
        <w:tabs>
          <w:tab w:val="clear" w:pos="720"/>
        </w:tabs>
        <w:snapToGrid/>
        <w:spacing w:before="0" w:after="160"/>
        <w:ind w:left="0" w:firstLine="0"/>
        <w:jc w:val="left"/>
        <w:rPr>
          <w:sz w:val="24"/>
          <w:lang w:val="en-GB"/>
        </w:rPr>
      </w:pPr>
      <w:r>
        <w:rPr>
          <w:sz w:val="24"/>
          <w:lang w:val="en-GB"/>
        </w:rPr>
        <w:t>In its capacity as coordinator of the National Committee for the Eradication of the Worst Forms of Child Labour, the Ministry of Employment and Social Security, with the contribution of ILO-IPEC, is carrying out a set of direct action plans that as we have seen take a holistic approach. These have become strategic areas of action of the National Plan for the Eradication of the Worst Forms of Child Labour.</w:t>
      </w:r>
    </w:p>
    <w:p w:rsidR="00CD2A5A" w:rsidRDefault="00CD2A5A">
      <w:pPr>
        <w:pStyle w:val="BodyText"/>
        <w:widowControl/>
        <w:numPr>
          <w:ilvl w:val="0"/>
          <w:numId w:val="3"/>
        </w:numPr>
        <w:tabs>
          <w:tab w:val="clear" w:pos="720"/>
        </w:tabs>
        <w:snapToGrid/>
        <w:spacing w:before="0" w:after="160"/>
        <w:ind w:left="0" w:firstLine="0"/>
        <w:jc w:val="left"/>
        <w:rPr>
          <w:spacing w:val="-4"/>
          <w:sz w:val="24"/>
          <w:lang w:val="en-GB"/>
        </w:rPr>
      </w:pPr>
      <w:r>
        <w:rPr>
          <w:spacing w:val="-4"/>
          <w:sz w:val="24"/>
          <w:lang w:val="en-GB"/>
        </w:rPr>
        <w:t>Note that assistance has also been given to the parents of children benefiting from the Child Labour Eradication projects to ensure support for the projects. The figures shown in the tables below therefore reflect the number of measures delivered to the children and also to the parents of those children, with services offering vocational training, income generation, literacy training, medical checkups, etc. It should be clarified that out of the total of 93,639 people and 7,098 children included in the tables, one child and one parent may have benefited from more than one service. In other words, these tables reflect the number of beneficiaries per service and are not an objective indication of the number of children or parents. Information is also given on direct action programmes and the total numbers of children and adolescents benefiting from those programmes.</w:t>
      </w:r>
    </w:p>
    <w:p w:rsidR="00CD2A5A" w:rsidRDefault="00555A92" w:rsidP="00E656A1">
      <w:pPr>
        <w:pStyle w:val="Figure"/>
        <w:spacing w:after="120"/>
      </w:pPr>
      <w:r>
        <w:br w:type="page"/>
      </w:r>
      <w:r w:rsidR="00CD2A5A">
        <w:t>Figure 89</w:t>
      </w:r>
    </w:p>
    <w:p w:rsidR="00CD2A5A" w:rsidRDefault="00CD2A5A" w:rsidP="00555A92">
      <w:pPr>
        <w:pStyle w:val="Figure"/>
        <w:spacing w:after="120"/>
      </w:pPr>
      <w:r>
        <w:t xml:space="preserve">Services offered to benefiting children </w:t>
      </w:r>
      <w:r>
        <w:br/>
      </w:r>
      <w:r w:rsidRPr="00E656A1">
        <w:rPr>
          <w:b w:val="0"/>
          <w:i/>
        </w:rPr>
        <w:t>(October 2003-March 2007)</w:t>
      </w:r>
    </w:p>
    <w:tbl>
      <w:tblPr>
        <w:tblW w:w="9412" w:type="dxa"/>
        <w:jc w:val="center"/>
        <w:tblCellMar>
          <w:left w:w="70" w:type="dxa"/>
          <w:right w:w="70" w:type="dxa"/>
        </w:tblCellMar>
        <w:tblLook w:val="0000" w:firstRow="0" w:lastRow="0" w:firstColumn="0" w:lastColumn="0" w:noHBand="0" w:noVBand="0"/>
      </w:tblPr>
      <w:tblGrid>
        <w:gridCol w:w="5490"/>
        <w:gridCol w:w="1307"/>
        <w:gridCol w:w="1307"/>
        <w:gridCol w:w="1308"/>
      </w:tblGrid>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center"/>
          </w:tcPr>
          <w:p w:rsidR="00CD2A5A" w:rsidRDefault="00CD2A5A">
            <w:pPr>
              <w:keepNext/>
              <w:spacing w:before="20" w:after="20"/>
              <w:jc w:val="center"/>
              <w:rPr>
                <w:b/>
                <w:i/>
                <w:sz w:val="20"/>
                <w:szCs w:val="20"/>
              </w:rPr>
            </w:pPr>
            <w:r>
              <w:rPr>
                <w:b/>
                <w:i/>
                <w:sz w:val="20"/>
                <w:szCs w:val="20"/>
              </w:rPr>
              <w:t>Type of service</w:t>
            </w:r>
          </w:p>
        </w:tc>
        <w:tc>
          <w:tcPr>
            <w:tcW w:w="1307" w:type="dxa"/>
            <w:tcBorders>
              <w:top w:val="single" w:sz="4" w:space="0" w:color="auto"/>
              <w:left w:val="nil"/>
              <w:bottom w:val="single" w:sz="4" w:space="0" w:color="auto"/>
              <w:right w:val="single" w:sz="4" w:space="0" w:color="auto"/>
            </w:tcBorders>
            <w:noWrap/>
            <w:vAlign w:val="center"/>
          </w:tcPr>
          <w:p w:rsidR="00CD2A5A" w:rsidRDefault="00CD2A5A">
            <w:pPr>
              <w:spacing w:before="20" w:after="20"/>
              <w:jc w:val="center"/>
              <w:rPr>
                <w:b/>
                <w:i/>
                <w:sz w:val="20"/>
                <w:szCs w:val="20"/>
              </w:rPr>
            </w:pPr>
            <w:r>
              <w:rPr>
                <w:b/>
                <w:i/>
                <w:sz w:val="20"/>
                <w:szCs w:val="20"/>
              </w:rPr>
              <w:t>Total</w:t>
            </w:r>
          </w:p>
        </w:tc>
        <w:tc>
          <w:tcPr>
            <w:tcW w:w="1307" w:type="dxa"/>
            <w:tcBorders>
              <w:top w:val="single" w:sz="4" w:space="0" w:color="auto"/>
              <w:left w:val="nil"/>
              <w:bottom w:val="single" w:sz="4" w:space="0" w:color="auto"/>
              <w:right w:val="single" w:sz="4" w:space="0" w:color="auto"/>
            </w:tcBorders>
            <w:noWrap/>
            <w:vAlign w:val="center"/>
          </w:tcPr>
          <w:p w:rsidR="00CD2A5A" w:rsidRDefault="00CD2A5A">
            <w:pPr>
              <w:spacing w:before="20" w:after="20"/>
              <w:jc w:val="center"/>
              <w:rPr>
                <w:b/>
                <w:i/>
                <w:sz w:val="20"/>
                <w:szCs w:val="20"/>
              </w:rPr>
            </w:pPr>
            <w:r>
              <w:rPr>
                <w:b/>
                <w:i/>
                <w:sz w:val="20"/>
                <w:szCs w:val="20"/>
              </w:rPr>
              <w:t>Boys</w:t>
            </w:r>
          </w:p>
        </w:tc>
        <w:tc>
          <w:tcPr>
            <w:tcW w:w="1308" w:type="dxa"/>
            <w:tcBorders>
              <w:top w:val="single" w:sz="4" w:space="0" w:color="auto"/>
              <w:left w:val="nil"/>
              <w:bottom w:val="single" w:sz="4" w:space="0" w:color="auto"/>
              <w:right w:val="single" w:sz="4" w:space="0" w:color="auto"/>
            </w:tcBorders>
            <w:noWrap/>
            <w:vAlign w:val="center"/>
          </w:tcPr>
          <w:p w:rsidR="00CD2A5A" w:rsidRDefault="00CD2A5A">
            <w:pPr>
              <w:spacing w:before="20" w:after="20"/>
              <w:jc w:val="center"/>
              <w:rPr>
                <w:b/>
                <w:i/>
                <w:sz w:val="20"/>
                <w:szCs w:val="20"/>
              </w:rPr>
            </w:pPr>
            <w:r>
              <w:rPr>
                <w:b/>
                <w:i/>
                <w:sz w:val="20"/>
                <w:szCs w:val="20"/>
              </w:rPr>
              <w:t>Girls</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keepNext/>
              <w:spacing w:before="20" w:after="20"/>
              <w:rPr>
                <w:sz w:val="20"/>
                <w:szCs w:val="20"/>
              </w:rPr>
            </w:pPr>
            <w:r>
              <w:rPr>
                <w:sz w:val="20"/>
                <w:szCs w:val="20"/>
              </w:rPr>
              <w:t>Total</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93,639</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54,710</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38,929</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Remedial classes</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26,715</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16,242</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10,473</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Vocational training</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3,397</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2,056</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1,341</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Psychological counselling</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294</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209</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85</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Health services</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1,475</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850</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625</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Diet</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8,984</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5,492</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3,492</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Educational books and materials</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44,837</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25,293</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19,544</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Wages</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617</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365</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252</w:t>
            </w:r>
          </w:p>
        </w:tc>
      </w:tr>
      <w:tr w:rsidR="00CD2A5A">
        <w:trPr>
          <w:jc w:val="center"/>
        </w:trPr>
        <w:tc>
          <w:tcPr>
            <w:tcW w:w="5490"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20" w:after="20"/>
              <w:rPr>
                <w:sz w:val="20"/>
                <w:szCs w:val="20"/>
              </w:rPr>
            </w:pPr>
            <w:r>
              <w:rPr>
                <w:sz w:val="20"/>
                <w:szCs w:val="20"/>
              </w:rPr>
              <w:t>Other services</w:t>
            </w:r>
            <w:r>
              <w:rPr>
                <w:rStyle w:val="FootnoteReference"/>
                <w:sz w:val="20"/>
                <w:szCs w:val="20"/>
              </w:rPr>
              <w:footnoteReference w:customMarkFollows="1" w:id="54"/>
              <w:sym w:font="Symbol" w:char="F02A"/>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7,320</w:t>
            </w:r>
          </w:p>
        </w:tc>
        <w:tc>
          <w:tcPr>
            <w:tcW w:w="1307"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4,203</w:t>
            </w:r>
          </w:p>
        </w:tc>
        <w:tc>
          <w:tcPr>
            <w:tcW w:w="1308" w:type="dxa"/>
            <w:tcBorders>
              <w:top w:val="single" w:sz="4" w:space="0" w:color="auto"/>
              <w:left w:val="nil"/>
              <w:bottom w:val="single" w:sz="4" w:space="0" w:color="auto"/>
              <w:right w:val="single" w:sz="4" w:space="0" w:color="auto"/>
            </w:tcBorders>
            <w:noWrap/>
            <w:vAlign w:val="bottom"/>
          </w:tcPr>
          <w:p w:rsidR="00CD2A5A" w:rsidRDefault="00CD2A5A">
            <w:pPr>
              <w:spacing w:before="20" w:after="20"/>
              <w:ind w:right="347"/>
              <w:jc w:val="right"/>
              <w:rPr>
                <w:sz w:val="20"/>
                <w:szCs w:val="20"/>
              </w:rPr>
            </w:pPr>
            <w:r>
              <w:rPr>
                <w:sz w:val="20"/>
                <w:szCs w:val="20"/>
              </w:rPr>
              <w:t>3,117</w:t>
            </w:r>
          </w:p>
        </w:tc>
      </w:tr>
    </w:tbl>
    <w:p w:rsidR="00CD2A5A" w:rsidRDefault="00CD2A5A">
      <w:pPr>
        <w:pStyle w:val="Source"/>
      </w:pPr>
      <w:r>
        <w:rPr>
          <w:i/>
        </w:rPr>
        <w:t>Source</w:t>
      </w:r>
      <w:r>
        <w:t>: Child Labour Eradication Unit.</w:t>
      </w:r>
    </w:p>
    <w:p w:rsidR="00CD2A5A" w:rsidRDefault="00CD2A5A" w:rsidP="00E656A1">
      <w:pPr>
        <w:pStyle w:val="Figure"/>
        <w:spacing w:after="120"/>
      </w:pPr>
      <w:r>
        <w:t>Figure 90</w:t>
      </w:r>
    </w:p>
    <w:p w:rsidR="00CD2A5A" w:rsidRDefault="00CD2A5A" w:rsidP="00E656A1">
      <w:pPr>
        <w:pStyle w:val="Figure"/>
        <w:spacing w:after="120"/>
      </w:pPr>
      <w:r>
        <w:t>Ministry of Employment and Social Security</w:t>
      </w:r>
    </w:p>
    <w:p w:rsidR="00CD2A5A" w:rsidRDefault="00CD2A5A" w:rsidP="00E656A1">
      <w:pPr>
        <w:pStyle w:val="Figure"/>
        <w:spacing w:after="120"/>
      </w:pPr>
      <w:r>
        <w:t>Services offered to parents of benefiting children and adolescents</w:t>
      </w:r>
    </w:p>
    <w:p w:rsidR="00CD2A5A" w:rsidRPr="00E656A1" w:rsidRDefault="00CD2A5A" w:rsidP="00E656A1">
      <w:pPr>
        <w:pStyle w:val="BodyText"/>
        <w:spacing w:after="240"/>
        <w:jc w:val="center"/>
        <w:rPr>
          <w:b/>
          <w:bCs/>
          <w:i/>
          <w:sz w:val="22"/>
          <w:szCs w:val="22"/>
          <w:lang w:val="en-GB"/>
        </w:rPr>
      </w:pPr>
      <w:r w:rsidRPr="00E656A1">
        <w:rPr>
          <w:i/>
          <w:sz w:val="22"/>
          <w:szCs w:val="22"/>
        </w:rPr>
        <w:t>(October 2003-March 2007)</w:t>
      </w:r>
    </w:p>
    <w:tbl>
      <w:tblPr>
        <w:tblW w:w="9412" w:type="dxa"/>
        <w:jc w:val="center"/>
        <w:tblLayout w:type="fixed"/>
        <w:tblCellMar>
          <w:left w:w="70" w:type="dxa"/>
          <w:right w:w="70" w:type="dxa"/>
        </w:tblCellMar>
        <w:tblLook w:val="0000" w:firstRow="0" w:lastRow="0" w:firstColumn="0" w:lastColumn="0" w:noHBand="0" w:noVBand="0"/>
      </w:tblPr>
      <w:tblGrid>
        <w:gridCol w:w="4111"/>
        <w:gridCol w:w="1767"/>
        <w:gridCol w:w="1767"/>
        <w:gridCol w:w="1767"/>
      </w:tblGrid>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i/>
                <w:sz w:val="20"/>
                <w:szCs w:val="20"/>
              </w:rPr>
            </w:pPr>
            <w:r>
              <w:rPr>
                <w:b/>
                <w:i/>
                <w:sz w:val="20"/>
                <w:szCs w:val="20"/>
              </w:rPr>
              <w:t>Type of service</w:t>
            </w:r>
          </w:p>
        </w:tc>
        <w:tc>
          <w:tcPr>
            <w:tcW w:w="1767"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i/>
                <w:sz w:val="20"/>
                <w:szCs w:val="20"/>
              </w:rPr>
            </w:pPr>
            <w:r>
              <w:rPr>
                <w:b/>
                <w:i/>
                <w:sz w:val="20"/>
                <w:szCs w:val="20"/>
              </w:rPr>
              <w:t>Total</w:t>
            </w:r>
          </w:p>
        </w:tc>
        <w:tc>
          <w:tcPr>
            <w:tcW w:w="1767"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i/>
                <w:sz w:val="20"/>
                <w:szCs w:val="20"/>
              </w:rPr>
            </w:pPr>
            <w:r>
              <w:rPr>
                <w:b/>
                <w:i/>
                <w:sz w:val="20"/>
                <w:szCs w:val="20"/>
              </w:rPr>
              <w:t>Male</w:t>
            </w:r>
          </w:p>
        </w:tc>
        <w:tc>
          <w:tcPr>
            <w:tcW w:w="1767" w:type="dxa"/>
            <w:tcBorders>
              <w:top w:val="single" w:sz="4" w:space="0" w:color="auto"/>
              <w:left w:val="single" w:sz="4" w:space="0" w:color="auto"/>
              <w:bottom w:val="single" w:sz="4" w:space="0" w:color="auto"/>
              <w:right w:val="single" w:sz="4" w:space="0" w:color="auto"/>
            </w:tcBorders>
            <w:noWrap/>
            <w:vAlign w:val="center"/>
          </w:tcPr>
          <w:p w:rsidR="00CD2A5A" w:rsidRDefault="00CD2A5A">
            <w:pPr>
              <w:spacing w:before="40" w:after="40"/>
              <w:jc w:val="center"/>
              <w:rPr>
                <w:b/>
                <w:i/>
                <w:sz w:val="20"/>
                <w:szCs w:val="20"/>
              </w:rPr>
            </w:pPr>
            <w:r>
              <w:rPr>
                <w:b/>
                <w:i/>
                <w:sz w:val="20"/>
                <w:szCs w:val="20"/>
              </w:rPr>
              <w:t>Female</w:t>
            </w:r>
          </w:p>
        </w:tc>
      </w:tr>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rPr>
                <w:sz w:val="20"/>
                <w:szCs w:val="20"/>
              </w:rPr>
            </w:pPr>
            <w:r>
              <w:rPr>
                <w:sz w:val="20"/>
                <w:szCs w:val="20"/>
              </w:rPr>
              <w:t>Total</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7,098</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2,053</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5,045</w:t>
            </w:r>
          </w:p>
        </w:tc>
      </w:tr>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rPr>
                <w:sz w:val="20"/>
                <w:szCs w:val="20"/>
              </w:rPr>
            </w:pPr>
            <w:r>
              <w:rPr>
                <w:sz w:val="20"/>
                <w:szCs w:val="20"/>
              </w:rPr>
              <w:t>Vocational training</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2,223</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980</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1,243</w:t>
            </w:r>
          </w:p>
        </w:tc>
      </w:tr>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rPr>
                <w:sz w:val="20"/>
                <w:szCs w:val="20"/>
              </w:rPr>
            </w:pPr>
            <w:r>
              <w:rPr>
                <w:sz w:val="20"/>
                <w:szCs w:val="20"/>
              </w:rPr>
              <w:t>Income generation</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375</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30</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345</w:t>
            </w:r>
          </w:p>
        </w:tc>
      </w:tr>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rPr>
                <w:sz w:val="20"/>
                <w:szCs w:val="20"/>
              </w:rPr>
            </w:pPr>
            <w:r>
              <w:rPr>
                <w:sz w:val="20"/>
                <w:szCs w:val="20"/>
              </w:rPr>
              <w:t>Literacy training</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928</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337</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591</w:t>
            </w:r>
          </w:p>
        </w:tc>
      </w:tr>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rPr>
                <w:sz w:val="20"/>
                <w:szCs w:val="20"/>
              </w:rPr>
            </w:pPr>
            <w:r>
              <w:rPr>
                <w:sz w:val="20"/>
                <w:szCs w:val="20"/>
              </w:rPr>
              <w:t>Medical checks</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816</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259</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557</w:t>
            </w:r>
          </w:p>
        </w:tc>
      </w:tr>
      <w:tr w:rsidR="00CD2A5A">
        <w:trPr>
          <w:trHeight w:val="269"/>
          <w:jc w:val="center"/>
        </w:trPr>
        <w:tc>
          <w:tcPr>
            <w:tcW w:w="4111"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rPr>
                <w:sz w:val="20"/>
                <w:szCs w:val="20"/>
              </w:rPr>
            </w:pPr>
            <w:r>
              <w:rPr>
                <w:sz w:val="20"/>
                <w:szCs w:val="20"/>
              </w:rPr>
              <w:t>Other services</w:t>
            </w:r>
            <w:r>
              <w:rPr>
                <w:rStyle w:val="FootnoteReference"/>
                <w:sz w:val="20"/>
                <w:szCs w:val="20"/>
              </w:rPr>
              <w:footnoteReference w:customMarkFollows="1" w:id="55"/>
              <w:sym w:font="Symbol" w:char="F02A"/>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2,756</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447</w:t>
            </w:r>
          </w:p>
        </w:tc>
        <w:tc>
          <w:tcPr>
            <w:tcW w:w="1767" w:type="dxa"/>
            <w:tcBorders>
              <w:top w:val="single" w:sz="4" w:space="0" w:color="auto"/>
              <w:left w:val="single" w:sz="4" w:space="0" w:color="auto"/>
              <w:bottom w:val="single" w:sz="4" w:space="0" w:color="auto"/>
              <w:right w:val="single" w:sz="4" w:space="0" w:color="auto"/>
            </w:tcBorders>
            <w:noWrap/>
            <w:vAlign w:val="bottom"/>
          </w:tcPr>
          <w:p w:rsidR="00CD2A5A" w:rsidRDefault="00CD2A5A">
            <w:pPr>
              <w:spacing w:before="40" w:after="40"/>
              <w:ind w:right="563"/>
              <w:jc w:val="right"/>
              <w:rPr>
                <w:sz w:val="20"/>
                <w:szCs w:val="20"/>
              </w:rPr>
            </w:pPr>
            <w:r>
              <w:rPr>
                <w:sz w:val="20"/>
                <w:szCs w:val="20"/>
              </w:rPr>
              <w:t>2,309</w:t>
            </w:r>
          </w:p>
        </w:tc>
      </w:tr>
    </w:tbl>
    <w:p w:rsidR="00CD2A5A" w:rsidRDefault="00CD2A5A">
      <w:pPr>
        <w:pStyle w:val="Source"/>
      </w:pPr>
      <w:r w:rsidRPr="00555A92">
        <w:rPr>
          <w:i/>
        </w:rPr>
        <w:t>Source</w:t>
      </w:r>
      <w:r>
        <w:t>: Child Labour Eradication Unit. Ministry of Employment and Social Security</w:t>
      </w:r>
    </w:p>
    <w:p w:rsidR="00CD2A5A" w:rsidRDefault="00CD2A5A" w:rsidP="00E656A1">
      <w:pPr>
        <w:pStyle w:val="Figure"/>
        <w:spacing w:after="120"/>
      </w:pPr>
      <w:r>
        <w:t>Figure 91</w:t>
      </w:r>
    </w:p>
    <w:p w:rsidR="00CD2A5A" w:rsidRDefault="00CD2A5A" w:rsidP="00E656A1">
      <w:pPr>
        <w:pStyle w:val="Figure"/>
        <w:spacing w:after="120"/>
      </w:pPr>
      <w:r>
        <w:t>Projects delivered during stage 1 of the ILO-IPEC limited duration programme (2002-2006)</w:t>
      </w:r>
    </w:p>
    <w:p w:rsidR="00CD2A5A" w:rsidRDefault="00CD2A5A" w:rsidP="00E656A1">
      <w:pPr>
        <w:pStyle w:val="Figure"/>
        <w:spacing w:after="120"/>
      </w:pPr>
      <w:r>
        <w:t>Project name</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firstRow="1" w:lastRow="0" w:firstColumn="1" w:lastColumn="0" w:noHBand="0" w:noVBand="0"/>
      </w:tblPr>
      <w:tblGrid>
        <w:gridCol w:w="5288"/>
        <w:gridCol w:w="1408"/>
        <w:gridCol w:w="1355"/>
        <w:gridCol w:w="1361"/>
      </w:tblGrid>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Gradual eradication of child labour in the sugarcane sector within the municipalities of Zacatecoluca, San Vicente, Tecoluca and Verapaz, (OEF)</w:t>
            </w:r>
          </w:p>
        </w:tc>
        <w:tc>
          <w:tcPr>
            <w:tcW w:w="748" w:type="pct"/>
            <w:vAlign w:val="center"/>
          </w:tcPr>
          <w:p w:rsidR="00CD2A5A" w:rsidRDefault="00CD2A5A">
            <w:pPr>
              <w:spacing w:before="40" w:after="40"/>
              <w:rPr>
                <w:sz w:val="20"/>
                <w:szCs w:val="20"/>
              </w:rPr>
            </w:pPr>
            <w:r>
              <w:rPr>
                <w:sz w:val="20"/>
                <w:szCs w:val="20"/>
              </w:rPr>
              <w:t>Sugar cane</w:t>
            </w:r>
          </w:p>
        </w:tc>
        <w:tc>
          <w:tcPr>
            <w:tcW w:w="720" w:type="pct"/>
            <w:vAlign w:val="center"/>
          </w:tcPr>
          <w:p w:rsidR="00CD2A5A" w:rsidRDefault="00CD2A5A">
            <w:pPr>
              <w:spacing w:before="40" w:after="40"/>
              <w:rPr>
                <w:sz w:val="20"/>
                <w:szCs w:val="20"/>
              </w:rPr>
            </w:pPr>
            <w:r>
              <w:rPr>
                <w:sz w:val="20"/>
                <w:szCs w:val="20"/>
              </w:rPr>
              <w:t>Paracentral</w:t>
            </w:r>
          </w:p>
        </w:tc>
        <w:tc>
          <w:tcPr>
            <w:tcW w:w="723" w:type="pct"/>
            <w:vAlign w:val="center"/>
          </w:tcPr>
          <w:p w:rsidR="00CD2A5A" w:rsidRDefault="00CD2A5A">
            <w:pPr>
              <w:spacing w:before="40" w:after="40"/>
              <w:jc w:val="center"/>
              <w:rPr>
                <w:sz w:val="20"/>
                <w:szCs w:val="20"/>
              </w:rPr>
            </w:pPr>
            <w:r>
              <w:rPr>
                <w:sz w:val="20"/>
                <w:szCs w:val="20"/>
              </w:rPr>
              <w:t>2,073</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 xml:space="preserve"> Eradication of hazardous child labour in sugarcane production within the municipalities of Aguilares, El Paisnal, Nejapa, Guazapa and Suchitoto (FUNDAZUCAR)</w:t>
            </w:r>
          </w:p>
        </w:tc>
        <w:tc>
          <w:tcPr>
            <w:tcW w:w="748" w:type="pct"/>
            <w:vAlign w:val="center"/>
          </w:tcPr>
          <w:p w:rsidR="00CD2A5A" w:rsidRDefault="00CD2A5A">
            <w:pPr>
              <w:spacing w:before="40" w:after="40"/>
              <w:rPr>
                <w:sz w:val="20"/>
                <w:szCs w:val="20"/>
              </w:rPr>
            </w:pPr>
            <w:r>
              <w:rPr>
                <w:sz w:val="20"/>
                <w:szCs w:val="20"/>
              </w:rPr>
              <w:t>Sugar cane</w:t>
            </w:r>
          </w:p>
        </w:tc>
        <w:tc>
          <w:tcPr>
            <w:tcW w:w="720" w:type="pct"/>
            <w:vAlign w:val="center"/>
          </w:tcPr>
          <w:p w:rsidR="00CD2A5A" w:rsidRDefault="00CD2A5A">
            <w:pPr>
              <w:spacing w:before="40" w:after="40"/>
              <w:rPr>
                <w:sz w:val="20"/>
                <w:szCs w:val="20"/>
              </w:rPr>
            </w:pPr>
            <w:r>
              <w:rPr>
                <w:sz w:val="20"/>
                <w:szCs w:val="20"/>
              </w:rPr>
              <w:t>North</w:t>
            </w:r>
          </w:p>
        </w:tc>
        <w:tc>
          <w:tcPr>
            <w:tcW w:w="723" w:type="pct"/>
            <w:vAlign w:val="center"/>
          </w:tcPr>
          <w:p w:rsidR="00CD2A5A" w:rsidRDefault="00CD2A5A">
            <w:pPr>
              <w:spacing w:before="40" w:after="40"/>
              <w:jc w:val="center"/>
              <w:rPr>
                <w:sz w:val="20"/>
                <w:szCs w:val="20"/>
              </w:rPr>
            </w:pPr>
            <w:r>
              <w:rPr>
                <w:sz w:val="20"/>
                <w:szCs w:val="20"/>
              </w:rPr>
              <w:t>2,036</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Gradual eradication of child labour in the fisheries sector within the municipalities of San Dionisio, Jucuarán y Usulután (OEF)</w:t>
            </w:r>
          </w:p>
        </w:tc>
        <w:tc>
          <w:tcPr>
            <w:tcW w:w="748" w:type="pct"/>
            <w:vAlign w:val="center"/>
          </w:tcPr>
          <w:p w:rsidR="00CD2A5A" w:rsidRDefault="00CD2A5A">
            <w:pPr>
              <w:spacing w:before="40" w:after="40"/>
              <w:rPr>
                <w:sz w:val="20"/>
                <w:szCs w:val="20"/>
              </w:rPr>
            </w:pPr>
            <w:r>
              <w:rPr>
                <w:sz w:val="20"/>
                <w:szCs w:val="20"/>
              </w:rPr>
              <w:t>Fisheries</w:t>
            </w:r>
          </w:p>
        </w:tc>
        <w:tc>
          <w:tcPr>
            <w:tcW w:w="720" w:type="pct"/>
            <w:vAlign w:val="center"/>
          </w:tcPr>
          <w:p w:rsidR="00CD2A5A" w:rsidRDefault="00CD2A5A">
            <w:pPr>
              <w:spacing w:before="40" w:after="40"/>
              <w:rPr>
                <w:sz w:val="20"/>
                <w:szCs w:val="20"/>
              </w:rPr>
            </w:pPr>
            <w:r>
              <w:rPr>
                <w:sz w:val="20"/>
                <w:szCs w:val="20"/>
              </w:rPr>
              <w:t>East</w:t>
            </w:r>
          </w:p>
        </w:tc>
        <w:tc>
          <w:tcPr>
            <w:tcW w:w="723" w:type="pct"/>
            <w:vAlign w:val="center"/>
          </w:tcPr>
          <w:p w:rsidR="00CD2A5A" w:rsidRDefault="00CD2A5A">
            <w:pPr>
              <w:spacing w:before="40" w:after="40"/>
              <w:jc w:val="center"/>
              <w:rPr>
                <w:sz w:val="20"/>
                <w:szCs w:val="20"/>
              </w:rPr>
            </w:pPr>
            <w:r>
              <w:rPr>
                <w:sz w:val="20"/>
                <w:szCs w:val="20"/>
              </w:rPr>
              <w:t>1,910</w:t>
            </w:r>
          </w:p>
        </w:tc>
      </w:tr>
      <w:tr w:rsidR="00CD2A5A">
        <w:tblPrEx>
          <w:tblCellMar>
            <w:top w:w="0" w:type="dxa"/>
            <w:bottom w:w="0" w:type="dxa"/>
          </w:tblCellMar>
        </w:tblPrEx>
        <w:trPr>
          <w:jc w:val="center"/>
        </w:trPr>
        <w:tc>
          <w:tcPr>
            <w:tcW w:w="2809" w:type="pct"/>
            <w:vAlign w:val="center"/>
          </w:tcPr>
          <w:p w:rsidR="00CD2A5A" w:rsidRDefault="00CD2A5A">
            <w:pPr>
              <w:keepNext/>
              <w:spacing w:before="40" w:after="40"/>
              <w:rPr>
                <w:sz w:val="20"/>
                <w:szCs w:val="20"/>
                <w:lang w:val="en-US"/>
              </w:rPr>
            </w:pPr>
            <w:r>
              <w:rPr>
                <w:sz w:val="20"/>
                <w:szCs w:val="20"/>
                <w:lang w:val="en-US"/>
              </w:rPr>
              <w:t>Eradication of the worst forms of child labour in sugarcane growing in the Department of Sonsonate, municipalities: Nahulingo, Izalco, San Julián, Armenia, CuisN’ahuatl and Sonsonate (FUSAL)</w:t>
            </w:r>
          </w:p>
        </w:tc>
        <w:tc>
          <w:tcPr>
            <w:tcW w:w="748" w:type="pct"/>
            <w:vAlign w:val="center"/>
          </w:tcPr>
          <w:p w:rsidR="00CD2A5A" w:rsidRDefault="00CD2A5A">
            <w:pPr>
              <w:spacing w:before="40" w:after="40"/>
              <w:rPr>
                <w:sz w:val="20"/>
                <w:szCs w:val="20"/>
              </w:rPr>
            </w:pPr>
            <w:r>
              <w:rPr>
                <w:sz w:val="20"/>
                <w:szCs w:val="20"/>
              </w:rPr>
              <w:t>Sugar cane</w:t>
            </w:r>
          </w:p>
        </w:tc>
        <w:tc>
          <w:tcPr>
            <w:tcW w:w="720" w:type="pct"/>
            <w:vAlign w:val="center"/>
          </w:tcPr>
          <w:p w:rsidR="00CD2A5A" w:rsidRDefault="00CD2A5A">
            <w:pPr>
              <w:spacing w:before="40" w:after="40"/>
              <w:rPr>
                <w:sz w:val="20"/>
                <w:szCs w:val="20"/>
              </w:rPr>
            </w:pPr>
            <w:r>
              <w:rPr>
                <w:sz w:val="20"/>
                <w:szCs w:val="20"/>
              </w:rPr>
              <w:t>West</w:t>
            </w:r>
          </w:p>
        </w:tc>
        <w:tc>
          <w:tcPr>
            <w:tcW w:w="723" w:type="pct"/>
            <w:vAlign w:val="center"/>
          </w:tcPr>
          <w:p w:rsidR="00CD2A5A" w:rsidRDefault="00CD2A5A">
            <w:pPr>
              <w:spacing w:before="40" w:after="40"/>
              <w:jc w:val="center"/>
              <w:rPr>
                <w:sz w:val="20"/>
                <w:szCs w:val="20"/>
              </w:rPr>
            </w:pPr>
            <w:r>
              <w:rPr>
                <w:sz w:val="20"/>
                <w:szCs w:val="20"/>
              </w:rPr>
              <w:t>1,858</w:t>
            </w:r>
          </w:p>
        </w:tc>
      </w:tr>
      <w:tr w:rsidR="00CD2A5A">
        <w:tblPrEx>
          <w:tblCellMar>
            <w:top w:w="0" w:type="dxa"/>
            <w:bottom w:w="0" w:type="dxa"/>
          </w:tblCellMar>
        </w:tblPrEx>
        <w:trPr>
          <w:jc w:val="center"/>
        </w:trPr>
        <w:tc>
          <w:tcPr>
            <w:tcW w:w="2809" w:type="pct"/>
            <w:vAlign w:val="center"/>
          </w:tcPr>
          <w:p w:rsidR="00CD2A5A" w:rsidRDefault="00CD2A5A">
            <w:pPr>
              <w:keepNext/>
              <w:spacing w:before="40" w:after="40"/>
              <w:rPr>
                <w:sz w:val="20"/>
                <w:szCs w:val="20"/>
                <w:lang w:val="en-US"/>
              </w:rPr>
            </w:pPr>
            <w:r>
              <w:rPr>
                <w:sz w:val="20"/>
                <w:szCs w:val="20"/>
                <w:lang w:val="en-US"/>
              </w:rPr>
              <w:t>Eradication of the worst forms of child labour: fisheries, Usulután (FUSAL)</w:t>
            </w:r>
          </w:p>
        </w:tc>
        <w:tc>
          <w:tcPr>
            <w:tcW w:w="748" w:type="pct"/>
            <w:vAlign w:val="center"/>
          </w:tcPr>
          <w:p w:rsidR="00CD2A5A" w:rsidRDefault="00CD2A5A">
            <w:pPr>
              <w:spacing w:before="40" w:after="40"/>
              <w:rPr>
                <w:sz w:val="20"/>
                <w:szCs w:val="20"/>
              </w:rPr>
            </w:pPr>
            <w:r>
              <w:rPr>
                <w:sz w:val="20"/>
                <w:szCs w:val="20"/>
              </w:rPr>
              <w:t>Fisheries</w:t>
            </w:r>
          </w:p>
        </w:tc>
        <w:tc>
          <w:tcPr>
            <w:tcW w:w="720" w:type="pct"/>
            <w:vAlign w:val="center"/>
          </w:tcPr>
          <w:p w:rsidR="00CD2A5A" w:rsidRDefault="00CD2A5A">
            <w:pPr>
              <w:spacing w:before="40" w:after="40"/>
              <w:rPr>
                <w:sz w:val="20"/>
                <w:szCs w:val="20"/>
              </w:rPr>
            </w:pPr>
            <w:r>
              <w:rPr>
                <w:sz w:val="20"/>
                <w:szCs w:val="20"/>
              </w:rPr>
              <w:t>East</w:t>
            </w:r>
          </w:p>
        </w:tc>
        <w:tc>
          <w:tcPr>
            <w:tcW w:w="723" w:type="pct"/>
            <w:vAlign w:val="center"/>
          </w:tcPr>
          <w:p w:rsidR="00CD2A5A" w:rsidRDefault="00CD2A5A">
            <w:pPr>
              <w:spacing w:before="40" w:after="40"/>
              <w:jc w:val="center"/>
              <w:rPr>
                <w:sz w:val="20"/>
                <w:szCs w:val="20"/>
              </w:rPr>
            </w:pPr>
            <w:r>
              <w:rPr>
                <w:sz w:val="20"/>
                <w:szCs w:val="20"/>
              </w:rPr>
              <w:t>1,542</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Institution-building project for the prevention, investigation and prosecution of commercial sexual exploitation crimes against minors (National Civil Police (PNC)) (San Salvador).</w:t>
            </w:r>
          </w:p>
        </w:tc>
        <w:tc>
          <w:tcPr>
            <w:tcW w:w="748" w:type="pct"/>
            <w:vAlign w:val="center"/>
          </w:tcPr>
          <w:p w:rsidR="00CD2A5A" w:rsidRDefault="00CD2A5A">
            <w:pPr>
              <w:spacing w:before="40" w:after="40"/>
              <w:rPr>
                <w:sz w:val="20"/>
                <w:szCs w:val="20"/>
              </w:rPr>
            </w:pPr>
            <w:r>
              <w:rPr>
                <w:sz w:val="20"/>
                <w:szCs w:val="20"/>
              </w:rPr>
              <w:t>Commercial</w:t>
            </w:r>
          </w:p>
          <w:p w:rsidR="00CD2A5A" w:rsidRDefault="00CD2A5A">
            <w:pPr>
              <w:spacing w:before="40" w:after="40"/>
              <w:rPr>
                <w:sz w:val="20"/>
                <w:szCs w:val="20"/>
              </w:rPr>
            </w:pPr>
            <w:r>
              <w:rPr>
                <w:sz w:val="20"/>
                <w:szCs w:val="20"/>
              </w:rPr>
              <w:t>sexual</w:t>
            </w:r>
          </w:p>
          <w:p w:rsidR="00CD2A5A" w:rsidRDefault="00CD2A5A">
            <w:pPr>
              <w:spacing w:before="40" w:after="40"/>
              <w:rPr>
                <w:sz w:val="20"/>
                <w:szCs w:val="20"/>
              </w:rPr>
            </w:pPr>
            <w:r>
              <w:rPr>
                <w:sz w:val="20"/>
                <w:szCs w:val="20"/>
              </w:rPr>
              <w:t>exploitation</w:t>
            </w:r>
          </w:p>
        </w:tc>
        <w:tc>
          <w:tcPr>
            <w:tcW w:w="720" w:type="pct"/>
            <w:vAlign w:val="center"/>
          </w:tcPr>
          <w:p w:rsidR="00CD2A5A" w:rsidRDefault="00CD2A5A">
            <w:pPr>
              <w:spacing w:before="40" w:after="40"/>
              <w:rPr>
                <w:sz w:val="20"/>
                <w:szCs w:val="20"/>
              </w:rPr>
            </w:pPr>
            <w:r>
              <w:rPr>
                <w:sz w:val="20"/>
                <w:szCs w:val="20"/>
              </w:rPr>
              <w:t>Central</w:t>
            </w:r>
          </w:p>
        </w:tc>
        <w:tc>
          <w:tcPr>
            <w:tcW w:w="723" w:type="pct"/>
            <w:vAlign w:val="center"/>
          </w:tcPr>
          <w:p w:rsidR="00CD2A5A" w:rsidRDefault="00CD2A5A">
            <w:pPr>
              <w:spacing w:before="40" w:after="40"/>
              <w:rPr>
                <w:sz w:val="20"/>
                <w:szCs w:val="20"/>
              </w:rPr>
            </w:pPr>
            <w:r>
              <w:rPr>
                <w:sz w:val="20"/>
                <w:szCs w:val="20"/>
              </w:rPr>
              <w:t>Institution-building</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Helping to eradicate the worst forms of child labour (COMUS), Usulután.</w:t>
            </w:r>
          </w:p>
        </w:tc>
        <w:tc>
          <w:tcPr>
            <w:tcW w:w="748" w:type="pct"/>
            <w:vAlign w:val="center"/>
          </w:tcPr>
          <w:p w:rsidR="00CD2A5A" w:rsidRDefault="00CD2A5A">
            <w:pPr>
              <w:spacing w:before="40" w:after="40"/>
              <w:rPr>
                <w:sz w:val="20"/>
                <w:szCs w:val="20"/>
              </w:rPr>
            </w:pPr>
            <w:r>
              <w:rPr>
                <w:sz w:val="20"/>
                <w:szCs w:val="20"/>
              </w:rPr>
              <w:t>Fisheries</w:t>
            </w:r>
          </w:p>
        </w:tc>
        <w:tc>
          <w:tcPr>
            <w:tcW w:w="720" w:type="pct"/>
            <w:vAlign w:val="center"/>
          </w:tcPr>
          <w:p w:rsidR="00CD2A5A" w:rsidRDefault="00CD2A5A">
            <w:pPr>
              <w:spacing w:before="40" w:after="40"/>
              <w:rPr>
                <w:sz w:val="20"/>
                <w:szCs w:val="20"/>
              </w:rPr>
            </w:pPr>
            <w:r>
              <w:rPr>
                <w:sz w:val="20"/>
                <w:szCs w:val="20"/>
              </w:rPr>
              <w:t>East</w:t>
            </w:r>
          </w:p>
        </w:tc>
        <w:tc>
          <w:tcPr>
            <w:tcW w:w="723" w:type="pct"/>
            <w:vAlign w:val="center"/>
          </w:tcPr>
          <w:p w:rsidR="00CD2A5A" w:rsidRDefault="00CD2A5A">
            <w:pPr>
              <w:spacing w:before="40" w:after="40"/>
              <w:ind w:right="401"/>
              <w:jc w:val="right"/>
              <w:rPr>
                <w:sz w:val="20"/>
                <w:szCs w:val="20"/>
              </w:rPr>
            </w:pPr>
            <w:r>
              <w:rPr>
                <w:sz w:val="20"/>
                <w:szCs w:val="20"/>
              </w:rPr>
              <w:t>70</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rPr>
            </w:pPr>
            <w:r>
              <w:rPr>
                <w:sz w:val="20"/>
                <w:szCs w:val="20"/>
                <w:lang w:val="en-US"/>
              </w:rPr>
              <w:t xml:space="preserve">Preventing commercial sexual exploitation in the city of San Salvador. </w:t>
            </w:r>
            <w:r>
              <w:rPr>
                <w:sz w:val="20"/>
                <w:szCs w:val="20"/>
              </w:rPr>
              <w:t>(CONAMUS)</w:t>
            </w:r>
          </w:p>
        </w:tc>
        <w:tc>
          <w:tcPr>
            <w:tcW w:w="748" w:type="pct"/>
            <w:vAlign w:val="center"/>
          </w:tcPr>
          <w:p w:rsidR="00CD2A5A" w:rsidRDefault="00CD2A5A">
            <w:pPr>
              <w:spacing w:before="40" w:after="40"/>
              <w:rPr>
                <w:sz w:val="20"/>
                <w:szCs w:val="20"/>
              </w:rPr>
            </w:pPr>
            <w:r>
              <w:rPr>
                <w:sz w:val="20"/>
                <w:szCs w:val="20"/>
              </w:rPr>
              <w:t>Commercial</w:t>
            </w:r>
          </w:p>
          <w:p w:rsidR="00CD2A5A" w:rsidRDefault="00CD2A5A">
            <w:pPr>
              <w:spacing w:before="40" w:after="40"/>
              <w:rPr>
                <w:sz w:val="20"/>
                <w:szCs w:val="20"/>
              </w:rPr>
            </w:pPr>
            <w:r>
              <w:rPr>
                <w:sz w:val="20"/>
                <w:szCs w:val="20"/>
              </w:rPr>
              <w:t>sexual</w:t>
            </w:r>
          </w:p>
          <w:p w:rsidR="00CD2A5A" w:rsidRDefault="00CD2A5A">
            <w:pPr>
              <w:spacing w:before="40" w:after="40"/>
              <w:rPr>
                <w:sz w:val="20"/>
                <w:szCs w:val="20"/>
              </w:rPr>
            </w:pPr>
            <w:r>
              <w:rPr>
                <w:sz w:val="20"/>
                <w:szCs w:val="20"/>
              </w:rPr>
              <w:t>exploitation</w:t>
            </w:r>
          </w:p>
        </w:tc>
        <w:tc>
          <w:tcPr>
            <w:tcW w:w="720" w:type="pct"/>
            <w:vAlign w:val="center"/>
          </w:tcPr>
          <w:p w:rsidR="00CD2A5A" w:rsidRDefault="00CD2A5A">
            <w:pPr>
              <w:spacing w:before="40" w:after="40"/>
              <w:rPr>
                <w:sz w:val="20"/>
                <w:szCs w:val="20"/>
              </w:rPr>
            </w:pPr>
            <w:r>
              <w:rPr>
                <w:sz w:val="20"/>
                <w:szCs w:val="20"/>
              </w:rPr>
              <w:t>Central</w:t>
            </w:r>
          </w:p>
        </w:tc>
        <w:tc>
          <w:tcPr>
            <w:tcW w:w="723" w:type="pct"/>
            <w:vAlign w:val="center"/>
          </w:tcPr>
          <w:p w:rsidR="00CD2A5A" w:rsidRDefault="00CD2A5A">
            <w:pPr>
              <w:spacing w:before="40" w:after="40"/>
              <w:ind w:right="401"/>
              <w:jc w:val="right"/>
              <w:rPr>
                <w:sz w:val="20"/>
                <w:szCs w:val="20"/>
              </w:rPr>
            </w:pPr>
            <w:r>
              <w:rPr>
                <w:sz w:val="20"/>
                <w:szCs w:val="20"/>
              </w:rPr>
              <w:t>200</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rPr>
            </w:pPr>
            <w:r>
              <w:rPr>
                <w:sz w:val="20"/>
                <w:szCs w:val="20"/>
                <w:lang w:val="en-US"/>
              </w:rPr>
              <w:t xml:space="preserve">Care for and withdrawal of victims of commercial sexual exploitation in the city of San Miguel. </w:t>
            </w:r>
            <w:r>
              <w:rPr>
                <w:sz w:val="20"/>
                <w:szCs w:val="20"/>
              </w:rPr>
              <w:t>(PADECOMSM)</w:t>
            </w:r>
          </w:p>
        </w:tc>
        <w:tc>
          <w:tcPr>
            <w:tcW w:w="748" w:type="pct"/>
            <w:vAlign w:val="center"/>
          </w:tcPr>
          <w:p w:rsidR="00CD2A5A" w:rsidRDefault="00CD2A5A">
            <w:pPr>
              <w:spacing w:before="40" w:after="40"/>
              <w:rPr>
                <w:sz w:val="20"/>
                <w:szCs w:val="20"/>
              </w:rPr>
            </w:pPr>
            <w:r>
              <w:rPr>
                <w:sz w:val="20"/>
                <w:szCs w:val="20"/>
              </w:rPr>
              <w:t>Commercial</w:t>
            </w:r>
          </w:p>
          <w:p w:rsidR="00CD2A5A" w:rsidRDefault="00CD2A5A">
            <w:pPr>
              <w:spacing w:before="40" w:after="40"/>
              <w:rPr>
                <w:sz w:val="20"/>
                <w:szCs w:val="20"/>
              </w:rPr>
            </w:pPr>
            <w:r>
              <w:rPr>
                <w:sz w:val="20"/>
                <w:szCs w:val="20"/>
              </w:rPr>
              <w:t>sexual</w:t>
            </w:r>
          </w:p>
          <w:p w:rsidR="00CD2A5A" w:rsidRDefault="00CD2A5A">
            <w:pPr>
              <w:spacing w:before="40" w:after="40"/>
              <w:rPr>
                <w:sz w:val="20"/>
                <w:szCs w:val="20"/>
              </w:rPr>
            </w:pPr>
            <w:r>
              <w:rPr>
                <w:sz w:val="20"/>
                <w:szCs w:val="20"/>
              </w:rPr>
              <w:t>exploitation</w:t>
            </w:r>
          </w:p>
        </w:tc>
        <w:tc>
          <w:tcPr>
            <w:tcW w:w="720" w:type="pct"/>
            <w:vAlign w:val="center"/>
          </w:tcPr>
          <w:p w:rsidR="00CD2A5A" w:rsidRDefault="00CD2A5A">
            <w:pPr>
              <w:spacing w:before="40" w:after="40"/>
              <w:rPr>
                <w:sz w:val="20"/>
                <w:szCs w:val="20"/>
              </w:rPr>
            </w:pPr>
            <w:r>
              <w:rPr>
                <w:sz w:val="20"/>
                <w:szCs w:val="20"/>
              </w:rPr>
              <w:t>East</w:t>
            </w:r>
          </w:p>
        </w:tc>
        <w:tc>
          <w:tcPr>
            <w:tcW w:w="723" w:type="pct"/>
            <w:vAlign w:val="center"/>
          </w:tcPr>
          <w:p w:rsidR="00CD2A5A" w:rsidRDefault="00CD2A5A">
            <w:pPr>
              <w:spacing w:before="40" w:after="40"/>
              <w:ind w:right="401"/>
              <w:jc w:val="right"/>
              <w:rPr>
                <w:sz w:val="20"/>
                <w:szCs w:val="20"/>
              </w:rPr>
            </w:pPr>
            <w:r>
              <w:rPr>
                <w:sz w:val="20"/>
                <w:szCs w:val="20"/>
              </w:rPr>
              <w:t>32</w:t>
            </w:r>
          </w:p>
        </w:tc>
      </w:tr>
      <w:tr w:rsidR="00CD2A5A">
        <w:tblPrEx>
          <w:tblCellMar>
            <w:top w:w="0" w:type="dxa"/>
            <w:bottom w:w="0" w:type="dxa"/>
          </w:tblCellMar>
        </w:tblPrEx>
        <w:trPr>
          <w:jc w:val="center"/>
        </w:trPr>
        <w:tc>
          <w:tcPr>
            <w:tcW w:w="2809" w:type="pct"/>
            <w:vAlign w:val="center"/>
          </w:tcPr>
          <w:p w:rsidR="00CD2A5A" w:rsidRDefault="00CD2A5A">
            <w:pPr>
              <w:keepNext/>
              <w:spacing w:before="40" w:after="40"/>
              <w:rPr>
                <w:sz w:val="20"/>
                <w:szCs w:val="20"/>
              </w:rPr>
            </w:pPr>
            <w:r>
              <w:rPr>
                <w:sz w:val="20"/>
                <w:szCs w:val="20"/>
                <w:lang w:val="en-US"/>
              </w:rPr>
              <w:t xml:space="preserve">Preventing the phenomenon of child commercial sexual exploitation in the urban area of the city of San Miguel. </w:t>
            </w:r>
            <w:r>
              <w:rPr>
                <w:sz w:val="20"/>
                <w:szCs w:val="20"/>
              </w:rPr>
              <w:t>(ISNA)</w:t>
            </w:r>
          </w:p>
        </w:tc>
        <w:tc>
          <w:tcPr>
            <w:tcW w:w="748" w:type="pct"/>
            <w:vAlign w:val="center"/>
          </w:tcPr>
          <w:p w:rsidR="00CD2A5A" w:rsidRDefault="00CD2A5A">
            <w:pPr>
              <w:keepNext/>
              <w:spacing w:before="40" w:after="40"/>
              <w:rPr>
                <w:sz w:val="20"/>
                <w:szCs w:val="20"/>
              </w:rPr>
            </w:pPr>
            <w:r>
              <w:rPr>
                <w:sz w:val="20"/>
                <w:szCs w:val="20"/>
              </w:rPr>
              <w:t>Commercial</w:t>
            </w:r>
          </w:p>
          <w:p w:rsidR="00CD2A5A" w:rsidRDefault="00CD2A5A">
            <w:pPr>
              <w:keepNext/>
              <w:spacing w:before="40" w:after="40"/>
              <w:rPr>
                <w:sz w:val="20"/>
                <w:szCs w:val="20"/>
              </w:rPr>
            </w:pPr>
            <w:r>
              <w:rPr>
                <w:sz w:val="20"/>
                <w:szCs w:val="20"/>
              </w:rPr>
              <w:t>sexual</w:t>
            </w:r>
          </w:p>
          <w:p w:rsidR="00CD2A5A" w:rsidRDefault="00CD2A5A">
            <w:pPr>
              <w:keepNext/>
              <w:spacing w:before="40" w:after="40"/>
              <w:rPr>
                <w:sz w:val="20"/>
                <w:szCs w:val="20"/>
              </w:rPr>
            </w:pPr>
            <w:r>
              <w:rPr>
                <w:sz w:val="20"/>
                <w:szCs w:val="20"/>
              </w:rPr>
              <w:t>exploitation</w:t>
            </w:r>
          </w:p>
        </w:tc>
        <w:tc>
          <w:tcPr>
            <w:tcW w:w="720" w:type="pct"/>
            <w:vAlign w:val="center"/>
          </w:tcPr>
          <w:p w:rsidR="00CD2A5A" w:rsidRDefault="00CD2A5A">
            <w:pPr>
              <w:keepNext/>
              <w:spacing w:before="40" w:after="40"/>
              <w:rPr>
                <w:sz w:val="20"/>
                <w:szCs w:val="20"/>
              </w:rPr>
            </w:pPr>
            <w:r>
              <w:rPr>
                <w:sz w:val="20"/>
                <w:szCs w:val="20"/>
              </w:rPr>
              <w:t>East</w:t>
            </w:r>
          </w:p>
        </w:tc>
        <w:tc>
          <w:tcPr>
            <w:tcW w:w="723" w:type="pct"/>
            <w:vAlign w:val="center"/>
          </w:tcPr>
          <w:p w:rsidR="00CD2A5A" w:rsidRDefault="00CD2A5A">
            <w:pPr>
              <w:keepNext/>
              <w:spacing w:before="40" w:after="40"/>
              <w:rPr>
                <w:sz w:val="20"/>
                <w:szCs w:val="20"/>
              </w:rPr>
            </w:pPr>
            <w:r>
              <w:rPr>
                <w:sz w:val="20"/>
                <w:szCs w:val="20"/>
              </w:rPr>
              <w:t>Institution-building</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rPr>
            </w:pPr>
            <w:r>
              <w:rPr>
                <w:sz w:val="20"/>
                <w:szCs w:val="20"/>
                <w:lang w:val="en-US"/>
              </w:rPr>
              <w:t xml:space="preserve">Eradication of child labour in Barranca Honda refuse tip in the municipality of Chalchuapa, department of Santa Ana. </w:t>
            </w:r>
            <w:r>
              <w:rPr>
                <w:sz w:val="20"/>
                <w:szCs w:val="20"/>
              </w:rPr>
              <w:t>(Fundación Nehemías)</w:t>
            </w:r>
          </w:p>
        </w:tc>
        <w:tc>
          <w:tcPr>
            <w:tcW w:w="748" w:type="pct"/>
            <w:vAlign w:val="center"/>
          </w:tcPr>
          <w:p w:rsidR="00CD2A5A" w:rsidRDefault="00CD2A5A">
            <w:pPr>
              <w:spacing w:before="40" w:after="40"/>
              <w:rPr>
                <w:sz w:val="20"/>
                <w:szCs w:val="20"/>
              </w:rPr>
            </w:pPr>
            <w:r>
              <w:rPr>
                <w:sz w:val="20"/>
                <w:szCs w:val="20"/>
              </w:rPr>
              <w:t>Refuse tips</w:t>
            </w:r>
          </w:p>
        </w:tc>
        <w:tc>
          <w:tcPr>
            <w:tcW w:w="720" w:type="pct"/>
            <w:vAlign w:val="center"/>
          </w:tcPr>
          <w:p w:rsidR="00CD2A5A" w:rsidRDefault="00CD2A5A">
            <w:pPr>
              <w:spacing w:before="40" w:after="40"/>
              <w:rPr>
                <w:sz w:val="20"/>
                <w:szCs w:val="20"/>
              </w:rPr>
            </w:pPr>
            <w:r>
              <w:rPr>
                <w:sz w:val="20"/>
                <w:szCs w:val="20"/>
              </w:rPr>
              <w:t>West</w:t>
            </w:r>
          </w:p>
        </w:tc>
        <w:tc>
          <w:tcPr>
            <w:tcW w:w="723" w:type="pct"/>
            <w:vAlign w:val="center"/>
          </w:tcPr>
          <w:p w:rsidR="00CD2A5A" w:rsidRDefault="00CD2A5A">
            <w:pPr>
              <w:spacing w:before="40" w:after="40"/>
              <w:rPr>
                <w:sz w:val="20"/>
                <w:szCs w:val="20"/>
              </w:rPr>
            </w:pPr>
            <w:r>
              <w:rPr>
                <w:sz w:val="20"/>
                <w:szCs w:val="20"/>
              </w:rPr>
              <w:t>40</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Care for children in situations of child commercial sexual exploitation in the municipality of San Salvador and its surroundings (ISDEMU)</w:t>
            </w:r>
          </w:p>
        </w:tc>
        <w:tc>
          <w:tcPr>
            <w:tcW w:w="748" w:type="pct"/>
            <w:vAlign w:val="center"/>
          </w:tcPr>
          <w:p w:rsidR="00CD2A5A" w:rsidRDefault="00CD2A5A">
            <w:pPr>
              <w:spacing w:before="40" w:after="40"/>
              <w:rPr>
                <w:sz w:val="20"/>
                <w:szCs w:val="20"/>
              </w:rPr>
            </w:pPr>
            <w:r>
              <w:rPr>
                <w:sz w:val="20"/>
                <w:szCs w:val="20"/>
              </w:rPr>
              <w:t>Commercial</w:t>
            </w:r>
          </w:p>
          <w:p w:rsidR="00CD2A5A" w:rsidRDefault="00CD2A5A">
            <w:pPr>
              <w:spacing w:before="40" w:after="40"/>
              <w:rPr>
                <w:sz w:val="20"/>
                <w:szCs w:val="20"/>
              </w:rPr>
            </w:pPr>
            <w:r>
              <w:rPr>
                <w:sz w:val="20"/>
                <w:szCs w:val="20"/>
              </w:rPr>
              <w:t>sexual</w:t>
            </w:r>
          </w:p>
          <w:p w:rsidR="00CD2A5A" w:rsidRDefault="00CD2A5A">
            <w:pPr>
              <w:spacing w:before="40" w:after="40"/>
              <w:rPr>
                <w:sz w:val="20"/>
                <w:szCs w:val="20"/>
              </w:rPr>
            </w:pPr>
            <w:r>
              <w:rPr>
                <w:sz w:val="20"/>
                <w:szCs w:val="20"/>
              </w:rPr>
              <w:t>exploitation</w:t>
            </w:r>
          </w:p>
        </w:tc>
        <w:tc>
          <w:tcPr>
            <w:tcW w:w="720" w:type="pct"/>
            <w:vAlign w:val="center"/>
          </w:tcPr>
          <w:p w:rsidR="00CD2A5A" w:rsidRDefault="00CD2A5A">
            <w:pPr>
              <w:spacing w:before="40" w:after="40"/>
              <w:rPr>
                <w:sz w:val="20"/>
                <w:szCs w:val="20"/>
              </w:rPr>
            </w:pPr>
            <w:r>
              <w:rPr>
                <w:sz w:val="20"/>
                <w:szCs w:val="20"/>
              </w:rPr>
              <w:t>Central</w:t>
            </w:r>
          </w:p>
        </w:tc>
        <w:tc>
          <w:tcPr>
            <w:tcW w:w="723" w:type="pct"/>
            <w:vAlign w:val="center"/>
          </w:tcPr>
          <w:p w:rsidR="00CD2A5A" w:rsidRDefault="00CD2A5A">
            <w:pPr>
              <w:spacing w:before="40" w:after="40"/>
              <w:rPr>
                <w:sz w:val="20"/>
                <w:szCs w:val="20"/>
              </w:rPr>
            </w:pPr>
            <w:r>
              <w:rPr>
                <w:sz w:val="20"/>
                <w:szCs w:val="20"/>
              </w:rPr>
              <w:t>35</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lang w:val="en-US"/>
              </w:rPr>
            </w:pPr>
            <w:r>
              <w:rPr>
                <w:sz w:val="20"/>
                <w:szCs w:val="20"/>
                <w:lang w:val="en-US"/>
              </w:rPr>
              <w:t>Gradual eradication of child labour in the waste sector within the municipalities of San Luis Talpa, department of La Paz (OEF, El Salvador).</w:t>
            </w:r>
          </w:p>
        </w:tc>
        <w:tc>
          <w:tcPr>
            <w:tcW w:w="748" w:type="pct"/>
            <w:vAlign w:val="center"/>
          </w:tcPr>
          <w:p w:rsidR="00CD2A5A" w:rsidRDefault="00CD2A5A">
            <w:pPr>
              <w:spacing w:before="40" w:after="40"/>
              <w:rPr>
                <w:sz w:val="20"/>
                <w:szCs w:val="20"/>
              </w:rPr>
            </w:pPr>
            <w:r>
              <w:rPr>
                <w:sz w:val="20"/>
                <w:szCs w:val="20"/>
              </w:rPr>
              <w:t>Refuse tips</w:t>
            </w:r>
          </w:p>
        </w:tc>
        <w:tc>
          <w:tcPr>
            <w:tcW w:w="720" w:type="pct"/>
            <w:vAlign w:val="center"/>
          </w:tcPr>
          <w:p w:rsidR="00CD2A5A" w:rsidRDefault="00CD2A5A">
            <w:pPr>
              <w:spacing w:before="40" w:after="40"/>
              <w:rPr>
                <w:sz w:val="20"/>
                <w:szCs w:val="20"/>
              </w:rPr>
            </w:pPr>
            <w:r>
              <w:rPr>
                <w:sz w:val="20"/>
                <w:szCs w:val="20"/>
              </w:rPr>
              <w:t>Paracentral</w:t>
            </w:r>
          </w:p>
        </w:tc>
        <w:tc>
          <w:tcPr>
            <w:tcW w:w="723" w:type="pct"/>
            <w:vAlign w:val="center"/>
          </w:tcPr>
          <w:p w:rsidR="00CD2A5A" w:rsidRDefault="00CD2A5A">
            <w:pPr>
              <w:spacing w:before="40" w:after="40"/>
              <w:rPr>
                <w:sz w:val="20"/>
                <w:szCs w:val="20"/>
              </w:rPr>
            </w:pPr>
            <w:r>
              <w:rPr>
                <w:sz w:val="20"/>
                <w:szCs w:val="20"/>
              </w:rPr>
              <w:t>90</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rPr>
            </w:pPr>
            <w:r>
              <w:rPr>
                <w:sz w:val="20"/>
                <w:szCs w:val="20"/>
                <w:lang w:val="en-US"/>
              </w:rPr>
              <w:t xml:space="preserve">Gradual eradication of child labour in the Usulután markets. </w:t>
            </w:r>
            <w:r>
              <w:rPr>
                <w:sz w:val="20"/>
                <w:szCs w:val="20"/>
              </w:rPr>
              <w:t>(CRS)</w:t>
            </w:r>
          </w:p>
        </w:tc>
        <w:tc>
          <w:tcPr>
            <w:tcW w:w="748" w:type="pct"/>
            <w:vAlign w:val="center"/>
          </w:tcPr>
          <w:p w:rsidR="00CD2A5A" w:rsidRDefault="00CD2A5A">
            <w:pPr>
              <w:spacing w:before="40" w:after="40"/>
              <w:rPr>
                <w:sz w:val="20"/>
                <w:szCs w:val="20"/>
              </w:rPr>
            </w:pPr>
            <w:r>
              <w:rPr>
                <w:sz w:val="20"/>
                <w:szCs w:val="20"/>
              </w:rPr>
              <w:t>Markets</w:t>
            </w:r>
          </w:p>
        </w:tc>
        <w:tc>
          <w:tcPr>
            <w:tcW w:w="720" w:type="pct"/>
            <w:vAlign w:val="center"/>
          </w:tcPr>
          <w:p w:rsidR="00CD2A5A" w:rsidRDefault="00CD2A5A">
            <w:pPr>
              <w:spacing w:before="40" w:after="40"/>
              <w:rPr>
                <w:sz w:val="20"/>
                <w:szCs w:val="20"/>
              </w:rPr>
            </w:pPr>
            <w:r>
              <w:rPr>
                <w:sz w:val="20"/>
                <w:szCs w:val="20"/>
              </w:rPr>
              <w:t>East</w:t>
            </w:r>
          </w:p>
        </w:tc>
        <w:tc>
          <w:tcPr>
            <w:tcW w:w="723" w:type="pct"/>
            <w:vAlign w:val="center"/>
          </w:tcPr>
          <w:p w:rsidR="00CD2A5A" w:rsidRDefault="00CD2A5A">
            <w:pPr>
              <w:spacing w:before="40" w:after="40"/>
              <w:rPr>
                <w:sz w:val="20"/>
                <w:szCs w:val="20"/>
              </w:rPr>
            </w:pP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rPr>
            </w:pPr>
            <w:r>
              <w:rPr>
                <w:sz w:val="20"/>
                <w:szCs w:val="20"/>
                <w:lang w:val="en-US"/>
              </w:rPr>
              <w:t xml:space="preserve">Gradual eradication of child labour in the waste sector within the municipality of Tecoluca, department of San Vicente. </w:t>
            </w:r>
            <w:r>
              <w:rPr>
                <w:sz w:val="20"/>
                <w:szCs w:val="20"/>
              </w:rPr>
              <w:t>(OEF, El Salvador).</w:t>
            </w:r>
          </w:p>
        </w:tc>
        <w:tc>
          <w:tcPr>
            <w:tcW w:w="748" w:type="pct"/>
            <w:vAlign w:val="center"/>
          </w:tcPr>
          <w:p w:rsidR="00CD2A5A" w:rsidRDefault="00CD2A5A">
            <w:pPr>
              <w:spacing w:before="40" w:after="40"/>
              <w:rPr>
                <w:sz w:val="20"/>
                <w:szCs w:val="20"/>
              </w:rPr>
            </w:pPr>
            <w:r>
              <w:rPr>
                <w:sz w:val="20"/>
                <w:szCs w:val="20"/>
              </w:rPr>
              <w:t>Refuse tips</w:t>
            </w:r>
          </w:p>
        </w:tc>
        <w:tc>
          <w:tcPr>
            <w:tcW w:w="720" w:type="pct"/>
            <w:vAlign w:val="center"/>
          </w:tcPr>
          <w:p w:rsidR="00CD2A5A" w:rsidRDefault="00CD2A5A">
            <w:pPr>
              <w:spacing w:before="40" w:after="40"/>
              <w:rPr>
                <w:sz w:val="20"/>
                <w:szCs w:val="20"/>
              </w:rPr>
            </w:pPr>
            <w:r>
              <w:rPr>
                <w:sz w:val="20"/>
                <w:szCs w:val="20"/>
              </w:rPr>
              <w:t>Paracentral</w:t>
            </w:r>
          </w:p>
        </w:tc>
        <w:tc>
          <w:tcPr>
            <w:tcW w:w="723" w:type="pct"/>
            <w:vAlign w:val="center"/>
          </w:tcPr>
          <w:p w:rsidR="00CD2A5A" w:rsidRDefault="00CD2A5A">
            <w:pPr>
              <w:spacing w:before="40" w:after="40"/>
              <w:rPr>
                <w:sz w:val="20"/>
                <w:szCs w:val="20"/>
              </w:rPr>
            </w:pPr>
            <w:r>
              <w:rPr>
                <w:sz w:val="20"/>
                <w:szCs w:val="20"/>
              </w:rPr>
              <w:t>68</w:t>
            </w:r>
          </w:p>
        </w:tc>
      </w:tr>
      <w:tr w:rsidR="00CD2A5A">
        <w:tblPrEx>
          <w:tblCellMar>
            <w:top w:w="0" w:type="dxa"/>
            <w:bottom w:w="0" w:type="dxa"/>
          </w:tblCellMar>
        </w:tblPrEx>
        <w:trPr>
          <w:jc w:val="center"/>
        </w:trPr>
        <w:tc>
          <w:tcPr>
            <w:tcW w:w="2809" w:type="pct"/>
            <w:vAlign w:val="center"/>
          </w:tcPr>
          <w:p w:rsidR="00CD2A5A" w:rsidRDefault="00CD2A5A">
            <w:pPr>
              <w:spacing w:before="40" w:after="40"/>
              <w:rPr>
                <w:sz w:val="20"/>
                <w:szCs w:val="20"/>
              </w:rPr>
            </w:pPr>
            <w:r>
              <w:rPr>
                <w:sz w:val="20"/>
                <w:szCs w:val="20"/>
                <w:lang w:val="en-US"/>
              </w:rPr>
              <w:t xml:space="preserve">Eradication of child labour in the sugarcane sector in the municipality of Chalchuapa, department of La Paz. </w:t>
            </w:r>
            <w:r>
              <w:rPr>
                <w:sz w:val="20"/>
                <w:szCs w:val="20"/>
              </w:rPr>
              <w:t>(OEF, El Salvador).</w:t>
            </w:r>
          </w:p>
        </w:tc>
        <w:tc>
          <w:tcPr>
            <w:tcW w:w="748" w:type="pct"/>
            <w:vAlign w:val="center"/>
          </w:tcPr>
          <w:p w:rsidR="00CD2A5A" w:rsidRDefault="00CD2A5A">
            <w:pPr>
              <w:spacing w:before="40" w:after="40"/>
              <w:rPr>
                <w:sz w:val="20"/>
                <w:szCs w:val="20"/>
              </w:rPr>
            </w:pPr>
            <w:r>
              <w:rPr>
                <w:sz w:val="20"/>
                <w:szCs w:val="20"/>
              </w:rPr>
              <w:t>Refuse tips</w:t>
            </w:r>
          </w:p>
        </w:tc>
        <w:tc>
          <w:tcPr>
            <w:tcW w:w="720" w:type="pct"/>
            <w:vAlign w:val="center"/>
          </w:tcPr>
          <w:p w:rsidR="00CD2A5A" w:rsidRDefault="00CD2A5A">
            <w:pPr>
              <w:spacing w:before="40" w:after="40"/>
              <w:rPr>
                <w:sz w:val="20"/>
                <w:szCs w:val="20"/>
              </w:rPr>
            </w:pPr>
            <w:r>
              <w:rPr>
                <w:sz w:val="20"/>
                <w:szCs w:val="20"/>
              </w:rPr>
              <w:t>West</w:t>
            </w:r>
          </w:p>
        </w:tc>
        <w:tc>
          <w:tcPr>
            <w:tcW w:w="723" w:type="pct"/>
            <w:vAlign w:val="center"/>
          </w:tcPr>
          <w:p w:rsidR="00CD2A5A" w:rsidRDefault="00CD2A5A">
            <w:pPr>
              <w:spacing w:before="40" w:after="40"/>
              <w:rPr>
                <w:sz w:val="20"/>
                <w:szCs w:val="20"/>
              </w:rPr>
            </w:pPr>
            <w:r>
              <w:rPr>
                <w:sz w:val="20"/>
                <w:szCs w:val="20"/>
              </w:rPr>
              <w:t>169</w:t>
            </w:r>
          </w:p>
        </w:tc>
      </w:tr>
    </w:tbl>
    <w:p w:rsidR="00CD2A5A" w:rsidRDefault="00CD2A5A">
      <w:pPr>
        <w:pStyle w:val="Source"/>
        <w:rPr>
          <w:lang w:val="es-ES_tradnl"/>
        </w:rPr>
      </w:pPr>
      <w:r>
        <w:rPr>
          <w:i/>
          <w:lang w:val="es-ES_tradnl"/>
        </w:rPr>
        <w:t>Source</w:t>
      </w:r>
      <w:r>
        <w:rPr>
          <w:lang w:val="es-ES_tradnl"/>
        </w:rPr>
        <w:t>: IPEC-ILO, El Salvador.</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During the development of Direct Action Projects within the framework of stage one of the Limited Duration Programme (above table), the Ministry of Employment and Social Security worked with the Implementing Agencies through its Unit for the Eradication of Child Labour (UETI) in order to achieve institutional coordination and reach out to the people who benefit from such projects. These coordination measures included the following:</w:t>
      </w:r>
    </w:p>
    <w:p w:rsidR="00CD2A5A" w:rsidRDefault="00CD2A5A">
      <w:pPr>
        <w:numPr>
          <w:ilvl w:val="1"/>
          <w:numId w:val="3"/>
        </w:numPr>
        <w:tabs>
          <w:tab w:val="clear" w:pos="1200"/>
        </w:tabs>
        <w:spacing w:after="240"/>
        <w:ind w:left="0" w:firstLine="567"/>
        <w:rPr>
          <w:lang w:val="en-US"/>
        </w:rPr>
      </w:pPr>
      <w:r>
        <w:rPr>
          <w:lang w:val="en-US"/>
        </w:rPr>
        <w:t>Visits to the project location. Unit technicians visited the direct action projects in order to work and offer the institutional services of the Ministry of Employment and Social Security in addition to the government services offered by Members of the National Committee for the Eradication of the Worst Forms of Child Labour;</w:t>
      </w:r>
    </w:p>
    <w:p w:rsidR="00CD2A5A" w:rsidRDefault="00CD2A5A">
      <w:pPr>
        <w:numPr>
          <w:ilvl w:val="1"/>
          <w:numId w:val="3"/>
        </w:numPr>
        <w:tabs>
          <w:tab w:val="clear" w:pos="1200"/>
        </w:tabs>
        <w:spacing w:after="240"/>
        <w:ind w:left="0" w:firstLine="567"/>
        <w:rPr>
          <w:lang w:val="en-US"/>
        </w:rPr>
      </w:pPr>
      <w:r>
        <w:rPr>
          <w:lang w:val="en-US"/>
        </w:rPr>
        <w:t>Institutional backup to NGOs: to stimulate the appropriation of procedures and strategies for the eradication of child labour. Discussions and workshops were run with the participation of ILO-IPEC;</w:t>
      </w:r>
    </w:p>
    <w:p w:rsidR="00CD2A5A" w:rsidRDefault="00CD2A5A">
      <w:pPr>
        <w:numPr>
          <w:ilvl w:val="1"/>
          <w:numId w:val="3"/>
        </w:numPr>
        <w:tabs>
          <w:tab w:val="clear" w:pos="1200"/>
        </w:tabs>
        <w:spacing w:after="240"/>
        <w:ind w:left="0" w:firstLine="567"/>
        <w:rPr>
          <w:lang w:val="en-US"/>
        </w:rPr>
      </w:pPr>
      <w:r>
        <w:rPr>
          <w:lang w:val="en-US"/>
        </w:rPr>
        <w:t>Talks with the target communities. The UETI coordinated activities with the Implementing Agencies as part of its aim of socialising the National Plan for the Eradication of the Worst Forms of Child Labour;</w:t>
      </w:r>
    </w:p>
    <w:p w:rsidR="00CD2A5A" w:rsidRDefault="00CD2A5A">
      <w:pPr>
        <w:numPr>
          <w:ilvl w:val="1"/>
          <w:numId w:val="3"/>
        </w:numPr>
        <w:tabs>
          <w:tab w:val="clear" w:pos="1200"/>
        </w:tabs>
        <w:spacing w:after="240"/>
        <w:ind w:left="0" w:firstLine="567"/>
        <w:rPr>
          <w:lang w:val="en-US"/>
        </w:rPr>
      </w:pPr>
      <w:r>
        <w:rPr>
          <w:lang w:val="en-US"/>
        </w:rPr>
        <w:t>Celebrations for the International Day of the Child. During October 2006, the UETI, in conjunction with FUNDAZUCAR, held celebrations for the International Day of the Child in various schools at national level, with cultural, sports and recreational activities.</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The Ministry of Employment and Social Security runs a training programme for Employment Inspectors with the aim of increasing the efficacy and efficiency of institutional action. The topics covered include, for example, gender equality, combating the commercial sexual exploitation of children and adolescents and systems for inspecting employment and discrimination at work. </w:t>
      </w:r>
    </w:p>
    <w:p w:rsidR="00CD2A5A" w:rsidRDefault="00CD2A5A">
      <w:pPr>
        <w:pStyle w:val="Header"/>
        <w:numPr>
          <w:ilvl w:val="0"/>
          <w:numId w:val="3"/>
        </w:numPr>
        <w:tabs>
          <w:tab w:val="clear" w:pos="720"/>
          <w:tab w:val="clear" w:pos="4252"/>
        </w:tabs>
        <w:spacing w:after="240"/>
        <w:ind w:left="0" w:firstLine="0"/>
        <w:rPr>
          <w:lang w:val="en-GB"/>
        </w:rPr>
      </w:pPr>
      <w:r>
        <w:rPr>
          <w:lang w:val="en-GB"/>
        </w:rPr>
        <w:t>Annex XXII sets out the topics covered in the “Continuing Development Programme for Inspectors” throughout the period 2004–2007 and the number of officials benefiting from the scheme.</w:t>
      </w:r>
    </w:p>
    <w:p w:rsidR="00CD2A5A" w:rsidRDefault="00CD2A5A" w:rsidP="006228EF">
      <w:pPr>
        <w:pStyle w:val="A0"/>
      </w:pPr>
      <w:r>
        <w:t>F.  Children belonging to minorities or indigenous groups</w:t>
      </w:r>
    </w:p>
    <w:p w:rsidR="00CD2A5A" w:rsidRDefault="00CD2A5A">
      <w:pPr>
        <w:pStyle w:val="Header"/>
        <w:numPr>
          <w:ilvl w:val="0"/>
          <w:numId w:val="3"/>
        </w:numPr>
        <w:tabs>
          <w:tab w:val="clear" w:pos="720"/>
          <w:tab w:val="clear" w:pos="4252"/>
        </w:tabs>
        <w:autoSpaceDE w:val="0"/>
        <w:autoSpaceDN w:val="0"/>
        <w:adjustRightInd w:val="0"/>
        <w:spacing w:after="240"/>
        <w:ind w:left="0" w:firstLine="0"/>
        <w:rPr>
          <w:lang w:val="en-GB"/>
        </w:rPr>
      </w:pPr>
      <w:r>
        <w:rPr>
          <w:lang w:val="en-GB"/>
        </w:rPr>
        <w:t>The National Committee for Culture and Art (CONCULTURA) has set up an Indigenous Affairs Unit, which has organised the following activities in conjunction with the Ministry of Education: the teaching of N’ahuatl in the microregion of Sonsonate, in the Municipalities of Juayúa, Nahuizalco, Salcoatitán, Santa Isabel and Ishuatán; teaching of N’ahuatl at Casas de la Cultura de Santo Domingo de Guzmán in Sonsonate, and Tacuba in Ahuachapán, an initiative of the private organization Institute for the Preservation of the N’ahuatl Language (IRIN); preparation of texts in N’ahuatl for the preservation of the language and the setting-up of clubs for N’ahuatl-speaking adults - and participation in the “Bilingual Intercultural Education in Central America” project (indigenous education).</w:t>
      </w:r>
    </w:p>
    <w:p w:rsidR="00CD2A5A" w:rsidRDefault="00CD2A5A">
      <w:pPr>
        <w:numPr>
          <w:ilvl w:val="0"/>
          <w:numId w:val="3"/>
        </w:numPr>
        <w:tabs>
          <w:tab w:val="clear" w:pos="720"/>
        </w:tabs>
        <w:spacing w:after="240"/>
        <w:ind w:left="0" w:firstLine="0"/>
        <w:rPr>
          <w:lang w:val="en-US"/>
        </w:rPr>
      </w:pPr>
      <w:r>
        <w:rPr>
          <w:lang w:val="en-US"/>
        </w:rPr>
        <w:t>The Ministry of Education and CONCULTURA also jointly developed the Project for Preservation of the N'ahuatl Language in El Salvador. The project basically consisted of drawing up a sociolinguistic map of El Salvador through local research; the preparation of language learning booklets; procedural guides for language teaching - and the training of teachers from 25 schools in the departments of Sonsonate and Ahuachapán.</w:t>
      </w:r>
    </w:p>
    <w:p w:rsidR="00CD2A5A" w:rsidRDefault="00CD2A5A">
      <w:pPr>
        <w:spacing w:after="240"/>
        <w:rPr>
          <w:lang w:val="en-US"/>
        </w:rPr>
      </w:pPr>
      <w:r>
        <w:rPr>
          <w:lang w:val="en-US"/>
        </w:rPr>
        <w:t>Linguistic conferences were also held that led to new know-how and research into the language.</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Achievements of the above project, which has been ongoing since 2006 with the participation of MINED, include:</w:t>
      </w:r>
    </w:p>
    <w:p w:rsidR="00CD2A5A" w:rsidRDefault="00CD2A5A">
      <w:pPr>
        <w:spacing w:after="240"/>
        <w:ind w:firstLine="567"/>
        <w:rPr>
          <w:lang w:val="en-US"/>
        </w:rPr>
      </w:pPr>
      <w:r>
        <w:rPr>
          <w:lang w:val="en-US"/>
        </w:rPr>
        <w:t xml:space="preserve">a) </w:t>
      </w:r>
      <w:r>
        <w:rPr>
          <w:lang w:val="en-US"/>
        </w:rPr>
        <w:tab/>
        <w:t>Drawing up of a “Teacher Profile for Bilingual Intercultural Education” and “Technical-Educational Guidelines for Bilingual Intercultural Education in Central America”, awaiting approval;</w:t>
      </w:r>
    </w:p>
    <w:p w:rsidR="00CD2A5A" w:rsidRDefault="00CD2A5A">
      <w:pPr>
        <w:spacing w:after="240"/>
        <w:ind w:firstLine="567"/>
        <w:rPr>
          <w:lang w:val="en-US"/>
        </w:rPr>
      </w:pPr>
      <w:r>
        <w:rPr>
          <w:lang w:val="en-US"/>
        </w:rPr>
        <w:t xml:space="preserve">b) </w:t>
      </w:r>
      <w:r>
        <w:rPr>
          <w:lang w:val="en-US"/>
        </w:rPr>
        <w:tab/>
        <w:t>Profile of Indigenous Peoples in El Salvador (CONCULTURA document /2004), giving information on their historical background, their current situation and their future prospects.</w:t>
      </w:r>
    </w:p>
    <w:p w:rsidR="00CD2A5A" w:rsidRDefault="00CD2A5A">
      <w:pPr>
        <w:pStyle w:val="Header"/>
        <w:numPr>
          <w:ilvl w:val="0"/>
          <w:numId w:val="3"/>
        </w:numPr>
        <w:tabs>
          <w:tab w:val="clear" w:pos="720"/>
          <w:tab w:val="clear" w:pos="4252"/>
        </w:tabs>
        <w:spacing w:after="240"/>
        <w:ind w:left="0" w:firstLine="0"/>
        <w:rPr>
          <w:lang w:val="en-GB"/>
        </w:rPr>
      </w:pPr>
      <w:r>
        <w:rPr>
          <w:lang w:val="en-GB"/>
        </w:rPr>
        <w:t>CONCULTURA has worked on indigenous culture with the Salvadoran Institute for Women’s Development (ISDEMU), including components of promoting identity, indigenous rights, traditional health and medicine, research and publications on indigenous matters, support for the development of indigenous women, etc.</w:t>
      </w:r>
    </w:p>
    <w:p w:rsidR="00CD2A5A" w:rsidRDefault="00CD2A5A">
      <w:pPr>
        <w:pStyle w:val="Header"/>
        <w:numPr>
          <w:ilvl w:val="0"/>
          <w:numId w:val="3"/>
        </w:numPr>
        <w:tabs>
          <w:tab w:val="clear" w:pos="720"/>
          <w:tab w:val="clear" w:pos="4252"/>
        </w:tabs>
        <w:spacing w:after="240"/>
        <w:ind w:left="0" w:firstLine="0"/>
        <w:rPr>
          <w:lang w:val="en-GB"/>
        </w:rPr>
      </w:pPr>
      <w:r>
        <w:rPr>
          <w:lang w:val="en-GB"/>
        </w:rPr>
        <w:t>In the area of literacy, 52% of participants in the Basic Literacy Programme for adults are women, of which a significant percentage of whom are indigenous women from the Department of Sonsonate.</w:t>
      </w:r>
    </w:p>
    <w:p w:rsidR="00CD2A5A" w:rsidRDefault="00CD2A5A">
      <w:pPr>
        <w:pStyle w:val="Header"/>
        <w:numPr>
          <w:ilvl w:val="0"/>
          <w:numId w:val="3"/>
        </w:numPr>
        <w:tabs>
          <w:tab w:val="clear" w:pos="720"/>
          <w:tab w:val="clear" w:pos="4252"/>
        </w:tabs>
        <w:spacing w:after="240"/>
        <w:ind w:left="0" w:firstLine="0"/>
        <w:rPr>
          <w:lang w:val="en-GB"/>
        </w:rPr>
      </w:pPr>
      <w:r>
        <w:rPr>
          <w:lang w:val="en-GB"/>
        </w:rPr>
        <w:t>An equal opportunities plan has also been developed that involves 16 municipalities from the Department of Sonsonate, where most of the indigenous population is concentrated: Sonsonate, Nahuizalco, Santo Domingo de Guzmán (which also benefits from the Solidarity Network Programme), Nahuilingo, Sonsacate, San Antonio del Monte, Acajutla, Izalco, Armenia, San Julián, Santa Isabel Ishuatán, CuisN’ahuatl, Caluco, Juayúa, Santa Catarina Masahuat and Salcoatitán.</w:t>
      </w:r>
    </w:p>
    <w:p w:rsidR="00CD2A5A" w:rsidRDefault="00CD2A5A">
      <w:pPr>
        <w:pStyle w:val="Header"/>
        <w:keepNext/>
        <w:tabs>
          <w:tab w:val="clear" w:pos="4252"/>
        </w:tabs>
        <w:spacing w:after="240"/>
        <w:rPr>
          <w:lang w:val="en-GB"/>
        </w:rPr>
      </w:pPr>
      <w:r>
        <w:rPr>
          <w:lang w:val="en-GB"/>
        </w:rPr>
        <w:t>In the area of gender equality, the Indigenous Affairs Unit is working to implement the National Women's Policy in two areas of action, namely:</w:t>
      </w:r>
    </w:p>
    <w:p w:rsidR="00CD2A5A" w:rsidRDefault="00CD2A5A">
      <w:pPr>
        <w:numPr>
          <w:ilvl w:val="1"/>
          <w:numId w:val="3"/>
        </w:numPr>
        <w:tabs>
          <w:tab w:val="clear" w:pos="1200"/>
        </w:tabs>
        <w:spacing w:after="240"/>
        <w:ind w:left="0" w:firstLine="567"/>
        <w:rPr>
          <w:lang w:val="en-US"/>
        </w:rPr>
      </w:pPr>
      <w:r>
        <w:rPr>
          <w:lang w:val="en-US"/>
        </w:rPr>
        <w:t>The Gender Information and Indicator System: gender and equality information and indicators as established in the Fourth World Conference on Women and the Millennium Development Goals;</w:t>
      </w:r>
    </w:p>
    <w:p w:rsidR="00CD2A5A" w:rsidRDefault="00CD2A5A">
      <w:pPr>
        <w:numPr>
          <w:ilvl w:val="1"/>
          <w:numId w:val="3"/>
        </w:numPr>
        <w:tabs>
          <w:tab w:val="clear" w:pos="1200"/>
        </w:tabs>
        <w:spacing w:after="240"/>
        <w:ind w:left="0" w:firstLine="567"/>
        <w:rPr>
          <w:lang w:val="en-US"/>
        </w:rPr>
      </w:pPr>
      <w:r>
        <w:rPr>
          <w:lang w:val="en-US"/>
        </w:rPr>
        <w:t>Institution-building: research into the situation of gender in El Salvador; changing the discriminatory practices occurring in the classroom and in community dynamics.</w:t>
      </w:r>
    </w:p>
    <w:p w:rsidR="00CD2A5A" w:rsidRDefault="00CD2A5A">
      <w:pPr>
        <w:pStyle w:val="Header"/>
        <w:numPr>
          <w:ilvl w:val="0"/>
          <w:numId w:val="3"/>
        </w:numPr>
        <w:tabs>
          <w:tab w:val="clear" w:pos="720"/>
          <w:tab w:val="clear" w:pos="4252"/>
        </w:tabs>
        <w:autoSpaceDE w:val="0"/>
        <w:autoSpaceDN w:val="0"/>
        <w:adjustRightInd w:val="0"/>
        <w:spacing w:after="240"/>
        <w:ind w:left="0" w:firstLine="0"/>
        <w:rPr>
          <w:lang w:val="en-GB"/>
        </w:rPr>
      </w:pPr>
      <w:r>
        <w:rPr>
          <w:lang w:val="en-GB"/>
        </w:rPr>
        <w:t>As far as campaigns carried out for indigenous children are concerned, CONCULTURA is developing the project “Revitalisation of the N’ahuatl language”, in conjunction with Universidad Don Bosco and MINED. The following table shows the coverage for children benefiting from the project during the reporting period.</w:t>
      </w:r>
    </w:p>
    <w:p w:rsidR="00CD2A5A" w:rsidRDefault="00CD2A5A" w:rsidP="00684E3C">
      <w:pPr>
        <w:pStyle w:val="Figure"/>
        <w:spacing w:after="120"/>
      </w:pPr>
      <w:r>
        <w:t>Figure 92</w:t>
      </w:r>
    </w:p>
    <w:p w:rsidR="00CD2A5A" w:rsidRDefault="00CD2A5A" w:rsidP="00684E3C">
      <w:pPr>
        <w:pStyle w:val="Figure"/>
        <w:spacing w:after="120"/>
      </w:pPr>
      <w:r>
        <w:t>Pupils benefiting by school and municipality</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3"/>
        <w:gridCol w:w="4052"/>
        <w:gridCol w:w="2508"/>
        <w:gridCol w:w="1779"/>
      </w:tblGrid>
      <w:tr w:rsidR="00CD2A5A">
        <w:tblPrEx>
          <w:tblCellMar>
            <w:top w:w="0" w:type="dxa"/>
            <w:bottom w:w="0" w:type="dxa"/>
          </w:tblCellMar>
        </w:tblPrEx>
        <w:trPr>
          <w:jc w:val="center"/>
        </w:trPr>
        <w:tc>
          <w:tcPr>
            <w:tcW w:w="1073" w:type="dxa"/>
            <w:vAlign w:val="center"/>
          </w:tcPr>
          <w:p w:rsidR="00CD2A5A" w:rsidRDefault="00CD2A5A">
            <w:pPr>
              <w:autoSpaceDE w:val="0"/>
              <w:autoSpaceDN w:val="0"/>
              <w:adjustRightInd w:val="0"/>
              <w:spacing w:before="40" w:after="40"/>
              <w:jc w:val="center"/>
              <w:rPr>
                <w:b/>
                <w:i/>
                <w:sz w:val="20"/>
                <w:szCs w:val="20"/>
              </w:rPr>
            </w:pPr>
            <w:r>
              <w:rPr>
                <w:b/>
                <w:i/>
                <w:sz w:val="20"/>
                <w:szCs w:val="20"/>
              </w:rPr>
              <w:t>Year</w:t>
            </w:r>
          </w:p>
        </w:tc>
        <w:tc>
          <w:tcPr>
            <w:tcW w:w="4052" w:type="dxa"/>
            <w:vAlign w:val="center"/>
          </w:tcPr>
          <w:p w:rsidR="00CD2A5A" w:rsidRDefault="00CD2A5A">
            <w:pPr>
              <w:autoSpaceDE w:val="0"/>
              <w:autoSpaceDN w:val="0"/>
              <w:adjustRightInd w:val="0"/>
              <w:spacing w:before="40" w:after="40"/>
              <w:jc w:val="center"/>
              <w:rPr>
                <w:b/>
                <w:i/>
                <w:sz w:val="20"/>
                <w:szCs w:val="20"/>
              </w:rPr>
            </w:pPr>
            <w:r>
              <w:rPr>
                <w:b/>
                <w:i/>
                <w:sz w:val="20"/>
                <w:szCs w:val="20"/>
              </w:rPr>
              <w:t>School</w:t>
            </w:r>
          </w:p>
        </w:tc>
        <w:tc>
          <w:tcPr>
            <w:tcW w:w="2508" w:type="dxa"/>
            <w:vAlign w:val="center"/>
          </w:tcPr>
          <w:p w:rsidR="00CD2A5A" w:rsidRDefault="00CD2A5A">
            <w:pPr>
              <w:autoSpaceDE w:val="0"/>
              <w:autoSpaceDN w:val="0"/>
              <w:adjustRightInd w:val="0"/>
              <w:spacing w:before="40" w:after="40"/>
              <w:jc w:val="center"/>
              <w:rPr>
                <w:b/>
                <w:i/>
                <w:sz w:val="20"/>
                <w:szCs w:val="20"/>
              </w:rPr>
            </w:pPr>
            <w:r>
              <w:rPr>
                <w:b/>
                <w:i/>
                <w:sz w:val="20"/>
                <w:szCs w:val="20"/>
              </w:rPr>
              <w:t>Municipality</w:t>
            </w:r>
          </w:p>
        </w:tc>
        <w:tc>
          <w:tcPr>
            <w:tcW w:w="1779" w:type="dxa"/>
            <w:vAlign w:val="center"/>
          </w:tcPr>
          <w:p w:rsidR="00CD2A5A" w:rsidRDefault="00CD2A5A">
            <w:pPr>
              <w:autoSpaceDE w:val="0"/>
              <w:autoSpaceDN w:val="0"/>
              <w:adjustRightInd w:val="0"/>
              <w:spacing w:before="40" w:after="40"/>
              <w:jc w:val="center"/>
              <w:rPr>
                <w:b/>
                <w:i/>
                <w:sz w:val="20"/>
                <w:szCs w:val="20"/>
              </w:rPr>
            </w:pPr>
            <w:r>
              <w:rPr>
                <w:b/>
                <w:i/>
                <w:sz w:val="20"/>
                <w:szCs w:val="20"/>
              </w:rPr>
              <w:t>Pupils</w:t>
            </w:r>
          </w:p>
        </w:tc>
      </w:tr>
      <w:tr w:rsidR="00CD2A5A">
        <w:tblPrEx>
          <w:tblCellMar>
            <w:top w:w="0" w:type="dxa"/>
            <w:bottom w:w="0" w:type="dxa"/>
          </w:tblCellMar>
        </w:tblPrEx>
        <w:trPr>
          <w:cantSplit/>
          <w:jc w:val="center"/>
        </w:trPr>
        <w:tc>
          <w:tcPr>
            <w:tcW w:w="1073" w:type="dxa"/>
            <w:vMerge w:val="restart"/>
            <w:vAlign w:val="center"/>
          </w:tcPr>
          <w:p w:rsidR="00CD2A5A" w:rsidRDefault="00CD2A5A">
            <w:pPr>
              <w:autoSpaceDE w:val="0"/>
              <w:autoSpaceDN w:val="0"/>
              <w:adjustRightInd w:val="0"/>
              <w:spacing w:before="40" w:after="40"/>
              <w:rPr>
                <w:sz w:val="20"/>
                <w:szCs w:val="20"/>
              </w:rPr>
            </w:pPr>
            <w:r>
              <w:rPr>
                <w:sz w:val="20"/>
                <w:szCs w:val="20"/>
              </w:rPr>
              <w:t>2004</w:t>
            </w:r>
          </w:p>
        </w:tc>
        <w:tc>
          <w:tcPr>
            <w:tcW w:w="4052" w:type="dxa"/>
          </w:tcPr>
          <w:p w:rsidR="00CD2A5A" w:rsidRDefault="00CD2A5A">
            <w:pPr>
              <w:autoSpaceDE w:val="0"/>
              <w:autoSpaceDN w:val="0"/>
              <w:adjustRightInd w:val="0"/>
              <w:spacing w:before="40" w:after="40"/>
              <w:rPr>
                <w:sz w:val="20"/>
                <w:szCs w:val="20"/>
              </w:rPr>
            </w:pPr>
            <w:r>
              <w:rPr>
                <w:sz w:val="20"/>
                <w:szCs w:val="20"/>
              </w:rPr>
              <w:t>Dr. Mario Calvo Marroquín</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105</w:t>
            </w:r>
          </w:p>
        </w:tc>
      </w:tr>
      <w:tr w:rsidR="00CD2A5A">
        <w:tblPrEx>
          <w:tblCellMar>
            <w:top w:w="0" w:type="dxa"/>
            <w:bottom w:w="0" w:type="dxa"/>
          </w:tblCellMar>
        </w:tblPrEx>
        <w:trPr>
          <w:cantSplit/>
          <w:jc w:val="center"/>
        </w:trPr>
        <w:tc>
          <w:tcPr>
            <w:tcW w:w="1073" w:type="dxa"/>
            <w:vMerge/>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Pablo Sexto</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Nahuizalco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75</w:t>
            </w:r>
          </w:p>
        </w:tc>
      </w:tr>
      <w:tr w:rsidR="00CD2A5A">
        <w:tblPrEx>
          <w:tblCellMar>
            <w:top w:w="0" w:type="dxa"/>
            <w:bottom w:w="0" w:type="dxa"/>
          </w:tblCellMar>
        </w:tblPrEx>
        <w:trPr>
          <w:cantSplit/>
          <w:jc w:val="center"/>
        </w:trPr>
        <w:tc>
          <w:tcPr>
            <w:tcW w:w="1073" w:type="dxa"/>
            <w:vMerge w:val="restart"/>
            <w:vAlign w:val="center"/>
          </w:tcPr>
          <w:p w:rsidR="00CD2A5A" w:rsidRDefault="00CD2A5A">
            <w:pPr>
              <w:autoSpaceDE w:val="0"/>
              <w:autoSpaceDN w:val="0"/>
              <w:adjustRightInd w:val="0"/>
              <w:spacing w:before="40" w:after="40"/>
              <w:rPr>
                <w:sz w:val="20"/>
                <w:szCs w:val="20"/>
              </w:rPr>
            </w:pPr>
            <w:r>
              <w:rPr>
                <w:sz w:val="20"/>
                <w:szCs w:val="20"/>
              </w:rPr>
              <w:t>2005</w:t>
            </w:r>
          </w:p>
        </w:tc>
        <w:tc>
          <w:tcPr>
            <w:tcW w:w="4052" w:type="dxa"/>
          </w:tcPr>
          <w:p w:rsidR="00CD2A5A" w:rsidRDefault="00CD2A5A">
            <w:pPr>
              <w:autoSpaceDE w:val="0"/>
              <w:autoSpaceDN w:val="0"/>
              <w:adjustRightInd w:val="0"/>
              <w:spacing w:before="40" w:after="40"/>
              <w:rPr>
                <w:sz w:val="20"/>
                <w:szCs w:val="20"/>
              </w:rPr>
            </w:pPr>
            <w:r>
              <w:rPr>
                <w:sz w:val="20"/>
                <w:szCs w:val="20"/>
              </w:rPr>
              <w:t>Dr. Mario Calvo Marroquín</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209</w:t>
            </w:r>
          </w:p>
        </w:tc>
      </w:tr>
      <w:tr w:rsidR="00CD2A5A">
        <w:tblPrEx>
          <w:tblCellMar>
            <w:top w:w="0" w:type="dxa"/>
            <w:bottom w:w="0" w:type="dxa"/>
          </w:tblCellMar>
        </w:tblPrEx>
        <w:trPr>
          <w:cantSplit/>
          <w:jc w:val="center"/>
        </w:trPr>
        <w:tc>
          <w:tcPr>
            <w:tcW w:w="1073" w:type="dxa"/>
            <w:vMerge/>
            <w:vAlign w:val="center"/>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Cantón Quebrada Española</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72</w:t>
            </w:r>
          </w:p>
        </w:tc>
      </w:tr>
      <w:tr w:rsidR="00CD2A5A">
        <w:tblPrEx>
          <w:tblCellMar>
            <w:top w:w="0" w:type="dxa"/>
            <w:bottom w:w="0" w:type="dxa"/>
          </w:tblCellMar>
        </w:tblPrEx>
        <w:trPr>
          <w:cantSplit/>
          <w:jc w:val="center"/>
        </w:trPr>
        <w:tc>
          <w:tcPr>
            <w:tcW w:w="1073" w:type="dxa"/>
            <w:vMerge/>
            <w:vAlign w:val="center"/>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Pablo Sexto</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Nahuizalco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150</w:t>
            </w:r>
          </w:p>
        </w:tc>
      </w:tr>
      <w:tr w:rsidR="00CD2A5A">
        <w:tblPrEx>
          <w:tblCellMar>
            <w:top w:w="0" w:type="dxa"/>
            <w:bottom w:w="0" w:type="dxa"/>
          </w:tblCellMar>
        </w:tblPrEx>
        <w:trPr>
          <w:cantSplit/>
          <w:jc w:val="center"/>
        </w:trPr>
        <w:tc>
          <w:tcPr>
            <w:tcW w:w="1073" w:type="dxa"/>
            <w:vMerge/>
            <w:vAlign w:val="center"/>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Cantón Anal Arriba</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Nahuizalco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40</w:t>
            </w:r>
          </w:p>
        </w:tc>
      </w:tr>
      <w:tr w:rsidR="00CD2A5A">
        <w:tblPrEx>
          <w:tblCellMar>
            <w:top w:w="0" w:type="dxa"/>
            <w:bottom w:w="0" w:type="dxa"/>
          </w:tblCellMar>
        </w:tblPrEx>
        <w:trPr>
          <w:cantSplit/>
          <w:jc w:val="center"/>
        </w:trPr>
        <w:tc>
          <w:tcPr>
            <w:tcW w:w="1073" w:type="dxa"/>
            <w:vMerge/>
            <w:vAlign w:val="center"/>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Caserio Santa Teresa</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Armenia</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73</w:t>
            </w:r>
          </w:p>
        </w:tc>
      </w:tr>
      <w:tr w:rsidR="00CD2A5A">
        <w:tblPrEx>
          <w:tblCellMar>
            <w:top w:w="0" w:type="dxa"/>
            <w:bottom w:w="0" w:type="dxa"/>
          </w:tblCellMar>
        </w:tblPrEx>
        <w:trPr>
          <w:cantSplit/>
          <w:jc w:val="center"/>
        </w:trPr>
        <w:tc>
          <w:tcPr>
            <w:tcW w:w="1073" w:type="dxa"/>
            <w:vMerge w:val="restart"/>
            <w:vAlign w:val="center"/>
          </w:tcPr>
          <w:p w:rsidR="00CD2A5A" w:rsidRDefault="00CD2A5A">
            <w:pPr>
              <w:autoSpaceDE w:val="0"/>
              <w:autoSpaceDN w:val="0"/>
              <w:adjustRightInd w:val="0"/>
              <w:spacing w:before="40" w:after="40"/>
              <w:rPr>
                <w:sz w:val="20"/>
                <w:szCs w:val="20"/>
              </w:rPr>
            </w:pPr>
            <w:r>
              <w:rPr>
                <w:sz w:val="20"/>
                <w:szCs w:val="20"/>
              </w:rPr>
              <w:t>2006</w:t>
            </w:r>
          </w:p>
        </w:tc>
        <w:tc>
          <w:tcPr>
            <w:tcW w:w="4052" w:type="dxa"/>
          </w:tcPr>
          <w:p w:rsidR="00CD2A5A" w:rsidRDefault="00CD2A5A">
            <w:pPr>
              <w:autoSpaceDE w:val="0"/>
              <w:autoSpaceDN w:val="0"/>
              <w:adjustRightInd w:val="0"/>
              <w:spacing w:before="40" w:after="40"/>
              <w:rPr>
                <w:sz w:val="20"/>
                <w:szCs w:val="20"/>
              </w:rPr>
            </w:pPr>
            <w:r>
              <w:rPr>
                <w:sz w:val="20"/>
                <w:szCs w:val="20"/>
              </w:rPr>
              <w:t>Dr. Mario Calvo Marroquín</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388</w:t>
            </w:r>
          </w:p>
        </w:tc>
      </w:tr>
      <w:tr w:rsidR="00CD2A5A">
        <w:tblPrEx>
          <w:tblCellMar>
            <w:top w:w="0" w:type="dxa"/>
            <w:bottom w:w="0" w:type="dxa"/>
          </w:tblCellMar>
        </w:tblPrEx>
        <w:trPr>
          <w:cantSplit/>
          <w:jc w:val="center"/>
        </w:trPr>
        <w:tc>
          <w:tcPr>
            <w:tcW w:w="1073" w:type="dxa"/>
            <w:vMerge/>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Cantón Quebrada Española</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145</w:t>
            </w:r>
          </w:p>
        </w:tc>
      </w:tr>
      <w:tr w:rsidR="00CD2A5A">
        <w:tblPrEx>
          <w:tblCellMar>
            <w:top w:w="0" w:type="dxa"/>
            <w:bottom w:w="0" w:type="dxa"/>
          </w:tblCellMar>
        </w:tblPrEx>
        <w:trPr>
          <w:cantSplit/>
          <w:jc w:val="center"/>
        </w:trPr>
        <w:tc>
          <w:tcPr>
            <w:tcW w:w="1073" w:type="dxa"/>
            <w:vMerge/>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Pablo Sexto</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Nahuizalco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213</w:t>
            </w:r>
          </w:p>
        </w:tc>
      </w:tr>
      <w:tr w:rsidR="00CD2A5A">
        <w:tblPrEx>
          <w:tblCellMar>
            <w:top w:w="0" w:type="dxa"/>
            <w:bottom w:w="0" w:type="dxa"/>
          </w:tblCellMar>
        </w:tblPrEx>
        <w:trPr>
          <w:cantSplit/>
          <w:jc w:val="center"/>
        </w:trPr>
        <w:tc>
          <w:tcPr>
            <w:tcW w:w="1073" w:type="dxa"/>
            <w:vMerge/>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Cantón Anal Arriba</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Nahuizalco</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80</w:t>
            </w:r>
          </w:p>
        </w:tc>
      </w:tr>
      <w:tr w:rsidR="00CD2A5A">
        <w:tblPrEx>
          <w:tblCellMar>
            <w:top w:w="0" w:type="dxa"/>
            <w:bottom w:w="0" w:type="dxa"/>
          </w:tblCellMar>
        </w:tblPrEx>
        <w:trPr>
          <w:cantSplit/>
          <w:trHeight w:val="77"/>
          <w:jc w:val="center"/>
        </w:trPr>
        <w:tc>
          <w:tcPr>
            <w:tcW w:w="1073" w:type="dxa"/>
            <w:vMerge/>
          </w:tcPr>
          <w:p w:rsidR="00CD2A5A" w:rsidRDefault="00CD2A5A">
            <w:pPr>
              <w:autoSpaceDE w:val="0"/>
              <w:autoSpaceDN w:val="0"/>
              <w:adjustRightInd w:val="0"/>
              <w:spacing w:before="40" w:after="40"/>
              <w:rPr>
                <w:sz w:val="20"/>
                <w:szCs w:val="20"/>
              </w:rPr>
            </w:pPr>
          </w:p>
        </w:tc>
        <w:tc>
          <w:tcPr>
            <w:tcW w:w="4052" w:type="dxa"/>
          </w:tcPr>
          <w:p w:rsidR="00CD2A5A" w:rsidRDefault="00CD2A5A">
            <w:pPr>
              <w:autoSpaceDE w:val="0"/>
              <w:autoSpaceDN w:val="0"/>
              <w:adjustRightInd w:val="0"/>
              <w:spacing w:before="40" w:after="40"/>
              <w:rPr>
                <w:sz w:val="20"/>
                <w:szCs w:val="20"/>
              </w:rPr>
            </w:pPr>
            <w:r>
              <w:rPr>
                <w:sz w:val="20"/>
                <w:szCs w:val="20"/>
              </w:rPr>
              <w:t>Caserio Santa Teresa</w:t>
            </w:r>
          </w:p>
        </w:tc>
        <w:tc>
          <w:tcPr>
            <w:tcW w:w="2508" w:type="dxa"/>
            <w:vAlign w:val="center"/>
          </w:tcPr>
          <w:p w:rsidR="00CD2A5A" w:rsidRDefault="00CD2A5A">
            <w:pPr>
              <w:autoSpaceDE w:val="0"/>
              <w:autoSpaceDN w:val="0"/>
              <w:adjustRightInd w:val="0"/>
              <w:spacing w:before="40" w:after="40"/>
              <w:rPr>
                <w:sz w:val="20"/>
                <w:szCs w:val="20"/>
              </w:rPr>
            </w:pPr>
            <w:r>
              <w:rPr>
                <w:sz w:val="20"/>
                <w:szCs w:val="20"/>
              </w:rPr>
              <w:t>Armenia</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t>233</w:t>
            </w:r>
          </w:p>
        </w:tc>
      </w:tr>
      <w:tr w:rsidR="00CD2A5A">
        <w:tblPrEx>
          <w:tblCellMar>
            <w:top w:w="0" w:type="dxa"/>
            <w:bottom w:w="0" w:type="dxa"/>
          </w:tblCellMar>
        </w:tblPrEx>
        <w:trPr>
          <w:trHeight w:val="77"/>
          <w:jc w:val="center"/>
        </w:trPr>
        <w:tc>
          <w:tcPr>
            <w:tcW w:w="7633" w:type="dxa"/>
            <w:gridSpan w:val="3"/>
            <w:vAlign w:val="center"/>
          </w:tcPr>
          <w:p w:rsidR="00CD2A5A" w:rsidRDefault="00CD2A5A">
            <w:pPr>
              <w:spacing w:before="40" w:after="40"/>
              <w:rPr>
                <w:bCs/>
                <w:sz w:val="20"/>
                <w:szCs w:val="20"/>
              </w:rPr>
            </w:pPr>
            <w:r>
              <w:rPr>
                <w:bCs/>
                <w:sz w:val="20"/>
                <w:szCs w:val="20"/>
              </w:rPr>
              <w:t>Total</w:t>
            </w:r>
          </w:p>
        </w:tc>
        <w:tc>
          <w:tcPr>
            <w:tcW w:w="1779" w:type="dxa"/>
            <w:vAlign w:val="center"/>
          </w:tcPr>
          <w:p w:rsidR="00CD2A5A" w:rsidRDefault="00CD2A5A">
            <w:pPr>
              <w:autoSpaceDE w:val="0"/>
              <w:autoSpaceDN w:val="0"/>
              <w:adjustRightInd w:val="0"/>
              <w:spacing w:before="40" w:after="40"/>
              <w:ind w:right="625"/>
              <w:jc w:val="right"/>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1783</w:t>
            </w:r>
            <w:r>
              <w:rPr>
                <w:sz w:val="20"/>
                <w:szCs w:val="20"/>
              </w:rPr>
              <w:fldChar w:fldCharType="end"/>
            </w:r>
          </w:p>
        </w:tc>
      </w:tr>
    </w:tbl>
    <w:p w:rsidR="00CD2A5A" w:rsidRDefault="00CD2A5A">
      <w:pPr>
        <w:pStyle w:val="Source"/>
      </w:pPr>
      <w:r>
        <w:rPr>
          <w:i/>
        </w:rPr>
        <w:t>Source</w:t>
      </w:r>
      <w:r>
        <w:t>: CONCULTURA</w:t>
      </w:r>
    </w:p>
    <w:p w:rsidR="00CD2A5A" w:rsidRDefault="00CD2A5A">
      <w:pPr>
        <w:pStyle w:val="Header"/>
        <w:numPr>
          <w:ilvl w:val="0"/>
          <w:numId w:val="3"/>
        </w:numPr>
        <w:tabs>
          <w:tab w:val="clear" w:pos="720"/>
          <w:tab w:val="clear" w:pos="4252"/>
        </w:tabs>
        <w:spacing w:after="240"/>
        <w:ind w:left="0" w:firstLine="0"/>
        <w:rPr>
          <w:lang w:val="en-GB"/>
        </w:rPr>
      </w:pPr>
      <w:r>
        <w:rPr>
          <w:lang w:val="en-GB"/>
        </w:rPr>
        <w:t>All the schools are located in the Department of Sonsonate, in the west of the country, where the highest percentage of indigenous people of nahua-pipil descent live.</w:t>
      </w:r>
    </w:p>
    <w:p w:rsidR="00CD2A5A" w:rsidRDefault="00CD2A5A">
      <w:pPr>
        <w:numPr>
          <w:ilvl w:val="0"/>
          <w:numId w:val="3"/>
        </w:numPr>
        <w:tabs>
          <w:tab w:val="clear" w:pos="720"/>
        </w:tabs>
        <w:autoSpaceDE w:val="0"/>
        <w:autoSpaceDN w:val="0"/>
        <w:adjustRightInd w:val="0"/>
        <w:spacing w:after="240"/>
        <w:ind w:left="0" w:firstLine="0"/>
        <w:rPr>
          <w:lang w:val="en-US"/>
        </w:rPr>
      </w:pPr>
      <w:r>
        <w:rPr>
          <w:lang w:val="en-US"/>
        </w:rPr>
        <w:t>On 1 February 2006, an Educational Support Committee for Indigenous Affairs was set up,</w:t>
      </w:r>
      <w:r>
        <w:rPr>
          <w:rStyle w:val="FootnoteReference"/>
        </w:rPr>
        <w:footnoteReference w:id="56"/>
      </w:r>
      <w:r>
        <w:rPr>
          <w:lang w:val="en-US"/>
        </w:rPr>
        <w:t xml:space="preserve"> which binds CONCULTURA and the Ministry of Education to ensure the education of indigenous people by drawing up a policy aiming to promote the recognition and appreciation of indigenous cultures in the country.</w:t>
      </w:r>
    </w:p>
    <w:p w:rsidR="00CD2A5A" w:rsidRDefault="00CD2A5A">
      <w:pPr>
        <w:numPr>
          <w:ilvl w:val="0"/>
          <w:numId w:val="3"/>
        </w:numPr>
        <w:tabs>
          <w:tab w:val="clear" w:pos="720"/>
        </w:tabs>
        <w:autoSpaceDE w:val="0"/>
        <w:autoSpaceDN w:val="0"/>
        <w:adjustRightInd w:val="0"/>
        <w:spacing w:after="240"/>
        <w:ind w:left="0" w:firstLine="0"/>
        <w:rPr>
          <w:lang w:val="en-US"/>
        </w:rPr>
      </w:pPr>
      <w:r>
        <w:rPr>
          <w:lang w:val="en-US"/>
        </w:rPr>
        <w:t xml:space="preserve">No data are currently available to indicate the number of indigenous minors although it is hoped to obtain information in 2008 as a result of the National Population Census of 2007. </w:t>
      </w:r>
    </w:p>
    <w:p w:rsidR="00CD2A5A" w:rsidRDefault="00CD2A5A" w:rsidP="006228EF">
      <w:pPr>
        <w:pStyle w:val="A0"/>
      </w:pPr>
      <w:r>
        <w:t>G.  Drug abuse</w:t>
      </w:r>
    </w:p>
    <w:p w:rsidR="00CD2A5A" w:rsidRDefault="00CD2A5A">
      <w:pPr>
        <w:numPr>
          <w:ilvl w:val="0"/>
          <w:numId w:val="3"/>
        </w:numPr>
        <w:tabs>
          <w:tab w:val="clear" w:pos="720"/>
        </w:tabs>
        <w:spacing w:after="240"/>
        <w:ind w:left="0" w:firstLine="0"/>
        <w:rPr>
          <w:lang w:val="en-US"/>
        </w:rPr>
      </w:pPr>
      <w:r>
        <w:rPr>
          <w:lang w:val="en-US"/>
        </w:rPr>
        <w:t>It is calculated that 150,000 minors between the ages of 12 and 17 consume alcohol, 110,000 tobacco and 53,000 drugs, including stimulants and tranquillizers.</w:t>
      </w:r>
      <w:r>
        <w:rPr>
          <w:rStyle w:val="FootnoteReference"/>
        </w:rPr>
        <w:footnoteReference w:id="57"/>
      </w:r>
      <w:r>
        <w:rPr>
          <w:lang w:val="en-US"/>
        </w:rPr>
        <w:t xml:space="preserve"> No up-to-date data are available on the number of these children who receive treatment, care and/or assistance to recover from alcoholism and drug addiction.</w:t>
      </w:r>
    </w:p>
    <w:p w:rsidR="00CD2A5A" w:rsidRDefault="00CD2A5A">
      <w:pPr>
        <w:numPr>
          <w:ilvl w:val="0"/>
          <w:numId w:val="3"/>
        </w:numPr>
        <w:tabs>
          <w:tab w:val="clear" w:pos="720"/>
        </w:tabs>
        <w:spacing w:after="240"/>
        <w:ind w:left="0" w:firstLine="0"/>
        <w:rPr>
          <w:lang w:val="en-US"/>
        </w:rPr>
      </w:pPr>
      <w:r>
        <w:rPr>
          <w:lang w:val="en-US"/>
        </w:rPr>
        <w:t xml:space="preserve">Among the dissemination and impact activities, the National Youth Secretariat organizes anti-drugs lecture cycles with the aim of teaching students to avoid taking drugs, and their consequences through education and information. The Secretariat hopes to reach out to more than 6,500 baccalaureate students in public and private schools in areas that been identified as having a high rate of drug consumption, namely San Salvador, Ilopango, Ciudad Delgado, Soyapango, San Miguel, Santa Ana and Sonsonate. </w:t>
      </w:r>
    </w:p>
    <w:p w:rsidR="00CD2A5A" w:rsidRDefault="00CD2A5A">
      <w:pPr>
        <w:pStyle w:val="10"/>
      </w:pPr>
      <w:r>
        <w:t xml:space="preserve">1. </w:t>
      </w:r>
      <w:r>
        <w:tab/>
        <w:t xml:space="preserve">Tobacco and alcohol programmes </w:t>
      </w:r>
    </w:p>
    <w:p w:rsidR="00CD2A5A" w:rsidRDefault="00CD2A5A">
      <w:pPr>
        <w:pStyle w:val="Header"/>
        <w:numPr>
          <w:ilvl w:val="0"/>
          <w:numId w:val="3"/>
        </w:numPr>
        <w:tabs>
          <w:tab w:val="clear" w:pos="720"/>
          <w:tab w:val="clear" w:pos="4252"/>
        </w:tabs>
        <w:spacing w:after="240"/>
        <w:ind w:left="0" w:firstLine="0"/>
        <w:rPr>
          <w:lang w:val="en-GB"/>
        </w:rPr>
      </w:pPr>
      <w:r>
        <w:rPr>
          <w:lang w:val="en-GB"/>
        </w:rPr>
        <w:t>A National Drugs Commission has been set up in the country, the main function of which is to coordinate the efforts made by the various segments of society, particularly by institutions guiding members who make up the National Drugs Commission (CNA): National Council of Public Security, Ministry of National Defence, Ministry of Education, Ministry of Public Security and Justice and Ministry of Public Health and Social Welfare.</w:t>
      </w:r>
    </w:p>
    <w:p w:rsidR="00CD2A5A" w:rsidRDefault="00CD2A5A">
      <w:pPr>
        <w:pStyle w:val="Header"/>
        <w:keepNext/>
        <w:numPr>
          <w:ilvl w:val="0"/>
          <w:numId w:val="3"/>
        </w:numPr>
        <w:tabs>
          <w:tab w:val="clear" w:pos="720"/>
          <w:tab w:val="clear" w:pos="4252"/>
        </w:tabs>
        <w:spacing w:after="240"/>
        <w:ind w:left="0" w:firstLine="0"/>
        <w:rPr>
          <w:lang w:val="en-GB"/>
        </w:rPr>
      </w:pPr>
      <w:r>
        <w:rPr>
          <w:lang w:val="en-GB"/>
        </w:rPr>
        <w:t>The following are some of the activities coordinated:</w:t>
      </w:r>
    </w:p>
    <w:p w:rsidR="00CD2A5A" w:rsidRDefault="00CD2A5A">
      <w:pPr>
        <w:pStyle w:val="Header"/>
        <w:numPr>
          <w:ilvl w:val="1"/>
          <w:numId w:val="43"/>
        </w:numPr>
        <w:tabs>
          <w:tab w:val="clear" w:pos="4252"/>
        </w:tabs>
        <w:spacing w:after="240"/>
        <w:ind w:left="0" w:firstLine="567"/>
        <w:rPr>
          <w:lang w:val="en-GB"/>
        </w:rPr>
      </w:pPr>
      <w:r>
        <w:rPr>
          <w:lang w:val="en-GB"/>
        </w:rPr>
        <w:t>Drug prevention lectures for third-cycle and baccalaureate students; the Programme was delivered within the framework of the Social Peace Plan promoted by the President. The central theme of the lectures is “Drugs and their Effects” and they take the form of a presentation that explains to students the short- and long-term consequences of drug taking in clear and objective language with the aim of guiding them to take informed decisions that will lead them to reject drugs. A discussion space is then set up, where pupils can express their views and concerns on the topic. The programme began in July 2007 and will continue indefinitely. It is aimed at the public and private sector. Between that date and January this year, a total of 1,506 students were contacted in 10 educational establishments;</w:t>
      </w:r>
    </w:p>
    <w:p w:rsidR="00CD2A5A" w:rsidRDefault="00CD2A5A">
      <w:pPr>
        <w:pStyle w:val="Header"/>
        <w:numPr>
          <w:ilvl w:val="1"/>
          <w:numId w:val="43"/>
        </w:numPr>
        <w:tabs>
          <w:tab w:val="clear" w:pos="4252"/>
        </w:tabs>
        <w:spacing w:after="240"/>
        <w:ind w:left="0" w:firstLine="567"/>
        <w:rPr>
          <w:lang w:val="en-GB"/>
        </w:rPr>
      </w:pPr>
      <w:r>
        <w:rPr>
          <w:lang w:val="en-GB"/>
        </w:rPr>
        <w:t>Culture of legality. This programme has been implemented since 2004 by the Ministry of Education, National Council of Public Security and National Drugs Commission, under the auspices of the Inter-American Drug Abuse Commission (CICAD/OEA). This aims to prevent violent behaviour and illicit activities such as drug use and trafficking. Its aim is to develop pro-social forms of behaviour and attitudes in third-cycle students through improved knowledge of and respect for regulations and the rule of law. During 2006, a harmonization activity was carried out to incorporate part of the contents of the Culture of Legality in the new third-cycle Social Science Curriculum. In 2007, a pilot project was carried out to adapt the programme to the community environment in high-risk communities covered by the National Council of Public Security. During the first stage of the project, 6,390 students benefited in 97 educational establishments. When the programme was adapted to the community environment, 220 young people resident in four high-risk communities were helped;</w:t>
      </w:r>
    </w:p>
    <w:p w:rsidR="00CD2A5A" w:rsidRDefault="00CD2A5A">
      <w:pPr>
        <w:pStyle w:val="Header"/>
        <w:numPr>
          <w:ilvl w:val="1"/>
          <w:numId w:val="43"/>
        </w:numPr>
        <w:tabs>
          <w:tab w:val="clear" w:pos="4252"/>
        </w:tabs>
        <w:spacing w:after="240"/>
        <w:ind w:left="0" w:firstLine="567"/>
        <w:rPr>
          <w:lang w:val="en-GB"/>
        </w:rPr>
      </w:pPr>
      <w:r>
        <w:rPr>
          <w:lang w:val="en-US"/>
        </w:rPr>
        <w:t>“</w:t>
      </w:r>
      <w:r>
        <w:rPr>
          <w:i/>
          <w:lang w:val="en-US"/>
        </w:rPr>
        <w:t>Segundo Paso</w:t>
      </w:r>
      <w:r>
        <w:rPr>
          <w:lang w:val="en-US"/>
        </w:rPr>
        <w:t xml:space="preserve">” (Second Step). </w:t>
      </w:r>
      <w:r>
        <w:rPr>
          <w:lang w:val="en-GB"/>
        </w:rPr>
        <w:t>This programme sets out to provide children with the fundamental skills to ensure that they grow into independent, public-spirited and understanding young people and adults. These qualities are incompatible with the taking of drugs and with violent and irresponsible behaviour. The version for preschool age children (aged 4 to 6) consists of 25 lessons covering areas such as Empathy, Dealing with Feelings and Problem Solving. Between 2005 and 2006, a pilot test was carried out in two public sector nursery schools on 127 children in the four-year old sections. The results were satisfactory because the students in the experimental group assimilated the concepts of the programme and reduced their antisocial behaviour in the classroom.</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The Ministry of Public Health and Social Welfare (MSPAS), for its part, is implementing the National Plan for the Prevention of Smoking 2002–2008, the main aim of which is to prevent, detect and avoid risk and damage caused to people's health by smoking and passive smoking. One of the specific aims that the plan sets out to achieve is to prevent people starting smoking and becoming addicted, with the emphasis on children and adolescents. </w:t>
      </w:r>
    </w:p>
    <w:p w:rsidR="00CD2A5A" w:rsidRDefault="00CD2A5A">
      <w:pPr>
        <w:pStyle w:val="Header"/>
        <w:numPr>
          <w:ilvl w:val="0"/>
          <w:numId w:val="3"/>
        </w:numPr>
        <w:tabs>
          <w:tab w:val="clear" w:pos="720"/>
          <w:tab w:val="clear" w:pos="4252"/>
        </w:tabs>
        <w:spacing w:after="240"/>
        <w:ind w:left="0" w:firstLine="0"/>
        <w:rPr>
          <w:lang w:val="en-GB"/>
        </w:rPr>
      </w:pPr>
      <w:r>
        <w:rPr>
          <w:lang w:val="en-GB"/>
        </w:rPr>
        <w:t>As part of the Plan strategy, work is being carried out to incorporate the topic of the prevention of smoking into the school curriculum and at all academic levels of teaching.</w:t>
      </w:r>
    </w:p>
    <w:p w:rsidR="00CD2A5A" w:rsidRDefault="00CD2A5A">
      <w:pPr>
        <w:pStyle w:val="Header"/>
        <w:numPr>
          <w:ilvl w:val="0"/>
          <w:numId w:val="3"/>
        </w:numPr>
        <w:tabs>
          <w:tab w:val="clear" w:pos="720"/>
          <w:tab w:val="clear" w:pos="4252"/>
        </w:tabs>
        <w:spacing w:after="240"/>
        <w:ind w:left="0" w:firstLine="0"/>
        <w:rPr>
          <w:lang w:val="en-GB"/>
        </w:rPr>
      </w:pPr>
      <w:r>
        <w:rPr>
          <w:lang w:val="en-GB"/>
        </w:rPr>
        <w:t>Within the framework of the Plan, the MSPAS, working in coordination with some universities and the Pan American Health Organisation (PAHO), is developing various research studies aimed at determining the prevalence of smoking in school-age adolescents and the adult population.</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The MSPAS is including the specific topic of alcoholism in its Men’s Health Programme, which is aimed not only at the adult population but also at young people. It assists people between the ages of 15 and 59. This programme offers information, education and communication activities to assist teetotallers and occasional drinkers. When chronic drinkers are identified, the programme works through individual therapy and group sessions. </w:t>
      </w:r>
    </w:p>
    <w:p w:rsidR="00CD2A5A" w:rsidRDefault="00CD2A5A" w:rsidP="006228EF">
      <w:pPr>
        <w:pStyle w:val="A0"/>
      </w:pPr>
      <w:r>
        <w:t>H.  Street children</w:t>
      </w:r>
    </w:p>
    <w:p w:rsidR="00CD2A5A" w:rsidRDefault="00CD2A5A">
      <w:pPr>
        <w:pStyle w:val="Header"/>
        <w:numPr>
          <w:ilvl w:val="0"/>
          <w:numId w:val="3"/>
        </w:numPr>
        <w:tabs>
          <w:tab w:val="clear" w:pos="720"/>
          <w:tab w:val="clear" w:pos="4252"/>
        </w:tabs>
        <w:spacing w:after="240"/>
        <w:ind w:left="0" w:firstLine="0"/>
        <w:rPr>
          <w:lang w:val="en-GB"/>
        </w:rPr>
      </w:pPr>
      <w:r>
        <w:rPr>
          <w:lang w:val="en-GB"/>
        </w:rPr>
        <w:t xml:space="preserve">According to a survey carried out in 2006, the ISNA identified a total of 272 street children, falling into three categories: living on the street, taking to the streets and being financially exploited on the street. To deal with this problem ISNA runs a specialist protection Centre known as the Social Integration Centre for Children and Adolescents (CISNA). The purpose of this Centre is to eradicate the problem of children and adolescents living on the street by means of a process of helping them to build a life plan. </w:t>
      </w:r>
    </w:p>
    <w:p w:rsidR="00CD2A5A" w:rsidRDefault="00CD2A5A">
      <w:pPr>
        <w:pStyle w:val="Header"/>
        <w:numPr>
          <w:ilvl w:val="0"/>
          <w:numId w:val="3"/>
        </w:numPr>
        <w:tabs>
          <w:tab w:val="clear" w:pos="720"/>
          <w:tab w:val="clear" w:pos="4252"/>
        </w:tabs>
        <w:spacing w:after="240"/>
        <w:ind w:left="0" w:firstLine="0"/>
        <w:rPr>
          <w:lang w:val="en-GB"/>
        </w:rPr>
      </w:pPr>
      <w:r>
        <w:rPr>
          <w:lang w:val="en-GB"/>
        </w:rPr>
        <w:t>The types of care offered by the centre are as follows: psychological and social care, de-toxication, health, legal aid, formal education, recreation and sport, family and community, vocational training, spirituality, arts and culture. The main strategy is based on creating a friendly environment for children and adolescents that allows them to stay and get involved in the various activities of this care model. The centre also seeks to involve the family directly in the process of reintegrating their sons and daughters. The activities that ISNA carries out for these children also helps encourage new commitments and action with public and private bodies associated with this problem. The centre also carries out educational campaigns through various mass media in order to make society in general aware of its direct involvement with victims of this situation. The ISNA also works in coordination with NGOs such as the Fundación Dolores Medina, City Hall Metropolitan Agents Corps and the National Civil Police. The ISNA currently employs a staff of 80 people to help street children.</w:t>
      </w:r>
    </w:p>
    <w:p w:rsidR="00CD2A5A" w:rsidRDefault="00CD2A5A" w:rsidP="006228EF">
      <w:pPr>
        <w:pStyle w:val="A0"/>
      </w:pPr>
      <w:r>
        <w:t>I.  Prevention of violence against minors</w:t>
      </w:r>
    </w:p>
    <w:p w:rsidR="00CD2A5A" w:rsidRDefault="00CD2A5A">
      <w:pPr>
        <w:pStyle w:val="BodyTextIndent"/>
        <w:numPr>
          <w:ilvl w:val="0"/>
          <w:numId w:val="3"/>
        </w:numPr>
        <w:tabs>
          <w:tab w:val="clear" w:pos="720"/>
        </w:tabs>
        <w:spacing w:after="240"/>
        <w:ind w:left="0" w:firstLine="0"/>
        <w:jc w:val="left"/>
        <w:rPr>
          <w:lang w:val="en-GB"/>
        </w:rPr>
      </w:pPr>
      <w:r>
        <w:rPr>
          <w:lang w:val="en-GB"/>
        </w:rPr>
        <w:t>With regard to the prevention of offences against children and adolescents, the Office of the Public Prosecutor of the Republic has signed cooperative agreements with UNICEF, the El Salvador International Plan and ActionAid El Salvador in order to implement the following project through its Multidisciplinary Support Unit: “Training of Young Educators for the Prevention of Violence and Construction of a Culture of Peace”. This project is aimed at adolescents and involves the teaching of modules on domestic violence and the construction of male and female identity based on gender theory with the aim of improving family relationships and minimizing violence against women, children and adolescents. One of the aims of this project is to make the target population aware of the legal resources that protect them, the appropriate mechanisms for filing a complaint and the governmental and non-governmental departments that should be contacted when they become victims of such crimes.</w:t>
      </w:r>
    </w:p>
    <w:p w:rsidR="00CD2A5A" w:rsidRDefault="00CD2A5A">
      <w:pPr>
        <w:pStyle w:val="BodyTextIndent"/>
        <w:numPr>
          <w:ilvl w:val="0"/>
          <w:numId w:val="3"/>
        </w:numPr>
        <w:tabs>
          <w:tab w:val="clear" w:pos="720"/>
        </w:tabs>
        <w:spacing w:after="240"/>
        <w:ind w:left="0" w:firstLine="0"/>
        <w:jc w:val="left"/>
        <w:rPr>
          <w:lang w:val="en-GB"/>
        </w:rPr>
      </w:pPr>
      <w:r>
        <w:rPr>
          <w:lang w:val="en-GB"/>
        </w:rPr>
        <w:t>With the same idea of preventing violence and applying a gender equality approach, a prevention programme was drawn up in conjunction with ISNA aimed at parents. The aim of this is to provide information on crimes committed against women and children and also to provide certain tools for recognizing signs of ill-treatment, the cycle of violence and prevention mechanisms. The projects have been run in various stages since 2002. They were run in the following municipalities during 2005: Tejutepeque, Jiquilisco, Concepción Batres, Tecoluca, Acajutla, Comasagua, Nuevo Cuscatlán and San Salvador. A target group of 245 young people and 121 adults has benefited from the programme. Other violence prevention programmes are described in annex XXIII.</w:t>
      </w:r>
    </w:p>
    <w:p w:rsidR="00CD2A5A" w:rsidRDefault="00CD2A5A">
      <w:pPr>
        <w:pStyle w:val="BodyTextIndent"/>
        <w:numPr>
          <w:ilvl w:val="0"/>
          <w:numId w:val="3"/>
        </w:numPr>
        <w:tabs>
          <w:tab w:val="clear" w:pos="720"/>
        </w:tabs>
        <w:spacing w:after="240"/>
        <w:ind w:left="0" w:firstLine="0"/>
        <w:jc w:val="left"/>
        <w:rPr>
          <w:lang w:val="en-GB"/>
        </w:rPr>
      </w:pPr>
      <w:r>
        <w:rPr>
          <w:lang w:val="en-GB"/>
        </w:rPr>
        <w:t>The Office of the Public Prosecutor of the Republic’s Women and Children's Unit and the Multidisciplinary Support Unit took part in dissemination activities with the aim of eradicating and punishing violence against women during national violence prevention fairs, and also in various activities carried out by the Network against Gender Violence. With the cooperation of private and public bodies, the Office of the Public Prosecutor of the Republic has drawn up a paper on the femicide situation in El Salvador. The paper contains a statistical analysis of cases of deaths of women and girls and emphasizes the importance of focusing efforts on keeping a detailed register of factors associated with this phenomenon that will make it possible to recognize and raise the profile of female murder cases, taking as a starting point the level of violence that accompanies the committing of such crimes. It also emphasizes the importance of reflecting on the cultural practices or patterns of teaching handed down from generation to generation that promote violent behaviour and differential gender-related socialization, which often make it impossible to develop forms of cohabitation based on mutual respect, tolerance and esteem of others.</w:t>
      </w:r>
    </w:p>
    <w:p w:rsidR="00CD2A5A" w:rsidRDefault="00CD2A5A">
      <w:pPr>
        <w:pStyle w:val="Header"/>
        <w:numPr>
          <w:ilvl w:val="0"/>
          <w:numId w:val="3"/>
        </w:numPr>
        <w:tabs>
          <w:tab w:val="clear" w:pos="720"/>
          <w:tab w:val="clear" w:pos="4252"/>
        </w:tabs>
        <w:spacing w:after="240"/>
        <w:ind w:left="0" w:firstLine="0"/>
        <w:rPr>
          <w:lang w:val="en-GB"/>
        </w:rPr>
      </w:pPr>
      <w:r>
        <w:rPr>
          <w:lang w:val="en-GB"/>
        </w:rPr>
        <w:t>The Office of the Public Prosecutor of the Republic recognises that crimes against life committed against victims under 18 years of age constitute the most serious cases of violence against children and adolescents in El Salvador.</w:t>
      </w:r>
    </w:p>
    <w:p w:rsidR="00CD2A5A" w:rsidRDefault="00CD2A5A" w:rsidP="006228EF">
      <w:pPr>
        <w:pStyle w:val="A0"/>
      </w:pPr>
      <w:r>
        <w:t>J.  Missing children</w:t>
      </w:r>
    </w:p>
    <w:p w:rsidR="00CD2A5A" w:rsidRDefault="00CD2A5A">
      <w:pPr>
        <w:pStyle w:val="BodyTextIndent"/>
        <w:numPr>
          <w:ilvl w:val="0"/>
          <w:numId w:val="3"/>
        </w:numPr>
        <w:tabs>
          <w:tab w:val="clear" w:pos="720"/>
        </w:tabs>
        <w:spacing w:after="240"/>
        <w:ind w:left="0" w:firstLine="0"/>
        <w:jc w:val="left"/>
        <w:rPr>
          <w:lang w:val="en-GB"/>
        </w:rPr>
      </w:pPr>
      <w:r>
        <w:rPr>
          <w:lang w:val="en-GB"/>
        </w:rPr>
        <w:t>With regards to missing children, the State set up an Inter-Institutional Commission to search for children who disappeared owing to armed conflict in El Salvador, through Executive Order No 45 of 5 October 2004. This began work on 13 June 2005, with the aim of cooperating with public institutions with involvement in or responsibility for child protection in the quest for children who were involuntarily separated from their families during that period in El Salvador. The Commission is made up of the following state institutions: Ministry of External Relations, which acts as the coordinator, Ministry of Government, Ministry of National Defence, National Civil Police, Institute for Full Development of Children and Adolescents, the Public Prosecutor's Office and the Office of the Attorney General. In accordance with Article 4 of the Executive Order mentioned above, the Inter-Institutional Search Commission can also call on the cooperation and backup of other public institutions to help achieve its goal, such as the Supreme Court of Justice, the Public Prosecutor's Office for the Protection of Human Rights and also private institutions set up to achieve the aims of this Commission.</w:t>
      </w:r>
    </w:p>
    <w:p w:rsidR="00CD2A5A" w:rsidRDefault="00CD2A5A">
      <w:pPr>
        <w:pStyle w:val="BodyTextIndent"/>
        <w:numPr>
          <w:ilvl w:val="0"/>
          <w:numId w:val="3"/>
        </w:numPr>
        <w:tabs>
          <w:tab w:val="clear" w:pos="720"/>
        </w:tabs>
        <w:spacing w:after="240"/>
        <w:ind w:left="0" w:firstLine="0"/>
        <w:jc w:val="left"/>
        <w:rPr>
          <w:spacing w:val="-2"/>
          <w:lang w:val="en-GB"/>
        </w:rPr>
      </w:pPr>
      <w:r>
        <w:rPr>
          <w:spacing w:val="-2"/>
          <w:lang w:val="en-GB"/>
        </w:rPr>
        <w:t xml:space="preserve">A first draft of the rules of procedure was discussed within the commission; an Operational Team Action Plan was discussed with the aim of starting ongoing field activities; work was completed on drawing up an Action Plan 2005 and the work carried out by the Commission was published on a website: </w:t>
      </w:r>
      <w:r w:rsidRPr="00D65B13">
        <w:rPr>
          <w:spacing w:val="-2"/>
          <w:lang w:val="en-GB"/>
        </w:rPr>
        <w:t>www.comisiondebusqueda.gob.sv</w:t>
      </w:r>
      <w:r>
        <w:rPr>
          <w:spacing w:val="-2"/>
          <w:lang w:val="en-GB"/>
        </w:rPr>
        <w:t>. This informs users of the Commission’s structure and organization, human rights law, news, links for search submissions and requests and essential contact details in addition to participating institutions. On the basis of this, an Action Plan is drawn up every year, relating to the activities carried out by the Commission.</w:t>
      </w:r>
    </w:p>
    <w:p w:rsidR="00CD2A5A" w:rsidRDefault="00CD2A5A">
      <w:pPr>
        <w:pStyle w:val="BodyTextIndent"/>
        <w:numPr>
          <w:ilvl w:val="0"/>
          <w:numId w:val="3"/>
        </w:numPr>
        <w:tabs>
          <w:tab w:val="clear" w:pos="720"/>
        </w:tabs>
        <w:spacing w:after="240"/>
        <w:ind w:left="0" w:firstLine="0"/>
        <w:jc w:val="left"/>
        <w:rPr>
          <w:lang w:val="en-GB"/>
        </w:rPr>
      </w:pPr>
      <w:r>
        <w:rPr>
          <w:lang w:val="en-GB"/>
        </w:rPr>
        <w:t>As far as field activities are concerned, the investigative team is made up of a psychologist, a social worker, three investigators and a solicitor. A logistical plan has been developed for collecting data, including the processing of special files for obtaining specific data, the planning of field trips and meetings when experiences gained as a result of the various forms of fieldwork are compared to establish progress in cases. The Commission is supported by the Department of Human Rights, which is a member of the Ministry of External Relations General Directorate of Legal Affairs and Human Rights and acts as its Secretariat. The fieldwork includes interviews with the civilian population and also with serving and retired military personnel, with state officials, with officials of national and international institutions, such as the Salvadoran Red Cross and the International Red Cross and Committee, from which valuable and important information has been obtained.</w:t>
      </w:r>
    </w:p>
    <w:p w:rsidR="00CD2A5A" w:rsidRDefault="00CD2A5A">
      <w:pPr>
        <w:pStyle w:val="BodyTextIndent"/>
        <w:numPr>
          <w:ilvl w:val="0"/>
          <w:numId w:val="3"/>
        </w:numPr>
        <w:tabs>
          <w:tab w:val="clear" w:pos="720"/>
        </w:tabs>
        <w:spacing w:after="240"/>
        <w:ind w:left="0" w:firstLine="0"/>
        <w:jc w:val="left"/>
        <w:rPr>
          <w:lang w:val="en-GB"/>
        </w:rPr>
      </w:pPr>
      <w:r>
        <w:rPr>
          <w:lang w:val="en-GB"/>
        </w:rPr>
        <w:t>The National Civil Registry (RNPN) offers significant help in resolving cases assigned to it because it provides data on people related to case investigations, which makes it easier to locate them so that the relevant interviews can be carried out. As far as documentary investigations are concerned, visits have been carried out, obtaining access to the archives of various state institutions and mass media, where valuable information has been found and even photographs in some cases. Special emphasis must be placed on the conscientious and effective work being carried out by the Inter-Institutional Commission to search for children who disappeared owing to armed conflict. The first case resolved by the above commission was at the beginning of March 2006, the day young Teresa de Jesús Hernández was reunited with her biological family after 24 years of separation. This reunion took place on 19 March in 2006, in Canton San José, Department of Chalatenango. It should also be stated that as a gesture of goodwill and as part of a token action, the State gave Ms Hernández a house on 27 March of the same year, in a place known as Villa Lourdes.</w:t>
      </w:r>
    </w:p>
    <w:p w:rsidR="00CD2A5A" w:rsidRDefault="00CD2A5A">
      <w:pPr>
        <w:pStyle w:val="BodyTextIndent"/>
        <w:numPr>
          <w:ilvl w:val="0"/>
          <w:numId w:val="3"/>
        </w:numPr>
        <w:tabs>
          <w:tab w:val="clear" w:pos="720"/>
        </w:tabs>
        <w:spacing w:after="240"/>
        <w:ind w:left="0" w:firstLine="0"/>
        <w:jc w:val="left"/>
        <w:rPr>
          <w:lang w:val="en-GB"/>
        </w:rPr>
      </w:pPr>
      <w:r>
        <w:rPr>
          <w:lang w:val="en-GB"/>
        </w:rPr>
        <w:t>Before each reunion, psychological preparation visits were carried out with the biological families and the young people who had been found with the aim of clearing up any doubts and establishing the expectations of everyone involved. Publication of the reunions between young people and their biological families has made it possible to bring the work carried out by the Search Commission to public attention. The Commission is nevertheless very respectful of the wishes of the families and young people and it leaves it up to them to decide whether their case should be publicized or not. Various search requests have been received for cases relating to the armed conflict and also missing children cases that occurred during the period of conflict but were not directly related to it. The Commission nevertheless willingly cooperated in the investigation of such cases and in bringing them to a happy ending.</w:t>
      </w:r>
    </w:p>
    <w:p w:rsidR="00CD2A5A" w:rsidRDefault="00CD2A5A">
      <w:pPr>
        <w:pStyle w:val="BodyTextIndent"/>
        <w:numPr>
          <w:ilvl w:val="0"/>
          <w:numId w:val="3"/>
        </w:numPr>
        <w:tabs>
          <w:tab w:val="clear" w:pos="720"/>
        </w:tabs>
        <w:spacing w:after="240"/>
        <w:ind w:left="0" w:firstLine="0"/>
        <w:jc w:val="left"/>
        <w:rPr>
          <w:lang w:val="en-GB"/>
        </w:rPr>
      </w:pPr>
      <w:r>
        <w:rPr>
          <w:lang w:val="en-GB"/>
        </w:rPr>
        <w:t>The achievements of the Inter-Institutional Commission to search for children who disappeared owing to armed conflict since it first started work may be measured by its initial result of 46 cases resolved, which have led to 22 reunions taking place.</w:t>
      </w:r>
      <w:r>
        <w:rPr>
          <w:rStyle w:val="FootnoteReference"/>
          <w:b w:val="0"/>
          <w:bCs/>
          <w:lang w:val="en-GB"/>
        </w:rPr>
        <w:footnoteReference w:id="58"/>
      </w:r>
      <w:r>
        <w:rPr>
          <w:lang w:val="en-GB"/>
        </w:rPr>
        <w:t xml:space="preserve"> </w:t>
      </w:r>
    </w:p>
    <w:p w:rsidR="00CD2A5A" w:rsidRDefault="00CD2A5A">
      <w:pPr>
        <w:spacing w:after="240"/>
        <w:rPr>
          <w:b/>
          <w:lang w:val="en-US"/>
        </w:rPr>
        <w:sectPr w:rsidR="00CD2A5A">
          <w:headerReference w:type="first" r:id="rId20"/>
          <w:pgSz w:w="11906" w:h="16838" w:code="9"/>
          <w:pgMar w:top="851" w:right="1247" w:bottom="1418" w:left="1247" w:header="851" w:footer="567" w:gutter="0"/>
          <w:cols w:space="708"/>
          <w:titlePg/>
          <w:docGrid w:linePitch="360"/>
        </w:sectPr>
      </w:pPr>
      <w:bookmarkStart w:id="8" w:name="BM019"/>
      <w:bookmarkStart w:id="9" w:name="BM020"/>
      <w:bookmarkStart w:id="10" w:name="BM021"/>
      <w:bookmarkStart w:id="11" w:name="BM081"/>
      <w:bookmarkEnd w:id="8"/>
      <w:bookmarkEnd w:id="9"/>
      <w:bookmarkEnd w:id="10"/>
      <w:bookmarkEnd w:id="11"/>
    </w:p>
    <w:p w:rsidR="00CD2A5A" w:rsidRDefault="00CD2A5A">
      <w:pPr>
        <w:pStyle w:val="I"/>
      </w:pPr>
      <w:r>
        <w:t>ANEXOS</w:t>
      </w:r>
    </w:p>
    <w:p w:rsidR="00CD2A5A" w:rsidRDefault="00CD2A5A" w:rsidP="00CD2A5A">
      <w:pPr>
        <w:pStyle w:val="Figure"/>
      </w:pPr>
      <w:r>
        <w:t>ANEXO I</w:t>
      </w:r>
    </w:p>
    <w:p w:rsidR="00CD2A5A" w:rsidRDefault="00CD2A5A">
      <w:pPr>
        <w:spacing w:after="240"/>
        <w:jc w:val="center"/>
        <w:rPr>
          <w:b/>
          <w:lang w:val="es-SV"/>
        </w:rPr>
      </w:pPr>
      <w:r>
        <w:rPr>
          <w:b/>
          <w:lang w:val="es-SV"/>
        </w:rPr>
        <w:t>POBLACIÓN INFANTIL DE EL SALVADOR</w:t>
      </w:r>
    </w:p>
    <w:p w:rsidR="00CD2A5A" w:rsidRDefault="00CD2A5A" w:rsidP="00CD2A5A">
      <w:pPr>
        <w:pStyle w:val="Figure"/>
      </w:pPr>
      <w:r>
        <w:t>El salvador: población total por sexo, según grupos de edad, 2004</w:t>
      </w:r>
    </w:p>
    <w:p w:rsidR="00CD2A5A" w:rsidRDefault="00CD2A5A" w:rsidP="00CD2A5A">
      <w:pPr>
        <w:pStyle w:val="Figure"/>
      </w:pPr>
      <w:r>
        <w:t>(Total país)</w:t>
      </w:r>
    </w:p>
    <w:tbl>
      <w:tblPr>
        <w:tblW w:w="9412"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5"/>
        <w:gridCol w:w="2551"/>
        <w:gridCol w:w="2410"/>
        <w:gridCol w:w="2466"/>
      </w:tblGrid>
      <w:tr w:rsidR="00CD2A5A">
        <w:trPr>
          <w:cantSplit/>
          <w:trHeight w:val="285"/>
          <w:jc w:val="center"/>
        </w:trPr>
        <w:tc>
          <w:tcPr>
            <w:tcW w:w="1985"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 edad</w:t>
            </w:r>
          </w:p>
        </w:tc>
        <w:tc>
          <w:tcPr>
            <w:tcW w:w="2551"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4876" w:type="dxa"/>
            <w:gridSpan w:val="2"/>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Género</w:t>
            </w:r>
          </w:p>
        </w:tc>
      </w:tr>
      <w:tr w:rsidR="00CD2A5A">
        <w:trPr>
          <w:cantSplit/>
          <w:trHeight w:val="270"/>
          <w:jc w:val="center"/>
        </w:trPr>
        <w:tc>
          <w:tcPr>
            <w:tcW w:w="1985" w:type="dxa"/>
            <w:vMerge/>
            <w:vAlign w:val="center"/>
          </w:tcPr>
          <w:p w:rsidR="00CD2A5A" w:rsidRDefault="00CD2A5A">
            <w:pPr>
              <w:spacing w:before="40" w:after="40"/>
              <w:jc w:val="center"/>
              <w:rPr>
                <w:rFonts w:eastAsia="Arial Unicode MS"/>
                <w:b/>
                <w:bCs/>
                <w:sz w:val="20"/>
                <w:szCs w:val="20"/>
              </w:rPr>
            </w:pPr>
          </w:p>
        </w:tc>
        <w:tc>
          <w:tcPr>
            <w:tcW w:w="2551" w:type="dxa"/>
            <w:vMerge/>
            <w:vAlign w:val="center"/>
          </w:tcPr>
          <w:p w:rsidR="00CD2A5A" w:rsidRDefault="00CD2A5A">
            <w:pPr>
              <w:spacing w:before="40" w:after="40"/>
              <w:jc w:val="center"/>
              <w:rPr>
                <w:rFonts w:eastAsia="Arial Unicode MS"/>
                <w:b/>
                <w:bCs/>
                <w:sz w:val="20"/>
                <w:szCs w:val="20"/>
              </w:rPr>
            </w:pPr>
          </w:p>
        </w:tc>
        <w:tc>
          <w:tcPr>
            <w:tcW w:w="2410"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Hombre</w:t>
            </w:r>
          </w:p>
        </w:tc>
        <w:tc>
          <w:tcPr>
            <w:tcW w:w="2466"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Mujer</w:t>
            </w:r>
          </w:p>
        </w:tc>
      </w:tr>
      <w:tr w:rsidR="00CD2A5A">
        <w:trPr>
          <w:trHeight w:val="255"/>
          <w:jc w:val="center"/>
        </w:trPr>
        <w:tc>
          <w:tcPr>
            <w:tcW w:w="1985" w:type="dxa"/>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 xml:space="preserve">TOTAL </w:t>
            </w:r>
          </w:p>
        </w:tc>
        <w:tc>
          <w:tcPr>
            <w:tcW w:w="2551"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2.745.164</w:t>
            </w:r>
          </w:p>
        </w:tc>
        <w:tc>
          <w:tcPr>
            <w:tcW w:w="2410"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b/>
                <w:bCs/>
                <w:sz w:val="20"/>
                <w:szCs w:val="20"/>
              </w:rPr>
            </w:pPr>
            <w:r>
              <w:rPr>
                <w:b/>
                <w:bCs/>
                <w:sz w:val="20"/>
                <w:szCs w:val="20"/>
              </w:rPr>
              <w:t>1,396,233</w:t>
            </w:r>
          </w:p>
        </w:tc>
        <w:tc>
          <w:tcPr>
            <w:tcW w:w="2466"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b/>
                <w:bCs/>
                <w:sz w:val="20"/>
                <w:szCs w:val="20"/>
              </w:rPr>
            </w:pPr>
            <w:r>
              <w:rPr>
                <w:b/>
                <w:bCs/>
                <w:sz w:val="20"/>
                <w:szCs w:val="20"/>
              </w:rPr>
              <w:t>1,348,931</w:t>
            </w:r>
          </w:p>
        </w:tc>
      </w:tr>
      <w:tr w:rsidR="00CD2A5A">
        <w:trPr>
          <w:trHeight w:val="255"/>
          <w:jc w:val="center"/>
        </w:trPr>
        <w:tc>
          <w:tcPr>
            <w:tcW w:w="198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0 - 4</w:t>
            </w:r>
          </w:p>
        </w:tc>
        <w:tc>
          <w:tcPr>
            <w:tcW w:w="2551"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696.964</w:t>
            </w:r>
          </w:p>
        </w:tc>
        <w:tc>
          <w:tcPr>
            <w:tcW w:w="2410"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348,759</w:t>
            </w:r>
          </w:p>
        </w:tc>
        <w:tc>
          <w:tcPr>
            <w:tcW w:w="2466"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348,205</w:t>
            </w:r>
          </w:p>
        </w:tc>
      </w:tr>
      <w:tr w:rsidR="00CD2A5A">
        <w:trPr>
          <w:trHeight w:val="255"/>
          <w:jc w:val="center"/>
        </w:trPr>
        <w:tc>
          <w:tcPr>
            <w:tcW w:w="198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5 - 9</w:t>
            </w:r>
          </w:p>
        </w:tc>
        <w:tc>
          <w:tcPr>
            <w:tcW w:w="2551"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818.979</w:t>
            </w:r>
          </w:p>
        </w:tc>
        <w:tc>
          <w:tcPr>
            <w:tcW w:w="2410"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421,232</w:t>
            </w:r>
          </w:p>
        </w:tc>
        <w:tc>
          <w:tcPr>
            <w:tcW w:w="2466"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397,747</w:t>
            </w:r>
          </w:p>
        </w:tc>
      </w:tr>
      <w:tr w:rsidR="00CD2A5A">
        <w:trPr>
          <w:trHeight w:val="255"/>
          <w:jc w:val="center"/>
        </w:trPr>
        <w:tc>
          <w:tcPr>
            <w:tcW w:w="198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10 - 14</w:t>
            </w:r>
          </w:p>
        </w:tc>
        <w:tc>
          <w:tcPr>
            <w:tcW w:w="2551"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784.268</w:t>
            </w:r>
          </w:p>
        </w:tc>
        <w:tc>
          <w:tcPr>
            <w:tcW w:w="2410"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401,488</w:t>
            </w:r>
          </w:p>
        </w:tc>
        <w:tc>
          <w:tcPr>
            <w:tcW w:w="2466"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382,780</w:t>
            </w:r>
          </w:p>
        </w:tc>
      </w:tr>
      <w:tr w:rsidR="00CD2A5A">
        <w:trPr>
          <w:trHeight w:val="270"/>
          <w:jc w:val="center"/>
        </w:trPr>
        <w:tc>
          <w:tcPr>
            <w:tcW w:w="198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15 - 17</w:t>
            </w:r>
          </w:p>
        </w:tc>
        <w:tc>
          <w:tcPr>
            <w:tcW w:w="2551"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444.953</w:t>
            </w:r>
          </w:p>
        </w:tc>
        <w:tc>
          <w:tcPr>
            <w:tcW w:w="2410"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224,754</w:t>
            </w:r>
          </w:p>
        </w:tc>
        <w:tc>
          <w:tcPr>
            <w:tcW w:w="2466" w:type="dxa"/>
            <w:noWrap/>
            <w:tcMar>
              <w:top w:w="17" w:type="dxa"/>
              <w:left w:w="17" w:type="dxa"/>
              <w:bottom w:w="0" w:type="dxa"/>
              <w:right w:w="17" w:type="dxa"/>
            </w:tcMar>
            <w:vAlign w:val="bottom"/>
          </w:tcPr>
          <w:p w:rsidR="00CD2A5A" w:rsidRDefault="00CD2A5A">
            <w:pPr>
              <w:spacing w:before="40" w:after="40"/>
              <w:ind w:right="214"/>
              <w:jc w:val="right"/>
              <w:rPr>
                <w:rFonts w:eastAsia="Arial Unicode MS"/>
                <w:sz w:val="20"/>
                <w:szCs w:val="20"/>
              </w:rPr>
            </w:pPr>
            <w:r>
              <w:rPr>
                <w:sz w:val="20"/>
                <w:szCs w:val="20"/>
              </w:rPr>
              <w:t>220,199</w:t>
            </w:r>
          </w:p>
        </w:tc>
      </w:tr>
    </w:tbl>
    <w:p w:rsidR="00CD2A5A" w:rsidRDefault="00CD2A5A">
      <w:pPr>
        <w:spacing w:after="240"/>
        <w:rPr>
          <w:lang w:val="es-SV"/>
        </w:rPr>
      </w:pPr>
    </w:p>
    <w:p w:rsidR="00CD2A5A" w:rsidRDefault="00CD2A5A" w:rsidP="00CD2A5A">
      <w:pPr>
        <w:pStyle w:val="Figure"/>
      </w:pPr>
      <w:r>
        <w:t>El salvador: población total por sexo, según grupos de edad, 2004</w:t>
      </w:r>
    </w:p>
    <w:p w:rsidR="00CD2A5A" w:rsidRDefault="00CD2A5A" w:rsidP="00CD2A5A">
      <w:pPr>
        <w:pStyle w:val="Figure"/>
      </w:pPr>
      <w:r>
        <w:t>(Total país urbano)</w:t>
      </w:r>
    </w:p>
    <w:tbl>
      <w:tblPr>
        <w:tblW w:w="9412"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268"/>
        <w:gridCol w:w="2410"/>
        <w:gridCol w:w="2466"/>
      </w:tblGrid>
      <w:tr w:rsidR="00CD2A5A">
        <w:trPr>
          <w:cantSplit/>
          <w:trHeight w:val="285"/>
          <w:jc w:val="center"/>
        </w:trPr>
        <w:tc>
          <w:tcPr>
            <w:tcW w:w="2268"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 edad</w:t>
            </w:r>
          </w:p>
        </w:tc>
        <w:tc>
          <w:tcPr>
            <w:tcW w:w="2268"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4876" w:type="dxa"/>
            <w:gridSpan w:val="2"/>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Género</w:t>
            </w:r>
          </w:p>
        </w:tc>
      </w:tr>
      <w:tr w:rsidR="00CD2A5A">
        <w:trPr>
          <w:cantSplit/>
          <w:trHeight w:val="270"/>
          <w:jc w:val="center"/>
        </w:trPr>
        <w:tc>
          <w:tcPr>
            <w:tcW w:w="2268" w:type="dxa"/>
            <w:vMerge/>
            <w:vAlign w:val="center"/>
          </w:tcPr>
          <w:p w:rsidR="00CD2A5A" w:rsidRDefault="00CD2A5A">
            <w:pPr>
              <w:spacing w:before="40" w:after="40"/>
              <w:jc w:val="center"/>
              <w:rPr>
                <w:rFonts w:eastAsia="Arial Unicode MS"/>
                <w:b/>
                <w:bCs/>
                <w:i/>
                <w:sz w:val="20"/>
                <w:szCs w:val="20"/>
              </w:rPr>
            </w:pPr>
          </w:p>
        </w:tc>
        <w:tc>
          <w:tcPr>
            <w:tcW w:w="2268" w:type="dxa"/>
            <w:vMerge/>
            <w:vAlign w:val="center"/>
          </w:tcPr>
          <w:p w:rsidR="00CD2A5A" w:rsidRDefault="00CD2A5A">
            <w:pPr>
              <w:spacing w:before="40" w:after="40"/>
              <w:jc w:val="center"/>
              <w:rPr>
                <w:rFonts w:eastAsia="Arial Unicode MS"/>
                <w:b/>
                <w:bCs/>
                <w:i/>
                <w:sz w:val="20"/>
                <w:szCs w:val="20"/>
              </w:rPr>
            </w:pPr>
          </w:p>
        </w:tc>
        <w:tc>
          <w:tcPr>
            <w:tcW w:w="2410"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Hombre</w:t>
            </w:r>
          </w:p>
        </w:tc>
        <w:tc>
          <w:tcPr>
            <w:tcW w:w="2466"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Mujer</w:t>
            </w:r>
          </w:p>
        </w:tc>
      </w:tr>
      <w:tr w:rsidR="00CD2A5A">
        <w:trPr>
          <w:trHeight w:val="255"/>
          <w:jc w:val="center"/>
        </w:trPr>
        <w:tc>
          <w:tcPr>
            <w:tcW w:w="2268" w:type="dxa"/>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 xml:space="preserve">TOTAL </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1.496.736</w:t>
            </w:r>
          </w:p>
        </w:tc>
        <w:tc>
          <w:tcPr>
            <w:tcW w:w="2410"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b/>
                <w:bCs/>
                <w:sz w:val="20"/>
                <w:szCs w:val="20"/>
              </w:rPr>
            </w:pPr>
            <w:r>
              <w:rPr>
                <w:b/>
                <w:bCs/>
                <w:sz w:val="20"/>
                <w:szCs w:val="20"/>
              </w:rPr>
              <w:t>755.931</w:t>
            </w:r>
          </w:p>
        </w:tc>
        <w:tc>
          <w:tcPr>
            <w:tcW w:w="2466"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b/>
                <w:bCs/>
                <w:sz w:val="20"/>
                <w:szCs w:val="20"/>
              </w:rPr>
            </w:pPr>
            <w:r>
              <w:rPr>
                <w:b/>
                <w:bCs/>
                <w:sz w:val="20"/>
                <w:szCs w:val="20"/>
              </w:rPr>
              <w:t>740.805</w:t>
            </w:r>
          </w:p>
        </w:tc>
      </w:tr>
      <w:tr w:rsidR="00CD2A5A">
        <w:trPr>
          <w:trHeight w:val="255"/>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0 - 4</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387.078</w:t>
            </w:r>
          </w:p>
        </w:tc>
        <w:tc>
          <w:tcPr>
            <w:tcW w:w="2410"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192.591</w:t>
            </w:r>
          </w:p>
        </w:tc>
        <w:tc>
          <w:tcPr>
            <w:tcW w:w="2466"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194.487</w:t>
            </w:r>
          </w:p>
        </w:tc>
      </w:tr>
      <w:tr w:rsidR="00CD2A5A">
        <w:trPr>
          <w:trHeight w:val="255"/>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5 - 9</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444.438</w:t>
            </w:r>
          </w:p>
        </w:tc>
        <w:tc>
          <w:tcPr>
            <w:tcW w:w="2410"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227.096</w:t>
            </w:r>
          </w:p>
        </w:tc>
        <w:tc>
          <w:tcPr>
            <w:tcW w:w="2466"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217.342</w:t>
            </w:r>
          </w:p>
        </w:tc>
      </w:tr>
      <w:tr w:rsidR="00CD2A5A">
        <w:trPr>
          <w:trHeight w:val="255"/>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10 - 14</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421.311</w:t>
            </w:r>
          </w:p>
        </w:tc>
        <w:tc>
          <w:tcPr>
            <w:tcW w:w="2410"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217.317</w:t>
            </w:r>
          </w:p>
        </w:tc>
        <w:tc>
          <w:tcPr>
            <w:tcW w:w="2466"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203.994</w:t>
            </w:r>
          </w:p>
        </w:tc>
      </w:tr>
      <w:tr w:rsidR="00CD2A5A">
        <w:trPr>
          <w:trHeight w:val="270"/>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15 - 17</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243.909</w:t>
            </w:r>
          </w:p>
        </w:tc>
        <w:tc>
          <w:tcPr>
            <w:tcW w:w="2410"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118.927</w:t>
            </w:r>
          </w:p>
        </w:tc>
        <w:tc>
          <w:tcPr>
            <w:tcW w:w="2466" w:type="dxa"/>
            <w:noWrap/>
            <w:tcMar>
              <w:top w:w="17" w:type="dxa"/>
              <w:left w:w="17" w:type="dxa"/>
              <w:bottom w:w="0" w:type="dxa"/>
              <w:right w:w="17" w:type="dxa"/>
            </w:tcMar>
            <w:vAlign w:val="bottom"/>
          </w:tcPr>
          <w:p w:rsidR="00CD2A5A" w:rsidRDefault="00CD2A5A">
            <w:pPr>
              <w:spacing w:before="40" w:after="40"/>
              <w:ind w:right="305"/>
              <w:jc w:val="right"/>
              <w:rPr>
                <w:rFonts w:eastAsia="Arial Unicode MS"/>
                <w:sz w:val="20"/>
                <w:szCs w:val="20"/>
              </w:rPr>
            </w:pPr>
            <w:r>
              <w:rPr>
                <w:sz w:val="20"/>
                <w:szCs w:val="20"/>
              </w:rPr>
              <w:t>124.982</w:t>
            </w:r>
          </w:p>
        </w:tc>
      </w:tr>
    </w:tbl>
    <w:p w:rsidR="00CD2A5A" w:rsidRDefault="00CD2A5A">
      <w:pPr>
        <w:pStyle w:val="Heading1"/>
        <w:spacing w:after="240"/>
        <w:jc w:val="left"/>
        <w:rPr>
          <w:color w:val="auto"/>
          <w:szCs w:val="24"/>
        </w:rPr>
      </w:pPr>
    </w:p>
    <w:p w:rsidR="00CD2A5A" w:rsidRDefault="00CD2A5A" w:rsidP="00CD2A5A">
      <w:pPr>
        <w:pStyle w:val="Figure"/>
      </w:pPr>
      <w:r>
        <w:t>El salvador: población total por sexo, según grupos de edad, 2004</w:t>
      </w:r>
    </w:p>
    <w:p w:rsidR="00CD2A5A" w:rsidRDefault="00CD2A5A" w:rsidP="00CD2A5A">
      <w:pPr>
        <w:pStyle w:val="Figure"/>
      </w:pPr>
      <w:r>
        <w:t>(Total país rural)</w:t>
      </w:r>
    </w:p>
    <w:tbl>
      <w:tblPr>
        <w:tblW w:w="9401"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5"/>
        <w:gridCol w:w="2266"/>
        <w:gridCol w:w="2410"/>
        <w:gridCol w:w="2460"/>
      </w:tblGrid>
      <w:tr w:rsidR="00CD2A5A">
        <w:trPr>
          <w:cantSplit/>
          <w:trHeight w:val="285"/>
          <w:jc w:val="center"/>
        </w:trPr>
        <w:tc>
          <w:tcPr>
            <w:tcW w:w="2265"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 edad</w:t>
            </w:r>
          </w:p>
        </w:tc>
        <w:tc>
          <w:tcPr>
            <w:tcW w:w="2266"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4870" w:type="dxa"/>
            <w:gridSpan w:val="2"/>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Género</w:t>
            </w:r>
          </w:p>
        </w:tc>
      </w:tr>
      <w:tr w:rsidR="00CD2A5A">
        <w:trPr>
          <w:cantSplit/>
          <w:trHeight w:val="270"/>
          <w:jc w:val="center"/>
        </w:trPr>
        <w:tc>
          <w:tcPr>
            <w:tcW w:w="2265" w:type="dxa"/>
            <w:vMerge/>
            <w:vAlign w:val="center"/>
          </w:tcPr>
          <w:p w:rsidR="00CD2A5A" w:rsidRDefault="00CD2A5A">
            <w:pPr>
              <w:spacing w:before="40" w:after="40"/>
              <w:jc w:val="center"/>
              <w:rPr>
                <w:rFonts w:eastAsia="Arial Unicode MS"/>
                <w:b/>
                <w:bCs/>
                <w:i/>
                <w:sz w:val="20"/>
                <w:szCs w:val="20"/>
              </w:rPr>
            </w:pPr>
          </w:p>
        </w:tc>
        <w:tc>
          <w:tcPr>
            <w:tcW w:w="2266" w:type="dxa"/>
            <w:vMerge/>
            <w:vAlign w:val="center"/>
          </w:tcPr>
          <w:p w:rsidR="00CD2A5A" w:rsidRDefault="00CD2A5A">
            <w:pPr>
              <w:spacing w:before="40" w:after="40"/>
              <w:jc w:val="center"/>
              <w:rPr>
                <w:rFonts w:eastAsia="Arial Unicode MS"/>
                <w:b/>
                <w:bCs/>
                <w:i/>
                <w:sz w:val="20"/>
                <w:szCs w:val="20"/>
              </w:rPr>
            </w:pPr>
          </w:p>
        </w:tc>
        <w:tc>
          <w:tcPr>
            <w:tcW w:w="2410"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Hombre</w:t>
            </w:r>
          </w:p>
        </w:tc>
        <w:tc>
          <w:tcPr>
            <w:tcW w:w="2460"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Mujer</w:t>
            </w:r>
          </w:p>
        </w:tc>
      </w:tr>
      <w:tr w:rsidR="00CD2A5A">
        <w:trPr>
          <w:trHeight w:val="255"/>
          <w:jc w:val="center"/>
        </w:trPr>
        <w:tc>
          <w:tcPr>
            <w:tcW w:w="2265" w:type="dxa"/>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 xml:space="preserve">TOTAL </w:t>
            </w:r>
          </w:p>
        </w:tc>
        <w:tc>
          <w:tcPr>
            <w:tcW w:w="2266"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1,248,428</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b/>
                <w:bCs/>
                <w:sz w:val="20"/>
                <w:szCs w:val="20"/>
              </w:rPr>
            </w:pPr>
            <w:r>
              <w:rPr>
                <w:b/>
                <w:bCs/>
                <w:sz w:val="20"/>
                <w:szCs w:val="20"/>
              </w:rPr>
              <w:t>640.302</w:t>
            </w:r>
          </w:p>
        </w:tc>
        <w:tc>
          <w:tcPr>
            <w:tcW w:w="246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b/>
                <w:bCs/>
                <w:sz w:val="20"/>
                <w:szCs w:val="20"/>
              </w:rPr>
            </w:pPr>
            <w:r>
              <w:rPr>
                <w:b/>
                <w:bCs/>
                <w:sz w:val="20"/>
                <w:szCs w:val="20"/>
              </w:rPr>
              <w:t>608.126</w:t>
            </w:r>
          </w:p>
        </w:tc>
      </w:tr>
      <w:tr w:rsidR="00CD2A5A">
        <w:trPr>
          <w:trHeight w:val="255"/>
          <w:jc w:val="center"/>
        </w:trPr>
        <w:tc>
          <w:tcPr>
            <w:tcW w:w="226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0 - 4</w:t>
            </w:r>
          </w:p>
        </w:tc>
        <w:tc>
          <w:tcPr>
            <w:tcW w:w="2266"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309,886</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156.168</w:t>
            </w:r>
          </w:p>
        </w:tc>
        <w:tc>
          <w:tcPr>
            <w:tcW w:w="246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153.718</w:t>
            </w:r>
          </w:p>
        </w:tc>
      </w:tr>
      <w:tr w:rsidR="00CD2A5A">
        <w:trPr>
          <w:trHeight w:val="255"/>
          <w:jc w:val="center"/>
        </w:trPr>
        <w:tc>
          <w:tcPr>
            <w:tcW w:w="226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5 - 9</w:t>
            </w:r>
          </w:p>
        </w:tc>
        <w:tc>
          <w:tcPr>
            <w:tcW w:w="2266"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374,541</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194.136</w:t>
            </w:r>
          </w:p>
        </w:tc>
        <w:tc>
          <w:tcPr>
            <w:tcW w:w="246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180.405</w:t>
            </w:r>
          </w:p>
        </w:tc>
      </w:tr>
      <w:tr w:rsidR="00CD2A5A">
        <w:trPr>
          <w:trHeight w:val="255"/>
          <w:jc w:val="center"/>
        </w:trPr>
        <w:tc>
          <w:tcPr>
            <w:tcW w:w="226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10 - 14</w:t>
            </w:r>
          </w:p>
        </w:tc>
        <w:tc>
          <w:tcPr>
            <w:tcW w:w="2266"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362,957</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184.171</w:t>
            </w:r>
          </w:p>
        </w:tc>
        <w:tc>
          <w:tcPr>
            <w:tcW w:w="246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178.786</w:t>
            </w:r>
          </w:p>
        </w:tc>
      </w:tr>
      <w:tr w:rsidR="00CD2A5A">
        <w:trPr>
          <w:trHeight w:val="270"/>
          <w:jc w:val="center"/>
        </w:trPr>
        <w:tc>
          <w:tcPr>
            <w:tcW w:w="2265"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15 - 17</w:t>
            </w:r>
          </w:p>
        </w:tc>
        <w:tc>
          <w:tcPr>
            <w:tcW w:w="2266"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201,044</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105.827</w:t>
            </w:r>
          </w:p>
        </w:tc>
        <w:tc>
          <w:tcPr>
            <w:tcW w:w="246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95.217</w:t>
            </w:r>
          </w:p>
        </w:tc>
      </w:tr>
    </w:tbl>
    <w:p w:rsidR="00CD2A5A" w:rsidRDefault="00CD2A5A"/>
    <w:p w:rsidR="00CD2A5A" w:rsidRDefault="00CD2A5A"/>
    <w:p w:rsidR="00CD2A5A" w:rsidRDefault="00CD2A5A"/>
    <w:p w:rsidR="00CD2A5A" w:rsidRDefault="00CD2A5A" w:rsidP="00CD2A5A">
      <w:pPr>
        <w:pStyle w:val="Figure"/>
      </w:pPr>
      <w:r>
        <w:br w:type="page"/>
        <w:t>El salvador: población total por sexo, según grupos de edad, 2005</w:t>
      </w:r>
    </w:p>
    <w:p w:rsidR="00CD2A5A" w:rsidRDefault="00CD2A5A" w:rsidP="00CD2A5A">
      <w:pPr>
        <w:pStyle w:val="Figure"/>
      </w:pPr>
      <w:r>
        <w:t>(Total país)</w:t>
      </w:r>
    </w:p>
    <w:tbl>
      <w:tblPr>
        <w:tblW w:w="9412"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268"/>
        <w:gridCol w:w="2410"/>
        <w:gridCol w:w="2466"/>
      </w:tblGrid>
      <w:tr w:rsidR="00CD2A5A">
        <w:trPr>
          <w:cantSplit/>
          <w:trHeight w:val="285"/>
          <w:jc w:val="center"/>
        </w:trPr>
        <w:tc>
          <w:tcPr>
            <w:tcW w:w="2268"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 edad</w:t>
            </w:r>
          </w:p>
        </w:tc>
        <w:tc>
          <w:tcPr>
            <w:tcW w:w="2268"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4876" w:type="dxa"/>
            <w:gridSpan w:val="2"/>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Género</w:t>
            </w:r>
          </w:p>
        </w:tc>
      </w:tr>
      <w:tr w:rsidR="00CD2A5A">
        <w:trPr>
          <w:cantSplit/>
          <w:trHeight w:val="304"/>
          <w:jc w:val="center"/>
        </w:trPr>
        <w:tc>
          <w:tcPr>
            <w:tcW w:w="2268" w:type="dxa"/>
            <w:vMerge/>
            <w:vAlign w:val="center"/>
          </w:tcPr>
          <w:p w:rsidR="00CD2A5A" w:rsidRDefault="00CD2A5A">
            <w:pPr>
              <w:spacing w:before="40" w:after="40"/>
              <w:jc w:val="center"/>
              <w:rPr>
                <w:rFonts w:eastAsia="Arial Unicode MS"/>
                <w:b/>
                <w:bCs/>
                <w:i/>
                <w:sz w:val="20"/>
                <w:szCs w:val="20"/>
              </w:rPr>
            </w:pPr>
          </w:p>
        </w:tc>
        <w:tc>
          <w:tcPr>
            <w:tcW w:w="2268" w:type="dxa"/>
            <w:vMerge/>
            <w:vAlign w:val="center"/>
          </w:tcPr>
          <w:p w:rsidR="00CD2A5A" w:rsidRDefault="00CD2A5A">
            <w:pPr>
              <w:spacing w:before="40" w:after="40"/>
              <w:jc w:val="center"/>
              <w:rPr>
                <w:rFonts w:eastAsia="Arial Unicode MS"/>
                <w:b/>
                <w:bCs/>
                <w:i/>
                <w:sz w:val="20"/>
                <w:szCs w:val="20"/>
              </w:rPr>
            </w:pPr>
          </w:p>
        </w:tc>
        <w:tc>
          <w:tcPr>
            <w:tcW w:w="2410"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Hombre</w:t>
            </w:r>
          </w:p>
        </w:tc>
        <w:tc>
          <w:tcPr>
            <w:tcW w:w="2466"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Mujer</w:t>
            </w:r>
          </w:p>
        </w:tc>
      </w:tr>
      <w:tr w:rsidR="00CD2A5A">
        <w:trPr>
          <w:trHeight w:val="255"/>
          <w:jc w:val="center"/>
        </w:trPr>
        <w:tc>
          <w:tcPr>
            <w:tcW w:w="2268" w:type="dxa"/>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 xml:space="preserve">Total </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2.796.960</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b/>
                <w:bCs/>
                <w:sz w:val="20"/>
                <w:szCs w:val="20"/>
              </w:rPr>
            </w:pPr>
            <w:r>
              <w:rPr>
                <w:b/>
                <w:bCs/>
                <w:sz w:val="20"/>
                <w:szCs w:val="20"/>
              </w:rPr>
              <w:t>1.432.436</w:t>
            </w:r>
          </w:p>
        </w:tc>
        <w:tc>
          <w:tcPr>
            <w:tcW w:w="2466"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b/>
                <w:bCs/>
                <w:sz w:val="20"/>
                <w:szCs w:val="20"/>
              </w:rPr>
            </w:pPr>
            <w:r>
              <w:rPr>
                <w:b/>
                <w:bCs/>
                <w:sz w:val="20"/>
                <w:szCs w:val="20"/>
              </w:rPr>
              <w:t>1.364.524</w:t>
            </w:r>
          </w:p>
        </w:tc>
      </w:tr>
      <w:tr w:rsidR="00CD2A5A">
        <w:trPr>
          <w:trHeight w:val="255"/>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0 - 4</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680.638</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353.854</w:t>
            </w:r>
          </w:p>
        </w:tc>
        <w:tc>
          <w:tcPr>
            <w:tcW w:w="2466"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326.784</w:t>
            </w:r>
          </w:p>
        </w:tc>
      </w:tr>
      <w:tr w:rsidR="00CD2A5A">
        <w:trPr>
          <w:trHeight w:val="255"/>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5 - 9</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853.041</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436.769</w:t>
            </w:r>
          </w:p>
        </w:tc>
        <w:tc>
          <w:tcPr>
            <w:tcW w:w="2466"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416.272</w:t>
            </w:r>
          </w:p>
        </w:tc>
      </w:tr>
      <w:tr w:rsidR="00CD2A5A">
        <w:trPr>
          <w:trHeight w:val="255"/>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10 - 14</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811.410</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413.406</w:t>
            </w:r>
          </w:p>
        </w:tc>
        <w:tc>
          <w:tcPr>
            <w:tcW w:w="2466"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398.004</w:t>
            </w:r>
          </w:p>
        </w:tc>
      </w:tr>
      <w:tr w:rsidR="00CD2A5A">
        <w:trPr>
          <w:trHeight w:val="270"/>
          <w:jc w:val="center"/>
        </w:trPr>
        <w:tc>
          <w:tcPr>
            <w:tcW w:w="2268"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15 - 17</w:t>
            </w:r>
          </w:p>
        </w:tc>
        <w:tc>
          <w:tcPr>
            <w:tcW w:w="2268" w:type="dxa"/>
            <w:noWrap/>
            <w:tcMar>
              <w:top w:w="17" w:type="dxa"/>
              <w:left w:w="17" w:type="dxa"/>
              <w:bottom w:w="0" w:type="dxa"/>
              <w:right w:w="17" w:type="dxa"/>
            </w:tcMar>
            <w:vAlign w:val="bottom"/>
          </w:tcPr>
          <w:p w:rsidR="00CD2A5A" w:rsidRDefault="00CD2A5A">
            <w:pPr>
              <w:spacing w:before="40" w:after="40"/>
              <w:ind w:right="834"/>
              <w:jc w:val="right"/>
              <w:rPr>
                <w:rFonts w:eastAsia="Arial Unicode MS"/>
                <w:b/>
                <w:bCs/>
                <w:sz w:val="20"/>
                <w:szCs w:val="20"/>
              </w:rPr>
            </w:pPr>
            <w:r>
              <w:rPr>
                <w:b/>
                <w:bCs/>
                <w:sz w:val="20"/>
                <w:szCs w:val="20"/>
              </w:rPr>
              <w:t>451.871</w:t>
            </w:r>
          </w:p>
        </w:tc>
        <w:tc>
          <w:tcPr>
            <w:tcW w:w="2410"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228.407</w:t>
            </w:r>
          </w:p>
        </w:tc>
        <w:tc>
          <w:tcPr>
            <w:tcW w:w="2466" w:type="dxa"/>
            <w:noWrap/>
            <w:tcMar>
              <w:top w:w="17" w:type="dxa"/>
              <w:left w:w="17" w:type="dxa"/>
              <w:bottom w:w="0" w:type="dxa"/>
              <w:right w:w="17" w:type="dxa"/>
            </w:tcMar>
            <w:vAlign w:val="bottom"/>
          </w:tcPr>
          <w:p w:rsidR="00CD2A5A" w:rsidRDefault="00CD2A5A">
            <w:pPr>
              <w:spacing w:before="40" w:after="40"/>
              <w:ind w:right="550"/>
              <w:jc w:val="right"/>
              <w:rPr>
                <w:rFonts w:eastAsia="Arial Unicode MS"/>
                <w:sz w:val="20"/>
                <w:szCs w:val="20"/>
              </w:rPr>
            </w:pPr>
            <w:r>
              <w:rPr>
                <w:sz w:val="20"/>
                <w:szCs w:val="20"/>
              </w:rPr>
              <w:t>223.464</w:t>
            </w:r>
          </w:p>
        </w:tc>
      </w:tr>
    </w:tbl>
    <w:p w:rsidR="00CD2A5A" w:rsidRDefault="00CD2A5A">
      <w:pPr>
        <w:pStyle w:val="Heading1"/>
        <w:spacing w:after="240"/>
        <w:jc w:val="left"/>
        <w:rPr>
          <w:color w:val="auto"/>
          <w:szCs w:val="24"/>
        </w:rPr>
      </w:pPr>
    </w:p>
    <w:p w:rsidR="00CD2A5A" w:rsidRDefault="00CD2A5A" w:rsidP="00CD2A5A">
      <w:pPr>
        <w:pStyle w:val="Figure"/>
      </w:pPr>
      <w:r>
        <w:t>El salvador: población total por sexo, según grupos de edad, 2005</w:t>
      </w:r>
    </w:p>
    <w:p w:rsidR="00CD2A5A" w:rsidRDefault="00CD2A5A" w:rsidP="00CD2A5A">
      <w:pPr>
        <w:pStyle w:val="Figure"/>
      </w:pPr>
      <w:r>
        <w:t>(Total país urbano)</w:t>
      </w:r>
    </w:p>
    <w:tbl>
      <w:tblPr>
        <w:tblW w:w="9412"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268"/>
        <w:gridCol w:w="2383"/>
        <w:gridCol w:w="2493"/>
      </w:tblGrid>
      <w:tr w:rsidR="00CD2A5A">
        <w:trPr>
          <w:cantSplit/>
          <w:trHeight w:val="410"/>
          <w:jc w:val="center"/>
        </w:trPr>
        <w:tc>
          <w:tcPr>
            <w:tcW w:w="2268"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 edad</w:t>
            </w:r>
          </w:p>
        </w:tc>
        <w:tc>
          <w:tcPr>
            <w:tcW w:w="2268"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4876" w:type="dxa"/>
            <w:gridSpan w:val="2"/>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Género</w:t>
            </w:r>
          </w:p>
        </w:tc>
      </w:tr>
      <w:tr w:rsidR="00CD2A5A">
        <w:trPr>
          <w:cantSplit/>
          <w:trHeight w:val="270"/>
          <w:jc w:val="center"/>
        </w:trPr>
        <w:tc>
          <w:tcPr>
            <w:tcW w:w="2268" w:type="dxa"/>
            <w:vMerge/>
            <w:vAlign w:val="center"/>
          </w:tcPr>
          <w:p w:rsidR="00CD2A5A" w:rsidRDefault="00CD2A5A">
            <w:pPr>
              <w:spacing w:before="40" w:after="40"/>
              <w:jc w:val="center"/>
              <w:rPr>
                <w:rFonts w:eastAsia="Arial Unicode MS"/>
                <w:b/>
                <w:bCs/>
                <w:i/>
                <w:sz w:val="20"/>
                <w:szCs w:val="20"/>
              </w:rPr>
            </w:pPr>
          </w:p>
        </w:tc>
        <w:tc>
          <w:tcPr>
            <w:tcW w:w="2268" w:type="dxa"/>
            <w:vMerge/>
            <w:vAlign w:val="center"/>
          </w:tcPr>
          <w:p w:rsidR="00CD2A5A" w:rsidRDefault="00CD2A5A">
            <w:pPr>
              <w:spacing w:before="40" w:after="40"/>
              <w:jc w:val="center"/>
              <w:rPr>
                <w:rFonts w:eastAsia="Arial Unicode MS"/>
                <w:b/>
                <w:bCs/>
                <w:i/>
                <w:sz w:val="20"/>
                <w:szCs w:val="20"/>
              </w:rPr>
            </w:pPr>
          </w:p>
        </w:tc>
        <w:tc>
          <w:tcPr>
            <w:tcW w:w="2383"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Hombre</w:t>
            </w:r>
          </w:p>
        </w:tc>
        <w:tc>
          <w:tcPr>
            <w:tcW w:w="2493" w:type="dxa"/>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Mujer</w:t>
            </w:r>
          </w:p>
        </w:tc>
      </w:tr>
      <w:tr w:rsidR="00CD2A5A">
        <w:trPr>
          <w:trHeight w:val="255"/>
          <w:jc w:val="center"/>
        </w:trPr>
        <w:tc>
          <w:tcPr>
            <w:tcW w:w="2268" w:type="dxa"/>
            <w:tcMar>
              <w:top w:w="17" w:type="dxa"/>
              <w:left w:w="17" w:type="dxa"/>
              <w:bottom w:w="0" w:type="dxa"/>
              <w:right w:w="17" w:type="dxa"/>
            </w:tcMar>
            <w:vAlign w:val="center"/>
          </w:tcPr>
          <w:p w:rsidR="00CD2A5A" w:rsidRDefault="00CD2A5A">
            <w:pPr>
              <w:spacing w:before="40" w:after="40"/>
              <w:rPr>
                <w:rFonts w:eastAsia="Arial Unicode MS"/>
                <w:b/>
                <w:bCs/>
                <w:sz w:val="20"/>
                <w:szCs w:val="20"/>
              </w:rPr>
            </w:pPr>
            <w:r>
              <w:rPr>
                <w:b/>
                <w:bCs/>
                <w:sz w:val="20"/>
                <w:szCs w:val="20"/>
              </w:rPr>
              <w:t xml:space="preserve">Total </w:t>
            </w:r>
          </w:p>
        </w:tc>
        <w:tc>
          <w:tcPr>
            <w:tcW w:w="2268"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1.525.672</w:t>
            </w:r>
          </w:p>
        </w:tc>
        <w:tc>
          <w:tcPr>
            <w:tcW w:w="2383"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786.801</w:t>
            </w:r>
          </w:p>
        </w:tc>
        <w:tc>
          <w:tcPr>
            <w:tcW w:w="2493"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738.871</w:t>
            </w:r>
          </w:p>
        </w:tc>
      </w:tr>
      <w:tr w:rsidR="00CD2A5A">
        <w:trPr>
          <w:trHeight w:val="255"/>
          <w:jc w:val="center"/>
        </w:trPr>
        <w:tc>
          <w:tcPr>
            <w:tcW w:w="2268" w:type="dxa"/>
            <w:noWrap/>
            <w:tcMar>
              <w:top w:w="17" w:type="dxa"/>
              <w:left w:w="17" w:type="dxa"/>
              <w:bottom w:w="0" w:type="dxa"/>
              <w:right w:w="17" w:type="dxa"/>
            </w:tcMar>
            <w:vAlign w:val="center"/>
          </w:tcPr>
          <w:p w:rsidR="00CD2A5A" w:rsidRDefault="00CD2A5A">
            <w:pPr>
              <w:spacing w:before="40" w:after="40"/>
              <w:rPr>
                <w:rFonts w:eastAsia="Arial Unicode MS"/>
                <w:sz w:val="20"/>
                <w:szCs w:val="20"/>
              </w:rPr>
            </w:pPr>
            <w:r>
              <w:rPr>
                <w:sz w:val="20"/>
                <w:szCs w:val="20"/>
              </w:rPr>
              <w:t>0 - 4</w:t>
            </w:r>
          </w:p>
        </w:tc>
        <w:tc>
          <w:tcPr>
            <w:tcW w:w="2268"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372.725</w:t>
            </w:r>
          </w:p>
        </w:tc>
        <w:tc>
          <w:tcPr>
            <w:tcW w:w="238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194.986</w:t>
            </w:r>
          </w:p>
        </w:tc>
        <w:tc>
          <w:tcPr>
            <w:tcW w:w="249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177.739</w:t>
            </w:r>
          </w:p>
        </w:tc>
      </w:tr>
      <w:tr w:rsidR="00CD2A5A">
        <w:trPr>
          <w:trHeight w:val="255"/>
          <w:jc w:val="center"/>
        </w:trPr>
        <w:tc>
          <w:tcPr>
            <w:tcW w:w="2268" w:type="dxa"/>
            <w:noWrap/>
            <w:tcMar>
              <w:top w:w="17" w:type="dxa"/>
              <w:left w:w="17" w:type="dxa"/>
              <w:bottom w:w="0" w:type="dxa"/>
              <w:right w:w="17" w:type="dxa"/>
            </w:tcMar>
            <w:vAlign w:val="center"/>
          </w:tcPr>
          <w:p w:rsidR="00CD2A5A" w:rsidRDefault="00CD2A5A">
            <w:pPr>
              <w:spacing w:before="40" w:after="40"/>
              <w:rPr>
                <w:rFonts w:eastAsia="Arial Unicode MS"/>
                <w:sz w:val="20"/>
                <w:szCs w:val="20"/>
              </w:rPr>
            </w:pPr>
            <w:r>
              <w:rPr>
                <w:sz w:val="20"/>
                <w:szCs w:val="20"/>
              </w:rPr>
              <w:t>5 - 9</w:t>
            </w:r>
          </w:p>
        </w:tc>
        <w:tc>
          <w:tcPr>
            <w:tcW w:w="2268"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458.839</w:t>
            </w:r>
          </w:p>
        </w:tc>
        <w:tc>
          <w:tcPr>
            <w:tcW w:w="238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230.173</w:t>
            </w:r>
          </w:p>
        </w:tc>
        <w:tc>
          <w:tcPr>
            <w:tcW w:w="249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228.666</w:t>
            </w:r>
          </w:p>
        </w:tc>
      </w:tr>
      <w:tr w:rsidR="00CD2A5A">
        <w:trPr>
          <w:trHeight w:val="255"/>
          <w:jc w:val="center"/>
        </w:trPr>
        <w:tc>
          <w:tcPr>
            <w:tcW w:w="2268" w:type="dxa"/>
            <w:noWrap/>
            <w:tcMar>
              <w:top w:w="17" w:type="dxa"/>
              <w:left w:w="17" w:type="dxa"/>
              <w:bottom w:w="0" w:type="dxa"/>
              <w:right w:w="17" w:type="dxa"/>
            </w:tcMar>
            <w:vAlign w:val="center"/>
          </w:tcPr>
          <w:p w:rsidR="00CD2A5A" w:rsidRDefault="00CD2A5A">
            <w:pPr>
              <w:spacing w:before="40" w:after="40"/>
              <w:rPr>
                <w:rFonts w:eastAsia="Arial Unicode MS"/>
                <w:sz w:val="20"/>
                <w:szCs w:val="20"/>
              </w:rPr>
            </w:pPr>
            <w:r>
              <w:rPr>
                <w:sz w:val="20"/>
                <w:szCs w:val="20"/>
              </w:rPr>
              <w:t>10 - 14</w:t>
            </w:r>
          </w:p>
        </w:tc>
        <w:tc>
          <w:tcPr>
            <w:tcW w:w="2268"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439.649</w:t>
            </w:r>
          </w:p>
        </w:tc>
        <w:tc>
          <w:tcPr>
            <w:tcW w:w="238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229.968</w:t>
            </w:r>
          </w:p>
        </w:tc>
        <w:tc>
          <w:tcPr>
            <w:tcW w:w="249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209.681</w:t>
            </w:r>
          </w:p>
        </w:tc>
      </w:tr>
      <w:tr w:rsidR="00CD2A5A">
        <w:trPr>
          <w:trHeight w:val="270"/>
          <w:jc w:val="center"/>
        </w:trPr>
        <w:tc>
          <w:tcPr>
            <w:tcW w:w="2268" w:type="dxa"/>
            <w:noWrap/>
            <w:tcMar>
              <w:top w:w="17" w:type="dxa"/>
              <w:left w:w="17" w:type="dxa"/>
              <w:bottom w:w="0" w:type="dxa"/>
              <w:right w:w="17" w:type="dxa"/>
            </w:tcMar>
            <w:vAlign w:val="center"/>
          </w:tcPr>
          <w:p w:rsidR="00CD2A5A" w:rsidRDefault="00CD2A5A">
            <w:pPr>
              <w:spacing w:before="40" w:after="40"/>
              <w:rPr>
                <w:rFonts w:eastAsia="Arial Unicode MS"/>
                <w:sz w:val="20"/>
                <w:szCs w:val="20"/>
              </w:rPr>
            </w:pPr>
            <w:r>
              <w:rPr>
                <w:sz w:val="20"/>
                <w:szCs w:val="20"/>
              </w:rPr>
              <w:t>15 - 17</w:t>
            </w:r>
          </w:p>
        </w:tc>
        <w:tc>
          <w:tcPr>
            <w:tcW w:w="2268" w:type="dxa"/>
            <w:noWrap/>
            <w:tcMar>
              <w:top w:w="17" w:type="dxa"/>
              <w:left w:w="17" w:type="dxa"/>
              <w:bottom w:w="0" w:type="dxa"/>
              <w:right w:w="17" w:type="dxa"/>
            </w:tcMar>
            <w:vAlign w:val="center"/>
          </w:tcPr>
          <w:p w:rsidR="00CD2A5A" w:rsidRDefault="00CD2A5A">
            <w:pPr>
              <w:spacing w:before="40" w:after="40"/>
              <w:jc w:val="right"/>
              <w:rPr>
                <w:rFonts w:eastAsia="Arial Unicode MS"/>
                <w:b/>
                <w:bCs/>
                <w:sz w:val="20"/>
                <w:szCs w:val="20"/>
              </w:rPr>
            </w:pPr>
            <w:r>
              <w:rPr>
                <w:b/>
                <w:bCs/>
                <w:sz w:val="20"/>
                <w:szCs w:val="20"/>
              </w:rPr>
              <w:t>254.459</w:t>
            </w:r>
          </w:p>
        </w:tc>
        <w:tc>
          <w:tcPr>
            <w:tcW w:w="238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131.674</w:t>
            </w:r>
          </w:p>
        </w:tc>
        <w:tc>
          <w:tcPr>
            <w:tcW w:w="2493" w:type="dxa"/>
            <w:noWrap/>
            <w:tcMar>
              <w:top w:w="17" w:type="dxa"/>
              <w:left w:w="17" w:type="dxa"/>
              <w:bottom w:w="0" w:type="dxa"/>
              <w:right w:w="17" w:type="dxa"/>
            </w:tcMar>
            <w:vAlign w:val="center"/>
          </w:tcPr>
          <w:p w:rsidR="00CD2A5A" w:rsidRDefault="00CD2A5A">
            <w:pPr>
              <w:spacing w:before="40" w:after="40"/>
              <w:jc w:val="right"/>
              <w:rPr>
                <w:rFonts w:eastAsia="Arial Unicode MS"/>
                <w:sz w:val="20"/>
                <w:szCs w:val="20"/>
              </w:rPr>
            </w:pPr>
            <w:r>
              <w:rPr>
                <w:sz w:val="20"/>
                <w:szCs w:val="20"/>
              </w:rPr>
              <w:t>122.785</w:t>
            </w:r>
          </w:p>
        </w:tc>
      </w:tr>
    </w:tbl>
    <w:p w:rsidR="00CD2A5A" w:rsidRDefault="00CD2A5A">
      <w:pPr>
        <w:pStyle w:val="Heading1"/>
        <w:spacing w:after="240"/>
        <w:jc w:val="left"/>
        <w:rPr>
          <w:color w:val="auto"/>
          <w:szCs w:val="24"/>
        </w:rPr>
      </w:pPr>
    </w:p>
    <w:p w:rsidR="00CD2A5A" w:rsidRDefault="00CD2A5A" w:rsidP="00CD2A5A">
      <w:pPr>
        <w:pStyle w:val="Figure"/>
      </w:pPr>
      <w:r>
        <w:t>El salvador: población total por sexo, según grupos de edad, 2005</w:t>
      </w:r>
    </w:p>
    <w:p w:rsidR="00CD2A5A" w:rsidRDefault="00CD2A5A" w:rsidP="00CD2A5A">
      <w:pPr>
        <w:pStyle w:val="Figure"/>
      </w:pPr>
      <w:r>
        <w:t>(Total país rural)</w:t>
      </w:r>
    </w:p>
    <w:tbl>
      <w:tblPr>
        <w:tblpPr w:tblpXSpec="center"/>
        <w:tblW w:w="9412"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61"/>
        <w:gridCol w:w="2162"/>
        <w:gridCol w:w="2544"/>
        <w:gridCol w:w="2545"/>
      </w:tblGrid>
      <w:tr w:rsidR="00CD2A5A">
        <w:trPr>
          <w:cantSplit/>
          <w:trHeight w:val="285"/>
          <w:jc w:val="center"/>
        </w:trPr>
        <w:tc>
          <w:tcPr>
            <w:tcW w:w="2161"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 edad</w:t>
            </w:r>
          </w:p>
        </w:tc>
        <w:tc>
          <w:tcPr>
            <w:tcW w:w="2162" w:type="dxa"/>
            <w:vMerge w:val="restart"/>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0" w:type="auto"/>
            <w:gridSpan w:val="2"/>
            <w:tcBorders>
              <w:top w:val="nil"/>
            </w:tcBorders>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Género</w:t>
            </w:r>
          </w:p>
        </w:tc>
      </w:tr>
      <w:tr w:rsidR="00CD2A5A">
        <w:trPr>
          <w:cantSplit/>
          <w:trHeight w:val="348"/>
          <w:jc w:val="center"/>
        </w:trPr>
        <w:tc>
          <w:tcPr>
            <w:tcW w:w="2161" w:type="dxa"/>
            <w:vMerge/>
            <w:vAlign w:val="center"/>
          </w:tcPr>
          <w:p w:rsidR="00CD2A5A" w:rsidRDefault="00CD2A5A">
            <w:pPr>
              <w:spacing w:before="40" w:after="40"/>
              <w:jc w:val="center"/>
              <w:rPr>
                <w:rFonts w:eastAsia="Arial Unicode MS"/>
                <w:b/>
                <w:bCs/>
                <w:i/>
                <w:sz w:val="20"/>
                <w:szCs w:val="20"/>
              </w:rPr>
            </w:pPr>
          </w:p>
        </w:tc>
        <w:tc>
          <w:tcPr>
            <w:tcW w:w="2162" w:type="dxa"/>
            <w:vMerge/>
            <w:vAlign w:val="center"/>
          </w:tcPr>
          <w:p w:rsidR="00CD2A5A" w:rsidRDefault="00CD2A5A">
            <w:pPr>
              <w:spacing w:before="40" w:after="40"/>
              <w:jc w:val="center"/>
              <w:rPr>
                <w:rFonts w:eastAsia="Arial Unicode MS"/>
                <w:b/>
                <w:bCs/>
                <w:i/>
                <w:sz w:val="20"/>
                <w:szCs w:val="20"/>
              </w:rPr>
            </w:pPr>
          </w:p>
        </w:tc>
        <w:tc>
          <w:tcPr>
            <w:tcW w:w="0" w:type="auto"/>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Hombre</w:t>
            </w:r>
          </w:p>
        </w:tc>
        <w:tc>
          <w:tcPr>
            <w:tcW w:w="0" w:type="auto"/>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Mujer</w:t>
            </w:r>
          </w:p>
        </w:tc>
      </w:tr>
      <w:tr w:rsidR="00CD2A5A">
        <w:trPr>
          <w:trHeight w:val="255"/>
          <w:jc w:val="center"/>
        </w:trPr>
        <w:tc>
          <w:tcPr>
            <w:tcW w:w="2161" w:type="dxa"/>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 xml:space="preserve">Total </w:t>
            </w:r>
          </w:p>
        </w:tc>
        <w:tc>
          <w:tcPr>
            <w:tcW w:w="2162" w:type="dxa"/>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1.271.288</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645.635</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625.653</w:t>
            </w:r>
          </w:p>
        </w:tc>
      </w:tr>
      <w:tr w:rsidR="00CD2A5A">
        <w:trPr>
          <w:trHeight w:val="255"/>
          <w:jc w:val="center"/>
        </w:trPr>
        <w:tc>
          <w:tcPr>
            <w:tcW w:w="2161"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0 - 4</w:t>
            </w:r>
          </w:p>
        </w:tc>
        <w:tc>
          <w:tcPr>
            <w:tcW w:w="2162" w:type="dxa"/>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307.913</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158.868</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149.045</w:t>
            </w:r>
          </w:p>
        </w:tc>
      </w:tr>
      <w:tr w:rsidR="00CD2A5A">
        <w:trPr>
          <w:trHeight w:val="255"/>
          <w:jc w:val="center"/>
        </w:trPr>
        <w:tc>
          <w:tcPr>
            <w:tcW w:w="2161"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5 - 9</w:t>
            </w:r>
          </w:p>
        </w:tc>
        <w:tc>
          <w:tcPr>
            <w:tcW w:w="2162" w:type="dxa"/>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394.202</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206.596</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187.606</w:t>
            </w:r>
          </w:p>
        </w:tc>
      </w:tr>
      <w:tr w:rsidR="00CD2A5A">
        <w:trPr>
          <w:trHeight w:val="255"/>
          <w:jc w:val="center"/>
        </w:trPr>
        <w:tc>
          <w:tcPr>
            <w:tcW w:w="2161"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10 - 14</w:t>
            </w:r>
          </w:p>
        </w:tc>
        <w:tc>
          <w:tcPr>
            <w:tcW w:w="2162" w:type="dxa"/>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371.761</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183.438</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188.323</w:t>
            </w:r>
          </w:p>
        </w:tc>
      </w:tr>
      <w:tr w:rsidR="00CD2A5A">
        <w:trPr>
          <w:trHeight w:val="270"/>
          <w:jc w:val="center"/>
        </w:trPr>
        <w:tc>
          <w:tcPr>
            <w:tcW w:w="2161" w:type="dxa"/>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15 - 17</w:t>
            </w:r>
          </w:p>
        </w:tc>
        <w:tc>
          <w:tcPr>
            <w:tcW w:w="2162" w:type="dxa"/>
            <w:noWrap/>
            <w:tcMar>
              <w:top w:w="17" w:type="dxa"/>
              <w:left w:w="17" w:type="dxa"/>
              <w:bottom w:w="0" w:type="dxa"/>
              <w:right w:w="17" w:type="dxa"/>
            </w:tcMar>
            <w:vAlign w:val="bottom"/>
          </w:tcPr>
          <w:p w:rsidR="00CD2A5A" w:rsidRDefault="00CD2A5A">
            <w:pPr>
              <w:spacing w:before="40" w:after="40"/>
              <w:ind w:right="893"/>
              <w:jc w:val="right"/>
              <w:rPr>
                <w:rFonts w:eastAsia="Arial Unicode MS"/>
                <w:b/>
                <w:bCs/>
                <w:sz w:val="20"/>
                <w:szCs w:val="20"/>
              </w:rPr>
            </w:pPr>
            <w:r>
              <w:rPr>
                <w:b/>
                <w:bCs/>
                <w:sz w:val="20"/>
                <w:szCs w:val="20"/>
              </w:rPr>
              <w:t>197.412</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96.733</w:t>
            </w:r>
          </w:p>
        </w:tc>
        <w:tc>
          <w:tcPr>
            <w:tcW w:w="0" w:type="auto"/>
            <w:noWrap/>
            <w:tcMar>
              <w:top w:w="17" w:type="dxa"/>
              <w:left w:w="17" w:type="dxa"/>
              <w:bottom w:w="0" w:type="dxa"/>
              <w:right w:w="17" w:type="dxa"/>
            </w:tcMar>
            <w:vAlign w:val="bottom"/>
          </w:tcPr>
          <w:p w:rsidR="00CD2A5A" w:rsidRDefault="00CD2A5A">
            <w:pPr>
              <w:spacing w:before="40" w:after="40"/>
              <w:ind w:right="893"/>
              <w:jc w:val="right"/>
              <w:rPr>
                <w:rFonts w:eastAsia="Arial Unicode MS"/>
                <w:sz w:val="20"/>
                <w:szCs w:val="20"/>
              </w:rPr>
            </w:pPr>
            <w:r>
              <w:rPr>
                <w:sz w:val="20"/>
                <w:szCs w:val="20"/>
              </w:rPr>
              <w:t>100.679</w:t>
            </w:r>
          </w:p>
        </w:tc>
      </w:tr>
    </w:tbl>
    <w:p w:rsidR="00CD2A5A" w:rsidRDefault="00CD2A5A">
      <w:pPr>
        <w:pStyle w:val="I"/>
      </w:pPr>
      <w:r>
        <w:br w:type="page"/>
        <w:t>ANEXO II</w:t>
      </w:r>
    </w:p>
    <w:p w:rsidR="00CD2A5A" w:rsidRDefault="00CD2A5A" w:rsidP="00CD2A5A">
      <w:pPr>
        <w:pStyle w:val="Figure"/>
        <w:rPr>
          <w:rStyle w:val="Ttulo1CarCarCarCarCarCarCarCarCarCarCarCarCarCarCarCarCar"/>
          <w:lang w:val="es-SV"/>
        </w:rPr>
      </w:pPr>
      <w:r>
        <w:t xml:space="preserve">SISTEMA DE INFORMACIÓN PARA LA INFANCIA (SIPI): </w:t>
      </w:r>
      <w:bookmarkStart w:id="12" w:name="_Toc152650017"/>
      <w:bookmarkStart w:id="13" w:name="_Toc155672238"/>
      <w:bookmarkStart w:id="14" w:name="_Toc157565548"/>
      <w:r>
        <w:rPr>
          <w:rStyle w:val="Ttulo1CarCarCarCarCarCarCarCarCarCarCarCarCarCarCarCarCar"/>
          <w:lang w:val="es-SV"/>
        </w:rPr>
        <w:t>INDICADORES DE PROTECCIÓN (ISNA</w:t>
      </w:r>
      <w:bookmarkEnd w:id="12"/>
      <w:bookmarkEnd w:id="13"/>
      <w:bookmarkEnd w:id="14"/>
      <w:r>
        <w:rPr>
          <w:rStyle w:val="Ttulo1CarCarCarCarCarCarCarCarCarCarCarCarCarCarCarCarCar"/>
          <w:lang w:val="es-SV"/>
        </w:rPr>
        <w:t>)</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firstRow="1" w:lastRow="0" w:firstColumn="1" w:lastColumn="0" w:noHBand="0" w:noVBand="0"/>
      </w:tblPr>
      <w:tblGrid>
        <w:gridCol w:w="612"/>
        <w:gridCol w:w="8800"/>
      </w:tblGrid>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b/>
                <w:iCs/>
                <w:sz w:val="22"/>
                <w:szCs w:val="22"/>
              </w:rPr>
            </w:pPr>
            <w:r>
              <w:rPr>
                <w:b/>
                <w:iCs/>
                <w:sz w:val="22"/>
                <w:szCs w:val="22"/>
              </w:rPr>
              <w:t>No.</w:t>
            </w:r>
          </w:p>
        </w:tc>
        <w:tc>
          <w:tcPr>
            <w:tcW w:w="8800" w:type="dxa"/>
            <w:vAlign w:val="center"/>
          </w:tcPr>
          <w:p w:rsidR="00CD2A5A" w:rsidRDefault="00CD2A5A">
            <w:pPr>
              <w:pStyle w:val="Heading7"/>
              <w:tabs>
                <w:tab w:val="clear" w:pos="851"/>
              </w:tabs>
              <w:spacing w:before="40" w:after="40"/>
              <w:ind w:left="0" w:firstLine="0"/>
              <w:jc w:val="left"/>
              <w:rPr>
                <w:rFonts w:ascii="Times New Roman" w:hAnsi="Times New Roman" w:cs="Times New Roman"/>
                <w:i/>
                <w:iCs/>
                <w:sz w:val="22"/>
                <w:szCs w:val="22"/>
              </w:rPr>
            </w:pPr>
            <w:r>
              <w:rPr>
                <w:rFonts w:ascii="Times New Roman" w:hAnsi="Times New Roman" w:cs="Times New Roman"/>
                <w:i/>
                <w:iCs/>
                <w:sz w:val="22"/>
                <w:szCs w:val="22"/>
              </w:rPr>
              <w:t>Indicador</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1</w:t>
            </w:r>
          </w:p>
        </w:tc>
        <w:tc>
          <w:tcPr>
            <w:tcW w:w="8800" w:type="dxa"/>
            <w:vAlign w:val="center"/>
          </w:tcPr>
          <w:p w:rsidR="00CD2A5A" w:rsidRDefault="00CD2A5A">
            <w:pPr>
              <w:spacing w:before="40" w:after="40"/>
              <w:rPr>
                <w:iCs/>
                <w:sz w:val="22"/>
                <w:szCs w:val="22"/>
              </w:rPr>
            </w:pPr>
            <w:r>
              <w:rPr>
                <w:iCs/>
                <w:sz w:val="22"/>
                <w:szCs w:val="22"/>
              </w:rPr>
              <w:t>Número de niños/as y adolescentes atendidos/as con medidas de protección</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2</w:t>
            </w:r>
          </w:p>
        </w:tc>
        <w:tc>
          <w:tcPr>
            <w:tcW w:w="8800" w:type="dxa"/>
            <w:vAlign w:val="center"/>
          </w:tcPr>
          <w:p w:rsidR="00CD2A5A" w:rsidRDefault="00CD2A5A">
            <w:pPr>
              <w:spacing w:before="40" w:after="40"/>
              <w:rPr>
                <w:iCs/>
                <w:sz w:val="22"/>
                <w:szCs w:val="22"/>
              </w:rPr>
            </w:pPr>
            <w:r>
              <w:rPr>
                <w:iCs/>
                <w:sz w:val="22"/>
                <w:szCs w:val="22"/>
              </w:rPr>
              <w:t>Porcentaje de niños/as y adolescentes atendidos/as procedentes del área urbana</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3</w:t>
            </w:r>
          </w:p>
        </w:tc>
        <w:tc>
          <w:tcPr>
            <w:tcW w:w="8800" w:type="dxa"/>
            <w:vAlign w:val="center"/>
          </w:tcPr>
          <w:p w:rsidR="00CD2A5A" w:rsidRDefault="00CD2A5A">
            <w:pPr>
              <w:spacing w:before="40" w:after="40"/>
              <w:rPr>
                <w:iCs/>
                <w:sz w:val="22"/>
                <w:szCs w:val="22"/>
              </w:rPr>
            </w:pPr>
            <w:r>
              <w:rPr>
                <w:iCs/>
                <w:sz w:val="22"/>
                <w:szCs w:val="22"/>
              </w:rPr>
              <w:t>Porcentaje de niños/as y adolescentes atendidos/as procedentes del área rural</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4</w:t>
            </w:r>
          </w:p>
        </w:tc>
        <w:tc>
          <w:tcPr>
            <w:tcW w:w="8800" w:type="dxa"/>
            <w:vAlign w:val="center"/>
          </w:tcPr>
          <w:p w:rsidR="00CD2A5A" w:rsidRDefault="00CD2A5A">
            <w:pPr>
              <w:spacing w:before="40" w:after="40"/>
              <w:rPr>
                <w:iCs/>
                <w:sz w:val="22"/>
                <w:szCs w:val="22"/>
              </w:rPr>
            </w:pPr>
            <w:r>
              <w:rPr>
                <w:iCs/>
                <w:sz w:val="22"/>
                <w:szCs w:val="22"/>
              </w:rPr>
              <w:t xml:space="preserve">Promedio mensual de niños/as y adolescentes institucionalizados </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5</w:t>
            </w:r>
          </w:p>
        </w:tc>
        <w:tc>
          <w:tcPr>
            <w:tcW w:w="8800" w:type="dxa"/>
            <w:vAlign w:val="center"/>
          </w:tcPr>
          <w:p w:rsidR="00CD2A5A" w:rsidRDefault="00CD2A5A">
            <w:pPr>
              <w:spacing w:before="40" w:after="40"/>
              <w:rPr>
                <w:iCs/>
                <w:sz w:val="22"/>
                <w:szCs w:val="22"/>
              </w:rPr>
            </w:pPr>
            <w:r>
              <w:rPr>
                <w:iCs/>
                <w:sz w:val="22"/>
                <w:szCs w:val="22"/>
              </w:rPr>
              <w:t>Promedio mensual de niños/as y adolescentes en atención externa</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6</w:t>
            </w:r>
          </w:p>
        </w:tc>
        <w:tc>
          <w:tcPr>
            <w:tcW w:w="8800" w:type="dxa"/>
            <w:vAlign w:val="center"/>
          </w:tcPr>
          <w:p w:rsidR="00CD2A5A" w:rsidRDefault="00CD2A5A">
            <w:pPr>
              <w:spacing w:before="40" w:after="40"/>
              <w:rPr>
                <w:iCs/>
                <w:sz w:val="22"/>
                <w:szCs w:val="22"/>
              </w:rPr>
            </w:pPr>
            <w:r>
              <w:rPr>
                <w:iCs/>
                <w:sz w:val="22"/>
                <w:szCs w:val="22"/>
              </w:rPr>
              <w:t>Porcentaje de niños/as y adolescentes con medida de colocación familiar</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7</w:t>
            </w:r>
          </w:p>
        </w:tc>
        <w:tc>
          <w:tcPr>
            <w:tcW w:w="8800" w:type="dxa"/>
            <w:vAlign w:val="center"/>
          </w:tcPr>
          <w:p w:rsidR="00CD2A5A" w:rsidRDefault="00CD2A5A">
            <w:pPr>
              <w:spacing w:before="40" w:after="40"/>
              <w:rPr>
                <w:iCs/>
                <w:sz w:val="22"/>
                <w:szCs w:val="22"/>
              </w:rPr>
            </w:pPr>
            <w:r>
              <w:rPr>
                <w:iCs/>
                <w:sz w:val="22"/>
                <w:szCs w:val="22"/>
              </w:rPr>
              <w:t>Tasa de incumplimiento de medida, deserción o fuga</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8</w:t>
            </w:r>
          </w:p>
        </w:tc>
        <w:tc>
          <w:tcPr>
            <w:tcW w:w="8800" w:type="dxa"/>
            <w:vAlign w:val="center"/>
          </w:tcPr>
          <w:p w:rsidR="00CD2A5A" w:rsidRDefault="00CD2A5A">
            <w:pPr>
              <w:spacing w:before="40" w:after="40"/>
              <w:rPr>
                <w:iCs/>
                <w:sz w:val="22"/>
                <w:szCs w:val="22"/>
              </w:rPr>
            </w:pPr>
            <w:r>
              <w:rPr>
                <w:iCs/>
                <w:sz w:val="22"/>
                <w:szCs w:val="22"/>
              </w:rPr>
              <w:t>Porcentaje de niños/as y adolescentes que ingresan</w:t>
            </w:r>
          </w:p>
        </w:tc>
      </w:tr>
      <w:tr w:rsidR="00CD2A5A">
        <w:tblPrEx>
          <w:tblCellMar>
            <w:top w:w="0" w:type="dxa"/>
            <w:bottom w:w="0" w:type="dxa"/>
          </w:tblCellMar>
        </w:tblPrEx>
        <w:trPr>
          <w:trHeight w:val="83"/>
          <w:jc w:val="center"/>
        </w:trPr>
        <w:tc>
          <w:tcPr>
            <w:tcW w:w="612" w:type="dxa"/>
            <w:vAlign w:val="center"/>
          </w:tcPr>
          <w:p w:rsidR="00CD2A5A" w:rsidRDefault="00CD2A5A">
            <w:pPr>
              <w:spacing w:before="40" w:after="40"/>
              <w:rPr>
                <w:iCs/>
                <w:sz w:val="22"/>
                <w:szCs w:val="22"/>
              </w:rPr>
            </w:pPr>
            <w:r>
              <w:rPr>
                <w:iCs/>
                <w:sz w:val="22"/>
                <w:szCs w:val="22"/>
              </w:rPr>
              <w:t>9</w:t>
            </w:r>
          </w:p>
        </w:tc>
        <w:tc>
          <w:tcPr>
            <w:tcW w:w="8800" w:type="dxa"/>
            <w:vAlign w:val="center"/>
          </w:tcPr>
          <w:p w:rsidR="00CD2A5A" w:rsidRDefault="00CD2A5A">
            <w:pPr>
              <w:spacing w:before="40" w:after="40"/>
              <w:rPr>
                <w:iCs/>
                <w:sz w:val="22"/>
                <w:szCs w:val="22"/>
              </w:rPr>
            </w:pPr>
            <w:r>
              <w:rPr>
                <w:iCs/>
                <w:sz w:val="22"/>
                <w:szCs w:val="22"/>
              </w:rPr>
              <w:t>Porcentaje de niños/as y adolescentes que reingresan</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10</w:t>
            </w:r>
          </w:p>
        </w:tc>
        <w:tc>
          <w:tcPr>
            <w:tcW w:w="8800" w:type="dxa"/>
            <w:vAlign w:val="center"/>
          </w:tcPr>
          <w:p w:rsidR="00CD2A5A" w:rsidRDefault="00CD2A5A">
            <w:pPr>
              <w:spacing w:before="40" w:after="40"/>
              <w:rPr>
                <w:iCs/>
                <w:sz w:val="22"/>
                <w:szCs w:val="22"/>
              </w:rPr>
            </w:pPr>
            <w:r>
              <w:rPr>
                <w:iCs/>
                <w:sz w:val="22"/>
                <w:szCs w:val="22"/>
              </w:rPr>
              <w:t>Tiempo promedio en meses de niños/as y adolescentes atendidos/as con medida de institucionalización</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11</w:t>
            </w:r>
          </w:p>
        </w:tc>
        <w:tc>
          <w:tcPr>
            <w:tcW w:w="8800" w:type="dxa"/>
            <w:vAlign w:val="center"/>
          </w:tcPr>
          <w:p w:rsidR="00CD2A5A" w:rsidRDefault="00CD2A5A">
            <w:pPr>
              <w:spacing w:before="40" w:after="40"/>
              <w:rPr>
                <w:iCs/>
                <w:sz w:val="22"/>
                <w:szCs w:val="22"/>
              </w:rPr>
            </w:pPr>
            <w:r>
              <w:rPr>
                <w:iCs/>
                <w:sz w:val="22"/>
                <w:szCs w:val="22"/>
              </w:rPr>
              <w:t>Promedio mensual de de niños/as y adolescentes trasladados a ONG's</w:t>
            </w:r>
          </w:p>
        </w:tc>
      </w:tr>
      <w:tr w:rsidR="00CD2A5A">
        <w:tblPrEx>
          <w:tblCellMar>
            <w:top w:w="0" w:type="dxa"/>
            <w:bottom w:w="0" w:type="dxa"/>
          </w:tblCellMar>
        </w:tblPrEx>
        <w:trPr>
          <w:trHeight w:val="249"/>
          <w:jc w:val="center"/>
        </w:trPr>
        <w:tc>
          <w:tcPr>
            <w:tcW w:w="612" w:type="dxa"/>
            <w:vAlign w:val="center"/>
          </w:tcPr>
          <w:p w:rsidR="00CD2A5A" w:rsidRDefault="00CD2A5A">
            <w:pPr>
              <w:spacing w:before="40" w:after="40"/>
              <w:rPr>
                <w:iCs/>
                <w:sz w:val="22"/>
                <w:szCs w:val="22"/>
              </w:rPr>
            </w:pPr>
            <w:r>
              <w:rPr>
                <w:iCs/>
                <w:sz w:val="22"/>
                <w:szCs w:val="22"/>
              </w:rPr>
              <w:t>12</w:t>
            </w:r>
          </w:p>
        </w:tc>
        <w:tc>
          <w:tcPr>
            <w:tcW w:w="8800" w:type="dxa"/>
            <w:vAlign w:val="center"/>
          </w:tcPr>
          <w:p w:rsidR="00CD2A5A" w:rsidRDefault="00CD2A5A">
            <w:pPr>
              <w:spacing w:before="40" w:after="40"/>
              <w:rPr>
                <w:iCs/>
                <w:sz w:val="22"/>
                <w:szCs w:val="22"/>
              </w:rPr>
            </w:pPr>
            <w:r>
              <w:rPr>
                <w:iCs/>
                <w:sz w:val="22"/>
                <w:szCs w:val="22"/>
              </w:rPr>
              <w:t>Edad promedio de niños/as y adolescentes atendidos/as</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13</w:t>
            </w:r>
          </w:p>
        </w:tc>
        <w:tc>
          <w:tcPr>
            <w:tcW w:w="8800" w:type="dxa"/>
            <w:vAlign w:val="center"/>
          </w:tcPr>
          <w:p w:rsidR="00CD2A5A" w:rsidRDefault="00CD2A5A">
            <w:pPr>
              <w:spacing w:before="40" w:after="40"/>
              <w:rPr>
                <w:iCs/>
                <w:sz w:val="22"/>
                <w:szCs w:val="22"/>
              </w:rPr>
            </w:pPr>
            <w:r>
              <w:rPr>
                <w:iCs/>
                <w:sz w:val="22"/>
                <w:szCs w:val="22"/>
              </w:rPr>
              <w:t>Edad promedio de los niños y adolescentes atendidos con medidas de protección</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14</w:t>
            </w:r>
          </w:p>
        </w:tc>
        <w:tc>
          <w:tcPr>
            <w:tcW w:w="8800" w:type="dxa"/>
            <w:vAlign w:val="center"/>
          </w:tcPr>
          <w:p w:rsidR="00CD2A5A" w:rsidRDefault="00CD2A5A">
            <w:pPr>
              <w:spacing w:before="40" w:after="40"/>
              <w:rPr>
                <w:iCs/>
                <w:sz w:val="22"/>
                <w:szCs w:val="22"/>
              </w:rPr>
            </w:pPr>
            <w:r>
              <w:rPr>
                <w:iCs/>
                <w:sz w:val="22"/>
                <w:szCs w:val="22"/>
              </w:rPr>
              <w:t>Edad promedio de las niñas y adolescentes atendidas con medidas de protección</w:t>
            </w:r>
          </w:p>
        </w:tc>
      </w:tr>
      <w:tr w:rsidR="00CD2A5A">
        <w:tblPrEx>
          <w:tblCellMar>
            <w:top w:w="0" w:type="dxa"/>
            <w:bottom w:w="0" w:type="dxa"/>
          </w:tblCellMar>
        </w:tblPrEx>
        <w:trPr>
          <w:trHeight w:val="249"/>
          <w:jc w:val="center"/>
        </w:trPr>
        <w:tc>
          <w:tcPr>
            <w:tcW w:w="612" w:type="dxa"/>
            <w:vAlign w:val="center"/>
          </w:tcPr>
          <w:p w:rsidR="00CD2A5A" w:rsidRDefault="00CD2A5A">
            <w:pPr>
              <w:spacing w:before="40" w:after="40"/>
              <w:rPr>
                <w:iCs/>
                <w:sz w:val="22"/>
                <w:szCs w:val="22"/>
              </w:rPr>
            </w:pPr>
            <w:r>
              <w:rPr>
                <w:iCs/>
                <w:sz w:val="22"/>
                <w:szCs w:val="22"/>
              </w:rPr>
              <w:t>15</w:t>
            </w:r>
          </w:p>
        </w:tc>
        <w:tc>
          <w:tcPr>
            <w:tcW w:w="8800" w:type="dxa"/>
            <w:vAlign w:val="center"/>
          </w:tcPr>
          <w:p w:rsidR="00CD2A5A" w:rsidRDefault="00CD2A5A">
            <w:pPr>
              <w:spacing w:before="40" w:after="40"/>
              <w:rPr>
                <w:iCs/>
                <w:sz w:val="22"/>
                <w:szCs w:val="22"/>
              </w:rPr>
            </w:pPr>
            <w:r>
              <w:rPr>
                <w:iCs/>
                <w:sz w:val="22"/>
                <w:szCs w:val="22"/>
              </w:rPr>
              <w:t>Promedio mensual de casos de niñas y adolescentes atendidos/as en con medidas de Protección</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16</w:t>
            </w:r>
          </w:p>
        </w:tc>
        <w:tc>
          <w:tcPr>
            <w:tcW w:w="8800" w:type="dxa"/>
            <w:vAlign w:val="center"/>
          </w:tcPr>
          <w:p w:rsidR="00CD2A5A" w:rsidRDefault="00CD2A5A">
            <w:pPr>
              <w:spacing w:before="40" w:after="40"/>
              <w:rPr>
                <w:iCs/>
                <w:sz w:val="22"/>
                <w:szCs w:val="22"/>
              </w:rPr>
            </w:pPr>
            <w:r>
              <w:rPr>
                <w:iCs/>
                <w:sz w:val="22"/>
                <w:szCs w:val="22"/>
              </w:rPr>
              <w:t>Porcentajes de niños/as y adolescentes que ingresan y reingresan provenientes del AMSS</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17</w:t>
            </w:r>
          </w:p>
        </w:tc>
        <w:tc>
          <w:tcPr>
            <w:tcW w:w="8800" w:type="dxa"/>
            <w:vAlign w:val="center"/>
          </w:tcPr>
          <w:p w:rsidR="00CD2A5A" w:rsidRDefault="00CD2A5A">
            <w:pPr>
              <w:spacing w:before="40" w:after="40"/>
              <w:rPr>
                <w:iCs/>
                <w:sz w:val="22"/>
                <w:szCs w:val="22"/>
              </w:rPr>
            </w:pPr>
            <w:r>
              <w:rPr>
                <w:iCs/>
                <w:sz w:val="22"/>
                <w:szCs w:val="22"/>
              </w:rPr>
              <w:t>Porcentaje de niños/as y adolescentes que no tienen madre</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18</w:t>
            </w:r>
          </w:p>
        </w:tc>
        <w:tc>
          <w:tcPr>
            <w:tcW w:w="8800" w:type="dxa"/>
            <w:vAlign w:val="center"/>
          </w:tcPr>
          <w:p w:rsidR="00CD2A5A" w:rsidRDefault="00CD2A5A">
            <w:pPr>
              <w:spacing w:before="40" w:after="40"/>
              <w:rPr>
                <w:iCs/>
                <w:sz w:val="22"/>
                <w:szCs w:val="22"/>
              </w:rPr>
            </w:pPr>
            <w:r>
              <w:rPr>
                <w:iCs/>
                <w:sz w:val="22"/>
                <w:szCs w:val="22"/>
              </w:rPr>
              <w:t>Porcentaje de niños/as y adolescentes que no tienen padre</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19</w:t>
            </w:r>
          </w:p>
        </w:tc>
        <w:tc>
          <w:tcPr>
            <w:tcW w:w="8800" w:type="dxa"/>
            <w:vAlign w:val="center"/>
          </w:tcPr>
          <w:p w:rsidR="00CD2A5A" w:rsidRDefault="00CD2A5A">
            <w:pPr>
              <w:spacing w:before="40" w:after="40"/>
              <w:rPr>
                <w:iCs/>
                <w:sz w:val="22"/>
                <w:szCs w:val="22"/>
              </w:rPr>
            </w:pPr>
            <w:r>
              <w:rPr>
                <w:iCs/>
                <w:sz w:val="22"/>
                <w:szCs w:val="22"/>
              </w:rPr>
              <w:t>Porcentaje de niños/as y adolescentes atendidos/as en situación de pobreza</w:t>
            </w:r>
          </w:p>
        </w:tc>
      </w:tr>
      <w:tr w:rsidR="00CD2A5A">
        <w:tblPrEx>
          <w:tblCellMar>
            <w:top w:w="0" w:type="dxa"/>
            <w:bottom w:w="0" w:type="dxa"/>
          </w:tblCellMar>
        </w:tblPrEx>
        <w:trPr>
          <w:trHeight w:val="255"/>
          <w:jc w:val="center"/>
        </w:trPr>
        <w:tc>
          <w:tcPr>
            <w:tcW w:w="612" w:type="dxa"/>
            <w:vAlign w:val="center"/>
          </w:tcPr>
          <w:p w:rsidR="00CD2A5A" w:rsidRDefault="00CD2A5A">
            <w:pPr>
              <w:spacing w:before="40" w:after="40"/>
              <w:rPr>
                <w:iCs/>
                <w:sz w:val="22"/>
                <w:szCs w:val="22"/>
              </w:rPr>
            </w:pPr>
            <w:r>
              <w:rPr>
                <w:iCs/>
                <w:sz w:val="22"/>
                <w:szCs w:val="22"/>
              </w:rPr>
              <w:t>20</w:t>
            </w:r>
          </w:p>
        </w:tc>
        <w:tc>
          <w:tcPr>
            <w:tcW w:w="8800" w:type="dxa"/>
            <w:vAlign w:val="center"/>
          </w:tcPr>
          <w:p w:rsidR="00CD2A5A" w:rsidRDefault="00CD2A5A">
            <w:pPr>
              <w:spacing w:before="40" w:after="40"/>
              <w:rPr>
                <w:iCs/>
                <w:sz w:val="22"/>
                <w:szCs w:val="22"/>
              </w:rPr>
            </w:pPr>
            <w:r>
              <w:rPr>
                <w:iCs/>
                <w:sz w:val="22"/>
                <w:szCs w:val="22"/>
              </w:rPr>
              <w:t>Porcentaje de niños/as y adolescentes que ingresan con señales de algún tipo de daño físico</w:t>
            </w:r>
          </w:p>
        </w:tc>
      </w:tr>
      <w:tr w:rsidR="00CD2A5A">
        <w:tblPrEx>
          <w:tblCellMar>
            <w:top w:w="0" w:type="dxa"/>
            <w:bottom w:w="0" w:type="dxa"/>
          </w:tblCellMar>
        </w:tblPrEx>
        <w:trPr>
          <w:trHeight w:val="83"/>
          <w:jc w:val="center"/>
        </w:trPr>
        <w:tc>
          <w:tcPr>
            <w:tcW w:w="612" w:type="dxa"/>
            <w:vAlign w:val="center"/>
          </w:tcPr>
          <w:p w:rsidR="00CD2A5A" w:rsidRDefault="00CD2A5A">
            <w:pPr>
              <w:spacing w:before="40" w:after="40"/>
              <w:rPr>
                <w:iCs/>
                <w:sz w:val="22"/>
                <w:szCs w:val="22"/>
              </w:rPr>
            </w:pPr>
            <w:r>
              <w:rPr>
                <w:iCs/>
                <w:sz w:val="22"/>
                <w:szCs w:val="22"/>
              </w:rPr>
              <w:t>21</w:t>
            </w:r>
          </w:p>
        </w:tc>
        <w:tc>
          <w:tcPr>
            <w:tcW w:w="8800" w:type="dxa"/>
            <w:vAlign w:val="center"/>
          </w:tcPr>
          <w:p w:rsidR="00CD2A5A" w:rsidRDefault="00CD2A5A">
            <w:pPr>
              <w:spacing w:before="40" w:after="40"/>
              <w:rPr>
                <w:iCs/>
                <w:sz w:val="22"/>
                <w:szCs w:val="22"/>
              </w:rPr>
            </w:pPr>
            <w:r>
              <w:rPr>
                <w:iCs/>
                <w:sz w:val="22"/>
                <w:szCs w:val="22"/>
              </w:rPr>
              <w:t>Porcentaje de niños/as y adolescentes que ingresan y reingresan con medida provisional</w:t>
            </w:r>
          </w:p>
        </w:tc>
      </w:tr>
      <w:tr w:rsidR="00CD2A5A">
        <w:tblPrEx>
          <w:tblCellMar>
            <w:top w:w="0" w:type="dxa"/>
            <w:bottom w:w="0" w:type="dxa"/>
          </w:tblCellMar>
        </w:tblPrEx>
        <w:trPr>
          <w:trHeight w:val="221"/>
          <w:jc w:val="center"/>
        </w:trPr>
        <w:tc>
          <w:tcPr>
            <w:tcW w:w="612" w:type="dxa"/>
            <w:vAlign w:val="center"/>
          </w:tcPr>
          <w:p w:rsidR="00CD2A5A" w:rsidRDefault="00CD2A5A">
            <w:pPr>
              <w:spacing w:before="40" w:after="40"/>
              <w:rPr>
                <w:iCs/>
                <w:sz w:val="22"/>
                <w:szCs w:val="22"/>
              </w:rPr>
            </w:pPr>
            <w:r>
              <w:rPr>
                <w:iCs/>
                <w:sz w:val="22"/>
                <w:szCs w:val="22"/>
              </w:rPr>
              <w:t>22</w:t>
            </w:r>
          </w:p>
        </w:tc>
        <w:tc>
          <w:tcPr>
            <w:tcW w:w="8800" w:type="dxa"/>
            <w:vAlign w:val="center"/>
          </w:tcPr>
          <w:p w:rsidR="00CD2A5A" w:rsidRDefault="00CD2A5A">
            <w:pPr>
              <w:spacing w:before="40" w:after="40"/>
              <w:rPr>
                <w:iCs/>
                <w:sz w:val="22"/>
                <w:szCs w:val="22"/>
              </w:rPr>
            </w:pPr>
            <w:r>
              <w:rPr>
                <w:iCs/>
                <w:sz w:val="22"/>
                <w:szCs w:val="22"/>
              </w:rPr>
              <w:t>Porcentaje de niños/as y adolescentes que ingresan y reingresan con medida definitiva</w:t>
            </w:r>
          </w:p>
        </w:tc>
      </w:tr>
      <w:tr w:rsidR="00CD2A5A">
        <w:tblPrEx>
          <w:tblCellMar>
            <w:top w:w="0" w:type="dxa"/>
            <w:bottom w:w="0" w:type="dxa"/>
          </w:tblCellMar>
        </w:tblPrEx>
        <w:trPr>
          <w:trHeight w:val="249"/>
          <w:jc w:val="center"/>
        </w:trPr>
        <w:tc>
          <w:tcPr>
            <w:tcW w:w="612" w:type="dxa"/>
            <w:vAlign w:val="center"/>
          </w:tcPr>
          <w:p w:rsidR="00CD2A5A" w:rsidRDefault="00CD2A5A">
            <w:pPr>
              <w:spacing w:before="40" w:after="40"/>
              <w:rPr>
                <w:iCs/>
                <w:sz w:val="22"/>
                <w:szCs w:val="22"/>
              </w:rPr>
            </w:pPr>
            <w:r>
              <w:rPr>
                <w:iCs/>
                <w:sz w:val="22"/>
                <w:szCs w:val="22"/>
              </w:rPr>
              <w:t>23</w:t>
            </w:r>
          </w:p>
        </w:tc>
        <w:tc>
          <w:tcPr>
            <w:tcW w:w="8800" w:type="dxa"/>
            <w:vAlign w:val="center"/>
          </w:tcPr>
          <w:p w:rsidR="00CD2A5A" w:rsidRDefault="00CD2A5A">
            <w:pPr>
              <w:spacing w:before="40" w:after="40"/>
              <w:rPr>
                <w:iCs/>
                <w:sz w:val="22"/>
                <w:szCs w:val="22"/>
              </w:rPr>
            </w:pPr>
            <w:r>
              <w:rPr>
                <w:iCs/>
                <w:sz w:val="22"/>
                <w:szCs w:val="22"/>
              </w:rPr>
              <w:t>Porcentaje de niños y adolescentes atendidos &gt;7 con medidas de protección que no tienen escolaridad</w:t>
            </w:r>
          </w:p>
        </w:tc>
      </w:tr>
    </w:tbl>
    <w:p w:rsidR="00CD2A5A" w:rsidRDefault="00CD2A5A">
      <w:pPr>
        <w:spacing w:after="240"/>
        <w:rPr>
          <w:rStyle w:val="Ttulo1CarCarCarCarCarCarCarCarCarCarCarCarCarCarCarCarCar"/>
          <w:i/>
          <w:lang w:val="es-SV"/>
        </w:rPr>
      </w:pPr>
    </w:p>
    <w:p w:rsidR="00CD2A5A" w:rsidRDefault="00CD2A5A" w:rsidP="00CD2A5A">
      <w:pPr>
        <w:pStyle w:val="Figure"/>
        <w:rPr>
          <w:rStyle w:val="Ttulo1CarCarCarCarCarCarCarCarCarCarCarCarCarCarCarCarCar"/>
          <w:iCs/>
        </w:rPr>
      </w:pPr>
      <w:r>
        <w:rPr>
          <w:rStyle w:val="Ttulo1CarCarCarCarCarCarCarCarCarCarCarCarCarCarCarCarCar"/>
          <w:iCs/>
        </w:rPr>
        <w:br w:type="page"/>
        <w:t>Indicadores Prevención y Educación Inicial (ISNA)</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firstRow="1" w:lastRow="0" w:firstColumn="1" w:lastColumn="0" w:noHBand="0" w:noVBand="0"/>
      </w:tblPr>
      <w:tblGrid>
        <w:gridCol w:w="644"/>
        <w:gridCol w:w="8768"/>
      </w:tblGrid>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b/>
                <w:i/>
                <w:iCs/>
                <w:sz w:val="22"/>
                <w:szCs w:val="22"/>
              </w:rPr>
            </w:pPr>
            <w:r>
              <w:rPr>
                <w:b/>
                <w:i/>
                <w:iCs/>
                <w:sz w:val="22"/>
                <w:szCs w:val="22"/>
              </w:rPr>
              <w:t>Nro.</w:t>
            </w:r>
          </w:p>
        </w:tc>
        <w:tc>
          <w:tcPr>
            <w:tcW w:w="8658" w:type="dxa"/>
            <w:vAlign w:val="center"/>
          </w:tcPr>
          <w:p w:rsidR="00CD2A5A" w:rsidRDefault="00CD2A5A">
            <w:pPr>
              <w:spacing w:before="40" w:after="40"/>
              <w:rPr>
                <w:b/>
                <w:i/>
                <w:iCs/>
                <w:sz w:val="22"/>
                <w:szCs w:val="22"/>
              </w:rPr>
            </w:pPr>
            <w:r>
              <w:rPr>
                <w:b/>
                <w:i/>
                <w:iCs/>
                <w:sz w:val="22"/>
                <w:szCs w:val="22"/>
              </w:rPr>
              <w:t>Indicador</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1</w:t>
            </w:r>
          </w:p>
        </w:tc>
        <w:tc>
          <w:tcPr>
            <w:tcW w:w="8658" w:type="dxa"/>
            <w:vAlign w:val="center"/>
          </w:tcPr>
          <w:p w:rsidR="00CD2A5A" w:rsidRDefault="00CD2A5A">
            <w:pPr>
              <w:spacing w:before="40" w:after="40"/>
              <w:rPr>
                <w:iCs/>
                <w:sz w:val="22"/>
                <w:szCs w:val="22"/>
              </w:rPr>
            </w:pPr>
            <w:r>
              <w:rPr>
                <w:iCs/>
                <w:sz w:val="22"/>
                <w:szCs w:val="22"/>
              </w:rPr>
              <w:t>Promedio de niños/as atendidos en el año por Centro de Atención Inicial (CAI) a nivel nacional por mes</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2</w:t>
            </w:r>
          </w:p>
        </w:tc>
        <w:tc>
          <w:tcPr>
            <w:tcW w:w="8658" w:type="dxa"/>
            <w:vAlign w:val="center"/>
          </w:tcPr>
          <w:p w:rsidR="00CD2A5A" w:rsidRDefault="00CD2A5A">
            <w:pPr>
              <w:spacing w:before="40" w:after="40"/>
              <w:rPr>
                <w:iCs/>
                <w:sz w:val="22"/>
                <w:szCs w:val="22"/>
              </w:rPr>
            </w:pPr>
            <w:r>
              <w:rPr>
                <w:iCs/>
                <w:sz w:val="22"/>
                <w:szCs w:val="22"/>
              </w:rPr>
              <w:t>Porcentaje de niños/as atendidos por CAI a nivel urbano</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3</w:t>
            </w:r>
          </w:p>
        </w:tc>
        <w:tc>
          <w:tcPr>
            <w:tcW w:w="8658" w:type="dxa"/>
            <w:vAlign w:val="center"/>
          </w:tcPr>
          <w:p w:rsidR="00CD2A5A" w:rsidRDefault="00CD2A5A">
            <w:pPr>
              <w:spacing w:before="40" w:after="40"/>
              <w:rPr>
                <w:iCs/>
                <w:sz w:val="22"/>
                <w:szCs w:val="22"/>
              </w:rPr>
            </w:pPr>
            <w:r>
              <w:rPr>
                <w:iCs/>
                <w:sz w:val="22"/>
                <w:szCs w:val="22"/>
              </w:rPr>
              <w:t>Porcentaje de niños/as atendidos por CENTROS DE BIENESTAR INFANTIL (CBI)  a nivel rural</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4</w:t>
            </w:r>
          </w:p>
        </w:tc>
        <w:tc>
          <w:tcPr>
            <w:tcW w:w="8658" w:type="dxa"/>
            <w:vAlign w:val="center"/>
          </w:tcPr>
          <w:p w:rsidR="00CD2A5A" w:rsidRDefault="00CD2A5A">
            <w:pPr>
              <w:spacing w:before="40" w:after="40"/>
              <w:rPr>
                <w:iCs/>
                <w:sz w:val="22"/>
                <w:szCs w:val="22"/>
              </w:rPr>
            </w:pPr>
            <w:r>
              <w:rPr>
                <w:iCs/>
                <w:sz w:val="22"/>
                <w:szCs w:val="22"/>
              </w:rPr>
              <w:t>Promedio de niños/as atendidos por CBI</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5</w:t>
            </w:r>
          </w:p>
        </w:tc>
        <w:tc>
          <w:tcPr>
            <w:tcW w:w="8658" w:type="dxa"/>
            <w:vAlign w:val="center"/>
          </w:tcPr>
          <w:p w:rsidR="00CD2A5A" w:rsidRDefault="00CD2A5A">
            <w:pPr>
              <w:spacing w:before="40" w:after="40"/>
              <w:rPr>
                <w:iCs/>
                <w:sz w:val="22"/>
                <w:szCs w:val="22"/>
              </w:rPr>
            </w:pPr>
            <w:r>
              <w:rPr>
                <w:iCs/>
                <w:sz w:val="22"/>
                <w:szCs w:val="22"/>
              </w:rPr>
              <w:t>Promedio de niños/as atendidos por Centros de Desarrollo Integral (CDI)</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6</w:t>
            </w:r>
          </w:p>
        </w:tc>
        <w:tc>
          <w:tcPr>
            <w:tcW w:w="8658" w:type="dxa"/>
            <w:vAlign w:val="center"/>
          </w:tcPr>
          <w:p w:rsidR="00CD2A5A" w:rsidRDefault="00CD2A5A">
            <w:pPr>
              <w:spacing w:before="40" w:after="40"/>
              <w:rPr>
                <w:iCs/>
                <w:sz w:val="22"/>
                <w:szCs w:val="22"/>
              </w:rPr>
            </w:pPr>
            <w:r>
              <w:rPr>
                <w:iCs/>
                <w:sz w:val="22"/>
                <w:szCs w:val="22"/>
              </w:rPr>
              <w:t>Promedio de niños atendidos por CAI</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7</w:t>
            </w:r>
          </w:p>
        </w:tc>
        <w:tc>
          <w:tcPr>
            <w:tcW w:w="8658" w:type="dxa"/>
            <w:vAlign w:val="center"/>
          </w:tcPr>
          <w:p w:rsidR="00CD2A5A" w:rsidRDefault="00CD2A5A">
            <w:pPr>
              <w:spacing w:before="40" w:after="40"/>
              <w:rPr>
                <w:iCs/>
                <w:sz w:val="22"/>
                <w:szCs w:val="22"/>
              </w:rPr>
            </w:pPr>
            <w:r>
              <w:rPr>
                <w:iCs/>
                <w:sz w:val="22"/>
                <w:szCs w:val="22"/>
              </w:rPr>
              <w:t>Promedio de niñas atendidos por CAI</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8</w:t>
            </w:r>
          </w:p>
        </w:tc>
        <w:tc>
          <w:tcPr>
            <w:tcW w:w="8658" w:type="dxa"/>
            <w:vAlign w:val="center"/>
          </w:tcPr>
          <w:p w:rsidR="00CD2A5A" w:rsidRDefault="00CD2A5A">
            <w:pPr>
              <w:spacing w:before="40" w:after="40"/>
              <w:rPr>
                <w:iCs/>
                <w:sz w:val="22"/>
                <w:szCs w:val="22"/>
              </w:rPr>
            </w:pPr>
            <w:r>
              <w:rPr>
                <w:iCs/>
                <w:sz w:val="22"/>
                <w:szCs w:val="22"/>
              </w:rPr>
              <w:t>Porcentaje de niños/as graduados o egresados por centro</w:t>
            </w:r>
          </w:p>
        </w:tc>
      </w:tr>
      <w:tr w:rsidR="00CD2A5A">
        <w:tblPrEx>
          <w:tblCellMar>
            <w:top w:w="0" w:type="dxa"/>
            <w:bottom w:w="0" w:type="dxa"/>
          </w:tblCellMar>
        </w:tblPrEx>
        <w:trPr>
          <w:trHeight w:val="83"/>
          <w:jc w:val="center"/>
        </w:trPr>
        <w:tc>
          <w:tcPr>
            <w:tcW w:w="636" w:type="dxa"/>
            <w:vAlign w:val="center"/>
          </w:tcPr>
          <w:p w:rsidR="00CD2A5A" w:rsidRDefault="00CD2A5A">
            <w:pPr>
              <w:spacing w:before="40" w:after="40"/>
              <w:rPr>
                <w:iCs/>
                <w:sz w:val="22"/>
                <w:szCs w:val="22"/>
              </w:rPr>
            </w:pPr>
            <w:r>
              <w:rPr>
                <w:iCs/>
                <w:sz w:val="22"/>
                <w:szCs w:val="22"/>
              </w:rPr>
              <w:t>9</w:t>
            </w:r>
          </w:p>
        </w:tc>
        <w:tc>
          <w:tcPr>
            <w:tcW w:w="8658" w:type="dxa"/>
            <w:vAlign w:val="center"/>
          </w:tcPr>
          <w:p w:rsidR="00CD2A5A" w:rsidRDefault="00CD2A5A">
            <w:pPr>
              <w:spacing w:before="40" w:after="40"/>
              <w:rPr>
                <w:iCs/>
                <w:sz w:val="22"/>
                <w:szCs w:val="22"/>
              </w:rPr>
            </w:pPr>
            <w:r>
              <w:rPr>
                <w:iCs/>
                <w:sz w:val="22"/>
                <w:szCs w:val="22"/>
              </w:rPr>
              <w:t>Tasa de deserción</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10</w:t>
            </w:r>
          </w:p>
        </w:tc>
        <w:tc>
          <w:tcPr>
            <w:tcW w:w="8658" w:type="dxa"/>
            <w:vAlign w:val="center"/>
          </w:tcPr>
          <w:p w:rsidR="00CD2A5A" w:rsidRDefault="00CD2A5A">
            <w:pPr>
              <w:spacing w:before="40" w:after="40"/>
              <w:rPr>
                <w:iCs/>
                <w:sz w:val="22"/>
                <w:szCs w:val="22"/>
              </w:rPr>
            </w:pPr>
            <w:r>
              <w:rPr>
                <w:iCs/>
                <w:sz w:val="22"/>
                <w:szCs w:val="22"/>
              </w:rPr>
              <w:t>Porcentaje de niños/as que reingresan por centro</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11</w:t>
            </w:r>
          </w:p>
        </w:tc>
        <w:tc>
          <w:tcPr>
            <w:tcW w:w="8658" w:type="dxa"/>
            <w:vAlign w:val="center"/>
          </w:tcPr>
          <w:p w:rsidR="00CD2A5A" w:rsidRDefault="00CD2A5A">
            <w:pPr>
              <w:spacing w:before="40" w:after="40"/>
              <w:rPr>
                <w:iCs/>
                <w:sz w:val="22"/>
                <w:szCs w:val="22"/>
              </w:rPr>
            </w:pPr>
            <w:r>
              <w:rPr>
                <w:iCs/>
                <w:sz w:val="22"/>
                <w:szCs w:val="22"/>
              </w:rPr>
              <w:t>Porcentaje de niños/as con control médico</w:t>
            </w:r>
          </w:p>
        </w:tc>
      </w:tr>
      <w:tr w:rsidR="00CD2A5A">
        <w:tblPrEx>
          <w:tblCellMar>
            <w:top w:w="0" w:type="dxa"/>
            <w:bottom w:w="0" w:type="dxa"/>
          </w:tblCellMar>
        </w:tblPrEx>
        <w:trPr>
          <w:trHeight w:val="249"/>
          <w:jc w:val="center"/>
        </w:trPr>
        <w:tc>
          <w:tcPr>
            <w:tcW w:w="636" w:type="dxa"/>
            <w:vAlign w:val="center"/>
          </w:tcPr>
          <w:p w:rsidR="00CD2A5A" w:rsidRDefault="00CD2A5A">
            <w:pPr>
              <w:spacing w:before="40" w:after="40"/>
              <w:rPr>
                <w:iCs/>
                <w:sz w:val="22"/>
                <w:szCs w:val="22"/>
              </w:rPr>
            </w:pPr>
            <w:r>
              <w:rPr>
                <w:iCs/>
                <w:sz w:val="22"/>
                <w:szCs w:val="22"/>
              </w:rPr>
              <w:t>12</w:t>
            </w:r>
          </w:p>
        </w:tc>
        <w:tc>
          <w:tcPr>
            <w:tcW w:w="8658" w:type="dxa"/>
            <w:vAlign w:val="center"/>
          </w:tcPr>
          <w:p w:rsidR="00CD2A5A" w:rsidRDefault="00CD2A5A">
            <w:pPr>
              <w:spacing w:before="40" w:after="40"/>
              <w:rPr>
                <w:iCs/>
                <w:sz w:val="22"/>
                <w:szCs w:val="22"/>
              </w:rPr>
            </w:pPr>
            <w:r>
              <w:rPr>
                <w:iCs/>
                <w:sz w:val="22"/>
                <w:szCs w:val="22"/>
              </w:rPr>
              <w:t>Porcentaje de niños/as con esquema de vacunación completo</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13</w:t>
            </w:r>
          </w:p>
        </w:tc>
        <w:tc>
          <w:tcPr>
            <w:tcW w:w="8658" w:type="dxa"/>
            <w:vAlign w:val="center"/>
          </w:tcPr>
          <w:p w:rsidR="00CD2A5A" w:rsidRDefault="00CD2A5A">
            <w:pPr>
              <w:spacing w:before="40" w:after="40"/>
              <w:rPr>
                <w:iCs/>
                <w:sz w:val="22"/>
                <w:szCs w:val="22"/>
              </w:rPr>
            </w:pPr>
            <w:r>
              <w:rPr>
                <w:iCs/>
                <w:sz w:val="22"/>
                <w:szCs w:val="22"/>
              </w:rPr>
              <w:t>Desnutrición global (peso por edad) de niños/as por centro</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14</w:t>
            </w:r>
          </w:p>
        </w:tc>
        <w:tc>
          <w:tcPr>
            <w:tcW w:w="8658" w:type="dxa"/>
            <w:vAlign w:val="center"/>
          </w:tcPr>
          <w:p w:rsidR="00CD2A5A" w:rsidRDefault="00CD2A5A">
            <w:pPr>
              <w:spacing w:before="40" w:after="40"/>
              <w:rPr>
                <w:iCs/>
                <w:sz w:val="22"/>
                <w:szCs w:val="22"/>
              </w:rPr>
            </w:pPr>
            <w:r>
              <w:rPr>
                <w:iCs/>
                <w:sz w:val="22"/>
                <w:szCs w:val="22"/>
              </w:rPr>
              <w:t>Desnutrición aguda (peso por talla) de niños/as por centro</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15</w:t>
            </w:r>
          </w:p>
        </w:tc>
        <w:tc>
          <w:tcPr>
            <w:tcW w:w="8658" w:type="dxa"/>
            <w:vAlign w:val="center"/>
          </w:tcPr>
          <w:p w:rsidR="00CD2A5A" w:rsidRDefault="00CD2A5A">
            <w:pPr>
              <w:spacing w:before="40" w:after="40"/>
              <w:rPr>
                <w:iCs/>
                <w:sz w:val="22"/>
                <w:szCs w:val="22"/>
              </w:rPr>
            </w:pPr>
            <w:r>
              <w:rPr>
                <w:iCs/>
                <w:sz w:val="22"/>
                <w:szCs w:val="22"/>
              </w:rPr>
              <w:t>Desnutrición crónica (baja talla por edad) de niños/as por centro</w:t>
            </w:r>
          </w:p>
        </w:tc>
      </w:tr>
      <w:tr w:rsidR="00CD2A5A">
        <w:tblPrEx>
          <w:tblCellMar>
            <w:top w:w="0" w:type="dxa"/>
            <w:bottom w:w="0" w:type="dxa"/>
          </w:tblCellMar>
        </w:tblPrEx>
        <w:trPr>
          <w:trHeight w:val="249"/>
          <w:jc w:val="center"/>
        </w:trPr>
        <w:tc>
          <w:tcPr>
            <w:tcW w:w="636" w:type="dxa"/>
            <w:vAlign w:val="center"/>
          </w:tcPr>
          <w:p w:rsidR="00CD2A5A" w:rsidRDefault="00CD2A5A">
            <w:pPr>
              <w:spacing w:before="40" w:after="40"/>
              <w:rPr>
                <w:iCs/>
                <w:sz w:val="22"/>
                <w:szCs w:val="22"/>
              </w:rPr>
            </w:pPr>
            <w:r>
              <w:rPr>
                <w:iCs/>
                <w:sz w:val="22"/>
                <w:szCs w:val="22"/>
              </w:rPr>
              <w:t>16</w:t>
            </w:r>
          </w:p>
        </w:tc>
        <w:tc>
          <w:tcPr>
            <w:tcW w:w="8658" w:type="dxa"/>
            <w:vAlign w:val="center"/>
          </w:tcPr>
          <w:p w:rsidR="00CD2A5A" w:rsidRDefault="00CD2A5A">
            <w:pPr>
              <w:spacing w:before="40" w:after="40"/>
              <w:rPr>
                <w:iCs/>
                <w:sz w:val="22"/>
                <w:szCs w:val="22"/>
              </w:rPr>
            </w:pPr>
            <w:r>
              <w:rPr>
                <w:iCs/>
                <w:sz w:val="22"/>
                <w:szCs w:val="22"/>
              </w:rPr>
              <w:t>Retraso en el desarrollo de la habilidad motora gruesa por centro</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17</w:t>
            </w:r>
          </w:p>
        </w:tc>
        <w:tc>
          <w:tcPr>
            <w:tcW w:w="8658" w:type="dxa"/>
            <w:vAlign w:val="center"/>
          </w:tcPr>
          <w:p w:rsidR="00CD2A5A" w:rsidRDefault="00CD2A5A">
            <w:pPr>
              <w:spacing w:before="40" w:after="40"/>
              <w:rPr>
                <w:iCs/>
                <w:sz w:val="22"/>
                <w:szCs w:val="22"/>
              </w:rPr>
            </w:pPr>
            <w:r>
              <w:rPr>
                <w:iCs/>
                <w:sz w:val="22"/>
                <w:szCs w:val="22"/>
              </w:rPr>
              <w:t>Retraso en el desarrollo de la habilidad motora fina por centro</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18</w:t>
            </w:r>
          </w:p>
        </w:tc>
        <w:tc>
          <w:tcPr>
            <w:tcW w:w="8658" w:type="dxa"/>
            <w:vAlign w:val="center"/>
          </w:tcPr>
          <w:p w:rsidR="00CD2A5A" w:rsidRDefault="00CD2A5A">
            <w:pPr>
              <w:spacing w:before="40" w:after="40"/>
              <w:rPr>
                <w:iCs/>
                <w:sz w:val="22"/>
                <w:szCs w:val="22"/>
              </w:rPr>
            </w:pPr>
            <w:r>
              <w:rPr>
                <w:iCs/>
                <w:sz w:val="22"/>
                <w:szCs w:val="22"/>
              </w:rPr>
              <w:t>Retraso en el desarrollo de la habilidad cognoscitiva por centro</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19</w:t>
            </w:r>
          </w:p>
        </w:tc>
        <w:tc>
          <w:tcPr>
            <w:tcW w:w="8658" w:type="dxa"/>
            <w:vAlign w:val="center"/>
          </w:tcPr>
          <w:p w:rsidR="00CD2A5A" w:rsidRDefault="00CD2A5A">
            <w:pPr>
              <w:spacing w:before="40" w:after="40"/>
              <w:rPr>
                <w:iCs/>
                <w:sz w:val="22"/>
                <w:szCs w:val="22"/>
              </w:rPr>
            </w:pPr>
            <w:r>
              <w:rPr>
                <w:iCs/>
                <w:sz w:val="22"/>
                <w:szCs w:val="22"/>
              </w:rPr>
              <w:t>Retraso en el desarrollo de la habilidad de lenguaje por centro</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20</w:t>
            </w:r>
          </w:p>
        </w:tc>
        <w:tc>
          <w:tcPr>
            <w:tcW w:w="8658" w:type="dxa"/>
            <w:vAlign w:val="center"/>
          </w:tcPr>
          <w:p w:rsidR="00CD2A5A" w:rsidRDefault="00CD2A5A">
            <w:pPr>
              <w:spacing w:before="40" w:after="40"/>
              <w:rPr>
                <w:iCs/>
                <w:sz w:val="22"/>
                <w:szCs w:val="22"/>
              </w:rPr>
            </w:pPr>
            <w:r>
              <w:rPr>
                <w:iCs/>
                <w:sz w:val="22"/>
                <w:szCs w:val="22"/>
              </w:rPr>
              <w:t>Retraso en el desarrollo de la habilidad socioafectiva por centro</w:t>
            </w:r>
          </w:p>
        </w:tc>
      </w:tr>
      <w:tr w:rsidR="00CD2A5A">
        <w:tblPrEx>
          <w:tblCellMar>
            <w:top w:w="0" w:type="dxa"/>
            <w:bottom w:w="0" w:type="dxa"/>
          </w:tblCellMar>
        </w:tblPrEx>
        <w:trPr>
          <w:trHeight w:val="255"/>
          <w:jc w:val="center"/>
        </w:trPr>
        <w:tc>
          <w:tcPr>
            <w:tcW w:w="636" w:type="dxa"/>
            <w:vAlign w:val="center"/>
          </w:tcPr>
          <w:p w:rsidR="00CD2A5A" w:rsidRDefault="00CD2A5A">
            <w:pPr>
              <w:spacing w:before="40" w:after="40"/>
              <w:rPr>
                <w:iCs/>
                <w:sz w:val="22"/>
                <w:szCs w:val="22"/>
              </w:rPr>
            </w:pPr>
            <w:r>
              <w:rPr>
                <w:iCs/>
                <w:sz w:val="22"/>
                <w:szCs w:val="22"/>
              </w:rPr>
              <w:t>21</w:t>
            </w:r>
          </w:p>
        </w:tc>
        <w:tc>
          <w:tcPr>
            <w:tcW w:w="8658" w:type="dxa"/>
            <w:vAlign w:val="center"/>
          </w:tcPr>
          <w:p w:rsidR="00CD2A5A" w:rsidRDefault="00CD2A5A">
            <w:pPr>
              <w:spacing w:before="40" w:after="40"/>
              <w:rPr>
                <w:iCs/>
                <w:sz w:val="22"/>
                <w:szCs w:val="22"/>
              </w:rPr>
            </w:pPr>
            <w:r>
              <w:rPr>
                <w:iCs/>
                <w:sz w:val="22"/>
                <w:szCs w:val="22"/>
              </w:rPr>
              <w:t>Retraso en el desarrollo de la hábitos por centro</w:t>
            </w:r>
          </w:p>
        </w:tc>
      </w:tr>
      <w:tr w:rsidR="00CD2A5A">
        <w:tblPrEx>
          <w:tblCellMar>
            <w:top w:w="0" w:type="dxa"/>
            <w:bottom w:w="0" w:type="dxa"/>
          </w:tblCellMar>
        </w:tblPrEx>
        <w:trPr>
          <w:trHeight w:val="83"/>
          <w:jc w:val="center"/>
        </w:trPr>
        <w:tc>
          <w:tcPr>
            <w:tcW w:w="636" w:type="dxa"/>
            <w:vAlign w:val="center"/>
          </w:tcPr>
          <w:p w:rsidR="00CD2A5A" w:rsidRDefault="00CD2A5A">
            <w:pPr>
              <w:spacing w:before="40" w:after="40"/>
              <w:rPr>
                <w:iCs/>
                <w:sz w:val="22"/>
                <w:szCs w:val="22"/>
              </w:rPr>
            </w:pPr>
            <w:r>
              <w:rPr>
                <w:iCs/>
                <w:sz w:val="22"/>
                <w:szCs w:val="22"/>
              </w:rPr>
              <w:t>22</w:t>
            </w:r>
          </w:p>
        </w:tc>
        <w:tc>
          <w:tcPr>
            <w:tcW w:w="8658" w:type="dxa"/>
            <w:vAlign w:val="center"/>
          </w:tcPr>
          <w:p w:rsidR="00CD2A5A" w:rsidRDefault="00CD2A5A">
            <w:pPr>
              <w:spacing w:before="40" w:after="40"/>
              <w:rPr>
                <w:iCs/>
                <w:sz w:val="22"/>
                <w:szCs w:val="22"/>
              </w:rPr>
            </w:pPr>
            <w:r>
              <w:rPr>
                <w:iCs/>
                <w:sz w:val="22"/>
                <w:szCs w:val="22"/>
              </w:rPr>
              <w:t>Contribución familiar</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23</w:t>
            </w:r>
          </w:p>
        </w:tc>
        <w:tc>
          <w:tcPr>
            <w:tcW w:w="8658" w:type="dxa"/>
            <w:vAlign w:val="center"/>
          </w:tcPr>
          <w:p w:rsidR="00CD2A5A" w:rsidRDefault="00CD2A5A">
            <w:pPr>
              <w:spacing w:before="40" w:after="40"/>
              <w:rPr>
                <w:iCs/>
                <w:sz w:val="22"/>
                <w:szCs w:val="22"/>
              </w:rPr>
            </w:pPr>
            <w:r>
              <w:rPr>
                <w:iCs/>
                <w:sz w:val="22"/>
                <w:szCs w:val="22"/>
              </w:rPr>
              <w:t>Participación familiar</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24</w:t>
            </w:r>
          </w:p>
        </w:tc>
        <w:tc>
          <w:tcPr>
            <w:tcW w:w="8658" w:type="dxa"/>
            <w:vAlign w:val="center"/>
          </w:tcPr>
          <w:p w:rsidR="00CD2A5A" w:rsidRDefault="00CD2A5A">
            <w:pPr>
              <w:spacing w:before="40" w:after="40"/>
              <w:rPr>
                <w:iCs/>
                <w:sz w:val="22"/>
                <w:szCs w:val="22"/>
              </w:rPr>
            </w:pPr>
            <w:r>
              <w:rPr>
                <w:iCs/>
                <w:sz w:val="22"/>
                <w:szCs w:val="22"/>
              </w:rPr>
              <w:t>Permanencia de madres cuidadoras</w:t>
            </w:r>
          </w:p>
        </w:tc>
      </w:tr>
      <w:tr w:rsidR="00CD2A5A">
        <w:tblPrEx>
          <w:tblCellMar>
            <w:top w:w="0" w:type="dxa"/>
            <w:bottom w:w="0" w:type="dxa"/>
          </w:tblCellMar>
        </w:tblPrEx>
        <w:trPr>
          <w:trHeight w:val="249"/>
          <w:jc w:val="center"/>
        </w:trPr>
        <w:tc>
          <w:tcPr>
            <w:tcW w:w="636" w:type="dxa"/>
            <w:vAlign w:val="center"/>
          </w:tcPr>
          <w:p w:rsidR="00CD2A5A" w:rsidRDefault="00CD2A5A">
            <w:pPr>
              <w:spacing w:before="40" w:after="40"/>
              <w:rPr>
                <w:iCs/>
                <w:sz w:val="22"/>
                <w:szCs w:val="22"/>
              </w:rPr>
            </w:pPr>
            <w:r>
              <w:rPr>
                <w:iCs/>
                <w:sz w:val="22"/>
                <w:szCs w:val="22"/>
              </w:rPr>
              <w:t>25</w:t>
            </w:r>
          </w:p>
        </w:tc>
        <w:tc>
          <w:tcPr>
            <w:tcW w:w="8658" w:type="dxa"/>
            <w:vAlign w:val="center"/>
          </w:tcPr>
          <w:p w:rsidR="00CD2A5A" w:rsidRDefault="00CD2A5A">
            <w:pPr>
              <w:spacing w:before="40" w:after="40"/>
              <w:rPr>
                <w:iCs/>
                <w:sz w:val="22"/>
                <w:szCs w:val="22"/>
              </w:rPr>
            </w:pPr>
            <w:r>
              <w:rPr>
                <w:iCs/>
                <w:sz w:val="22"/>
                <w:szCs w:val="22"/>
              </w:rPr>
              <w:t>Porcentaje de madres cuidadoras escolarizadas superior a la primaria</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26</w:t>
            </w:r>
          </w:p>
        </w:tc>
        <w:tc>
          <w:tcPr>
            <w:tcW w:w="8658" w:type="dxa"/>
            <w:vAlign w:val="center"/>
          </w:tcPr>
          <w:p w:rsidR="00CD2A5A" w:rsidRDefault="00CD2A5A">
            <w:pPr>
              <w:spacing w:before="40" w:after="40"/>
              <w:rPr>
                <w:iCs/>
                <w:sz w:val="22"/>
                <w:szCs w:val="22"/>
              </w:rPr>
            </w:pPr>
            <w:r>
              <w:rPr>
                <w:iCs/>
                <w:sz w:val="22"/>
                <w:szCs w:val="22"/>
              </w:rPr>
              <w:t>Cobertura de apoyo técnico institucional</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27</w:t>
            </w:r>
          </w:p>
        </w:tc>
        <w:tc>
          <w:tcPr>
            <w:tcW w:w="8658" w:type="dxa"/>
            <w:vAlign w:val="center"/>
          </w:tcPr>
          <w:p w:rsidR="00CD2A5A" w:rsidRDefault="00CD2A5A">
            <w:pPr>
              <w:spacing w:before="40" w:after="40"/>
              <w:rPr>
                <w:iCs/>
                <w:sz w:val="22"/>
                <w:szCs w:val="22"/>
              </w:rPr>
            </w:pPr>
            <w:r>
              <w:rPr>
                <w:iCs/>
                <w:sz w:val="22"/>
                <w:szCs w:val="22"/>
              </w:rPr>
              <w:t>Porcentaje de centros de propiedad comunal</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28</w:t>
            </w:r>
          </w:p>
        </w:tc>
        <w:tc>
          <w:tcPr>
            <w:tcW w:w="8658" w:type="dxa"/>
            <w:vAlign w:val="center"/>
          </w:tcPr>
          <w:p w:rsidR="00CD2A5A" w:rsidRDefault="00CD2A5A">
            <w:pPr>
              <w:spacing w:before="40" w:after="40"/>
              <w:rPr>
                <w:iCs/>
                <w:sz w:val="22"/>
                <w:szCs w:val="22"/>
              </w:rPr>
            </w:pPr>
            <w:r>
              <w:rPr>
                <w:iCs/>
                <w:sz w:val="22"/>
                <w:szCs w:val="22"/>
              </w:rPr>
              <w:t>Porcentaje de centros de propiedad del ISNA</w:t>
            </w:r>
          </w:p>
        </w:tc>
      </w:tr>
      <w:tr w:rsidR="00CD2A5A">
        <w:tblPrEx>
          <w:tblCellMar>
            <w:top w:w="0" w:type="dxa"/>
            <w:bottom w:w="0" w:type="dxa"/>
          </w:tblCellMar>
        </w:tblPrEx>
        <w:trPr>
          <w:trHeight w:val="249"/>
          <w:jc w:val="center"/>
        </w:trPr>
        <w:tc>
          <w:tcPr>
            <w:tcW w:w="636" w:type="dxa"/>
            <w:vAlign w:val="center"/>
          </w:tcPr>
          <w:p w:rsidR="00CD2A5A" w:rsidRDefault="00CD2A5A">
            <w:pPr>
              <w:spacing w:before="40" w:after="40"/>
              <w:rPr>
                <w:iCs/>
                <w:sz w:val="22"/>
                <w:szCs w:val="22"/>
              </w:rPr>
            </w:pPr>
            <w:r>
              <w:rPr>
                <w:iCs/>
                <w:sz w:val="22"/>
                <w:szCs w:val="22"/>
              </w:rPr>
              <w:t>29</w:t>
            </w:r>
          </w:p>
        </w:tc>
        <w:tc>
          <w:tcPr>
            <w:tcW w:w="8658" w:type="dxa"/>
            <w:vAlign w:val="center"/>
          </w:tcPr>
          <w:p w:rsidR="00CD2A5A" w:rsidRDefault="00CD2A5A">
            <w:pPr>
              <w:spacing w:before="40" w:after="40"/>
              <w:rPr>
                <w:iCs/>
                <w:sz w:val="22"/>
                <w:szCs w:val="22"/>
              </w:rPr>
            </w:pPr>
            <w:r>
              <w:rPr>
                <w:iCs/>
                <w:sz w:val="22"/>
                <w:szCs w:val="22"/>
              </w:rPr>
              <w:t>Porcentaje de centros de propiedad municipal</w:t>
            </w:r>
          </w:p>
        </w:tc>
      </w:tr>
      <w:tr w:rsidR="00CD2A5A">
        <w:tblPrEx>
          <w:tblCellMar>
            <w:top w:w="0" w:type="dxa"/>
            <w:bottom w:w="0" w:type="dxa"/>
          </w:tblCellMar>
        </w:tblPrEx>
        <w:trPr>
          <w:trHeight w:val="221"/>
          <w:jc w:val="center"/>
        </w:trPr>
        <w:tc>
          <w:tcPr>
            <w:tcW w:w="636" w:type="dxa"/>
            <w:vAlign w:val="center"/>
          </w:tcPr>
          <w:p w:rsidR="00CD2A5A" w:rsidRDefault="00CD2A5A">
            <w:pPr>
              <w:spacing w:before="40" w:after="40"/>
              <w:rPr>
                <w:iCs/>
                <w:sz w:val="22"/>
                <w:szCs w:val="22"/>
              </w:rPr>
            </w:pPr>
            <w:r>
              <w:rPr>
                <w:iCs/>
                <w:sz w:val="22"/>
                <w:szCs w:val="22"/>
              </w:rPr>
              <w:t>30</w:t>
            </w:r>
          </w:p>
        </w:tc>
        <w:tc>
          <w:tcPr>
            <w:tcW w:w="8658" w:type="dxa"/>
            <w:vAlign w:val="center"/>
          </w:tcPr>
          <w:p w:rsidR="00CD2A5A" w:rsidRDefault="00CD2A5A">
            <w:pPr>
              <w:spacing w:before="40" w:after="40"/>
              <w:rPr>
                <w:iCs/>
                <w:sz w:val="22"/>
                <w:szCs w:val="22"/>
              </w:rPr>
            </w:pPr>
            <w:r>
              <w:rPr>
                <w:iCs/>
                <w:sz w:val="22"/>
                <w:szCs w:val="22"/>
              </w:rPr>
              <w:t>Acceso de agua</w:t>
            </w:r>
          </w:p>
        </w:tc>
      </w:tr>
      <w:tr w:rsidR="00CD2A5A">
        <w:tblPrEx>
          <w:tblCellMar>
            <w:top w:w="0" w:type="dxa"/>
            <w:bottom w:w="0" w:type="dxa"/>
          </w:tblCellMar>
        </w:tblPrEx>
        <w:trPr>
          <w:trHeight w:val="70"/>
          <w:jc w:val="center"/>
        </w:trPr>
        <w:tc>
          <w:tcPr>
            <w:tcW w:w="636" w:type="dxa"/>
            <w:vAlign w:val="center"/>
          </w:tcPr>
          <w:p w:rsidR="00CD2A5A" w:rsidRDefault="00CD2A5A">
            <w:pPr>
              <w:spacing w:before="40" w:after="40"/>
              <w:rPr>
                <w:iCs/>
                <w:sz w:val="22"/>
                <w:szCs w:val="22"/>
              </w:rPr>
            </w:pPr>
            <w:r>
              <w:rPr>
                <w:iCs/>
                <w:sz w:val="22"/>
                <w:szCs w:val="22"/>
              </w:rPr>
              <w:t>31</w:t>
            </w:r>
          </w:p>
        </w:tc>
        <w:tc>
          <w:tcPr>
            <w:tcW w:w="8658" w:type="dxa"/>
            <w:vAlign w:val="center"/>
          </w:tcPr>
          <w:p w:rsidR="00CD2A5A" w:rsidRDefault="00CD2A5A">
            <w:pPr>
              <w:spacing w:before="40" w:after="40"/>
              <w:rPr>
                <w:iCs/>
                <w:sz w:val="22"/>
                <w:szCs w:val="22"/>
              </w:rPr>
            </w:pPr>
            <w:r>
              <w:rPr>
                <w:iCs/>
                <w:sz w:val="22"/>
                <w:szCs w:val="22"/>
              </w:rPr>
              <w:t>Acceso a servicio sanitario</w:t>
            </w:r>
          </w:p>
        </w:tc>
      </w:tr>
    </w:tbl>
    <w:p w:rsidR="00CD2A5A" w:rsidRDefault="00CD2A5A">
      <w:pPr>
        <w:spacing w:after="240"/>
      </w:pPr>
    </w:p>
    <w:p w:rsidR="00CD2A5A" w:rsidRDefault="00CD2A5A" w:rsidP="00CD2A5A">
      <w:pPr>
        <w:pStyle w:val="Figure"/>
        <w:rPr>
          <w:rStyle w:val="Ttulo1CarCarCarCarCarCarCarCarCarCarCarCarCarCarCarCarCar"/>
          <w:iCs/>
          <w:sz w:val="20"/>
          <w:lang w:val="es-SV"/>
        </w:rPr>
      </w:pPr>
      <w:r>
        <w:rPr>
          <w:rStyle w:val="Ttulo1CarCarCarCarCarCarCarCarCarCarCarCarCarCarCarCarCar"/>
          <w:i/>
          <w:lang w:val="es-SV"/>
        </w:rPr>
        <w:br w:type="page"/>
      </w:r>
      <w:r>
        <w:rPr>
          <w:rStyle w:val="Ttulo1CarCarCarCarCarCarCarCarCarCarCarCarCarCarCarCarCar"/>
          <w:iCs/>
          <w:sz w:val="20"/>
          <w:lang w:val="es-SV"/>
        </w:rPr>
        <w:t xml:space="preserve">Indicadores Reeducativos, Adolescentes y Jóvenes en Conflicto </w:t>
      </w:r>
      <w:r>
        <w:rPr>
          <w:rStyle w:val="Ttulo1CarCarCarCarCarCarCarCarCarCarCarCarCarCarCarCarCar"/>
          <w:iCs/>
          <w:sz w:val="20"/>
          <w:lang w:val="es-SV"/>
        </w:rPr>
        <w:br/>
        <w:t>con la Ley Penal Juvenil (ISNA)</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firstRow="1" w:lastRow="0" w:firstColumn="1" w:lastColumn="0" w:noHBand="0" w:noVBand="0"/>
      </w:tblPr>
      <w:tblGrid>
        <w:gridCol w:w="1012"/>
        <w:gridCol w:w="8400"/>
      </w:tblGrid>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b/>
                <w:i/>
                <w:sz w:val="22"/>
                <w:szCs w:val="22"/>
              </w:rPr>
            </w:pPr>
            <w:r>
              <w:rPr>
                <w:b/>
                <w:i/>
                <w:sz w:val="22"/>
                <w:szCs w:val="22"/>
              </w:rPr>
              <w:t>No.</w:t>
            </w:r>
          </w:p>
        </w:tc>
        <w:tc>
          <w:tcPr>
            <w:tcW w:w="8722" w:type="dxa"/>
            <w:vAlign w:val="center"/>
          </w:tcPr>
          <w:p w:rsidR="00CD2A5A" w:rsidRDefault="00CD2A5A">
            <w:pPr>
              <w:spacing w:before="40" w:after="40"/>
              <w:rPr>
                <w:b/>
                <w:i/>
                <w:sz w:val="22"/>
                <w:szCs w:val="22"/>
              </w:rPr>
            </w:pPr>
            <w:r>
              <w:rPr>
                <w:b/>
                <w:i/>
                <w:sz w:val="22"/>
                <w:szCs w:val="22"/>
              </w:rPr>
              <w:t>Indicador</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1</w:t>
            </w:r>
          </w:p>
        </w:tc>
        <w:tc>
          <w:tcPr>
            <w:tcW w:w="8722" w:type="dxa"/>
            <w:vAlign w:val="center"/>
          </w:tcPr>
          <w:p w:rsidR="00CD2A5A" w:rsidRDefault="00CD2A5A">
            <w:pPr>
              <w:spacing w:before="40" w:after="40"/>
              <w:rPr>
                <w:sz w:val="22"/>
                <w:szCs w:val="22"/>
              </w:rPr>
            </w:pPr>
            <w:r>
              <w:rPr>
                <w:sz w:val="22"/>
                <w:szCs w:val="22"/>
              </w:rPr>
              <w:t>Número de jóvenes atendidos/as con medidas de reeducación en el periodo</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2</w:t>
            </w:r>
          </w:p>
        </w:tc>
        <w:tc>
          <w:tcPr>
            <w:tcW w:w="8722" w:type="dxa"/>
            <w:vAlign w:val="center"/>
          </w:tcPr>
          <w:p w:rsidR="00CD2A5A" w:rsidRDefault="00CD2A5A">
            <w:pPr>
              <w:spacing w:before="40" w:after="40"/>
              <w:rPr>
                <w:sz w:val="22"/>
                <w:szCs w:val="22"/>
              </w:rPr>
            </w:pPr>
            <w:r>
              <w:rPr>
                <w:sz w:val="22"/>
                <w:szCs w:val="22"/>
              </w:rPr>
              <w:t>Porcentaje de jóvenes atendidos/as procedentes del área urbana</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3</w:t>
            </w:r>
          </w:p>
        </w:tc>
        <w:tc>
          <w:tcPr>
            <w:tcW w:w="8722" w:type="dxa"/>
            <w:vAlign w:val="center"/>
          </w:tcPr>
          <w:p w:rsidR="00CD2A5A" w:rsidRDefault="00CD2A5A">
            <w:pPr>
              <w:spacing w:before="40" w:after="40"/>
              <w:rPr>
                <w:sz w:val="22"/>
                <w:szCs w:val="22"/>
              </w:rPr>
            </w:pPr>
            <w:r>
              <w:rPr>
                <w:sz w:val="22"/>
                <w:szCs w:val="22"/>
              </w:rPr>
              <w:t>Porcentaje de jóvenes atendidos/as procedentes del área rural</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4</w:t>
            </w:r>
          </w:p>
        </w:tc>
        <w:tc>
          <w:tcPr>
            <w:tcW w:w="8722" w:type="dxa"/>
            <w:vAlign w:val="center"/>
          </w:tcPr>
          <w:p w:rsidR="00CD2A5A" w:rsidRDefault="00CD2A5A">
            <w:pPr>
              <w:spacing w:before="40" w:after="40"/>
              <w:rPr>
                <w:sz w:val="22"/>
                <w:szCs w:val="22"/>
              </w:rPr>
            </w:pPr>
            <w:r>
              <w:rPr>
                <w:sz w:val="22"/>
                <w:szCs w:val="22"/>
              </w:rPr>
              <w:t xml:space="preserve">Promedio mensual de jóvenes institucionalizados </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5</w:t>
            </w:r>
          </w:p>
        </w:tc>
        <w:tc>
          <w:tcPr>
            <w:tcW w:w="8722" w:type="dxa"/>
            <w:vAlign w:val="center"/>
          </w:tcPr>
          <w:p w:rsidR="00CD2A5A" w:rsidRDefault="00CD2A5A">
            <w:pPr>
              <w:spacing w:before="40" w:after="40"/>
              <w:rPr>
                <w:sz w:val="22"/>
                <w:szCs w:val="22"/>
              </w:rPr>
            </w:pPr>
            <w:r>
              <w:rPr>
                <w:sz w:val="22"/>
                <w:szCs w:val="22"/>
              </w:rPr>
              <w:t>Promedio mensual de jóvenes en atención externa</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6</w:t>
            </w:r>
          </w:p>
        </w:tc>
        <w:tc>
          <w:tcPr>
            <w:tcW w:w="8722" w:type="dxa"/>
            <w:vAlign w:val="center"/>
          </w:tcPr>
          <w:p w:rsidR="00CD2A5A" w:rsidRDefault="00CD2A5A">
            <w:pPr>
              <w:spacing w:before="40" w:after="40"/>
              <w:rPr>
                <w:sz w:val="22"/>
                <w:szCs w:val="22"/>
              </w:rPr>
            </w:pPr>
            <w:r>
              <w:rPr>
                <w:sz w:val="22"/>
                <w:szCs w:val="22"/>
              </w:rPr>
              <w:t>Tasa de deserción o fuga</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7</w:t>
            </w:r>
          </w:p>
        </w:tc>
        <w:tc>
          <w:tcPr>
            <w:tcW w:w="8722" w:type="dxa"/>
            <w:vAlign w:val="center"/>
          </w:tcPr>
          <w:p w:rsidR="00CD2A5A" w:rsidRDefault="00CD2A5A">
            <w:pPr>
              <w:spacing w:before="40" w:after="40"/>
              <w:rPr>
                <w:sz w:val="22"/>
                <w:szCs w:val="22"/>
              </w:rPr>
            </w:pPr>
            <w:r>
              <w:rPr>
                <w:sz w:val="22"/>
                <w:szCs w:val="22"/>
              </w:rPr>
              <w:t>Porcentaje de jóvenes que ingresan</w:t>
            </w:r>
          </w:p>
        </w:tc>
      </w:tr>
      <w:tr w:rsidR="00CD2A5A">
        <w:tblPrEx>
          <w:tblCellMar>
            <w:top w:w="0" w:type="dxa"/>
            <w:bottom w:w="0" w:type="dxa"/>
          </w:tblCellMar>
        </w:tblPrEx>
        <w:trPr>
          <w:trHeight w:val="83"/>
          <w:jc w:val="center"/>
        </w:trPr>
        <w:tc>
          <w:tcPr>
            <w:tcW w:w="1039" w:type="dxa"/>
            <w:vAlign w:val="center"/>
          </w:tcPr>
          <w:p w:rsidR="00CD2A5A" w:rsidRDefault="00CD2A5A">
            <w:pPr>
              <w:spacing w:before="40" w:after="40"/>
              <w:rPr>
                <w:sz w:val="22"/>
                <w:szCs w:val="22"/>
              </w:rPr>
            </w:pPr>
            <w:r>
              <w:rPr>
                <w:sz w:val="22"/>
                <w:szCs w:val="22"/>
              </w:rPr>
              <w:t>8</w:t>
            </w:r>
          </w:p>
        </w:tc>
        <w:tc>
          <w:tcPr>
            <w:tcW w:w="8722" w:type="dxa"/>
            <w:vAlign w:val="center"/>
          </w:tcPr>
          <w:p w:rsidR="00CD2A5A" w:rsidRDefault="00CD2A5A">
            <w:pPr>
              <w:spacing w:before="40" w:after="40"/>
              <w:rPr>
                <w:sz w:val="22"/>
                <w:szCs w:val="22"/>
              </w:rPr>
            </w:pPr>
            <w:r>
              <w:rPr>
                <w:sz w:val="22"/>
                <w:szCs w:val="22"/>
              </w:rPr>
              <w:t>Porcentaje de jóvenes que reingresan</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9</w:t>
            </w:r>
          </w:p>
        </w:tc>
        <w:tc>
          <w:tcPr>
            <w:tcW w:w="8722" w:type="dxa"/>
            <w:vAlign w:val="center"/>
          </w:tcPr>
          <w:p w:rsidR="00CD2A5A" w:rsidRDefault="00CD2A5A">
            <w:pPr>
              <w:spacing w:before="40" w:after="40"/>
              <w:rPr>
                <w:sz w:val="22"/>
                <w:szCs w:val="22"/>
              </w:rPr>
            </w:pPr>
            <w:r>
              <w:rPr>
                <w:sz w:val="22"/>
                <w:szCs w:val="22"/>
              </w:rPr>
              <w:t>Tiempo promedio en meses de jóvenes atendidos/as con medida de institucionalización</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10</w:t>
            </w:r>
          </w:p>
        </w:tc>
        <w:tc>
          <w:tcPr>
            <w:tcW w:w="8722" w:type="dxa"/>
            <w:vAlign w:val="center"/>
          </w:tcPr>
          <w:p w:rsidR="00CD2A5A" w:rsidRDefault="00CD2A5A">
            <w:pPr>
              <w:spacing w:before="40" w:after="40"/>
              <w:rPr>
                <w:sz w:val="22"/>
                <w:szCs w:val="22"/>
              </w:rPr>
            </w:pPr>
            <w:r>
              <w:rPr>
                <w:sz w:val="22"/>
                <w:szCs w:val="22"/>
              </w:rPr>
              <w:t>Edad promedio de los/as jóvenes atendidos/as</w:t>
            </w:r>
          </w:p>
        </w:tc>
      </w:tr>
      <w:tr w:rsidR="00CD2A5A">
        <w:tblPrEx>
          <w:tblCellMar>
            <w:top w:w="0" w:type="dxa"/>
            <w:bottom w:w="0" w:type="dxa"/>
          </w:tblCellMar>
        </w:tblPrEx>
        <w:trPr>
          <w:trHeight w:val="249"/>
          <w:jc w:val="center"/>
        </w:trPr>
        <w:tc>
          <w:tcPr>
            <w:tcW w:w="1039" w:type="dxa"/>
            <w:vAlign w:val="center"/>
          </w:tcPr>
          <w:p w:rsidR="00CD2A5A" w:rsidRDefault="00CD2A5A">
            <w:pPr>
              <w:spacing w:before="40" w:after="40"/>
              <w:rPr>
                <w:sz w:val="22"/>
                <w:szCs w:val="22"/>
              </w:rPr>
            </w:pPr>
            <w:r>
              <w:rPr>
                <w:sz w:val="22"/>
                <w:szCs w:val="22"/>
              </w:rPr>
              <w:t>11</w:t>
            </w:r>
          </w:p>
        </w:tc>
        <w:tc>
          <w:tcPr>
            <w:tcW w:w="8722" w:type="dxa"/>
            <w:vAlign w:val="center"/>
          </w:tcPr>
          <w:p w:rsidR="00CD2A5A" w:rsidRDefault="00CD2A5A">
            <w:pPr>
              <w:spacing w:before="40" w:after="40"/>
              <w:rPr>
                <w:sz w:val="22"/>
                <w:szCs w:val="22"/>
              </w:rPr>
            </w:pPr>
            <w:r>
              <w:rPr>
                <w:sz w:val="22"/>
                <w:szCs w:val="22"/>
              </w:rPr>
              <w:t>Edad promedio de los jóvenes atendidos</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12</w:t>
            </w:r>
          </w:p>
        </w:tc>
        <w:tc>
          <w:tcPr>
            <w:tcW w:w="8722" w:type="dxa"/>
            <w:vAlign w:val="center"/>
          </w:tcPr>
          <w:p w:rsidR="00CD2A5A" w:rsidRDefault="00CD2A5A">
            <w:pPr>
              <w:spacing w:before="40" w:after="40"/>
              <w:rPr>
                <w:sz w:val="22"/>
                <w:szCs w:val="22"/>
              </w:rPr>
            </w:pPr>
            <w:r>
              <w:rPr>
                <w:sz w:val="22"/>
                <w:szCs w:val="22"/>
              </w:rPr>
              <w:t>Edad promedio de las jóvenes atendidas</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13</w:t>
            </w:r>
          </w:p>
        </w:tc>
        <w:tc>
          <w:tcPr>
            <w:tcW w:w="8722" w:type="dxa"/>
            <w:vAlign w:val="center"/>
          </w:tcPr>
          <w:p w:rsidR="00CD2A5A" w:rsidRDefault="00CD2A5A">
            <w:pPr>
              <w:spacing w:before="40" w:after="40"/>
              <w:rPr>
                <w:sz w:val="22"/>
                <w:szCs w:val="22"/>
              </w:rPr>
            </w:pPr>
            <w:r>
              <w:rPr>
                <w:sz w:val="22"/>
                <w:szCs w:val="22"/>
              </w:rPr>
              <w:t>Promedio mensual de casos de jóvenes varones atendidos en con medidas de reeducación</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14</w:t>
            </w:r>
          </w:p>
        </w:tc>
        <w:tc>
          <w:tcPr>
            <w:tcW w:w="8722" w:type="dxa"/>
            <w:vAlign w:val="center"/>
          </w:tcPr>
          <w:p w:rsidR="00CD2A5A" w:rsidRDefault="00CD2A5A">
            <w:pPr>
              <w:spacing w:before="40" w:after="40"/>
              <w:rPr>
                <w:sz w:val="22"/>
                <w:szCs w:val="22"/>
              </w:rPr>
            </w:pPr>
            <w:r>
              <w:rPr>
                <w:sz w:val="22"/>
                <w:szCs w:val="22"/>
              </w:rPr>
              <w:t>Promedio mensual de casos de jóvenes mujeres atendidas en con medidas de reeducación</w:t>
            </w:r>
          </w:p>
        </w:tc>
      </w:tr>
      <w:tr w:rsidR="00CD2A5A">
        <w:tblPrEx>
          <w:tblCellMar>
            <w:top w:w="0" w:type="dxa"/>
            <w:bottom w:w="0" w:type="dxa"/>
          </w:tblCellMar>
        </w:tblPrEx>
        <w:trPr>
          <w:trHeight w:val="249"/>
          <w:jc w:val="center"/>
        </w:trPr>
        <w:tc>
          <w:tcPr>
            <w:tcW w:w="1039" w:type="dxa"/>
            <w:vAlign w:val="center"/>
          </w:tcPr>
          <w:p w:rsidR="00CD2A5A" w:rsidRDefault="00CD2A5A">
            <w:pPr>
              <w:spacing w:before="40" w:after="40"/>
              <w:rPr>
                <w:sz w:val="22"/>
                <w:szCs w:val="22"/>
              </w:rPr>
            </w:pPr>
            <w:r>
              <w:rPr>
                <w:sz w:val="22"/>
                <w:szCs w:val="22"/>
              </w:rPr>
              <w:t>15</w:t>
            </w:r>
          </w:p>
        </w:tc>
        <w:tc>
          <w:tcPr>
            <w:tcW w:w="8722" w:type="dxa"/>
            <w:vAlign w:val="center"/>
          </w:tcPr>
          <w:p w:rsidR="00CD2A5A" w:rsidRDefault="00CD2A5A">
            <w:pPr>
              <w:spacing w:before="40" w:after="40"/>
              <w:rPr>
                <w:sz w:val="22"/>
                <w:szCs w:val="22"/>
              </w:rPr>
            </w:pPr>
            <w:r>
              <w:rPr>
                <w:sz w:val="22"/>
                <w:szCs w:val="22"/>
              </w:rPr>
              <w:t>Porcentajes de jóvenes que ingresan y reingresan provenientes del AMSS</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16</w:t>
            </w:r>
          </w:p>
        </w:tc>
        <w:tc>
          <w:tcPr>
            <w:tcW w:w="8722" w:type="dxa"/>
            <w:vAlign w:val="center"/>
          </w:tcPr>
          <w:p w:rsidR="00CD2A5A" w:rsidRDefault="00CD2A5A">
            <w:pPr>
              <w:spacing w:before="40" w:after="40"/>
              <w:rPr>
                <w:sz w:val="22"/>
                <w:szCs w:val="22"/>
              </w:rPr>
            </w:pPr>
            <w:r>
              <w:rPr>
                <w:sz w:val="22"/>
                <w:szCs w:val="22"/>
              </w:rPr>
              <w:t>Porcentaje de jóvenes que no tienen madre</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17</w:t>
            </w:r>
          </w:p>
        </w:tc>
        <w:tc>
          <w:tcPr>
            <w:tcW w:w="8722" w:type="dxa"/>
            <w:vAlign w:val="center"/>
          </w:tcPr>
          <w:p w:rsidR="00CD2A5A" w:rsidRDefault="00CD2A5A">
            <w:pPr>
              <w:spacing w:before="40" w:after="40"/>
              <w:rPr>
                <w:sz w:val="22"/>
                <w:szCs w:val="22"/>
              </w:rPr>
            </w:pPr>
            <w:r>
              <w:rPr>
                <w:sz w:val="22"/>
                <w:szCs w:val="22"/>
              </w:rPr>
              <w:t>Porcentaje de jóvenes que no tienen padre</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18</w:t>
            </w:r>
          </w:p>
        </w:tc>
        <w:tc>
          <w:tcPr>
            <w:tcW w:w="8722" w:type="dxa"/>
            <w:vAlign w:val="center"/>
          </w:tcPr>
          <w:p w:rsidR="00CD2A5A" w:rsidRDefault="00CD2A5A">
            <w:pPr>
              <w:spacing w:before="40" w:after="40"/>
              <w:rPr>
                <w:sz w:val="22"/>
                <w:szCs w:val="22"/>
              </w:rPr>
            </w:pPr>
            <w:r>
              <w:rPr>
                <w:sz w:val="22"/>
                <w:szCs w:val="22"/>
              </w:rPr>
              <w:t>Porcentaje de jóvenes atendidos/as en situación de pobreza</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19</w:t>
            </w:r>
          </w:p>
        </w:tc>
        <w:tc>
          <w:tcPr>
            <w:tcW w:w="8722" w:type="dxa"/>
            <w:vAlign w:val="center"/>
          </w:tcPr>
          <w:p w:rsidR="00CD2A5A" w:rsidRDefault="00CD2A5A">
            <w:pPr>
              <w:spacing w:before="40" w:after="40"/>
              <w:rPr>
                <w:sz w:val="22"/>
                <w:szCs w:val="22"/>
              </w:rPr>
            </w:pPr>
            <w:r>
              <w:rPr>
                <w:sz w:val="22"/>
                <w:szCs w:val="22"/>
              </w:rPr>
              <w:t>Porcentaje de jóvenes que ingresan con señales de algún tipo de daño físico</w:t>
            </w:r>
          </w:p>
        </w:tc>
      </w:tr>
      <w:tr w:rsidR="00CD2A5A">
        <w:tblPrEx>
          <w:tblCellMar>
            <w:top w:w="0" w:type="dxa"/>
            <w:bottom w:w="0" w:type="dxa"/>
          </w:tblCellMar>
        </w:tblPrEx>
        <w:trPr>
          <w:trHeight w:val="255"/>
          <w:jc w:val="center"/>
        </w:trPr>
        <w:tc>
          <w:tcPr>
            <w:tcW w:w="1039" w:type="dxa"/>
            <w:vAlign w:val="center"/>
          </w:tcPr>
          <w:p w:rsidR="00CD2A5A" w:rsidRDefault="00CD2A5A">
            <w:pPr>
              <w:spacing w:before="40" w:after="40"/>
              <w:rPr>
                <w:sz w:val="22"/>
                <w:szCs w:val="22"/>
              </w:rPr>
            </w:pPr>
            <w:r>
              <w:rPr>
                <w:sz w:val="22"/>
                <w:szCs w:val="22"/>
              </w:rPr>
              <w:t>20</w:t>
            </w:r>
          </w:p>
        </w:tc>
        <w:tc>
          <w:tcPr>
            <w:tcW w:w="8722" w:type="dxa"/>
            <w:vAlign w:val="center"/>
          </w:tcPr>
          <w:p w:rsidR="00CD2A5A" w:rsidRDefault="00CD2A5A">
            <w:pPr>
              <w:spacing w:before="40" w:after="40"/>
              <w:rPr>
                <w:sz w:val="22"/>
                <w:szCs w:val="22"/>
              </w:rPr>
            </w:pPr>
            <w:r>
              <w:rPr>
                <w:sz w:val="22"/>
                <w:szCs w:val="22"/>
              </w:rPr>
              <w:t>Porcentaje de jóvenes que ingresan y reingresan con medida provisional</w:t>
            </w:r>
          </w:p>
        </w:tc>
      </w:tr>
      <w:tr w:rsidR="00CD2A5A">
        <w:tblPrEx>
          <w:tblCellMar>
            <w:top w:w="0" w:type="dxa"/>
            <w:bottom w:w="0" w:type="dxa"/>
          </w:tblCellMar>
        </w:tblPrEx>
        <w:trPr>
          <w:trHeight w:val="83"/>
          <w:jc w:val="center"/>
        </w:trPr>
        <w:tc>
          <w:tcPr>
            <w:tcW w:w="1039" w:type="dxa"/>
            <w:vAlign w:val="center"/>
          </w:tcPr>
          <w:p w:rsidR="00CD2A5A" w:rsidRDefault="00CD2A5A">
            <w:pPr>
              <w:spacing w:before="40" w:after="40"/>
              <w:rPr>
                <w:sz w:val="22"/>
                <w:szCs w:val="22"/>
              </w:rPr>
            </w:pPr>
            <w:r>
              <w:rPr>
                <w:sz w:val="22"/>
                <w:szCs w:val="22"/>
              </w:rPr>
              <w:t>21</w:t>
            </w:r>
          </w:p>
        </w:tc>
        <w:tc>
          <w:tcPr>
            <w:tcW w:w="8722" w:type="dxa"/>
            <w:vAlign w:val="center"/>
          </w:tcPr>
          <w:p w:rsidR="00CD2A5A" w:rsidRDefault="00CD2A5A">
            <w:pPr>
              <w:spacing w:before="40" w:after="40"/>
              <w:rPr>
                <w:sz w:val="22"/>
                <w:szCs w:val="22"/>
              </w:rPr>
            </w:pPr>
            <w:r>
              <w:rPr>
                <w:sz w:val="22"/>
                <w:szCs w:val="22"/>
              </w:rPr>
              <w:t>Porcentaje de jóvenes que ingresan y reingresan con medida definitiva</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22</w:t>
            </w:r>
          </w:p>
        </w:tc>
        <w:tc>
          <w:tcPr>
            <w:tcW w:w="8722" w:type="dxa"/>
            <w:vAlign w:val="center"/>
          </w:tcPr>
          <w:p w:rsidR="00CD2A5A" w:rsidRDefault="00CD2A5A">
            <w:pPr>
              <w:spacing w:before="40" w:after="40"/>
              <w:rPr>
                <w:sz w:val="22"/>
                <w:szCs w:val="22"/>
              </w:rPr>
            </w:pPr>
            <w:r>
              <w:rPr>
                <w:sz w:val="22"/>
                <w:szCs w:val="22"/>
              </w:rPr>
              <w:t>Porcentaje de jóvenes atendidos/as con medidas de reeducación que no tienen escolaridad</w:t>
            </w:r>
          </w:p>
        </w:tc>
      </w:tr>
      <w:tr w:rsidR="00CD2A5A">
        <w:tblPrEx>
          <w:tblCellMar>
            <w:top w:w="0" w:type="dxa"/>
            <w:bottom w:w="0" w:type="dxa"/>
          </w:tblCellMar>
        </w:tblPrEx>
        <w:trPr>
          <w:trHeight w:val="221"/>
          <w:jc w:val="center"/>
        </w:trPr>
        <w:tc>
          <w:tcPr>
            <w:tcW w:w="1039" w:type="dxa"/>
            <w:vAlign w:val="center"/>
          </w:tcPr>
          <w:p w:rsidR="00CD2A5A" w:rsidRDefault="00CD2A5A">
            <w:pPr>
              <w:spacing w:before="40" w:after="40"/>
              <w:rPr>
                <w:sz w:val="22"/>
                <w:szCs w:val="22"/>
              </w:rPr>
            </w:pPr>
            <w:r>
              <w:rPr>
                <w:sz w:val="22"/>
                <w:szCs w:val="22"/>
              </w:rPr>
              <w:t>23</w:t>
            </w:r>
          </w:p>
        </w:tc>
        <w:tc>
          <w:tcPr>
            <w:tcW w:w="8722" w:type="dxa"/>
            <w:vAlign w:val="center"/>
          </w:tcPr>
          <w:p w:rsidR="00CD2A5A" w:rsidRDefault="00CD2A5A">
            <w:pPr>
              <w:spacing w:before="40" w:after="40"/>
              <w:rPr>
                <w:sz w:val="22"/>
                <w:szCs w:val="22"/>
              </w:rPr>
            </w:pPr>
            <w:r>
              <w:rPr>
                <w:sz w:val="22"/>
                <w:szCs w:val="22"/>
              </w:rPr>
              <w:t>Porcentaje de jóvenes varones atendidos con medidas de reeducación que no tienen escolaridad</w:t>
            </w:r>
          </w:p>
        </w:tc>
      </w:tr>
      <w:tr w:rsidR="00CD2A5A">
        <w:tblPrEx>
          <w:tblCellMar>
            <w:top w:w="0" w:type="dxa"/>
            <w:bottom w:w="0" w:type="dxa"/>
          </w:tblCellMar>
        </w:tblPrEx>
        <w:trPr>
          <w:trHeight w:val="249"/>
          <w:jc w:val="center"/>
        </w:trPr>
        <w:tc>
          <w:tcPr>
            <w:tcW w:w="1039" w:type="dxa"/>
            <w:vAlign w:val="center"/>
          </w:tcPr>
          <w:p w:rsidR="00CD2A5A" w:rsidRDefault="00CD2A5A">
            <w:pPr>
              <w:spacing w:before="40" w:after="40"/>
              <w:rPr>
                <w:sz w:val="22"/>
                <w:szCs w:val="22"/>
              </w:rPr>
            </w:pPr>
            <w:r>
              <w:rPr>
                <w:sz w:val="22"/>
                <w:szCs w:val="22"/>
              </w:rPr>
              <w:t>24</w:t>
            </w:r>
          </w:p>
        </w:tc>
        <w:tc>
          <w:tcPr>
            <w:tcW w:w="8722" w:type="dxa"/>
            <w:vAlign w:val="center"/>
          </w:tcPr>
          <w:p w:rsidR="00CD2A5A" w:rsidRDefault="00CD2A5A">
            <w:pPr>
              <w:spacing w:before="40" w:after="40"/>
              <w:rPr>
                <w:sz w:val="22"/>
                <w:szCs w:val="22"/>
              </w:rPr>
            </w:pPr>
            <w:r>
              <w:rPr>
                <w:sz w:val="22"/>
                <w:szCs w:val="22"/>
              </w:rPr>
              <w:t>Porcentaje de jóvenes mujeres con medidas de reeducación que no tienen escolaridad</w:t>
            </w:r>
          </w:p>
        </w:tc>
      </w:tr>
    </w:tbl>
    <w:p w:rsidR="00CD2A5A" w:rsidRDefault="00CD2A5A">
      <w:pPr>
        <w:pStyle w:val="Source"/>
        <w:rPr>
          <w:lang w:val="es-ES_tradnl"/>
        </w:rPr>
      </w:pPr>
      <w:r>
        <w:rPr>
          <w:i/>
          <w:lang w:val="es-ES_tradnl"/>
        </w:rPr>
        <w:t>Fuente</w:t>
      </w:r>
      <w:r>
        <w:rPr>
          <w:lang w:val="es-ES_tradnl"/>
        </w:rPr>
        <w:t>: Sistema de Información para la Infancia (SIPI) ISNA</w:t>
      </w:r>
    </w:p>
    <w:p w:rsidR="00CD2A5A" w:rsidRDefault="00CD2A5A">
      <w:pPr>
        <w:pStyle w:val="I"/>
      </w:pPr>
      <w:r>
        <w:br w:type="page"/>
        <w:t>Anexo III</w:t>
      </w:r>
    </w:p>
    <w:p w:rsidR="00CD2A5A" w:rsidRDefault="00CD2A5A">
      <w:pPr>
        <w:spacing w:after="240"/>
        <w:jc w:val="center"/>
        <w:rPr>
          <w:b/>
          <w:lang w:val="es-ES_tradnl"/>
        </w:rPr>
      </w:pPr>
      <w:r>
        <w:rPr>
          <w:b/>
          <w:lang w:val="es-ES_tradnl"/>
        </w:rPr>
        <w:t>PRESENCIA DEL ISNA A NIVEL NACIONAL</w:t>
      </w:r>
    </w:p>
    <w:p w:rsidR="00CD2A5A" w:rsidRDefault="00CD2A5A">
      <w:pPr>
        <w:spacing w:after="240"/>
        <w:jc w:val="center"/>
      </w:pPr>
      <w:r>
        <w:rPr>
          <w:lang w:val="es-ES_tradnl"/>
        </w:rPr>
        <w:object w:dxaOrig="8841" w:dyaOrig="6211">
          <v:shape id="_x0000_i1037" type="#_x0000_t75" style="width:441.75pt;height:310.5pt" o:ole="">
            <v:imagedata r:id="rId21" o:title=""/>
          </v:shape>
          <o:OLEObject Type="Embed" ProgID="Word.Picture.8" ShapeID="_x0000_i1037" DrawAspect="Content" ObjectID="_1395858676" r:id="rId22"/>
        </w:object>
      </w:r>
    </w:p>
    <w:p w:rsidR="00CD2A5A" w:rsidRDefault="00CD2A5A">
      <w:pPr>
        <w:spacing w:after="240"/>
        <w:jc w:val="center"/>
        <w:rPr>
          <w:lang w:val="es-ES_tradnl"/>
        </w:rPr>
      </w:pPr>
    </w:p>
    <w:p w:rsidR="00CD2A5A" w:rsidRDefault="00CD2A5A">
      <w:pPr>
        <w:spacing w:after="240"/>
        <w:jc w:val="center"/>
        <w:rPr>
          <w:lang w:val="en-US"/>
        </w:rPr>
      </w:pPr>
      <w:r>
        <w:rPr>
          <w:lang w:val="es-ES_tradnl"/>
        </w:rPr>
        <w:object w:dxaOrig="8841" w:dyaOrig="5563">
          <v:shape id="_x0000_i1038" type="#_x0000_t75" style="width:441.75pt;height:278.25pt" o:ole="">
            <v:imagedata r:id="rId23" o:title=""/>
          </v:shape>
          <o:OLEObject Type="Embed" ProgID="Word.Picture.8" ShapeID="_x0000_i1038" DrawAspect="Content" ObjectID="_1395858677" r:id="rId24"/>
        </w:object>
      </w:r>
    </w:p>
    <w:p w:rsidR="00CD2A5A" w:rsidRDefault="00CD2A5A">
      <w:pPr>
        <w:pStyle w:val="I"/>
      </w:pPr>
      <w:r>
        <w:br w:type="page"/>
        <w:t>ANEXO IV</w:t>
      </w:r>
    </w:p>
    <w:p w:rsidR="00CD2A5A" w:rsidRDefault="00CD2A5A" w:rsidP="00CD2A5A">
      <w:pPr>
        <w:pStyle w:val="Figure"/>
      </w:pPr>
      <w:r>
        <w:t>TRATAMIENTO DE LOS CRÍMENES SEXUALES</w:t>
      </w:r>
    </w:p>
    <w:p w:rsidR="00CD2A5A" w:rsidRDefault="00CD2A5A">
      <w:pPr>
        <w:keepNext/>
        <w:spacing w:after="240"/>
        <w:rPr>
          <w:lang w:val="es-SV"/>
        </w:rPr>
      </w:pPr>
      <w:r>
        <w:rPr>
          <w:lang w:val="es-SV"/>
        </w:rPr>
        <w:t>Los detalles del tratamiento de los crímenes sexuales en los tribunales de paz, de instrucción y de sentencia en los años 2004 a 2006 se presentan en los cuadros siguientes:</w:t>
      </w:r>
    </w:p>
    <w:p w:rsidR="00CD2A5A" w:rsidRDefault="00CD2A5A" w:rsidP="00CD2A5A">
      <w:pPr>
        <w:pStyle w:val="Figure"/>
      </w:pPr>
      <w:r>
        <w:t xml:space="preserve">Datos estadísticos de causas con menores victimas por delitos relativos a explotación sexual </w:t>
      </w:r>
      <w:r>
        <w:br/>
        <w:t xml:space="preserve">y abusos sexuales en los 24 juzgados de paz que disponen </w:t>
      </w:r>
      <w:r>
        <w:br/>
        <w:t>de sistema de seguimiento de expedientes</w:t>
      </w:r>
    </w:p>
    <w:tbl>
      <w:tblPr>
        <w:tblW w:w="9412" w:type="dxa"/>
        <w:jc w:val="center"/>
        <w:tblInd w:w="5" w:type="dxa"/>
        <w:tblLayout w:type="fixed"/>
        <w:tblCellMar>
          <w:left w:w="0" w:type="dxa"/>
          <w:right w:w="0" w:type="dxa"/>
        </w:tblCellMar>
        <w:tblLook w:val="0000" w:firstRow="0" w:lastRow="0" w:firstColumn="0" w:lastColumn="0" w:noHBand="0" w:noVBand="0"/>
      </w:tblPr>
      <w:tblGrid>
        <w:gridCol w:w="6096"/>
        <w:gridCol w:w="775"/>
        <w:gridCol w:w="847"/>
        <w:gridCol w:w="847"/>
        <w:gridCol w:w="847"/>
      </w:tblGrid>
      <w:tr w:rsidR="00CD2A5A">
        <w:trPr>
          <w:trHeight w:val="365"/>
          <w:jc w:val="center"/>
        </w:trPr>
        <w:tc>
          <w:tcPr>
            <w:tcW w:w="6096" w:type="dxa"/>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Delito</w:t>
            </w:r>
          </w:p>
        </w:tc>
        <w:tc>
          <w:tcPr>
            <w:tcW w:w="775" w:type="dxa"/>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Totales</w:t>
            </w:r>
          </w:p>
        </w:tc>
        <w:tc>
          <w:tcPr>
            <w:tcW w:w="847" w:type="dxa"/>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2004</w:t>
            </w:r>
          </w:p>
        </w:tc>
        <w:tc>
          <w:tcPr>
            <w:tcW w:w="847" w:type="dxa"/>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2005</w:t>
            </w:r>
          </w:p>
        </w:tc>
        <w:tc>
          <w:tcPr>
            <w:tcW w:w="847" w:type="dxa"/>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2006</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bCs/>
                <w:sz w:val="20"/>
                <w:szCs w:val="20"/>
                <w:lang w:val="es-SV"/>
              </w:rPr>
            </w:pPr>
            <w:r>
              <w:rPr>
                <w:bCs/>
                <w:sz w:val="20"/>
                <w:szCs w:val="20"/>
                <w:lang w:val="es-SV"/>
              </w:rPr>
              <w:t>Totales</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735</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232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218</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285</w:t>
            </w:r>
          </w:p>
        </w:tc>
      </w:tr>
      <w:tr w:rsidR="00CD2A5A">
        <w:trPr>
          <w:trHeight w:val="54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Promedio de los 24 juzgados con sistemas de Seguimiento de expedientes</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31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10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9</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bCs/>
                <w:sz w:val="20"/>
                <w:szCs w:val="20"/>
                <w:lang w:val="es-SV"/>
              </w:rPr>
            </w:pPr>
            <w:r>
              <w:rPr>
                <w:bCs/>
                <w:sz w:val="20"/>
                <w:szCs w:val="20"/>
                <w:lang w:val="es-SV"/>
              </w:rPr>
              <w:t>12</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pStyle w:val="FootnoteText"/>
              <w:spacing w:before="40" w:after="40" w:line="240" w:lineRule="auto"/>
              <w:rPr>
                <w:rFonts w:eastAsia="Arial Unicode MS"/>
                <w:sz w:val="20"/>
                <w:lang w:val="es-SV"/>
              </w:rPr>
            </w:pPr>
            <w:r>
              <w:rPr>
                <w:sz w:val="20"/>
                <w:lang w:val="es-SV"/>
              </w:rPr>
              <w:t>Acoso Sexual</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131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57</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33</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41</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Agresión Sexual en Menor e Incapaz</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118</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34</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40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44</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Agresión Sexual en Menor e Incapaz Agravada</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35</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7</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12</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Corrupción de Menores e Incapaces</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8</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Determinación a la Prostitución</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4</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Estupro</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70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13</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21</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Estupro por Prevalimiento</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17</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5</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10</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Inducción, Promoción y Favorecimiento de Actos Sexuales o Eróticos</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8</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Inducción, Promoción y Favorecimiento de la Prostitución</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7</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Pornografía</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4</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4</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Posesión de Pornografía</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Remuneración por Actos Sexuales o Eróticos</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Utilización de Menores con Fines Pornográficos y Exhibicionistas</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 xml:space="preserve"> - </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5</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11</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7</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 Agravada</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17</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6</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9</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 en Menor o Incapaz</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170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62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88</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 en Menor o Incapaz Agravada</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7</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13</w:t>
            </w:r>
          </w:p>
        </w:tc>
      </w:tr>
      <w:tr w:rsidR="00CD2A5A">
        <w:trPr>
          <w:trHeight w:val="70"/>
          <w:jc w:val="center"/>
        </w:trPr>
        <w:tc>
          <w:tcPr>
            <w:tcW w:w="6096" w:type="dxa"/>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 y Agresión Sexual Agravada</w:t>
            </w:r>
          </w:p>
        </w:tc>
        <w:tc>
          <w:tcPr>
            <w:tcW w:w="775"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70</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25</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12</w:t>
            </w:r>
          </w:p>
        </w:tc>
        <w:tc>
          <w:tcPr>
            <w:tcW w:w="847" w:type="dxa"/>
            <w:tcBorders>
              <w:top w:val="nil"/>
              <w:left w:val="nil"/>
              <w:bottom w:val="single" w:sz="4" w:space="0" w:color="auto"/>
              <w:right w:val="single" w:sz="4" w:space="0" w:color="auto"/>
            </w:tcBorders>
            <w:vAlign w:val="center"/>
          </w:tcPr>
          <w:p w:rsidR="00CD2A5A" w:rsidRDefault="00CD2A5A">
            <w:pPr>
              <w:spacing w:before="40" w:after="40"/>
              <w:ind w:right="113"/>
              <w:jc w:val="right"/>
              <w:rPr>
                <w:rFonts w:eastAsia="Arial Unicode MS"/>
                <w:sz w:val="20"/>
                <w:szCs w:val="20"/>
                <w:lang w:val="es-SV"/>
              </w:rPr>
            </w:pPr>
            <w:r>
              <w:rPr>
                <w:sz w:val="20"/>
                <w:szCs w:val="20"/>
                <w:lang w:val="es-SV"/>
              </w:rPr>
              <w:t>33</w:t>
            </w:r>
          </w:p>
        </w:tc>
      </w:tr>
    </w:tbl>
    <w:p w:rsidR="00CD2A5A" w:rsidRDefault="00CD2A5A">
      <w:pPr>
        <w:spacing w:after="240"/>
        <w:rPr>
          <w:lang w:val="es-SV"/>
        </w:rPr>
      </w:pPr>
    </w:p>
    <w:p w:rsidR="00CD2A5A" w:rsidRDefault="00CD2A5A" w:rsidP="00CD2A5A">
      <w:pPr>
        <w:pStyle w:val="Figure"/>
      </w:pPr>
      <w:r>
        <w:rPr>
          <w:lang w:val="es-SV"/>
        </w:rPr>
        <w:br w:type="page"/>
        <w:t>Da</w:t>
      </w:r>
      <w:r>
        <w:t xml:space="preserve">tos estadísticos de causas con menores victimas en delitos relativos a explotación sexual </w:t>
      </w:r>
      <w:r>
        <w:br/>
        <w:t xml:space="preserve">y abusos sexuales por tipo de resoluciónen los 24 juzgados de paz que disponen </w:t>
      </w:r>
      <w:r>
        <w:br/>
        <w:t>de sistema de seguimiento de expedientes</w:t>
      </w:r>
    </w:p>
    <w:tbl>
      <w:tblPr>
        <w:tblW w:w="4995" w:type="pct"/>
        <w:tblInd w:w="5" w:type="dxa"/>
        <w:tblCellMar>
          <w:left w:w="0" w:type="dxa"/>
          <w:right w:w="0" w:type="dxa"/>
        </w:tblCellMar>
        <w:tblLook w:val="0000" w:firstRow="0" w:lastRow="0" w:firstColumn="0" w:lastColumn="0" w:noHBand="0" w:noVBand="0"/>
      </w:tblPr>
      <w:tblGrid>
        <w:gridCol w:w="6099"/>
        <w:gridCol w:w="776"/>
        <w:gridCol w:w="853"/>
        <w:gridCol w:w="853"/>
        <w:gridCol w:w="832"/>
      </w:tblGrid>
      <w:tr w:rsidR="00CD2A5A">
        <w:trPr>
          <w:trHeight w:val="645"/>
        </w:trPr>
        <w:tc>
          <w:tcPr>
            <w:tcW w:w="3240" w:type="pc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Resolución</w:t>
            </w:r>
          </w:p>
        </w:tc>
        <w:tc>
          <w:tcPr>
            <w:tcW w:w="41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Totales</w:t>
            </w:r>
          </w:p>
        </w:tc>
        <w:tc>
          <w:tcPr>
            <w:tcW w:w="453"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2004</w:t>
            </w:r>
          </w:p>
        </w:tc>
        <w:tc>
          <w:tcPr>
            <w:tcW w:w="453"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2005</w:t>
            </w:r>
          </w:p>
        </w:tc>
        <w:tc>
          <w:tcPr>
            <w:tcW w:w="44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2006</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bCs/>
                <w:sz w:val="20"/>
                <w:szCs w:val="20"/>
                <w:lang w:val="es-SV"/>
              </w:rPr>
            </w:pPr>
            <w:r>
              <w:rPr>
                <w:bCs/>
                <w:sz w:val="20"/>
                <w:szCs w:val="20"/>
                <w:lang w:val="es-SV"/>
              </w:rPr>
              <w:t>TOTALES</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732</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231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217</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284</w:t>
            </w:r>
          </w:p>
        </w:tc>
      </w:tr>
      <w:tr w:rsidR="00CD2A5A">
        <w:trPr>
          <w:trHeight w:val="186"/>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PROMEDIO DE LOS 24 JUZGADOS CON SISTEMAS DE SEGUIMIENTO DE EXPEDIENTES</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31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10</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9</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12</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pStyle w:val="FootnoteText"/>
              <w:spacing w:before="40" w:after="40" w:line="240" w:lineRule="auto"/>
              <w:rPr>
                <w:rFonts w:eastAsia="Arial Unicode MS"/>
                <w:sz w:val="20"/>
                <w:lang w:val="es-SV"/>
              </w:rPr>
            </w:pPr>
            <w:r>
              <w:rPr>
                <w:sz w:val="20"/>
                <w:lang w:val="es-SV"/>
              </w:rPr>
              <w:t>ARCHIVAR EL PROCESO</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AUTORIZA CONCILIACIÓN</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DECLARATORIA DE FALTA</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DECRETA DESESTIMACIÓN</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8</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EXTINCIÓN DE LA ACCIÓN PENAL</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NULIDAD ABSOLUTA</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trHeight w:val="81"/>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ORDENA INSTRUCCIÓN CON DETENCIÓN PROVISIONAL</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280</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81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92</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107</w:t>
            </w:r>
          </w:p>
        </w:tc>
      </w:tr>
      <w:tr w:rsidR="00CD2A5A">
        <w:trPr>
          <w:trHeight w:val="203"/>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ORDENA INSTRUCCIÓN CON MEDIDA CAUTELAR SUSTITUTIVA</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56</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20</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19</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17</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ORDENA INSTRUCCIÓN SIN DETENCIÓN PROVISIONAL</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15</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18</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18</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PERDÓN JUDICIAL</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SENTENCIA CONDENATORIA EN PROCEDIMIENTO ABREVIADO</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9</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SOBRESEIMIENTO DEFINITIVO</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85</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26</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19</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40</w:t>
            </w:r>
          </w:p>
        </w:tc>
      </w:tr>
      <w:tr w:rsidR="00CD2A5A">
        <w:trPr>
          <w:trHeight w:val="107"/>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SOBRESEIMIENTO PROVISIONAL</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228</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73</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61</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94</w:t>
            </w:r>
          </w:p>
        </w:tc>
      </w:tr>
      <w:tr w:rsidR="00CD2A5A">
        <w:trPr>
          <w:trHeight w:val="70"/>
        </w:trPr>
        <w:tc>
          <w:tcPr>
            <w:tcW w:w="3240"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SUSPENSIÓN CONDICIONAL DEL PROCEDIMIENTO</w:t>
            </w:r>
          </w:p>
        </w:tc>
        <w:tc>
          <w:tcPr>
            <w:tcW w:w="41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c>
          <w:tcPr>
            <w:tcW w:w="45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42" w:type="pct"/>
            <w:tcBorders>
              <w:top w:val="nil"/>
              <w:left w:val="nil"/>
              <w:bottom w:val="single" w:sz="4" w:space="0" w:color="auto"/>
              <w:right w:val="single" w:sz="4" w:space="0" w:color="auto"/>
            </w:tcBorders>
            <w:vAlign w:val="center"/>
          </w:tcPr>
          <w:p w:rsidR="00CD2A5A" w:rsidRDefault="00CD2A5A">
            <w:pPr>
              <w:spacing w:before="40" w:after="40"/>
              <w:ind w:right="170"/>
              <w:jc w:val="center"/>
              <w:rPr>
                <w:rFonts w:eastAsia="Arial Unicode MS"/>
                <w:sz w:val="20"/>
                <w:szCs w:val="20"/>
                <w:lang w:val="es-SV"/>
              </w:rPr>
            </w:pPr>
            <w:r>
              <w:rPr>
                <w:sz w:val="20"/>
                <w:szCs w:val="20"/>
                <w:lang w:val="es-SV"/>
              </w:rPr>
              <w:t>-</w:t>
            </w:r>
          </w:p>
        </w:tc>
      </w:tr>
    </w:tbl>
    <w:p w:rsidR="00CD2A5A" w:rsidRDefault="00CD2A5A">
      <w:pPr>
        <w:spacing w:after="240"/>
        <w:rPr>
          <w:lang w:val="es-SV"/>
        </w:rPr>
      </w:pPr>
    </w:p>
    <w:p w:rsidR="00CD2A5A" w:rsidRDefault="00CD2A5A" w:rsidP="00CD2A5A">
      <w:pPr>
        <w:pStyle w:val="Figure"/>
      </w:pPr>
      <w:r>
        <w:br w:type="page"/>
        <w:t xml:space="preserve">Datos estadísticos de causas con menores victimas por delitos relativos a explotación sexual </w:t>
      </w:r>
      <w:r>
        <w:br/>
        <w:t xml:space="preserve">y abusos sexuales en los 30 juzgados de instrucción que disponen </w:t>
      </w:r>
      <w:r>
        <w:br/>
        <w:t>de sistema de seguimiento de expedientes</w:t>
      </w:r>
    </w:p>
    <w:tbl>
      <w:tblPr>
        <w:tblW w:w="9412" w:type="dxa"/>
        <w:jc w:val="center"/>
        <w:tblInd w:w="5" w:type="dxa"/>
        <w:tblCellMar>
          <w:left w:w="0" w:type="dxa"/>
          <w:right w:w="0" w:type="dxa"/>
        </w:tblCellMar>
        <w:tblLook w:val="0000" w:firstRow="0" w:lastRow="0" w:firstColumn="0" w:lastColumn="0" w:noHBand="0" w:noVBand="0"/>
      </w:tblPr>
      <w:tblGrid>
        <w:gridCol w:w="5900"/>
        <w:gridCol w:w="900"/>
        <w:gridCol w:w="872"/>
        <w:gridCol w:w="872"/>
        <w:gridCol w:w="868"/>
      </w:tblGrid>
      <w:tr w:rsidR="00CD2A5A">
        <w:trPr>
          <w:jc w:val="center"/>
        </w:trPr>
        <w:tc>
          <w:tcPr>
            <w:tcW w:w="3135" w:type="pct"/>
            <w:tcBorders>
              <w:top w:val="single" w:sz="4" w:space="0" w:color="auto"/>
              <w:left w:val="single" w:sz="4" w:space="0" w:color="auto"/>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Delito</w:t>
            </w:r>
          </w:p>
        </w:tc>
        <w:tc>
          <w:tcPr>
            <w:tcW w:w="478"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Totales</w:t>
            </w:r>
          </w:p>
        </w:tc>
        <w:tc>
          <w:tcPr>
            <w:tcW w:w="463"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2004</w:t>
            </w:r>
          </w:p>
        </w:tc>
        <w:tc>
          <w:tcPr>
            <w:tcW w:w="463"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2005</w:t>
            </w:r>
          </w:p>
        </w:tc>
        <w:tc>
          <w:tcPr>
            <w:tcW w:w="462" w:type="pct"/>
            <w:tcBorders>
              <w:top w:val="single" w:sz="4" w:space="0" w:color="auto"/>
              <w:left w:val="nil"/>
              <w:bottom w:val="single" w:sz="4" w:space="0" w:color="auto"/>
              <w:right w:val="single" w:sz="4" w:space="0" w:color="auto"/>
            </w:tcBorders>
            <w:vAlign w:val="center"/>
          </w:tcPr>
          <w:p w:rsidR="00CD2A5A" w:rsidRDefault="00CD2A5A">
            <w:pPr>
              <w:spacing w:before="40" w:after="40"/>
              <w:jc w:val="center"/>
              <w:rPr>
                <w:rFonts w:eastAsia="Arial Unicode MS"/>
                <w:b/>
                <w:i/>
                <w:sz w:val="20"/>
                <w:szCs w:val="20"/>
                <w:lang w:val="es-SV"/>
              </w:rPr>
            </w:pPr>
            <w:r>
              <w:rPr>
                <w:b/>
                <w:i/>
                <w:sz w:val="20"/>
                <w:szCs w:val="20"/>
                <w:lang w:val="es-SV"/>
              </w:rPr>
              <w:t>Año 2006</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bCs/>
                <w:sz w:val="20"/>
                <w:szCs w:val="20"/>
                <w:lang w:val="es-SV"/>
              </w:rPr>
            </w:pPr>
            <w:r>
              <w:rPr>
                <w:bCs/>
                <w:sz w:val="20"/>
                <w:szCs w:val="20"/>
                <w:lang w:val="es-SV"/>
              </w:rPr>
              <w:t>Totales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1184</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382</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366</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436</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sz w:val="20"/>
                <w:szCs w:val="20"/>
                <w:lang w:val="es-SV"/>
              </w:rPr>
            </w:pPr>
            <w:r>
              <w:rPr>
                <w:sz w:val="20"/>
                <w:szCs w:val="20"/>
                <w:lang w:val="es-SV"/>
              </w:rPr>
              <w:t xml:space="preserve">Promedio de los 24 juzgados con sistemas </w:t>
            </w:r>
            <w:r>
              <w:rPr>
                <w:sz w:val="20"/>
                <w:szCs w:val="20"/>
                <w:lang w:val="es-SV"/>
              </w:rPr>
              <w:br/>
              <w:t>de seguimiento de expedientes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39</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13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12</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bCs/>
                <w:sz w:val="20"/>
                <w:szCs w:val="20"/>
                <w:lang w:val="es-SV"/>
              </w:rPr>
            </w:pPr>
            <w:r>
              <w:rPr>
                <w:bCs/>
                <w:sz w:val="20"/>
                <w:szCs w:val="20"/>
                <w:lang w:val="es-SV"/>
              </w:rPr>
              <w:t>15</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Acoso Sexual</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162</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48</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51</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Agresión Sexual en Menor e Incapaz</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334</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117</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112</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105</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Agresión Sexual en Menor e Incapaz Agravada</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123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36</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44</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Corrupción de Menores e Incapaces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Estupro</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29</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15</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7</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7</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Estupro por Prevalimiento</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28</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19</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Inducción, Promoción y Favorecimiento de Actos Sexuales o Eróticos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Inducción, Promoción y Favorecimiento de la Prostitución</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16</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8</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Inducción, Promoción, Favorecimiento de Actos Sexuales o Eróticos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Pornografía</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Remuneración por Actos Sexuales o Eróticos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Remuneración por Actos Sexuales o Eróticos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Utilización de Menores con Fines Pornográficos y Exhibicionistas</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 xml:space="preserve"> - </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5</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 en Menor o Incapaz</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272</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60</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94</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118</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spacing w:before="40" w:after="40"/>
              <w:rPr>
                <w:rFonts w:eastAsia="Arial Unicode MS"/>
                <w:sz w:val="20"/>
                <w:szCs w:val="20"/>
                <w:lang w:val="es-SV"/>
              </w:rPr>
            </w:pPr>
            <w:r>
              <w:rPr>
                <w:sz w:val="20"/>
                <w:szCs w:val="20"/>
                <w:lang w:val="es-SV"/>
              </w:rPr>
              <w:t>Violación en Menor o Incapaz Agravada</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125</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41</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35</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49</w:t>
            </w:r>
          </w:p>
        </w:tc>
      </w:tr>
      <w:tr w:rsidR="00CD2A5A">
        <w:trPr>
          <w:jc w:val="center"/>
        </w:trPr>
        <w:tc>
          <w:tcPr>
            <w:tcW w:w="3135" w:type="pct"/>
            <w:tcBorders>
              <w:top w:val="nil"/>
              <w:left w:val="single" w:sz="4" w:space="0" w:color="auto"/>
              <w:bottom w:val="single" w:sz="4" w:space="0" w:color="auto"/>
              <w:right w:val="single" w:sz="4" w:space="0" w:color="auto"/>
            </w:tcBorders>
            <w:vAlign w:val="center"/>
          </w:tcPr>
          <w:p w:rsidR="00CD2A5A" w:rsidRDefault="00CD2A5A">
            <w:pPr>
              <w:pStyle w:val="FootnoteText"/>
              <w:spacing w:before="40" w:after="40" w:line="240" w:lineRule="auto"/>
              <w:rPr>
                <w:rFonts w:eastAsia="Arial Unicode MS"/>
                <w:sz w:val="20"/>
                <w:lang w:val="es-SV"/>
              </w:rPr>
            </w:pPr>
            <w:r>
              <w:rPr>
                <w:sz w:val="20"/>
                <w:lang w:val="es-SV"/>
              </w:rPr>
              <w:t>Violación y Agresión Sexual Agravada</w:t>
            </w:r>
          </w:p>
        </w:tc>
        <w:tc>
          <w:tcPr>
            <w:tcW w:w="478"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69</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29</w:t>
            </w:r>
          </w:p>
        </w:tc>
        <w:tc>
          <w:tcPr>
            <w:tcW w:w="463"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19</w:t>
            </w:r>
          </w:p>
        </w:tc>
        <w:tc>
          <w:tcPr>
            <w:tcW w:w="462" w:type="pct"/>
            <w:tcBorders>
              <w:top w:val="nil"/>
              <w:left w:val="nil"/>
              <w:bottom w:val="single" w:sz="4" w:space="0" w:color="auto"/>
              <w:right w:val="single" w:sz="4" w:space="0" w:color="auto"/>
            </w:tcBorders>
            <w:vAlign w:val="center"/>
          </w:tcPr>
          <w:p w:rsidR="00CD2A5A" w:rsidRDefault="00CD2A5A">
            <w:pPr>
              <w:spacing w:before="40" w:after="40"/>
              <w:ind w:right="170"/>
              <w:jc w:val="right"/>
              <w:rPr>
                <w:rFonts w:eastAsia="Arial Unicode MS"/>
                <w:sz w:val="20"/>
                <w:szCs w:val="20"/>
                <w:lang w:val="es-SV"/>
              </w:rPr>
            </w:pPr>
            <w:r>
              <w:rPr>
                <w:sz w:val="20"/>
                <w:szCs w:val="20"/>
                <w:lang w:val="es-SV"/>
              </w:rPr>
              <w:t>21</w:t>
            </w:r>
          </w:p>
        </w:tc>
      </w:tr>
    </w:tbl>
    <w:p w:rsidR="00CD2A5A" w:rsidRDefault="00CD2A5A">
      <w:pPr>
        <w:spacing w:after="240"/>
        <w:rPr>
          <w:lang w:val="es-SV"/>
        </w:rPr>
      </w:pPr>
    </w:p>
    <w:p w:rsidR="00CD2A5A" w:rsidRDefault="00CD2A5A" w:rsidP="00CD2A5A">
      <w:pPr>
        <w:pStyle w:val="Figure"/>
        <w:rPr>
          <w:lang w:val="es-SV"/>
        </w:rPr>
      </w:pPr>
      <w:r>
        <w:br w:type="page"/>
        <w:t xml:space="preserve">Datos estadisticos de causas con menores victimas por delitos relativos a explotación sexual </w:t>
      </w:r>
      <w:r>
        <w:br/>
        <w:t xml:space="preserve">y abusos sexuales en los 8 tribunales de sentencia que disponen </w:t>
      </w:r>
      <w:r>
        <w:br/>
        <w:t>de sistema de seguimiento de expedientes</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409"/>
        <w:gridCol w:w="1342"/>
        <w:gridCol w:w="1161"/>
        <w:gridCol w:w="1139"/>
        <w:gridCol w:w="1361"/>
      </w:tblGrid>
      <w:tr w:rsidR="00CD2A5A">
        <w:trPr>
          <w:trHeight w:val="645"/>
          <w:jc w:val="center"/>
        </w:trPr>
        <w:tc>
          <w:tcPr>
            <w:tcW w:w="2342" w:type="pct"/>
            <w:vAlign w:val="center"/>
          </w:tcPr>
          <w:p w:rsidR="00CD2A5A" w:rsidRDefault="00CD2A5A">
            <w:pPr>
              <w:spacing w:before="40" w:after="40"/>
              <w:jc w:val="center"/>
              <w:rPr>
                <w:rFonts w:eastAsia="Arial Unicode MS"/>
                <w:b/>
                <w:i/>
                <w:sz w:val="20"/>
                <w:szCs w:val="20"/>
                <w:lang w:val="es-SV"/>
              </w:rPr>
            </w:pPr>
            <w:r>
              <w:rPr>
                <w:b/>
                <w:i/>
                <w:sz w:val="20"/>
                <w:szCs w:val="20"/>
                <w:lang w:val="es-SV"/>
              </w:rPr>
              <w:t>Delito</w:t>
            </w:r>
          </w:p>
        </w:tc>
        <w:tc>
          <w:tcPr>
            <w:tcW w:w="713" w:type="pct"/>
            <w:vAlign w:val="center"/>
          </w:tcPr>
          <w:p w:rsidR="00CD2A5A" w:rsidRDefault="00CD2A5A">
            <w:pPr>
              <w:spacing w:before="40" w:after="40"/>
              <w:jc w:val="center"/>
              <w:rPr>
                <w:rFonts w:eastAsia="Arial Unicode MS"/>
                <w:b/>
                <w:i/>
                <w:sz w:val="20"/>
                <w:szCs w:val="20"/>
                <w:lang w:val="es-SV"/>
              </w:rPr>
            </w:pPr>
            <w:r>
              <w:rPr>
                <w:b/>
                <w:i/>
                <w:sz w:val="20"/>
                <w:szCs w:val="20"/>
                <w:lang w:val="es-SV"/>
              </w:rPr>
              <w:t>Totales</w:t>
            </w:r>
          </w:p>
        </w:tc>
        <w:tc>
          <w:tcPr>
            <w:tcW w:w="617" w:type="pct"/>
            <w:vAlign w:val="center"/>
          </w:tcPr>
          <w:p w:rsidR="00CD2A5A" w:rsidRDefault="00CD2A5A">
            <w:pPr>
              <w:spacing w:before="40" w:after="40"/>
              <w:jc w:val="center"/>
              <w:rPr>
                <w:rFonts w:eastAsia="Arial Unicode MS"/>
                <w:b/>
                <w:i/>
                <w:sz w:val="20"/>
                <w:szCs w:val="20"/>
                <w:lang w:val="es-SV"/>
              </w:rPr>
            </w:pPr>
            <w:r>
              <w:rPr>
                <w:b/>
                <w:i/>
                <w:sz w:val="20"/>
                <w:szCs w:val="20"/>
                <w:lang w:val="es-SV"/>
              </w:rPr>
              <w:t>Año 2004</w:t>
            </w:r>
          </w:p>
        </w:tc>
        <w:tc>
          <w:tcPr>
            <w:tcW w:w="605" w:type="pct"/>
            <w:vAlign w:val="center"/>
          </w:tcPr>
          <w:p w:rsidR="00CD2A5A" w:rsidRDefault="00CD2A5A">
            <w:pPr>
              <w:spacing w:before="40" w:after="40"/>
              <w:jc w:val="center"/>
              <w:rPr>
                <w:rFonts w:eastAsia="Arial Unicode MS"/>
                <w:b/>
                <w:i/>
                <w:sz w:val="20"/>
                <w:szCs w:val="20"/>
                <w:lang w:val="es-SV"/>
              </w:rPr>
            </w:pPr>
            <w:r>
              <w:rPr>
                <w:b/>
                <w:i/>
                <w:sz w:val="20"/>
                <w:szCs w:val="20"/>
                <w:lang w:val="es-SV"/>
              </w:rPr>
              <w:t>Año 2005</w:t>
            </w:r>
          </w:p>
        </w:tc>
        <w:tc>
          <w:tcPr>
            <w:tcW w:w="723" w:type="pct"/>
            <w:vAlign w:val="center"/>
          </w:tcPr>
          <w:p w:rsidR="00CD2A5A" w:rsidRDefault="00CD2A5A">
            <w:pPr>
              <w:spacing w:before="40" w:after="40"/>
              <w:jc w:val="center"/>
              <w:rPr>
                <w:rFonts w:eastAsia="Arial Unicode MS"/>
                <w:b/>
                <w:i/>
                <w:sz w:val="20"/>
                <w:szCs w:val="20"/>
                <w:lang w:val="es-SV"/>
              </w:rPr>
            </w:pPr>
            <w:r>
              <w:rPr>
                <w:b/>
                <w:i/>
                <w:sz w:val="20"/>
                <w:szCs w:val="20"/>
                <w:lang w:val="es-SV"/>
              </w:rPr>
              <w:t>Año 2006</w:t>
            </w:r>
          </w:p>
        </w:tc>
      </w:tr>
      <w:tr w:rsidR="00CD2A5A">
        <w:trPr>
          <w:trHeight w:val="540"/>
          <w:jc w:val="center"/>
        </w:trPr>
        <w:tc>
          <w:tcPr>
            <w:tcW w:w="2342" w:type="pct"/>
            <w:vAlign w:val="center"/>
          </w:tcPr>
          <w:p w:rsidR="00CD2A5A" w:rsidRDefault="00CD2A5A">
            <w:pPr>
              <w:spacing w:before="40" w:after="40"/>
              <w:rPr>
                <w:rFonts w:eastAsia="Arial Unicode MS"/>
                <w:bCs/>
                <w:sz w:val="20"/>
                <w:szCs w:val="20"/>
                <w:lang w:val="es-SV"/>
              </w:rPr>
            </w:pPr>
            <w:r>
              <w:rPr>
                <w:bCs/>
                <w:sz w:val="20"/>
                <w:szCs w:val="20"/>
                <w:lang w:val="es-SV"/>
              </w:rPr>
              <w:t>Totales</w:t>
            </w:r>
          </w:p>
        </w:tc>
        <w:tc>
          <w:tcPr>
            <w:tcW w:w="713"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442</w:t>
            </w:r>
          </w:p>
        </w:tc>
        <w:tc>
          <w:tcPr>
            <w:tcW w:w="617"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11</w:t>
            </w:r>
          </w:p>
        </w:tc>
        <w:tc>
          <w:tcPr>
            <w:tcW w:w="605"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84</w:t>
            </w:r>
          </w:p>
        </w:tc>
        <w:tc>
          <w:tcPr>
            <w:tcW w:w="723"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347</w:t>
            </w:r>
          </w:p>
        </w:tc>
      </w:tr>
      <w:tr w:rsidR="00CD2A5A">
        <w:trPr>
          <w:trHeight w:val="540"/>
          <w:jc w:val="center"/>
        </w:trPr>
        <w:tc>
          <w:tcPr>
            <w:tcW w:w="2342" w:type="pct"/>
            <w:vAlign w:val="center"/>
          </w:tcPr>
          <w:p w:rsidR="00CD2A5A" w:rsidRDefault="00CD2A5A">
            <w:pPr>
              <w:spacing w:before="40" w:after="40"/>
              <w:rPr>
                <w:sz w:val="20"/>
                <w:szCs w:val="20"/>
                <w:lang w:val="es-SV"/>
              </w:rPr>
            </w:pPr>
            <w:r>
              <w:rPr>
                <w:sz w:val="20"/>
                <w:szCs w:val="20"/>
                <w:lang w:val="es-SV"/>
              </w:rPr>
              <w:t>Promedio de los 24 juzgados con sistemas de seguimiento de expedientes</w:t>
            </w:r>
          </w:p>
        </w:tc>
        <w:tc>
          <w:tcPr>
            <w:tcW w:w="713"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15</w:t>
            </w:r>
          </w:p>
        </w:tc>
        <w:tc>
          <w:tcPr>
            <w:tcW w:w="617"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0</w:t>
            </w:r>
          </w:p>
        </w:tc>
        <w:tc>
          <w:tcPr>
            <w:tcW w:w="605"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3</w:t>
            </w:r>
          </w:p>
        </w:tc>
        <w:tc>
          <w:tcPr>
            <w:tcW w:w="723" w:type="pct"/>
            <w:vAlign w:val="center"/>
          </w:tcPr>
          <w:p w:rsidR="00CD2A5A" w:rsidRDefault="00CD2A5A">
            <w:pPr>
              <w:spacing w:before="40" w:after="40"/>
              <w:ind w:right="496"/>
              <w:jc w:val="right"/>
              <w:rPr>
                <w:rFonts w:eastAsia="Arial Unicode MS"/>
                <w:bCs/>
                <w:sz w:val="20"/>
                <w:szCs w:val="20"/>
                <w:lang w:val="es-SV"/>
              </w:rPr>
            </w:pPr>
            <w:r>
              <w:rPr>
                <w:bCs/>
                <w:sz w:val="20"/>
                <w:szCs w:val="20"/>
                <w:lang w:val="es-SV"/>
              </w:rPr>
              <w:t>12</w:t>
            </w:r>
          </w:p>
        </w:tc>
      </w:tr>
      <w:tr w:rsidR="00CD2A5A">
        <w:trPr>
          <w:trHeight w:val="70"/>
          <w:jc w:val="center"/>
        </w:trPr>
        <w:tc>
          <w:tcPr>
            <w:tcW w:w="2342" w:type="pct"/>
            <w:vAlign w:val="center"/>
          </w:tcPr>
          <w:p w:rsidR="00CD2A5A" w:rsidRDefault="00CD2A5A">
            <w:pPr>
              <w:pStyle w:val="FootnoteText"/>
              <w:spacing w:before="40" w:after="40" w:line="240" w:lineRule="auto"/>
              <w:rPr>
                <w:rFonts w:eastAsia="Arial Unicode MS"/>
                <w:sz w:val="20"/>
                <w:lang w:val="es-SV"/>
              </w:rPr>
            </w:pPr>
            <w:r>
              <w:rPr>
                <w:sz w:val="20"/>
                <w:lang w:val="es-SV"/>
              </w:rPr>
              <w:t>Acoso Sexual</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37</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7</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29</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Agresión Sexual en Menor e Incapaz</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102</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15</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86</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Agresión Sexual en Menor e Incapaz Agravada</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34</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7</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27</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Corrupción de Menores e Incapaces</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Determinación a la Prostitución</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Estupro</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Estupro por Prevalimiento</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Exhibiciones Obscenas</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Oferta y Demanda de Prostitución Ajena</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Otras Agresiones Sexuales</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6</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5</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Otras Agresiones Sexuales Agravada</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8</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6</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Violación</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14</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3</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11</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Violación Agravada</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23</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20</w:t>
            </w:r>
          </w:p>
        </w:tc>
      </w:tr>
      <w:tr w:rsidR="00CD2A5A">
        <w:trPr>
          <w:trHeight w:val="117"/>
          <w:jc w:val="center"/>
        </w:trPr>
        <w:tc>
          <w:tcPr>
            <w:tcW w:w="2342" w:type="pct"/>
            <w:vAlign w:val="center"/>
          </w:tcPr>
          <w:p w:rsidR="00CD2A5A" w:rsidRDefault="00CD2A5A">
            <w:pPr>
              <w:pStyle w:val="FootnoteText"/>
              <w:spacing w:before="40" w:after="40" w:line="240" w:lineRule="auto"/>
              <w:rPr>
                <w:rFonts w:eastAsia="Arial Unicode MS"/>
                <w:sz w:val="20"/>
                <w:lang w:val="es-SV"/>
              </w:rPr>
            </w:pPr>
            <w:r>
              <w:rPr>
                <w:sz w:val="20"/>
                <w:lang w:val="es-SV"/>
              </w:rPr>
              <w:t>Violación en Menor o Incapaz Agravada</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52</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 xml:space="preserve"> - </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10</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42</w:t>
            </w:r>
          </w:p>
        </w:tc>
      </w:tr>
      <w:tr w:rsidR="00CD2A5A">
        <w:trPr>
          <w:trHeight w:val="70"/>
          <w:jc w:val="center"/>
        </w:trPr>
        <w:tc>
          <w:tcPr>
            <w:tcW w:w="2342" w:type="pct"/>
            <w:vAlign w:val="center"/>
          </w:tcPr>
          <w:p w:rsidR="00CD2A5A" w:rsidRDefault="00CD2A5A">
            <w:pPr>
              <w:spacing w:before="40" w:after="40"/>
              <w:rPr>
                <w:rFonts w:eastAsia="Arial Unicode MS"/>
                <w:sz w:val="20"/>
                <w:szCs w:val="20"/>
                <w:lang w:val="es-SV"/>
              </w:rPr>
            </w:pPr>
            <w:r>
              <w:rPr>
                <w:sz w:val="20"/>
                <w:szCs w:val="20"/>
                <w:lang w:val="es-SV"/>
              </w:rPr>
              <w:t>Violación y Agresión Sexual Agravada</w:t>
            </w:r>
          </w:p>
        </w:tc>
        <w:tc>
          <w:tcPr>
            <w:tcW w:w="71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46</w:t>
            </w:r>
          </w:p>
        </w:tc>
        <w:tc>
          <w:tcPr>
            <w:tcW w:w="617" w:type="pct"/>
            <w:vAlign w:val="center"/>
          </w:tcPr>
          <w:p w:rsidR="00CD2A5A" w:rsidRDefault="00CD2A5A">
            <w:pPr>
              <w:spacing w:before="40" w:after="40"/>
              <w:ind w:right="496"/>
              <w:jc w:val="right"/>
              <w:rPr>
                <w:rFonts w:eastAsia="Arial Unicode MS"/>
                <w:sz w:val="20"/>
                <w:szCs w:val="20"/>
                <w:lang w:val="es-SV"/>
              </w:rPr>
            </w:pPr>
            <w:r>
              <w:rPr>
                <w:sz w:val="20"/>
                <w:szCs w:val="20"/>
                <w:lang w:val="es-SV"/>
              </w:rPr>
              <w:t>4</w:t>
            </w:r>
          </w:p>
        </w:tc>
        <w:tc>
          <w:tcPr>
            <w:tcW w:w="605" w:type="pct"/>
            <w:vAlign w:val="center"/>
          </w:tcPr>
          <w:p w:rsidR="00CD2A5A" w:rsidRDefault="00CD2A5A">
            <w:pPr>
              <w:spacing w:before="40" w:after="40"/>
              <w:ind w:right="496"/>
              <w:jc w:val="right"/>
              <w:rPr>
                <w:rFonts w:eastAsia="Arial Unicode MS"/>
                <w:sz w:val="20"/>
                <w:szCs w:val="20"/>
                <w:lang w:val="es-SV"/>
              </w:rPr>
            </w:pPr>
            <w:r>
              <w:rPr>
                <w:sz w:val="20"/>
                <w:szCs w:val="20"/>
                <w:lang w:val="es-SV"/>
              </w:rPr>
              <w:t>14</w:t>
            </w:r>
          </w:p>
        </w:tc>
        <w:tc>
          <w:tcPr>
            <w:tcW w:w="723" w:type="pct"/>
            <w:vAlign w:val="center"/>
          </w:tcPr>
          <w:p w:rsidR="00CD2A5A" w:rsidRDefault="00CD2A5A">
            <w:pPr>
              <w:spacing w:before="40" w:after="40"/>
              <w:ind w:right="496"/>
              <w:jc w:val="right"/>
              <w:rPr>
                <w:rFonts w:eastAsia="Arial Unicode MS"/>
                <w:sz w:val="20"/>
                <w:szCs w:val="20"/>
                <w:lang w:val="es-SV"/>
              </w:rPr>
            </w:pPr>
            <w:r>
              <w:rPr>
                <w:sz w:val="20"/>
                <w:szCs w:val="20"/>
                <w:lang w:val="es-SV"/>
              </w:rPr>
              <w:t>28</w:t>
            </w:r>
          </w:p>
        </w:tc>
      </w:tr>
    </w:tbl>
    <w:p w:rsidR="00CD2A5A" w:rsidRDefault="00CD2A5A">
      <w:pPr>
        <w:spacing w:after="240"/>
        <w:rPr>
          <w:lang w:val="es-SV"/>
        </w:rPr>
      </w:pPr>
    </w:p>
    <w:p w:rsidR="00CD2A5A" w:rsidRDefault="00CD2A5A" w:rsidP="00CD2A5A">
      <w:pPr>
        <w:pStyle w:val="Figure"/>
      </w:pPr>
      <w:r>
        <w:br w:type="page"/>
        <w:t>Datos sobre delitos contra la libertad sexual, fiscalía General de la República, 2006</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6281"/>
        <w:gridCol w:w="1066"/>
        <w:gridCol w:w="1199"/>
        <w:gridCol w:w="866"/>
      </w:tblGrid>
      <w:tr w:rsidR="00CD2A5A">
        <w:trPr>
          <w:cantSplit/>
          <w:trHeight w:val="255"/>
          <w:jc w:val="center"/>
        </w:trPr>
        <w:tc>
          <w:tcPr>
            <w:tcW w:w="5655" w:type="dxa"/>
            <w:vMerge w:val="restart"/>
            <w:noWrap/>
            <w:tcMar>
              <w:top w:w="15" w:type="dxa"/>
              <w:left w:w="15" w:type="dxa"/>
              <w:bottom w:w="0" w:type="dxa"/>
              <w:right w:w="15" w:type="dxa"/>
            </w:tcMar>
            <w:vAlign w:val="center"/>
          </w:tcPr>
          <w:p w:rsidR="00CD2A5A" w:rsidRDefault="00CD2A5A">
            <w:pPr>
              <w:spacing w:before="40" w:after="40"/>
              <w:jc w:val="center"/>
              <w:rPr>
                <w:b/>
                <w:i/>
                <w:sz w:val="20"/>
                <w:szCs w:val="20"/>
              </w:rPr>
            </w:pPr>
            <w:r>
              <w:rPr>
                <w:b/>
                <w:i/>
                <w:sz w:val="20"/>
                <w:szCs w:val="20"/>
              </w:rPr>
              <w:t>Tipo de delito</w:t>
            </w:r>
          </w:p>
        </w:tc>
        <w:tc>
          <w:tcPr>
            <w:tcW w:w="2040" w:type="dxa"/>
            <w:gridSpan w:val="2"/>
            <w:noWrap/>
            <w:tcMar>
              <w:top w:w="15" w:type="dxa"/>
              <w:left w:w="15" w:type="dxa"/>
              <w:bottom w:w="0" w:type="dxa"/>
              <w:right w:w="15" w:type="dxa"/>
            </w:tcMar>
            <w:vAlign w:val="center"/>
          </w:tcPr>
          <w:p w:rsidR="00CD2A5A" w:rsidRDefault="00CD2A5A">
            <w:pPr>
              <w:spacing w:before="40" w:after="40"/>
              <w:jc w:val="center"/>
              <w:rPr>
                <w:b/>
                <w:i/>
                <w:sz w:val="20"/>
                <w:szCs w:val="20"/>
              </w:rPr>
            </w:pPr>
            <w:r>
              <w:rPr>
                <w:b/>
                <w:i/>
                <w:sz w:val="20"/>
                <w:szCs w:val="20"/>
              </w:rPr>
              <w:t>Edad de la víctima y número de casos</w:t>
            </w:r>
          </w:p>
        </w:tc>
        <w:tc>
          <w:tcPr>
            <w:tcW w:w="780" w:type="dxa"/>
            <w:vMerge w:val="restart"/>
            <w:noWrap/>
            <w:tcMar>
              <w:top w:w="15" w:type="dxa"/>
              <w:left w:w="15" w:type="dxa"/>
              <w:bottom w:w="0" w:type="dxa"/>
              <w:right w:w="15" w:type="dxa"/>
            </w:tcMar>
            <w:vAlign w:val="center"/>
          </w:tcPr>
          <w:p w:rsidR="00CD2A5A" w:rsidRDefault="00CD2A5A">
            <w:pPr>
              <w:spacing w:before="40" w:after="40"/>
              <w:jc w:val="center"/>
              <w:rPr>
                <w:b/>
                <w:i/>
                <w:sz w:val="20"/>
                <w:szCs w:val="20"/>
              </w:rPr>
            </w:pPr>
            <w:r>
              <w:rPr>
                <w:b/>
                <w:i/>
                <w:sz w:val="20"/>
                <w:szCs w:val="20"/>
              </w:rPr>
              <w:t>Total</w:t>
            </w:r>
          </w:p>
        </w:tc>
      </w:tr>
      <w:tr w:rsidR="00CD2A5A">
        <w:trPr>
          <w:cantSplit/>
          <w:trHeight w:val="255"/>
          <w:jc w:val="center"/>
        </w:trPr>
        <w:tc>
          <w:tcPr>
            <w:tcW w:w="5655" w:type="dxa"/>
            <w:vMerge/>
            <w:noWrap/>
            <w:tcMar>
              <w:top w:w="15" w:type="dxa"/>
              <w:left w:w="15" w:type="dxa"/>
              <w:bottom w:w="0" w:type="dxa"/>
              <w:right w:w="15" w:type="dxa"/>
            </w:tcMar>
            <w:vAlign w:val="center"/>
          </w:tcPr>
          <w:p w:rsidR="00CD2A5A" w:rsidRDefault="00CD2A5A">
            <w:pPr>
              <w:spacing w:before="40" w:after="40"/>
              <w:jc w:val="center"/>
              <w:rPr>
                <w:b/>
                <w:i/>
                <w:sz w:val="20"/>
                <w:szCs w:val="20"/>
              </w:rPr>
            </w:pPr>
          </w:p>
        </w:tc>
        <w:tc>
          <w:tcPr>
            <w:tcW w:w="960" w:type="dxa"/>
            <w:noWrap/>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b/>
                <w:i/>
                <w:sz w:val="20"/>
                <w:szCs w:val="20"/>
              </w:rPr>
              <w:t>0-10 años</w:t>
            </w:r>
          </w:p>
        </w:tc>
        <w:tc>
          <w:tcPr>
            <w:tcW w:w="1080" w:type="dxa"/>
            <w:noWrap/>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b/>
                <w:i/>
                <w:sz w:val="20"/>
                <w:szCs w:val="20"/>
              </w:rPr>
              <w:t>11-18 años</w:t>
            </w:r>
          </w:p>
        </w:tc>
        <w:tc>
          <w:tcPr>
            <w:tcW w:w="780" w:type="dxa"/>
            <w:vMerge/>
            <w:noWrap/>
            <w:tcMar>
              <w:top w:w="15" w:type="dxa"/>
              <w:left w:w="15" w:type="dxa"/>
              <w:bottom w:w="0" w:type="dxa"/>
              <w:right w:w="15" w:type="dxa"/>
            </w:tcMar>
            <w:vAlign w:val="center"/>
          </w:tcPr>
          <w:p w:rsidR="00CD2A5A" w:rsidRDefault="00CD2A5A">
            <w:pPr>
              <w:spacing w:before="40" w:after="40"/>
              <w:rPr>
                <w:rFonts w:eastAsia="Arial Unicode MS"/>
                <w:sz w:val="20"/>
                <w:szCs w:val="20"/>
              </w:rPr>
            </w:pP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Violación</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66</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208</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274</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en Menor o Incapaz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122</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332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454</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Otras Agresiones Sexuales</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49</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79</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128</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Agresión Sexual en Menor e Incapaz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264</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152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416</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y Agresión Sexual Agravada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7</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14</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Estupro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164</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165</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Estupro por Prevalimiento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6</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6</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Acoso Sexual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28</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150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178</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Acto Sexual Diverso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Corrupción de Menores e Incapaces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Corrupción Agravada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Inducción, Promoción y Favorecimiento de Actos Sexuales o Eróticos</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33</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34</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Inducción, Promoción y Favorecimiento de la Prostitución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14</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16</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Determinación a la Prostitución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12</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Exhibiciones Obscenas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17</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39</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Pornografía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Utilización de Personas Menores de Dieciocho Años e Incapaces</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Utilización de Menores con Fines Pornográficos y Exhibicionistas</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Agravada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6</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49</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55</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en Grado de Tentativa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15</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18</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en Menor o Incapaz Agravada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15</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47</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en Menor o Incapaz en Grado de Tentativa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6</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8</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Agresión Sexual en Menor e Incapaz Agravada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22</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32</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Remuneración por Actos Sexuales o Eróticos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Oferta y Demanda de Prostitución Ajena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2</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Posesión de Pornografía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Otras Agresiones Sexuales Agravadas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7</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8</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Violación Agravada en Grado de Tentativa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13</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Abusos deshonestos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Violación Agravada en Menor o Incapaz</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14</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34</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48</w:t>
            </w:r>
          </w:p>
        </w:tc>
      </w:tr>
      <w:tr w:rsidR="00CD2A5A">
        <w:trPr>
          <w:trHeight w:val="255"/>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Complicidad en el Delito de Violación </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0</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w:t>
            </w:r>
          </w:p>
        </w:tc>
      </w:tr>
      <w:tr w:rsidR="00CD2A5A">
        <w:trPr>
          <w:trHeight w:val="270"/>
          <w:jc w:val="center"/>
        </w:trPr>
        <w:tc>
          <w:tcPr>
            <w:tcW w:w="5655"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Total</w:t>
            </w:r>
          </w:p>
        </w:tc>
        <w:tc>
          <w:tcPr>
            <w:tcW w:w="96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626</w:t>
            </w:r>
          </w:p>
        </w:tc>
        <w:tc>
          <w:tcPr>
            <w:tcW w:w="10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1372</w:t>
            </w:r>
          </w:p>
        </w:tc>
        <w:tc>
          <w:tcPr>
            <w:tcW w:w="780" w:type="dxa"/>
            <w:noWrap/>
            <w:tcMar>
              <w:top w:w="15" w:type="dxa"/>
              <w:left w:w="15" w:type="dxa"/>
              <w:bottom w:w="0" w:type="dxa"/>
              <w:right w:w="15" w:type="dxa"/>
            </w:tcMar>
            <w:vAlign w:val="center"/>
          </w:tcPr>
          <w:p w:rsidR="00CD2A5A" w:rsidRDefault="00CD2A5A">
            <w:pPr>
              <w:spacing w:before="40" w:after="40"/>
              <w:ind w:right="227"/>
              <w:jc w:val="right"/>
              <w:rPr>
                <w:rFonts w:eastAsia="Arial Unicode MS"/>
                <w:sz w:val="20"/>
                <w:szCs w:val="20"/>
              </w:rPr>
            </w:pPr>
            <w:r>
              <w:rPr>
                <w:sz w:val="20"/>
                <w:szCs w:val="20"/>
              </w:rPr>
              <w:t>1998</w:t>
            </w:r>
          </w:p>
        </w:tc>
      </w:tr>
    </w:tbl>
    <w:p w:rsidR="00CD2A5A" w:rsidRDefault="00CD2A5A">
      <w:pPr>
        <w:spacing w:after="240"/>
      </w:pPr>
    </w:p>
    <w:p w:rsidR="00CD2A5A" w:rsidRDefault="00CD2A5A">
      <w:pPr>
        <w:pStyle w:val="I"/>
      </w:pPr>
      <w:r>
        <w:br w:type="page"/>
        <w:t>ANEXO V</w:t>
      </w:r>
    </w:p>
    <w:p w:rsidR="00CD2A5A" w:rsidRDefault="00CD2A5A">
      <w:pPr>
        <w:pStyle w:val="I"/>
      </w:pPr>
      <w:r>
        <w:t xml:space="preserve">TIPOS PENALES EN LOS CUALES SE SANCIONA CON PENAS PRIVATIVAS </w:t>
      </w:r>
      <w:r>
        <w:br/>
        <w:t>DE LIBERTAD LA IRRESPONSABILIDAD PATERNA (CÓDIGO PENAL)</w:t>
      </w:r>
    </w:p>
    <w:p w:rsidR="00CD2A5A" w:rsidRDefault="00CD2A5A">
      <w:pPr>
        <w:spacing w:after="240"/>
        <w:rPr>
          <w:b/>
          <w:lang w:val="es-ES_tradnl"/>
        </w:rPr>
      </w:pPr>
      <w:r>
        <w:rPr>
          <w:b/>
          <w:lang w:val="es-ES_tradnl"/>
        </w:rPr>
        <w:t>Artículo 199</w:t>
      </w:r>
    </w:p>
    <w:p w:rsidR="00CD2A5A" w:rsidRDefault="00CD2A5A">
      <w:pPr>
        <w:spacing w:after="240"/>
        <w:rPr>
          <w:b/>
          <w:lang w:val="es-ES_tradnl"/>
        </w:rPr>
      </w:pPr>
      <w:r>
        <w:rPr>
          <w:b/>
          <w:lang w:val="es-ES_tradnl"/>
        </w:rPr>
        <w:t>Abandono y desamparo de personas</w:t>
      </w:r>
    </w:p>
    <w:p w:rsidR="00CD2A5A" w:rsidRDefault="00CD2A5A">
      <w:pPr>
        <w:spacing w:after="240"/>
        <w:rPr>
          <w:lang w:val="es-ES_tradnl"/>
        </w:rPr>
      </w:pPr>
      <w:r>
        <w:rPr>
          <w:lang w:val="es-ES_tradnl"/>
        </w:rPr>
        <w:tab/>
        <w:t>El que teniendo deber legal de velar por un menor de 18 años o una persona incapaz de proveerse por sí misma, los abandonare poniendo en peligro su vida o su integridad personal, o los colocare en situación de desamparo, será sancionado con prisión de uno a tres años.</w:t>
      </w:r>
    </w:p>
    <w:p w:rsidR="00CD2A5A" w:rsidRDefault="00CD2A5A">
      <w:pPr>
        <w:spacing w:after="240"/>
        <w:rPr>
          <w:b/>
          <w:lang w:val="es-ES_tradnl"/>
        </w:rPr>
      </w:pPr>
      <w:r>
        <w:rPr>
          <w:b/>
          <w:lang w:val="es-ES_tradnl"/>
        </w:rPr>
        <w:t>Artículo 200</w:t>
      </w:r>
    </w:p>
    <w:p w:rsidR="00CD2A5A" w:rsidRDefault="00CD2A5A">
      <w:pPr>
        <w:spacing w:after="240"/>
        <w:rPr>
          <w:b/>
          <w:lang w:val="es-ES_tradnl"/>
        </w:rPr>
      </w:pPr>
      <w:r>
        <w:rPr>
          <w:b/>
          <w:lang w:val="es-ES_tradnl"/>
        </w:rPr>
        <w:t>Violencia intrafamiliar</w:t>
      </w:r>
    </w:p>
    <w:p w:rsidR="00CD2A5A" w:rsidRDefault="00CD2A5A">
      <w:pPr>
        <w:spacing w:after="240"/>
        <w:rPr>
          <w:lang w:val="es-ES_tradnl"/>
        </w:rPr>
      </w:pPr>
      <w:r>
        <w:rPr>
          <w:lang w:val="es-ES_tradnl"/>
        </w:rPr>
        <w:t>Cualquier familiar que, según el alcance de la Ley contra la violencia intrafamiliar, que ejerciere violencia en cualquier forma de las señaladas en el artículo 3 del mismo cuerpo legal, será sancionado con prisión de uno a tres años.</w:t>
      </w:r>
    </w:p>
    <w:p w:rsidR="00CD2A5A" w:rsidRDefault="00CD2A5A">
      <w:pPr>
        <w:spacing w:after="240"/>
        <w:rPr>
          <w:b/>
          <w:lang w:val="es-ES_tradnl"/>
        </w:rPr>
      </w:pPr>
      <w:r>
        <w:rPr>
          <w:b/>
          <w:lang w:val="es-ES_tradnl"/>
        </w:rPr>
        <w:t>Artículo 201</w:t>
      </w:r>
    </w:p>
    <w:p w:rsidR="00CD2A5A" w:rsidRDefault="00CD2A5A">
      <w:pPr>
        <w:spacing w:after="240"/>
        <w:rPr>
          <w:b/>
          <w:lang w:val="es-ES_tradnl"/>
        </w:rPr>
      </w:pPr>
      <w:r>
        <w:rPr>
          <w:b/>
          <w:lang w:val="es-ES_tradnl"/>
        </w:rPr>
        <w:t>Incumplimiento de los deberes de asistencia económica</w:t>
      </w:r>
    </w:p>
    <w:p w:rsidR="00CD2A5A" w:rsidRDefault="00CD2A5A">
      <w:pPr>
        <w:spacing w:after="240"/>
        <w:rPr>
          <w:lang w:val="es-ES_tradnl"/>
        </w:rPr>
      </w:pPr>
      <w:r>
        <w:rPr>
          <w:lang w:val="es-ES_tradnl"/>
        </w:rPr>
        <w:tab/>
        <w:t>Toda persona sujeta al pago de la obligación alimenticia en virtud de sentencia definitiva ejecutoriada, resolución de la Procuraduría General de la República, convenio celebrado ante esta o fuera de ella, que deliberadamente la incumpliera, será sancionada de 24 a 48 fines de semana de arresto.</w:t>
      </w:r>
    </w:p>
    <w:p w:rsidR="00CD2A5A" w:rsidRDefault="00CD2A5A">
      <w:pPr>
        <w:spacing w:after="240"/>
        <w:rPr>
          <w:b/>
          <w:lang w:val="es-ES_tradnl"/>
        </w:rPr>
      </w:pPr>
      <w:r>
        <w:rPr>
          <w:b/>
          <w:lang w:val="es-ES_tradnl"/>
        </w:rPr>
        <w:t>Artículo 202</w:t>
      </w:r>
    </w:p>
    <w:p w:rsidR="00CD2A5A" w:rsidRDefault="00CD2A5A">
      <w:pPr>
        <w:spacing w:after="240"/>
        <w:rPr>
          <w:b/>
          <w:lang w:val="es-ES_tradnl"/>
        </w:rPr>
      </w:pPr>
      <w:r>
        <w:rPr>
          <w:b/>
          <w:lang w:val="es-ES_tradnl"/>
        </w:rPr>
        <w:t>Separación indebida de menor o incapaz</w:t>
      </w:r>
    </w:p>
    <w:p w:rsidR="00CD2A5A" w:rsidRDefault="00CD2A5A">
      <w:pPr>
        <w:spacing w:after="240"/>
        <w:rPr>
          <w:lang w:val="es-ES_tradnl"/>
        </w:rPr>
      </w:pPr>
      <w:r>
        <w:rPr>
          <w:lang w:val="es-ES_tradnl"/>
        </w:rPr>
        <w:tab/>
        <w:t>El que teniendo a su cargo la crianza o educación de un menor de edad o incapaz, lo entregare a un tercero o a un establecimiento público sin la anuencia de quien se lo hubiere confiado o de la autoridad en su defecto, será sancionado con prisión de seis meses a un año.</w:t>
      </w:r>
    </w:p>
    <w:p w:rsidR="00CD2A5A" w:rsidRDefault="00CD2A5A">
      <w:pPr>
        <w:spacing w:after="240"/>
        <w:rPr>
          <w:b/>
          <w:lang w:val="es-ES_tradnl"/>
        </w:rPr>
      </w:pPr>
      <w:r>
        <w:rPr>
          <w:b/>
          <w:lang w:val="es-ES_tradnl"/>
        </w:rPr>
        <w:t>Artículo 203</w:t>
      </w:r>
    </w:p>
    <w:p w:rsidR="00CD2A5A" w:rsidRDefault="00CD2A5A">
      <w:pPr>
        <w:spacing w:after="240"/>
        <w:rPr>
          <w:b/>
          <w:lang w:val="es-ES_tradnl"/>
        </w:rPr>
      </w:pPr>
      <w:r>
        <w:rPr>
          <w:b/>
          <w:lang w:val="es-ES_tradnl"/>
        </w:rPr>
        <w:t>Inducción al abandono</w:t>
      </w:r>
    </w:p>
    <w:p w:rsidR="00CD2A5A" w:rsidRDefault="00CD2A5A">
      <w:pPr>
        <w:spacing w:after="240"/>
        <w:rPr>
          <w:lang w:val="es-ES_tradnl"/>
        </w:rPr>
      </w:pPr>
      <w:r>
        <w:rPr>
          <w:lang w:val="es-ES_tradnl"/>
        </w:rPr>
        <w:tab/>
        <w:t>El que indujere a un menor de 18 años de edad a abandonar la casa de sus padres, tutores o encargados del cuidado personal, será sancionado con prisión de seis meses a un año.</w:t>
      </w:r>
    </w:p>
    <w:p w:rsidR="00CD2A5A" w:rsidRDefault="00CD2A5A">
      <w:pPr>
        <w:keepNext/>
        <w:spacing w:after="240"/>
        <w:rPr>
          <w:b/>
          <w:lang w:val="es-ES_tradnl"/>
        </w:rPr>
      </w:pPr>
      <w:r>
        <w:rPr>
          <w:b/>
          <w:lang w:val="es-ES_tradnl"/>
        </w:rPr>
        <w:t>Artículo 204</w:t>
      </w:r>
    </w:p>
    <w:p w:rsidR="00CD2A5A" w:rsidRDefault="00CD2A5A">
      <w:pPr>
        <w:keepNext/>
        <w:spacing w:after="240"/>
        <w:rPr>
          <w:b/>
          <w:lang w:val="es-ES_tradnl"/>
        </w:rPr>
      </w:pPr>
      <w:r>
        <w:rPr>
          <w:b/>
          <w:lang w:val="es-ES_tradnl"/>
        </w:rPr>
        <w:t>Maltrato infantil</w:t>
      </w:r>
    </w:p>
    <w:p w:rsidR="00CD2A5A" w:rsidRDefault="00CD2A5A">
      <w:pPr>
        <w:spacing w:after="240"/>
        <w:rPr>
          <w:lang w:val="es-ES_tradnl"/>
        </w:rPr>
      </w:pPr>
      <w:r>
        <w:rPr>
          <w:lang w:val="es-ES_tradnl"/>
        </w:rPr>
        <w:tab/>
        <w:t>El que maltratare a una persona menor de edad, con evidente perjuicio físico, moral o psicológico, será sancionado con prisión de uno a tres años, siempre que no constituyere un delito más grave.</w:t>
      </w:r>
    </w:p>
    <w:p w:rsidR="00CD2A5A" w:rsidRDefault="00CD2A5A">
      <w:pPr>
        <w:spacing w:after="240"/>
        <w:rPr>
          <w:lang w:val="es-ES_tradnl"/>
        </w:rPr>
      </w:pPr>
      <w:r>
        <w:rPr>
          <w:lang w:val="es-ES_tradnl"/>
        </w:rPr>
        <w:tab/>
        <w:t>Igual sanción se aplicará a cualquier persona que con abuso de los medios de corrección, causare perjuicio a una persona menor de edad que se hallare sometido a su autoridad, educación, cuidado o vigilancia, o que se encontrare bajo su dirección con motivo de su profesión u oficio.</w:t>
      </w:r>
    </w:p>
    <w:p w:rsidR="00CD2A5A" w:rsidRDefault="00CD2A5A">
      <w:pPr>
        <w:spacing w:after="240"/>
        <w:rPr>
          <w:b/>
          <w:lang w:val="es-ES_tradnl"/>
        </w:rPr>
      </w:pPr>
      <w:r>
        <w:rPr>
          <w:b/>
          <w:lang w:val="es-ES_tradnl"/>
        </w:rPr>
        <w:t>Artículo 205</w:t>
      </w:r>
    </w:p>
    <w:p w:rsidR="00CD2A5A" w:rsidRDefault="00CD2A5A">
      <w:pPr>
        <w:spacing w:after="240"/>
        <w:rPr>
          <w:b/>
          <w:lang w:val="es-ES_tradnl"/>
        </w:rPr>
      </w:pPr>
      <w:r>
        <w:rPr>
          <w:b/>
          <w:lang w:val="es-ES_tradnl"/>
        </w:rPr>
        <w:t>Explotación de la mendicidad</w:t>
      </w:r>
    </w:p>
    <w:p w:rsidR="00CD2A5A" w:rsidRDefault="00CD2A5A">
      <w:pPr>
        <w:spacing w:after="240"/>
        <w:rPr>
          <w:lang w:val="es-ES_tradnl"/>
        </w:rPr>
      </w:pPr>
      <w:r>
        <w:rPr>
          <w:lang w:val="es-ES_tradnl"/>
        </w:rPr>
        <w:tab/>
        <w:t>El que utilizare o prestare a un menor de 18 años de edad para la práctica de la mendicidad, será sancionado con 15 a 30 jornadas semanales de trabajo de utilidad pública.</w:t>
      </w:r>
    </w:p>
    <w:p w:rsidR="00CD2A5A" w:rsidRDefault="00CD2A5A">
      <w:pPr>
        <w:spacing w:after="240"/>
        <w:rPr>
          <w:lang w:val="es-ES_tradnl"/>
        </w:rPr>
      </w:pPr>
      <w:r>
        <w:rPr>
          <w:lang w:val="es-ES_tradnl"/>
        </w:rPr>
        <w:tab/>
        <w:t>Si para este mismo fin se traficare con menores de 18 años, se empleare con ellos violencia o se les suministrare sustancias perjudiciales para la salud, la sanción será de uno a tres años de prisión.</w:t>
      </w:r>
    </w:p>
    <w:p w:rsidR="00CD2A5A" w:rsidRDefault="00CD2A5A">
      <w:pPr>
        <w:pStyle w:val="I"/>
      </w:pPr>
      <w:r>
        <w:br w:type="page"/>
        <w:t>ANEXO VI</w:t>
      </w:r>
    </w:p>
    <w:p w:rsidR="00CD2A5A" w:rsidRDefault="00CD2A5A" w:rsidP="00CD2A5A">
      <w:pPr>
        <w:pStyle w:val="Figure"/>
      </w:pPr>
      <w:r>
        <w:t>DATOS ESTADÍSTICOS DE LA FISCALÍA GENERAL DE LA REPÚBLICA SOBRE LOS DELITOS RELATIVOS A LAS RELACIONES FAMILIARES</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402"/>
        <w:gridCol w:w="1559"/>
        <w:gridCol w:w="1615"/>
        <w:gridCol w:w="836"/>
      </w:tblGrid>
      <w:tr w:rsidR="00CD2A5A">
        <w:trPr>
          <w:cantSplit/>
          <w:trHeight w:val="270"/>
          <w:jc w:val="center"/>
        </w:trPr>
        <w:tc>
          <w:tcPr>
            <w:tcW w:w="2870" w:type="pct"/>
            <w:vMerge w:val="restart"/>
            <w:noWrap/>
            <w:tcMar>
              <w:top w:w="15" w:type="dxa"/>
              <w:left w:w="15" w:type="dxa"/>
              <w:bottom w:w="0" w:type="dxa"/>
              <w:right w:w="15" w:type="dxa"/>
            </w:tcMar>
            <w:vAlign w:val="center"/>
          </w:tcPr>
          <w:p w:rsidR="00CD2A5A" w:rsidRDefault="00CD2A5A">
            <w:pPr>
              <w:spacing w:before="40" w:after="30"/>
              <w:jc w:val="center"/>
              <w:rPr>
                <w:rFonts w:eastAsia="Arial Unicode MS"/>
                <w:b/>
                <w:i/>
                <w:sz w:val="20"/>
                <w:szCs w:val="20"/>
              </w:rPr>
            </w:pPr>
          </w:p>
        </w:tc>
        <w:tc>
          <w:tcPr>
            <w:tcW w:w="1686" w:type="pct"/>
            <w:gridSpan w:val="2"/>
            <w:tcMar>
              <w:top w:w="15" w:type="dxa"/>
              <w:left w:w="15" w:type="dxa"/>
              <w:bottom w:w="0" w:type="dxa"/>
              <w:right w:w="15" w:type="dxa"/>
            </w:tcMar>
            <w:vAlign w:val="center"/>
          </w:tcPr>
          <w:p w:rsidR="00CD2A5A" w:rsidRDefault="00CD2A5A">
            <w:pPr>
              <w:spacing w:before="40" w:after="30"/>
              <w:jc w:val="center"/>
              <w:rPr>
                <w:b/>
                <w:i/>
                <w:sz w:val="20"/>
                <w:szCs w:val="20"/>
              </w:rPr>
            </w:pPr>
            <w:r>
              <w:rPr>
                <w:b/>
                <w:i/>
                <w:sz w:val="20"/>
                <w:szCs w:val="20"/>
              </w:rPr>
              <w:t xml:space="preserve">Edad de las víctimas </w:t>
            </w:r>
            <w:r>
              <w:rPr>
                <w:b/>
                <w:i/>
                <w:sz w:val="20"/>
                <w:szCs w:val="20"/>
              </w:rPr>
              <w:br/>
              <w:t>y número de delitos</w:t>
            </w:r>
          </w:p>
        </w:tc>
        <w:tc>
          <w:tcPr>
            <w:tcW w:w="444" w:type="pct"/>
            <w:vMerge w:val="restart"/>
            <w:tcMar>
              <w:top w:w="15" w:type="dxa"/>
              <w:left w:w="15" w:type="dxa"/>
              <w:bottom w:w="0" w:type="dxa"/>
              <w:right w:w="15" w:type="dxa"/>
            </w:tcMar>
            <w:vAlign w:val="center"/>
          </w:tcPr>
          <w:p w:rsidR="00CD2A5A" w:rsidRDefault="00CD2A5A">
            <w:pPr>
              <w:spacing w:before="40" w:after="30"/>
              <w:jc w:val="center"/>
              <w:rPr>
                <w:b/>
                <w:i/>
                <w:sz w:val="20"/>
                <w:szCs w:val="20"/>
              </w:rPr>
            </w:pPr>
            <w:r>
              <w:rPr>
                <w:b/>
                <w:i/>
                <w:sz w:val="20"/>
                <w:szCs w:val="20"/>
              </w:rPr>
              <w:t>Total</w:t>
            </w:r>
          </w:p>
        </w:tc>
      </w:tr>
      <w:tr w:rsidR="00CD2A5A">
        <w:trPr>
          <w:cantSplit/>
          <w:trHeight w:val="270"/>
          <w:jc w:val="center"/>
        </w:trPr>
        <w:tc>
          <w:tcPr>
            <w:tcW w:w="2870" w:type="pct"/>
            <w:vMerge/>
            <w:noWrap/>
            <w:tcMar>
              <w:top w:w="15" w:type="dxa"/>
              <w:left w:w="15" w:type="dxa"/>
              <w:bottom w:w="0" w:type="dxa"/>
              <w:right w:w="15" w:type="dxa"/>
            </w:tcMar>
            <w:vAlign w:val="center"/>
          </w:tcPr>
          <w:p w:rsidR="00CD2A5A" w:rsidRDefault="00CD2A5A">
            <w:pPr>
              <w:spacing w:before="40" w:after="30"/>
              <w:rPr>
                <w:rFonts w:eastAsia="Arial Unicode MS"/>
                <w:sz w:val="20"/>
                <w:szCs w:val="20"/>
              </w:rPr>
            </w:pPr>
          </w:p>
        </w:tc>
        <w:tc>
          <w:tcPr>
            <w:tcW w:w="828" w:type="pct"/>
            <w:tcMar>
              <w:top w:w="15" w:type="dxa"/>
              <w:left w:w="15" w:type="dxa"/>
              <w:bottom w:w="0" w:type="dxa"/>
              <w:right w:w="15" w:type="dxa"/>
            </w:tcMar>
            <w:vAlign w:val="center"/>
          </w:tcPr>
          <w:p w:rsidR="00CD2A5A" w:rsidRDefault="00CD2A5A">
            <w:pPr>
              <w:spacing w:before="40" w:after="30"/>
              <w:jc w:val="center"/>
              <w:rPr>
                <w:rFonts w:eastAsia="Arial Unicode MS"/>
                <w:b/>
                <w:i/>
                <w:sz w:val="20"/>
                <w:szCs w:val="20"/>
              </w:rPr>
            </w:pPr>
            <w:r>
              <w:rPr>
                <w:b/>
                <w:i/>
                <w:sz w:val="20"/>
                <w:szCs w:val="20"/>
              </w:rPr>
              <w:t>0-10 años</w:t>
            </w:r>
          </w:p>
        </w:tc>
        <w:tc>
          <w:tcPr>
            <w:tcW w:w="858" w:type="pct"/>
            <w:tcMar>
              <w:top w:w="15" w:type="dxa"/>
              <w:left w:w="15" w:type="dxa"/>
              <w:bottom w:w="0" w:type="dxa"/>
              <w:right w:w="15" w:type="dxa"/>
            </w:tcMar>
            <w:vAlign w:val="center"/>
          </w:tcPr>
          <w:p w:rsidR="00CD2A5A" w:rsidRDefault="00CD2A5A">
            <w:pPr>
              <w:spacing w:before="40" w:after="30"/>
              <w:jc w:val="center"/>
              <w:rPr>
                <w:rFonts w:eastAsia="Arial Unicode MS"/>
                <w:b/>
                <w:i/>
                <w:sz w:val="20"/>
                <w:szCs w:val="20"/>
              </w:rPr>
            </w:pPr>
            <w:r>
              <w:rPr>
                <w:b/>
                <w:i/>
                <w:sz w:val="20"/>
                <w:szCs w:val="20"/>
              </w:rPr>
              <w:t>11-18 años</w:t>
            </w:r>
          </w:p>
        </w:tc>
        <w:tc>
          <w:tcPr>
            <w:tcW w:w="444" w:type="pct"/>
            <w:vMerge/>
            <w:tcMar>
              <w:top w:w="15" w:type="dxa"/>
              <w:left w:w="15" w:type="dxa"/>
              <w:bottom w:w="0" w:type="dxa"/>
              <w:right w:w="15" w:type="dxa"/>
            </w:tcMar>
            <w:vAlign w:val="center"/>
          </w:tcPr>
          <w:p w:rsidR="00CD2A5A" w:rsidRDefault="00CD2A5A">
            <w:pPr>
              <w:spacing w:before="40" w:after="30"/>
              <w:rPr>
                <w:rFonts w:eastAsia="Arial Unicode MS"/>
                <w:sz w:val="20"/>
                <w:szCs w:val="20"/>
              </w:rPr>
            </w:pP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b/>
                <w:sz w:val="20"/>
                <w:szCs w:val="20"/>
              </w:rPr>
            </w:pPr>
            <w:r>
              <w:rPr>
                <w:b/>
                <w:sz w:val="20"/>
                <w:szCs w:val="20"/>
              </w:rPr>
              <w:t>Año 2004</w:t>
            </w:r>
          </w:p>
        </w:tc>
        <w:tc>
          <w:tcPr>
            <w:tcW w:w="828" w:type="pct"/>
            <w:noWrap/>
            <w:tcMar>
              <w:top w:w="15" w:type="dxa"/>
              <w:left w:w="15" w:type="dxa"/>
              <w:bottom w:w="0" w:type="dxa"/>
              <w:right w:w="15" w:type="dxa"/>
            </w:tcMar>
            <w:vAlign w:val="bottom"/>
          </w:tcPr>
          <w:p w:rsidR="00CD2A5A" w:rsidRDefault="00CD2A5A">
            <w:pPr>
              <w:spacing w:before="40" w:after="30"/>
              <w:jc w:val="center"/>
              <w:rPr>
                <w:sz w:val="20"/>
                <w:szCs w:val="20"/>
              </w:rPr>
            </w:pPr>
          </w:p>
        </w:tc>
        <w:tc>
          <w:tcPr>
            <w:tcW w:w="858" w:type="pct"/>
            <w:noWrap/>
            <w:tcMar>
              <w:top w:w="15" w:type="dxa"/>
              <w:left w:w="15" w:type="dxa"/>
              <w:bottom w:w="0" w:type="dxa"/>
              <w:right w:w="15" w:type="dxa"/>
            </w:tcMar>
            <w:vAlign w:val="bottom"/>
          </w:tcPr>
          <w:p w:rsidR="00CD2A5A" w:rsidRDefault="00CD2A5A">
            <w:pPr>
              <w:spacing w:before="40" w:after="30"/>
              <w:jc w:val="center"/>
              <w:rPr>
                <w:sz w:val="20"/>
                <w:szCs w:val="20"/>
              </w:rPr>
            </w:pPr>
          </w:p>
        </w:tc>
        <w:tc>
          <w:tcPr>
            <w:tcW w:w="444" w:type="pct"/>
            <w:noWrap/>
            <w:tcMar>
              <w:top w:w="15" w:type="dxa"/>
              <w:left w:w="15" w:type="dxa"/>
              <w:bottom w:w="0" w:type="dxa"/>
              <w:right w:w="15" w:type="dxa"/>
            </w:tcMar>
            <w:vAlign w:val="bottom"/>
          </w:tcPr>
          <w:p w:rsidR="00CD2A5A" w:rsidRDefault="00CD2A5A">
            <w:pPr>
              <w:spacing w:before="40" w:after="30"/>
              <w:rPr>
                <w:sz w:val="20"/>
                <w:szCs w:val="20"/>
              </w:rPr>
            </w:pP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Suplantación y Alteración de Estado Familiar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4</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4</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Alteración de Filiación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0</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Abandono y Desamparo de Persona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138</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25</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163</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Violencia Intrafamiliar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33</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105</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138</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Incumplimiento de los Deberes de Asistencia Económica</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538</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198</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736</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Separación Indebida de Menor o Incapaz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3</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Inducción al Abandono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51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Maltrato Infantil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227</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95</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322</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Explotación de la Mendicidad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6</w:t>
            </w:r>
          </w:p>
        </w:tc>
      </w:tr>
      <w:tr w:rsidR="00CD2A5A">
        <w:trPr>
          <w:trHeight w:val="270"/>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Total</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947</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476</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1.423</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b/>
                <w:sz w:val="20"/>
                <w:szCs w:val="20"/>
              </w:rPr>
            </w:pPr>
            <w:r>
              <w:rPr>
                <w:b/>
                <w:sz w:val="20"/>
                <w:szCs w:val="20"/>
              </w:rPr>
              <w:t>Año 2005</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Suplantación y Alteración de Estado Familiar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Alteración de Filiación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Abandono y Desamparo de Persona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137</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18</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155</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Violencia Intrafamiliar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42</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109</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151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Incumplimiento de los Deberes de Asistencia Económica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504</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192</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696</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Separación Indebida de Menor o Incapaz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2</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Inducción al Abandono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52</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Maltrato Infantil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326</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205</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531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Explotación de la Mendicidad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3</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3</w:t>
            </w:r>
          </w:p>
        </w:tc>
      </w:tr>
      <w:tr w:rsidR="00CD2A5A">
        <w:trPr>
          <w:trHeight w:val="270"/>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b/>
                <w:sz w:val="20"/>
                <w:szCs w:val="20"/>
              </w:rPr>
            </w:pPr>
            <w:r>
              <w:rPr>
                <w:b/>
                <w:sz w:val="20"/>
                <w:szCs w:val="20"/>
              </w:rPr>
              <w:t>Total</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1.016</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577</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1.593</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b/>
                <w:sz w:val="20"/>
                <w:szCs w:val="20"/>
              </w:rPr>
              <w:t>Año 2006</w:t>
            </w:r>
            <w:r>
              <w:rPr>
                <w:sz w:val="20"/>
                <w:szCs w:val="20"/>
              </w:rPr>
              <w:t xml:space="preserve"> (Hasta el mes de agosto)</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Suplantación y Alteración de Estado Familiar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0</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Alteración de Filiación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3</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4</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Abandono y Desamparo de Persona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55</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22</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77</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Violencia Intrafamiliar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18</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63</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81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Incumplimiento de los Deberes de Asistencia Económica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192</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80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272</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Separación Indebida de Menor o Incapaz</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2</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Inducción al Abandono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4</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25</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29</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Maltrato Infantil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156</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114</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270</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Abuso del Derecho de Corrección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1</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1</w:t>
            </w:r>
          </w:p>
        </w:tc>
      </w:tr>
      <w:tr w:rsidR="00CD2A5A">
        <w:trPr>
          <w:trHeight w:val="255"/>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sz w:val="20"/>
                <w:szCs w:val="20"/>
              </w:rPr>
            </w:pPr>
            <w:r>
              <w:rPr>
                <w:sz w:val="20"/>
                <w:szCs w:val="20"/>
              </w:rPr>
              <w:t xml:space="preserve">Explotación de la Mendicidad </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2</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0</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2</w:t>
            </w:r>
          </w:p>
        </w:tc>
      </w:tr>
      <w:tr w:rsidR="00CD2A5A">
        <w:trPr>
          <w:trHeight w:val="270"/>
          <w:jc w:val="center"/>
        </w:trPr>
        <w:tc>
          <w:tcPr>
            <w:tcW w:w="2870" w:type="pct"/>
            <w:noWrap/>
            <w:tcMar>
              <w:top w:w="15" w:type="dxa"/>
              <w:left w:w="15" w:type="dxa"/>
              <w:bottom w:w="0" w:type="dxa"/>
              <w:right w:w="15" w:type="dxa"/>
            </w:tcMar>
            <w:vAlign w:val="bottom"/>
          </w:tcPr>
          <w:p w:rsidR="00CD2A5A" w:rsidRDefault="00CD2A5A">
            <w:pPr>
              <w:spacing w:before="40" w:after="30"/>
              <w:rPr>
                <w:rFonts w:eastAsia="Arial Unicode MS"/>
                <w:b/>
                <w:sz w:val="20"/>
                <w:szCs w:val="20"/>
              </w:rPr>
            </w:pPr>
            <w:r>
              <w:rPr>
                <w:b/>
                <w:sz w:val="20"/>
                <w:szCs w:val="20"/>
              </w:rPr>
              <w:t>Total</w:t>
            </w:r>
          </w:p>
        </w:tc>
        <w:tc>
          <w:tcPr>
            <w:tcW w:w="82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432</w:t>
            </w:r>
          </w:p>
        </w:tc>
        <w:tc>
          <w:tcPr>
            <w:tcW w:w="858" w:type="pct"/>
            <w:noWrap/>
            <w:tcMar>
              <w:top w:w="15" w:type="dxa"/>
              <w:left w:w="15" w:type="dxa"/>
              <w:bottom w:w="0" w:type="dxa"/>
              <w:right w:w="15" w:type="dxa"/>
            </w:tcMar>
            <w:vAlign w:val="bottom"/>
          </w:tcPr>
          <w:p w:rsidR="00CD2A5A" w:rsidRDefault="00CD2A5A">
            <w:pPr>
              <w:spacing w:before="40" w:after="30"/>
              <w:ind w:right="694"/>
              <w:jc w:val="right"/>
              <w:rPr>
                <w:rFonts w:eastAsia="Arial Unicode MS"/>
                <w:sz w:val="20"/>
                <w:szCs w:val="20"/>
              </w:rPr>
            </w:pPr>
            <w:r>
              <w:rPr>
                <w:sz w:val="20"/>
                <w:szCs w:val="20"/>
              </w:rPr>
              <w:t>306</w:t>
            </w:r>
          </w:p>
        </w:tc>
        <w:tc>
          <w:tcPr>
            <w:tcW w:w="444" w:type="pct"/>
            <w:noWrap/>
            <w:tcMar>
              <w:top w:w="15" w:type="dxa"/>
              <w:left w:w="15" w:type="dxa"/>
              <w:bottom w:w="0" w:type="dxa"/>
              <w:right w:w="15" w:type="dxa"/>
            </w:tcMar>
            <w:vAlign w:val="bottom"/>
          </w:tcPr>
          <w:p w:rsidR="00CD2A5A" w:rsidRDefault="00CD2A5A">
            <w:pPr>
              <w:spacing w:before="40" w:after="30"/>
              <w:jc w:val="center"/>
              <w:rPr>
                <w:rFonts w:eastAsia="Arial Unicode MS"/>
                <w:sz w:val="20"/>
                <w:szCs w:val="20"/>
              </w:rPr>
            </w:pPr>
            <w:r>
              <w:rPr>
                <w:sz w:val="20"/>
                <w:szCs w:val="20"/>
              </w:rPr>
              <w:t>738</w:t>
            </w:r>
          </w:p>
        </w:tc>
      </w:tr>
    </w:tbl>
    <w:p w:rsidR="00CD2A5A" w:rsidRDefault="00CD2A5A">
      <w:pPr>
        <w:pStyle w:val="I"/>
      </w:pPr>
      <w:r>
        <w:br w:type="page"/>
        <w:t>ANEXO VII</w:t>
      </w:r>
    </w:p>
    <w:p w:rsidR="00CD2A5A" w:rsidRDefault="00CD2A5A" w:rsidP="00CD2A5A">
      <w:pPr>
        <w:pStyle w:val="Figure"/>
      </w:pPr>
      <w:r>
        <w:t>NIÑOS Y NIÑAS VÍCTIMAS DE AGRESIÓN SEXUAL Y MALTRATO ATENDIDOS</w:t>
      </w:r>
      <w:r>
        <w:br/>
        <w:t>POR EL ISDEMU</w:t>
      </w:r>
    </w:p>
    <w:p w:rsidR="00CD2A5A" w:rsidRDefault="00CD2A5A" w:rsidP="006228EF">
      <w:pPr>
        <w:pStyle w:val="A0"/>
        <w:rPr>
          <w:lang w:val="es-SV"/>
        </w:rPr>
      </w:pPr>
      <w:r>
        <w:t>A.  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01"/>
        <w:gridCol w:w="932"/>
        <w:gridCol w:w="1016"/>
        <w:gridCol w:w="980"/>
        <w:gridCol w:w="1016"/>
        <w:gridCol w:w="942"/>
        <w:gridCol w:w="1027"/>
        <w:gridCol w:w="990"/>
        <w:gridCol w:w="1028"/>
        <w:gridCol w:w="680"/>
      </w:tblGrid>
      <w:tr w:rsidR="00CD2A5A">
        <w:trPr>
          <w:cantSplit/>
          <w:trHeight w:val="360"/>
          <w:jc w:val="center"/>
        </w:trPr>
        <w:tc>
          <w:tcPr>
            <w:tcW w:w="800" w:type="dxa"/>
            <w:vMerge w:val="restart"/>
            <w:noWrap/>
            <w:vAlign w:val="center"/>
          </w:tcPr>
          <w:p w:rsidR="00CD2A5A" w:rsidRDefault="00CD2A5A">
            <w:pPr>
              <w:spacing w:before="40" w:after="40"/>
              <w:jc w:val="center"/>
              <w:rPr>
                <w:b/>
                <w:bCs/>
                <w:i/>
                <w:sz w:val="20"/>
                <w:szCs w:val="20"/>
              </w:rPr>
            </w:pPr>
            <w:r>
              <w:rPr>
                <w:b/>
                <w:bCs/>
                <w:i/>
                <w:sz w:val="20"/>
                <w:szCs w:val="20"/>
              </w:rPr>
              <w:t>Edad</w:t>
            </w:r>
          </w:p>
        </w:tc>
        <w:tc>
          <w:tcPr>
            <w:tcW w:w="3800" w:type="dxa"/>
            <w:gridSpan w:val="4"/>
            <w:noWrap/>
            <w:vAlign w:val="center"/>
          </w:tcPr>
          <w:p w:rsidR="00CD2A5A" w:rsidRDefault="00CD2A5A">
            <w:pPr>
              <w:spacing w:before="40" w:after="40"/>
              <w:jc w:val="center"/>
              <w:rPr>
                <w:b/>
                <w:bCs/>
                <w:i/>
                <w:sz w:val="20"/>
                <w:szCs w:val="20"/>
              </w:rPr>
            </w:pPr>
            <w:r>
              <w:rPr>
                <w:b/>
                <w:bCs/>
                <w:i/>
                <w:sz w:val="20"/>
                <w:szCs w:val="20"/>
              </w:rPr>
              <w:t>Agresión Sexual</w:t>
            </w:r>
          </w:p>
        </w:tc>
        <w:tc>
          <w:tcPr>
            <w:tcW w:w="3840" w:type="dxa"/>
            <w:gridSpan w:val="4"/>
            <w:noWrap/>
            <w:vAlign w:val="center"/>
          </w:tcPr>
          <w:p w:rsidR="00CD2A5A" w:rsidRDefault="00CD2A5A">
            <w:pPr>
              <w:spacing w:before="40" w:after="40"/>
              <w:jc w:val="center"/>
              <w:rPr>
                <w:b/>
                <w:bCs/>
                <w:i/>
                <w:sz w:val="20"/>
                <w:szCs w:val="20"/>
              </w:rPr>
            </w:pPr>
            <w:r>
              <w:rPr>
                <w:b/>
                <w:bCs/>
                <w:i/>
                <w:sz w:val="20"/>
                <w:szCs w:val="20"/>
              </w:rPr>
              <w:t>Maltrato a la Niñez</w:t>
            </w:r>
          </w:p>
        </w:tc>
        <w:tc>
          <w:tcPr>
            <w:tcW w:w="680" w:type="dxa"/>
            <w:noWrap/>
            <w:vAlign w:val="center"/>
          </w:tcPr>
          <w:p w:rsidR="00CD2A5A" w:rsidRDefault="00CD2A5A">
            <w:pPr>
              <w:spacing w:before="40" w:after="40"/>
              <w:jc w:val="center"/>
              <w:rPr>
                <w:i/>
                <w:sz w:val="20"/>
                <w:szCs w:val="20"/>
              </w:rPr>
            </w:pPr>
          </w:p>
        </w:tc>
      </w:tr>
      <w:tr w:rsidR="00CD2A5A">
        <w:trPr>
          <w:cantSplit/>
          <w:trHeight w:val="360"/>
          <w:jc w:val="center"/>
        </w:trPr>
        <w:tc>
          <w:tcPr>
            <w:tcW w:w="801" w:type="dxa"/>
            <w:vMerge/>
            <w:noWrap/>
            <w:vAlign w:val="center"/>
          </w:tcPr>
          <w:p w:rsidR="00CD2A5A" w:rsidRDefault="00CD2A5A">
            <w:pPr>
              <w:spacing w:before="40" w:after="40"/>
              <w:jc w:val="center"/>
              <w:rPr>
                <w:i/>
                <w:sz w:val="20"/>
                <w:szCs w:val="20"/>
              </w:rPr>
            </w:pPr>
          </w:p>
        </w:tc>
        <w:tc>
          <w:tcPr>
            <w:tcW w:w="932" w:type="dxa"/>
            <w:noWrap/>
            <w:vAlign w:val="center"/>
          </w:tcPr>
          <w:p w:rsidR="00CD2A5A" w:rsidRDefault="00CD2A5A">
            <w:pPr>
              <w:spacing w:before="40" w:after="40"/>
              <w:jc w:val="center"/>
              <w:rPr>
                <w:b/>
                <w:bCs/>
                <w:i/>
                <w:sz w:val="20"/>
                <w:szCs w:val="20"/>
              </w:rPr>
            </w:pPr>
            <w:r>
              <w:rPr>
                <w:b/>
                <w:bCs/>
                <w:i/>
                <w:sz w:val="20"/>
                <w:szCs w:val="20"/>
              </w:rPr>
              <w:t>Femenino</w:t>
            </w:r>
          </w:p>
        </w:tc>
        <w:tc>
          <w:tcPr>
            <w:tcW w:w="1016" w:type="dxa"/>
            <w:noWrap/>
            <w:vAlign w:val="center"/>
          </w:tcPr>
          <w:p w:rsidR="00CD2A5A" w:rsidRDefault="00CD2A5A">
            <w:pPr>
              <w:spacing w:before="40" w:after="40"/>
              <w:jc w:val="center"/>
              <w:rPr>
                <w:b/>
                <w:bCs/>
                <w:i/>
                <w:sz w:val="20"/>
                <w:szCs w:val="20"/>
              </w:rPr>
            </w:pPr>
            <w:r>
              <w:rPr>
                <w:b/>
                <w:bCs/>
                <w:i/>
                <w:sz w:val="20"/>
                <w:szCs w:val="20"/>
              </w:rPr>
              <w:t>Porcentaje</w:t>
            </w:r>
          </w:p>
        </w:tc>
        <w:tc>
          <w:tcPr>
            <w:tcW w:w="980" w:type="dxa"/>
            <w:noWrap/>
            <w:vAlign w:val="center"/>
          </w:tcPr>
          <w:p w:rsidR="00CD2A5A" w:rsidRDefault="00CD2A5A">
            <w:pPr>
              <w:spacing w:before="40" w:after="40"/>
              <w:jc w:val="center"/>
              <w:rPr>
                <w:b/>
                <w:bCs/>
                <w:i/>
                <w:sz w:val="20"/>
                <w:szCs w:val="20"/>
              </w:rPr>
            </w:pPr>
            <w:r>
              <w:rPr>
                <w:b/>
                <w:bCs/>
                <w:i/>
                <w:sz w:val="20"/>
                <w:szCs w:val="20"/>
              </w:rPr>
              <w:t>Masculino</w:t>
            </w:r>
          </w:p>
        </w:tc>
        <w:tc>
          <w:tcPr>
            <w:tcW w:w="1016" w:type="dxa"/>
            <w:noWrap/>
            <w:vAlign w:val="center"/>
          </w:tcPr>
          <w:p w:rsidR="00CD2A5A" w:rsidRDefault="00CD2A5A">
            <w:pPr>
              <w:spacing w:before="40" w:after="40"/>
              <w:jc w:val="center"/>
              <w:rPr>
                <w:b/>
                <w:bCs/>
                <w:i/>
                <w:sz w:val="20"/>
                <w:szCs w:val="20"/>
              </w:rPr>
            </w:pPr>
            <w:r>
              <w:rPr>
                <w:b/>
                <w:bCs/>
                <w:i/>
                <w:sz w:val="20"/>
                <w:szCs w:val="20"/>
              </w:rPr>
              <w:t>Porcentaje</w:t>
            </w:r>
          </w:p>
        </w:tc>
        <w:tc>
          <w:tcPr>
            <w:tcW w:w="942" w:type="dxa"/>
            <w:noWrap/>
            <w:vAlign w:val="center"/>
          </w:tcPr>
          <w:p w:rsidR="00CD2A5A" w:rsidRDefault="00CD2A5A">
            <w:pPr>
              <w:spacing w:before="40" w:after="40"/>
              <w:jc w:val="center"/>
              <w:rPr>
                <w:b/>
                <w:bCs/>
                <w:i/>
                <w:sz w:val="20"/>
                <w:szCs w:val="20"/>
              </w:rPr>
            </w:pPr>
            <w:r>
              <w:rPr>
                <w:b/>
                <w:bCs/>
                <w:i/>
                <w:sz w:val="20"/>
                <w:szCs w:val="20"/>
              </w:rPr>
              <w:t>Femenino</w:t>
            </w:r>
          </w:p>
        </w:tc>
        <w:tc>
          <w:tcPr>
            <w:tcW w:w="1027" w:type="dxa"/>
            <w:noWrap/>
            <w:vAlign w:val="center"/>
          </w:tcPr>
          <w:p w:rsidR="00CD2A5A" w:rsidRDefault="00CD2A5A">
            <w:pPr>
              <w:spacing w:before="40" w:after="40"/>
              <w:jc w:val="center"/>
              <w:rPr>
                <w:b/>
                <w:bCs/>
                <w:i/>
                <w:sz w:val="20"/>
                <w:szCs w:val="20"/>
              </w:rPr>
            </w:pPr>
            <w:r>
              <w:rPr>
                <w:b/>
                <w:bCs/>
                <w:i/>
                <w:sz w:val="20"/>
                <w:szCs w:val="20"/>
              </w:rPr>
              <w:t>Porcentaje</w:t>
            </w:r>
          </w:p>
        </w:tc>
        <w:tc>
          <w:tcPr>
            <w:tcW w:w="990" w:type="dxa"/>
            <w:noWrap/>
            <w:vAlign w:val="center"/>
          </w:tcPr>
          <w:p w:rsidR="00CD2A5A" w:rsidRDefault="00CD2A5A">
            <w:pPr>
              <w:spacing w:before="40" w:after="40"/>
              <w:jc w:val="center"/>
              <w:rPr>
                <w:b/>
                <w:bCs/>
                <w:i/>
                <w:sz w:val="20"/>
                <w:szCs w:val="20"/>
              </w:rPr>
            </w:pPr>
            <w:r>
              <w:rPr>
                <w:b/>
                <w:bCs/>
                <w:i/>
                <w:sz w:val="20"/>
                <w:szCs w:val="20"/>
              </w:rPr>
              <w:t>Masculino</w:t>
            </w:r>
          </w:p>
        </w:tc>
        <w:tc>
          <w:tcPr>
            <w:tcW w:w="1028" w:type="dxa"/>
            <w:noWrap/>
            <w:vAlign w:val="center"/>
          </w:tcPr>
          <w:p w:rsidR="00CD2A5A" w:rsidRDefault="00CD2A5A">
            <w:pPr>
              <w:spacing w:before="40" w:after="40"/>
              <w:jc w:val="center"/>
              <w:rPr>
                <w:b/>
                <w:bCs/>
                <w:i/>
                <w:sz w:val="20"/>
                <w:szCs w:val="20"/>
              </w:rPr>
            </w:pPr>
            <w:r>
              <w:rPr>
                <w:b/>
                <w:bCs/>
                <w:i/>
                <w:sz w:val="20"/>
                <w:szCs w:val="20"/>
              </w:rPr>
              <w:t>Porcentaje</w:t>
            </w:r>
          </w:p>
        </w:tc>
        <w:tc>
          <w:tcPr>
            <w:tcW w:w="680" w:type="dxa"/>
            <w:noWrap/>
            <w:vAlign w:val="center"/>
          </w:tcPr>
          <w:p w:rsidR="00CD2A5A" w:rsidRDefault="00CD2A5A">
            <w:pPr>
              <w:keepNext/>
              <w:spacing w:before="40" w:after="40"/>
              <w:jc w:val="center"/>
              <w:rPr>
                <w:b/>
                <w:bCs/>
                <w:i/>
                <w:sz w:val="20"/>
                <w:szCs w:val="20"/>
              </w:rPr>
            </w:pPr>
            <w:r>
              <w:rPr>
                <w:b/>
                <w:bCs/>
                <w:i/>
                <w:sz w:val="20"/>
                <w:szCs w:val="20"/>
              </w:rPr>
              <w:t>Total:</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0-1</w:t>
            </w:r>
          </w:p>
        </w:tc>
        <w:tc>
          <w:tcPr>
            <w:tcW w:w="932" w:type="dxa"/>
            <w:noWrap/>
            <w:vAlign w:val="center"/>
          </w:tcPr>
          <w:p w:rsidR="00CD2A5A" w:rsidRDefault="00CD2A5A">
            <w:pPr>
              <w:spacing w:before="40" w:after="40"/>
              <w:ind w:right="170"/>
              <w:jc w:val="right"/>
              <w:rPr>
                <w:sz w:val="20"/>
                <w:szCs w:val="20"/>
              </w:rPr>
            </w:pPr>
            <w:r>
              <w:rPr>
                <w:sz w:val="20"/>
                <w:szCs w:val="20"/>
              </w:rPr>
              <w:t>6</w:t>
            </w:r>
          </w:p>
        </w:tc>
        <w:tc>
          <w:tcPr>
            <w:tcW w:w="1016" w:type="dxa"/>
            <w:noWrap/>
            <w:vAlign w:val="center"/>
          </w:tcPr>
          <w:p w:rsidR="00CD2A5A" w:rsidRDefault="00CD2A5A">
            <w:pPr>
              <w:spacing w:before="40" w:after="40"/>
              <w:ind w:right="170"/>
              <w:jc w:val="right"/>
              <w:rPr>
                <w:sz w:val="20"/>
                <w:szCs w:val="20"/>
              </w:rPr>
            </w:pPr>
            <w:r>
              <w:rPr>
                <w:sz w:val="20"/>
                <w:szCs w:val="20"/>
              </w:rPr>
              <w:t>1,49%</w:t>
            </w:r>
          </w:p>
        </w:tc>
        <w:tc>
          <w:tcPr>
            <w:tcW w:w="980" w:type="dxa"/>
            <w:noWrap/>
            <w:vAlign w:val="center"/>
          </w:tcPr>
          <w:p w:rsidR="00CD2A5A" w:rsidRDefault="00CD2A5A">
            <w:pPr>
              <w:spacing w:before="40" w:after="40"/>
              <w:ind w:right="170"/>
              <w:jc w:val="right"/>
              <w:rPr>
                <w:sz w:val="20"/>
                <w:szCs w:val="20"/>
              </w:rPr>
            </w:pPr>
            <w:r>
              <w:rPr>
                <w:sz w:val="20"/>
                <w:szCs w:val="20"/>
              </w:rPr>
              <w:t>1</w:t>
            </w:r>
          </w:p>
        </w:tc>
        <w:tc>
          <w:tcPr>
            <w:tcW w:w="1016" w:type="dxa"/>
            <w:noWrap/>
            <w:vAlign w:val="center"/>
          </w:tcPr>
          <w:p w:rsidR="00CD2A5A" w:rsidRDefault="00CD2A5A">
            <w:pPr>
              <w:spacing w:before="40" w:after="40"/>
              <w:ind w:right="170"/>
              <w:jc w:val="right"/>
              <w:rPr>
                <w:sz w:val="20"/>
                <w:szCs w:val="20"/>
              </w:rPr>
            </w:pPr>
            <w:r>
              <w:rPr>
                <w:sz w:val="20"/>
                <w:szCs w:val="20"/>
              </w:rPr>
              <w:t>1,20%</w:t>
            </w:r>
          </w:p>
        </w:tc>
        <w:tc>
          <w:tcPr>
            <w:tcW w:w="942" w:type="dxa"/>
            <w:noWrap/>
            <w:vAlign w:val="center"/>
          </w:tcPr>
          <w:p w:rsidR="00CD2A5A" w:rsidRDefault="00CD2A5A">
            <w:pPr>
              <w:spacing w:before="40" w:after="40"/>
              <w:ind w:right="170"/>
              <w:jc w:val="right"/>
              <w:rPr>
                <w:sz w:val="20"/>
                <w:szCs w:val="20"/>
              </w:rPr>
            </w:pPr>
            <w:r>
              <w:rPr>
                <w:sz w:val="20"/>
                <w:szCs w:val="20"/>
              </w:rPr>
              <w:t>131</w:t>
            </w:r>
          </w:p>
        </w:tc>
        <w:tc>
          <w:tcPr>
            <w:tcW w:w="1027" w:type="dxa"/>
            <w:noWrap/>
            <w:vAlign w:val="center"/>
          </w:tcPr>
          <w:p w:rsidR="00CD2A5A" w:rsidRDefault="00CD2A5A">
            <w:pPr>
              <w:spacing w:before="40" w:after="40"/>
              <w:ind w:right="170"/>
              <w:jc w:val="right"/>
              <w:rPr>
                <w:sz w:val="20"/>
                <w:szCs w:val="20"/>
              </w:rPr>
            </w:pPr>
            <w:r>
              <w:rPr>
                <w:sz w:val="20"/>
                <w:szCs w:val="20"/>
              </w:rPr>
              <w:t>10,18%</w:t>
            </w:r>
          </w:p>
        </w:tc>
        <w:tc>
          <w:tcPr>
            <w:tcW w:w="990" w:type="dxa"/>
            <w:noWrap/>
            <w:vAlign w:val="center"/>
          </w:tcPr>
          <w:p w:rsidR="00CD2A5A" w:rsidRDefault="00CD2A5A">
            <w:pPr>
              <w:spacing w:before="40" w:after="40"/>
              <w:ind w:right="170"/>
              <w:jc w:val="right"/>
              <w:rPr>
                <w:sz w:val="20"/>
                <w:szCs w:val="20"/>
              </w:rPr>
            </w:pPr>
            <w:r>
              <w:rPr>
                <w:sz w:val="20"/>
                <w:szCs w:val="20"/>
              </w:rPr>
              <w:t>78</w:t>
            </w:r>
          </w:p>
        </w:tc>
        <w:tc>
          <w:tcPr>
            <w:tcW w:w="1028" w:type="dxa"/>
            <w:noWrap/>
            <w:vAlign w:val="center"/>
          </w:tcPr>
          <w:p w:rsidR="00CD2A5A" w:rsidRDefault="00CD2A5A">
            <w:pPr>
              <w:spacing w:before="40" w:after="40"/>
              <w:ind w:right="170"/>
              <w:jc w:val="right"/>
              <w:rPr>
                <w:sz w:val="20"/>
                <w:szCs w:val="20"/>
              </w:rPr>
            </w:pPr>
            <w:r>
              <w:rPr>
                <w:sz w:val="20"/>
                <w:szCs w:val="20"/>
              </w:rPr>
              <w:t>6,98%</w:t>
            </w:r>
          </w:p>
        </w:tc>
        <w:tc>
          <w:tcPr>
            <w:tcW w:w="680" w:type="dxa"/>
            <w:noWrap/>
            <w:vAlign w:val="center"/>
          </w:tcPr>
          <w:p w:rsidR="00CD2A5A" w:rsidRDefault="00CD2A5A">
            <w:pPr>
              <w:spacing w:before="40" w:after="40"/>
              <w:ind w:right="170"/>
              <w:jc w:val="right"/>
              <w:rPr>
                <w:b/>
                <w:bCs/>
                <w:sz w:val="20"/>
                <w:szCs w:val="20"/>
              </w:rPr>
            </w:pPr>
            <w:r>
              <w:rPr>
                <w:b/>
                <w:bCs/>
                <w:sz w:val="20"/>
                <w:szCs w:val="20"/>
              </w:rPr>
              <w:t>216</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2-5</w:t>
            </w:r>
          </w:p>
        </w:tc>
        <w:tc>
          <w:tcPr>
            <w:tcW w:w="932" w:type="dxa"/>
            <w:noWrap/>
            <w:vAlign w:val="center"/>
          </w:tcPr>
          <w:p w:rsidR="00CD2A5A" w:rsidRDefault="00CD2A5A">
            <w:pPr>
              <w:spacing w:before="40" w:after="40"/>
              <w:ind w:right="170"/>
              <w:jc w:val="right"/>
              <w:rPr>
                <w:sz w:val="20"/>
                <w:szCs w:val="20"/>
              </w:rPr>
            </w:pPr>
            <w:r>
              <w:rPr>
                <w:sz w:val="20"/>
                <w:szCs w:val="20"/>
              </w:rPr>
              <w:t>50</w:t>
            </w:r>
          </w:p>
        </w:tc>
        <w:tc>
          <w:tcPr>
            <w:tcW w:w="1016" w:type="dxa"/>
            <w:noWrap/>
            <w:vAlign w:val="center"/>
          </w:tcPr>
          <w:p w:rsidR="00CD2A5A" w:rsidRDefault="00CD2A5A">
            <w:pPr>
              <w:spacing w:before="40" w:after="40"/>
              <w:ind w:right="170"/>
              <w:jc w:val="right"/>
              <w:rPr>
                <w:sz w:val="20"/>
                <w:szCs w:val="20"/>
              </w:rPr>
            </w:pPr>
            <w:r>
              <w:rPr>
                <w:sz w:val="20"/>
                <w:szCs w:val="20"/>
              </w:rPr>
              <w:t>12,38%</w:t>
            </w:r>
          </w:p>
        </w:tc>
        <w:tc>
          <w:tcPr>
            <w:tcW w:w="980" w:type="dxa"/>
            <w:noWrap/>
            <w:vAlign w:val="center"/>
          </w:tcPr>
          <w:p w:rsidR="00CD2A5A" w:rsidRDefault="00CD2A5A">
            <w:pPr>
              <w:spacing w:before="40" w:after="40"/>
              <w:ind w:right="170"/>
              <w:jc w:val="right"/>
              <w:rPr>
                <w:sz w:val="20"/>
                <w:szCs w:val="20"/>
              </w:rPr>
            </w:pPr>
            <w:r>
              <w:rPr>
                <w:sz w:val="20"/>
                <w:szCs w:val="20"/>
              </w:rPr>
              <w:t>31</w:t>
            </w:r>
          </w:p>
        </w:tc>
        <w:tc>
          <w:tcPr>
            <w:tcW w:w="1016" w:type="dxa"/>
            <w:noWrap/>
            <w:vAlign w:val="center"/>
          </w:tcPr>
          <w:p w:rsidR="00CD2A5A" w:rsidRDefault="00CD2A5A">
            <w:pPr>
              <w:spacing w:before="40" w:after="40"/>
              <w:ind w:right="170"/>
              <w:jc w:val="right"/>
              <w:rPr>
                <w:sz w:val="20"/>
                <w:szCs w:val="20"/>
              </w:rPr>
            </w:pPr>
            <w:r>
              <w:rPr>
                <w:sz w:val="20"/>
                <w:szCs w:val="20"/>
              </w:rPr>
              <w:t>37,35%</w:t>
            </w:r>
          </w:p>
        </w:tc>
        <w:tc>
          <w:tcPr>
            <w:tcW w:w="942" w:type="dxa"/>
            <w:noWrap/>
            <w:vAlign w:val="center"/>
          </w:tcPr>
          <w:p w:rsidR="00CD2A5A" w:rsidRDefault="00CD2A5A">
            <w:pPr>
              <w:spacing w:before="40" w:after="40"/>
              <w:ind w:right="170"/>
              <w:jc w:val="right"/>
              <w:rPr>
                <w:sz w:val="20"/>
                <w:szCs w:val="20"/>
              </w:rPr>
            </w:pPr>
            <w:r>
              <w:rPr>
                <w:sz w:val="20"/>
                <w:szCs w:val="20"/>
              </w:rPr>
              <w:t>131</w:t>
            </w:r>
          </w:p>
        </w:tc>
        <w:tc>
          <w:tcPr>
            <w:tcW w:w="1027" w:type="dxa"/>
            <w:noWrap/>
            <w:vAlign w:val="center"/>
          </w:tcPr>
          <w:p w:rsidR="00CD2A5A" w:rsidRDefault="00CD2A5A">
            <w:pPr>
              <w:spacing w:before="40" w:after="40"/>
              <w:ind w:right="170"/>
              <w:jc w:val="right"/>
              <w:rPr>
                <w:sz w:val="20"/>
                <w:szCs w:val="20"/>
              </w:rPr>
            </w:pPr>
            <w:r>
              <w:rPr>
                <w:sz w:val="20"/>
                <w:szCs w:val="20"/>
              </w:rPr>
              <w:t>10,18%</w:t>
            </w:r>
          </w:p>
        </w:tc>
        <w:tc>
          <w:tcPr>
            <w:tcW w:w="990" w:type="dxa"/>
            <w:noWrap/>
            <w:vAlign w:val="center"/>
          </w:tcPr>
          <w:p w:rsidR="00CD2A5A" w:rsidRDefault="00CD2A5A">
            <w:pPr>
              <w:spacing w:before="40" w:after="40"/>
              <w:ind w:right="170"/>
              <w:jc w:val="right"/>
              <w:rPr>
                <w:sz w:val="20"/>
                <w:szCs w:val="20"/>
              </w:rPr>
            </w:pPr>
            <w:r>
              <w:rPr>
                <w:sz w:val="20"/>
                <w:szCs w:val="20"/>
              </w:rPr>
              <w:t>155</w:t>
            </w:r>
          </w:p>
        </w:tc>
        <w:tc>
          <w:tcPr>
            <w:tcW w:w="1028" w:type="dxa"/>
            <w:noWrap/>
            <w:vAlign w:val="center"/>
          </w:tcPr>
          <w:p w:rsidR="00CD2A5A" w:rsidRDefault="00CD2A5A">
            <w:pPr>
              <w:spacing w:before="40" w:after="40"/>
              <w:ind w:right="170"/>
              <w:jc w:val="right"/>
              <w:rPr>
                <w:sz w:val="20"/>
                <w:szCs w:val="20"/>
              </w:rPr>
            </w:pPr>
            <w:r>
              <w:rPr>
                <w:sz w:val="20"/>
                <w:szCs w:val="20"/>
              </w:rPr>
              <w:t>13,86%</w:t>
            </w:r>
          </w:p>
        </w:tc>
        <w:tc>
          <w:tcPr>
            <w:tcW w:w="680" w:type="dxa"/>
            <w:noWrap/>
            <w:vAlign w:val="center"/>
          </w:tcPr>
          <w:p w:rsidR="00CD2A5A" w:rsidRDefault="00CD2A5A">
            <w:pPr>
              <w:spacing w:before="40" w:after="40"/>
              <w:ind w:right="170"/>
              <w:jc w:val="right"/>
              <w:rPr>
                <w:b/>
                <w:bCs/>
                <w:sz w:val="20"/>
                <w:szCs w:val="20"/>
              </w:rPr>
            </w:pPr>
            <w:r>
              <w:rPr>
                <w:b/>
                <w:bCs/>
                <w:sz w:val="20"/>
                <w:szCs w:val="20"/>
              </w:rPr>
              <w:t>367</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6-9</w:t>
            </w:r>
          </w:p>
        </w:tc>
        <w:tc>
          <w:tcPr>
            <w:tcW w:w="932" w:type="dxa"/>
            <w:noWrap/>
            <w:vAlign w:val="center"/>
          </w:tcPr>
          <w:p w:rsidR="00CD2A5A" w:rsidRDefault="00CD2A5A">
            <w:pPr>
              <w:spacing w:before="40" w:after="40"/>
              <w:ind w:right="170"/>
              <w:jc w:val="right"/>
              <w:rPr>
                <w:sz w:val="20"/>
                <w:szCs w:val="20"/>
              </w:rPr>
            </w:pPr>
            <w:r>
              <w:rPr>
                <w:sz w:val="20"/>
                <w:szCs w:val="20"/>
              </w:rPr>
              <w:t>72</w:t>
            </w:r>
          </w:p>
        </w:tc>
        <w:tc>
          <w:tcPr>
            <w:tcW w:w="1016" w:type="dxa"/>
            <w:noWrap/>
            <w:vAlign w:val="center"/>
          </w:tcPr>
          <w:p w:rsidR="00CD2A5A" w:rsidRDefault="00CD2A5A">
            <w:pPr>
              <w:spacing w:before="40" w:after="40"/>
              <w:ind w:right="170"/>
              <w:jc w:val="right"/>
              <w:rPr>
                <w:sz w:val="20"/>
                <w:szCs w:val="20"/>
              </w:rPr>
            </w:pPr>
            <w:r>
              <w:rPr>
                <w:sz w:val="20"/>
                <w:szCs w:val="20"/>
              </w:rPr>
              <w:t>17,82%</w:t>
            </w:r>
          </w:p>
        </w:tc>
        <w:tc>
          <w:tcPr>
            <w:tcW w:w="980" w:type="dxa"/>
            <w:noWrap/>
            <w:vAlign w:val="center"/>
          </w:tcPr>
          <w:p w:rsidR="00CD2A5A" w:rsidRDefault="00CD2A5A">
            <w:pPr>
              <w:spacing w:before="40" w:after="40"/>
              <w:ind w:right="170"/>
              <w:jc w:val="right"/>
              <w:rPr>
                <w:sz w:val="20"/>
                <w:szCs w:val="20"/>
              </w:rPr>
            </w:pPr>
            <w:r>
              <w:rPr>
                <w:sz w:val="20"/>
                <w:szCs w:val="20"/>
              </w:rPr>
              <w:t>34</w:t>
            </w:r>
          </w:p>
        </w:tc>
        <w:tc>
          <w:tcPr>
            <w:tcW w:w="1016" w:type="dxa"/>
            <w:noWrap/>
            <w:vAlign w:val="center"/>
          </w:tcPr>
          <w:p w:rsidR="00CD2A5A" w:rsidRDefault="00CD2A5A">
            <w:pPr>
              <w:spacing w:before="40" w:after="40"/>
              <w:ind w:right="170"/>
              <w:jc w:val="right"/>
              <w:rPr>
                <w:sz w:val="20"/>
                <w:szCs w:val="20"/>
              </w:rPr>
            </w:pPr>
            <w:r>
              <w:rPr>
                <w:sz w:val="20"/>
                <w:szCs w:val="20"/>
              </w:rPr>
              <w:t>40,96%</w:t>
            </w:r>
          </w:p>
        </w:tc>
        <w:tc>
          <w:tcPr>
            <w:tcW w:w="942" w:type="dxa"/>
            <w:noWrap/>
            <w:vAlign w:val="center"/>
          </w:tcPr>
          <w:p w:rsidR="00CD2A5A" w:rsidRDefault="00CD2A5A">
            <w:pPr>
              <w:spacing w:before="40" w:after="40"/>
              <w:ind w:right="170"/>
              <w:jc w:val="right"/>
              <w:rPr>
                <w:sz w:val="20"/>
                <w:szCs w:val="20"/>
              </w:rPr>
            </w:pPr>
            <w:r>
              <w:rPr>
                <w:sz w:val="20"/>
                <w:szCs w:val="20"/>
              </w:rPr>
              <w:t>265</w:t>
            </w:r>
          </w:p>
        </w:tc>
        <w:tc>
          <w:tcPr>
            <w:tcW w:w="1027" w:type="dxa"/>
            <w:noWrap/>
            <w:vAlign w:val="center"/>
          </w:tcPr>
          <w:p w:rsidR="00CD2A5A" w:rsidRDefault="00CD2A5A">
            <w:pPr>
              <w:spacing w:before="40" w:after="40"/>
              <w:ind w:right="170"/>
              <w:jc w:val="right"/>
              <w:rPr>
                <w:sz w:val="20"/>
                <w:szCs w:val="20"/>
              </w:rPr>
            </w:pPr>
            <w:r>
              <w:rPr>
                <w:sz w:val="20"/>
                <w:szCs w:val="20"/>
              </w:rPr>
              <w:t>20,59%</w:t>
            </w:r>
          </w:p>
        </w:tc>
        <w:tc>
          <w:tcPr>
            <w:tcW w:w="990" w:type="dxa"/>
            <w:noWrap/>
            <w:vAlign w:val="center"/>
          </w:tcPr>
          <w:p w:rsidR="00CD2A5A" w:rsidRDefault="00CD2A5A">
            <w:pPr>
              <w:spacing w:before="40" w:after="40"/>
              <w:ind w:right="170"/>
              <w:jc w:val="right"/>
              <w:rPr>
                <w:sz w:val="20"/>
                <w:szCs w:val="20"/>
              </w:rPr>
            </w:pPr>
            <w:r>
              <w:rPr>
                <w:sz w:val="20"/>
                <w:szCs w:val="20"/>
              </w:rPr>
              <w:t>315</w:t>
            </w:r>
          </w:p>
        </w:tc>
        <w:tc>
          <w:tcPr>
            <w:tcW w:w="1028" w:type="dxa"/>
            <w:noWrap/>
            <w:vAlign w:val="center"/>
          </w:tcPr>
          <w:p w:rsidR="00CD2A5A" w:rsidRDefault="00CD2A5A">
            <w:pPr>
              <w:spacing w:before="40" w:after="40"/>
              <w:ind w:right="170"/>
              <w:jc w:val="right"/>
              <w:rPr>
                <w:sz w:val="20"/>
                <w:szCs w:val="20"/>
              </w:rPr>
            </w:pPr>
            <w:r>
              <w:rPr>
                <w:sz w:val="20"/>
                <w:szCs w:val="20"/>
              </w:rPr>
              <w:t>28,18%</w:t>
            </w:r>
          </w:p>
        </w:tc>
        <w:tc>
          <w:tcPr>
            <w:tcW w:w="680" w:type="dxa"/>
            <w:noWrap/>
            <w:vAlign w:val="center"/>
          </w:tcPr>
          <w:p w:rsidR="00CD2A5A" w:rsidRDefault="00CD2A5A">
            <w:pPr>
              <w:spacing w:before="40" w:after="40"/>
              <w:ind w:right="170"/>
              <w:jc w:val="right"/>
              <w:rPr>
                <w:b/>
                <w:bCs/>
                <w:sz w:val="20"/>
                <w:szCs w:val="20"/>
              </w:rPr>
            </w:pPr>
            <w:r>
              <w:rPr>
                <w:b/>
                <w:bCs/>
                <w:sz w:val="20"/>
                <w:szCs w:val="20"/>
              </w:rPr>
              <w:t>686</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10-13</w:t>
            </w:r>
          </w:p>
        </w:tc>
        <w:tc>
          <w:tcPr>
            <w:tcW w:w="932" w:type="dxa"/>
            <w:noWrap/>
            <w:vAlign w:val="center"/>
          </w:tcPr>
          <w:p w:rsidR="00CD2A5A" w:rsidRDefault="00CD2A5A">
            <w:pPr>
              <w:spacing w:before="40" w:after="40"/>
              <w:ind w:right="170"/>
              <w:jc w:val="right"/>
              <w:rPr>
                <w:sz w:val="20"/>
                <w:szCs w:val="20"/>
              </w:rPr>
            </w:pPr>
            <w:r>
              <w:rPr>
                <w:sz w:val="20"/>
                <w:szCs w:val="20"/>
              </w:rPr>
              <w:t>130</w:t>
            </w:r>
          </w:p>
        </w:tc>
        <w:tc>
          <w:tcPr>
            <w:tcW w:w="1016" w:type="dxa"/>
            <w:noWrap/>
            <w:vAlign w:val="center"/>
          </w:tcPr>
          <w:p w:rsidR="00CD2A5A" w:rsidRDefault="00CD2A5A">
            <w:pPr>
              <w:spacing w:before="40" w:after="40"/>
              <w:ind w:right="170"/>
              <w:jc w:val="right"/>
              <w:rPr>
                <w:sz w:val="20"/>
                <w:szCs w:val="20"/>
              </w:rPr>
            </w:pPr>
            <w:r>
              <w:rPr>
                <w:sz w:val="20"/>
                <w:szCs w:val="20"/>
              </w:rPr>
              <w:t>32,18%</w:t>
            </w:r>
          </w:p>
        </w:tc>
        <w:tc>
          <w:tcPr>
            <w:tcW w:w="980" w:type="dxa"/>
            <w:noWrap/>
            <w:vAlign w:val="center"/>
          </w:tcPr>
          <w:p w:rsidR="00CD2A5A" w:rsidRDefault="00CD2A5A">
            <w:pPr>
              <w:spacing w:before="40" w:after="40"/>
              <w:ind w:right="170"/>
              <w:jc w:val="right"/>
              <w:rPr>
                <w:sz w:val="20"/>
                <w:szCs w:val="20"/>
              </w:rPr>
            </w:pPr>
            <w:r>
              <w:rPr>
                <w:sz w:val="20"/>
                <w:szCs w:val="20"/>
              </w:rPr>
              <w:t>15</w:t>
            </w:r>
          </w:p>
        </w:tc>
        <w:tc>
          <w:tcPr>
            <w:tcW w:w="1016" w:type="dxa"/>
            <w:noWrap/>
            <w:vAlign w:val="center"/>
          </w:tcPr>
          <w:p w:rsidR="00CD2A5A" w:rsidRDefault="00CD2A5A">
            <w:pPr>
              <w:spacing w:before="40" w:after="40"/>
              <w:ind w:right="170"/>
              <w:jc w:val="right"/>
              <w:rPr>
                <w:sz w:val="20"/>
                <w:szCs w:val="20"/>
              </w:rPr>
            </w:pPr>
            <w:r>
              <w:rPr>
                <w:sz w:val="20"/>
                <w:szCs w:val="20"/>
              </w:rPr>
              <w:t>18,07%</w:t>
            </w:r>
          </w:p>
        </w:tc>
        <w:tc>
          <w:tcPr>
            <w:tcW w:w="942" w:type="dxa"/>
            <w:noWrap/>
            <w:vAlign w:val="center"/>
          </w:tcPr>
          <w:p w:rsidR="00CD2A5A" w:rsidRDefault="00CD2A5A">
            <w:pPr>
              <w:spacing w:before="40" w:after="40"/>
              <w:ind w:right="170"/>
              <w:jc w:val="right"/>
              <w:rPr>
                <w:sz w:val="20"/>
                <w:szCs w:val="20"/>
              </w:rPr>
            </w:pPr>
            <w:r>
              <w:rPr>
                <w:sz w:val="20"/>
                <w:szCs w:val="20"/>
              </w:rPr>
              <w:t>346</w:t>
            </w:r>
          </w:p>
        </w:tc>
        <w:tc>
          <w:tcPr>
            <w:tcW w:w="1027" w:type="dxa"/>
            <w:noWrap/>
            <w:vAlign w:val="center"/>
          </w:tcPr>
          <w:p w:rsidR="00CD2A5A" w:rsidRDefault="00CD2A5A">
            <w:pPr>
              <w:spacing w:before="40" w:after="40"/>
              <w:ind w:right="170"/>
              <w:jc w:val="right"/>
              <w:rPr>
                <w:sz w:val="20"/>
                <w:szCs w:val="20"/>
              </w:rPr>
            </w:pPr>
            <w:r>
              <w:rPr>
                <w:sz w:val="20"/>
                <w:szCs w:val="20"/>
              </w:rPr>
              <w:t>26,88%</w:t>
            </w:r>
          </w:p>
        </w:tc>
        <w:tc>
          <w:tcPr>
            <w:tcW w:w="990" w:type="dxa"/>
            <w:noWrap/>
            <w:vAlign w:val="center"/>
          </w:tcPr>
          <w:p w:rsidR="00CD2A5A" w:rsidRDefault="00CD2A5A">
            <w:pPr>
              <w:spacing w:before="40" w:after="40"/>
              <w:ind w:right="170"/>
              <w:jc w:val="right"/>
              <w:rPr>
                <w:sz w:val="20"/>
                <w:szCs w:val="20"/>
              </w:rPr>
            </w:pPr>
            <w:r>
              <w:rPr>
                <w:sz w:val="20"/>
                <w:szCs w:val="20"/>
              </w:rPr>
              <w:t>371</w:t>
            </w:r>
          </w:p>
        </w:tc>
        <w:tc>
          <w:tcPr>
            <w:tcW w:w="1028" w:type="dxa"/>
            <w:noWrap/>
            <w:vAlign w:val="center"/>
          </w:tcPr>
          <w:p w:rsidR="00CD2A5A" w:rsidRDefault="00CD2A5A">
            <w:pPr>
              <w:spacing w:before="40" w:after="40"/>
              <w:ind w:right="170"/>
              <w:jc w:val="right"/>
              <w:rPr>
                <w:sz w:val="20"/>
                <w:szCs w:val="20"/>
              </w:rPr>
            </w:pPr>
            <w:r>
              <w:rPr>
                <w:sz w:val="20"/>
                <w:szCs w:val="20"/>
              </w:rPr>
              <w:t>33,18%</w:t>
            </w:r>
          </w:p>
        </w:tc>
        <w:tc>
          <w:tcPr>
            <w:tcW w:w="680" w:type="dxa"/>
            <w:noWrap/>
            <w:vAlign w:val="center"/>
          </w:tcPr>
          <w:p w:rsidR="00CD2A5A" w:rsidRDefault="00CD2A5A">
            <w:pPr>
              <w:spacing w:before="40" w:after="40"/>
              <w:ind w:right="170"/>
              <w:jc w:val="right"/>
              <w:rPr>
                <w:b/>
                <w:bCs/>
                <w:sz w:val="20"/>
                <w:szCs w:val="20"/>
              </w:rPr>
            </w:pPr>
            <w:r>
              <w:rPr>
                <w:b/>
                <w:bCs/>
                <w:sz w:val="20"/>
                <w:szCs w:val="20"/>
              </w:rPr>
              <w:t>862</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14-17</w:t>
            </w:r>
          </w:p>
        </w:tc>
        <w:tc>
          <w:tcPr>
            <w:tcW w:w="932" w:type="dxa"/>
            <w:noWrap/>
            <w:vAlign w:val="center"/>
          </w:tcPr>
          <w:p w:rsidR="00CD2A5A" w:rsidRDefault="00CD2A5A">
            <w:pPr>
              <w:spacing w:before="40" w:after="40"/>
              <w:ind w:right="170"/>
              <w:jc w:val="right"/>
              <w:rPr>
                <w:sz w:val="20"/>
                <w:szCs w:val="20"/>
              </w:rPr>
            </w:pPr>
            <w:r>
              <w:rPr>
                <w:sz w:val="20"/>
                <w:szCs w:val="20"/>
              </w:rPr>
              <w:t>146</w:t>
            </w:r>
          </w:p>
        </w:tc>
        <w:tc>
          <w:tcPr>
            <w:tcW w:w="1016" w:type="dxa"/>
            <w:noWrap/>
            <w:vAlign w:val="center"/>
          </w:tcPr>
          <w:p w:rsidR="00CD2A5A" w:rsidRDefault="00CD2A5A">
            <w:pPr>
              <w:spacing w:before="40" w:after="40"/>
              <w:ind w:right="170"/>
              <w:jc w:val="right"/>
              <w:rPr>
                <w:sz w:val="20"/>
                <w:szCs w:val="20"/>
              </w:rPr>
            </w:pPr>
            <w:r>
              <w:rPr>
                <w:sz w:val="20"/>
                <w:szCs w:val="20"/>
              </w:rPr>
              <w:t>36,14%</w:t>
            </w:r>
          </w:p>
        </w:tc>
        <w:tc>
          <w:tcPr>
            <w:tcW w:w="980" w:type="dxa"/>
            <w:noWrap/>
            <w:vAlign w:val="center"/>
          </w:tcPr>
          <w:p w:rsidR="00CD2A5A" w:rsidRDefault="00CD2A5A">
            <w:pPr>
              <w:spacing w:before="40" w:after="40"/>
              <w:ind w:right="170"/>
              <w:jc w:val="right"/>
              <w:rPr>
                <w:sz w:val="20"/>
                <w:szCs w:val="20"/>
              </w:rPr>
            </w:pPr>
            <w:r>
              <w:rPr>
                <w:sz w:val="20"/>
                <w:szCs w:val="20"/>
              </w:rPr>
              <w:t>2</w:t>
            </w:r>
          </w:p>
        </w:tc>
        <w:tc>
          <w:tcPr>
            <w:tcW w:w="1016" w:type="dxa"/>
            <w:noWrap/>
            <w:vAlign w:val="center"/>
          </w:tcPr>
          <w:p w:rsidR="00CD2A5A" w:rsidRDefault="00CD2A5A">
            <w:pPr>
              <w:spacing w:before="40" w:after="40"/>
              <w:ind w:right="170"/>
              <w:jc w:val="right"/>
              <w:rPr>
                <w:sz w:val="20"/>
                <w:szCs w:val="20"/>
              </w:rPr>
            </w:pPr>
            <w:r>
              <w:rPr>
                <w:sz w:val="20"/>
                <w:szCs w:val="20"/>
              </w:rPr>
              <w:t>2,41%</w:t>
            </w:r>
          </w:p>
        </w:tc>
        <w:tc>
          <w:tcPr>
            <w:tcW w:w="942" w:type="dxa"/>
            <w:noWrap/>
            <w:vAlign w:val="center"/>
          </w:tcPr>
          <w:p w:rsidR="00CD2A5A" w:rsidRDefault="00CD2A5A">
            <w:pPr>
              <w:spacing w:before="40" w:after="40"/>
              <w:ind w:right="170"/>
              <w:jc w:val="right"/>
              <w:rPr>
                <w:sz w:val="20"/>
                <w:szCs w:val="20"/>
              </w:rPr>
            </w:pPr>
            <w:r>
              <w:rPr>
                <w:sz w:val="20"/>
                <w:szCs w:val="20"/>
              </w:rPr>
              <w:t>414</w:t>
            </w:r>
          </w:p>
        </w:tc>
        <w:tc>
          <w:tcPr>
            <w:tcW w:w="1027" w:type="dxa"/>
            <w:noWrap/>
            <w:vAlign w:val="center"/>
          </w:tcPr>
          <w:p w:rsidR="00CD2A5A" w:rsidRDefault="00CD2A5A">
            <w:pPr>
              <w:spacing w:before="40" w:after="40"/>
              <w:ind w:right="170"/>
              <w:jc w:val="right"/>
              <w:rPr>
                <w:sz w:val="20"/>
                <w:szCs w:val="20"/>
              </w:rPr>
            </w:pPr>
            <w:r>
              <w:rPr>
                <w:sz w:val="20"/>
                <w:szCs w:val="20"/>
              </w:rPr>
              <w:t>32,17%</w:t>
            </w:r>
          </w:p>
        </w:tc>
        <w:tc>
          <w:tcPr>
            <w:tcW w:w="990" w:type="dxa"/>
            <w:noWrap/>
            <w:vAlign w:val="center"/>
          </w:tcPr>
          <w:p w:rsidR="00CD2A5A" w:rsidRDefault="00CD2A5A">
            <w:pPr>
              <w:spacing w:before="40" w:after="40"/>
              <w:ind w:right="170"/>
              <w:jc w:val="right"/>
              <w:rPr>
                <w:sz w:val="20"/>
                <w:szCs w:val="20"/>
              </w:rPr>
            </w:pPr>
            <w:r>
              <w:rPr>
                <w:sz w:val="20"/>
                <w:szCs w:val="20"/>
              </w:rPr>
              <w:t>199</w:t>
            </w:r>
          </w:p>
        </w:tc>
        <w:tc>
          <w:tcPr>
            <w:tcW w:w="1028" w:type="dxa"/>
            <w:noWrap/>
            <w:vAlign w:val="center"/>
          </w:tcPr>
          <w:p w:rsidR="00CD2A5A" w:rsidRDefault="00CD2A5A">
            <w:pPr>
              <w:spacing w:before="40" w:after="40"/>
              <w:ind w:right="170"/>
              <w:jc w:val="right"/>
              <w:rPr>
                <w:sz w:val="20"/>
                <w:szCs w:val="20"/>
              </w:rPr>
            </w:pPr>
            <w:r>
              <w:rPr>
                <w:sz w:val="20"/>
                <w:szCs w:val="20"/>
              </w:rPr>
              <w:t>17,80%</w:t>
            </w:r>
          </w:p>
        </w:tc>
        <w:tc>
          <w:tcPr>
            <w:tcW w:w="680" w:type="dxa"/>
            <w:noWrap/>
            <w:vAlign w:val="center"/>
          </w:tcPr>
          <w:p w:rsidR="00CD2A5A" w:rsidRDefault="00CD2A5A">
            <w:pPr>
              <w:spacing w:before="40" w:after="40"/>
              <w:ind w:right="170"/>
              <w:jc w:val="right"/>
              <w:rPr>
                <w:b/>
                <w:bCs/>
                <w:sz w:val="20"/>
                <w:szCs w:val="20"/>
              </w:rPr>
            </w:pPr>
            <w:r>
              <w:rPr>
                <w:b/>
                <w:bCs/>
                <w:sz w:val="20"/>
                <w:szCs w:val="20"/>
              </w:rPr>
              <w:t>761</w:t>
            </w:r>
          </w:p>
        </w:tc>
      </w:tr>
      <w:tr w:rsidR="00CD2A5A">
        <w:trPr>
          <w:trHeight w:val="360"/>
          <w:jc w:val="center"/>
        </w:trPr>
        <w:tc>
          <w:tcPr>
            <w:tcW w:w="801" w:type="dxa"/>
            <w:noWrap/>
            <w:vAlign w:val="center"/>
          </w:tcPr>
          <w:p w:rsidR="00CD2A5A" w:rsidRDefault="00CD2A5A">
            <w:pPr>
              <w:keepNext/>
              <w:spacing w:before="40" w:after="40"/>
              <w:rPr>
                <w:b/>
                <w:bCs/>
                <w:sz w:val="20"/>
                <w:szCs w:val="20"/>
              </w:rPr>
            </w:pPr>
            <w:r>
              <w:rPr>
                <w:b/>
                <w:bCs/>
                <w:sz w:val="20"/>
                <w:szCs w:val="20"/>
              </w:rPr>
              <w:t>Total:</w:t>
            </w:r>
          </w:p>
        </w:tc>
        <w:tc>
          <w:tcPr>
            <w:tcW w:w="932" w:type="dxa"/>
            <w:noWrap/>
            <w:vAlign w:val="center"/>
          </w:tcPr>
          <w:p w:rsidR="00CD2A5A" w:rsidRDefault="00CD2A5A">
            <w:pPr>
              <w:spacing w:before="40" w:after="40"/>
              <w:ind w:right="170"/>
              <w:jc w:val="right"/>
              <w:rPr>
                <w:b/>
                <w:bCs/>
                <w:sz w:val="20"/>
                <w:szCs w:val="20"/>
              </w:rPr>
            </w:pPr>
            <w:r>
              <w:rPr>
                <w:b/>
                <w:bCs/>
                <w:sz w:val="20"/>
                <w:szCs w:val="20"/>
              </w:rPr>
              <w:t>404</w:t>
            </w:r>
          </w:p>
        </w:tc>
        <w:tc>
          <w:tcPr>
            <w:tcW w:w="1016" w:type="dxa"/>
            <w:noWrap/>
            <w:vAlign w:val="center"/>
          </w:tcPr>
          <w:p w:rsidR="00CD2A5A" w:rsidRDefault="00CD2A5A">
            <w:pPr>
              <w:spacing w:before="40" w:after="40"/>
              <w:rPr>
                <w:b/>
                <w:bCs/>
                <w:sz w:val="20"/>
                <w:szCs w:val="20"/>
              </w:rPr>
            </w:pPr>
          </w:p>
        </w:tc>
        <w:tc>
          <w:tcPr>
            <w:tcW w:w="980" w:type="dxa"/>
            <w:noWrap/>
            <w:vAlign w:val="center"/>
          </w:tcPr>
          <w:p w:rsidR="00CD2A5A" w:rsidRDefault="00CD2A5A">
            <w:pPr>
              <w:spacing w:before="40" w:after="40"/>
              <w:ind w:right="170"/>
              <w:jc w:val="right"/>
              <w:rPr>
                <w:b/>
                <w:bCs/>
                <w:sz w:val="20"/>
                <w:szCs w:val="20"/>
              </w:rPr>
            </w:pPr>
            <w:r>
              <w:rPr>
                <w:b/>
                <w:bCs/>
                <w:sz w:val="20"/>
                <w:szCs w:val="20"/>
              </w:rPr>
              <w:t>83</w:t>
            </w:r>
          </w:p>
        </w:tc>
        <w:tc>
          <w:tcPr>
            <w:tcW w:w="1016" w:type="dxa"/>
            <w:noWrap/>
            <w:vAlign w:val="center"/>
          </w:tcPr>
          <w:p w:rsidR="00CD2A5A" w:rsidRDefault="00CD2A5A">
            <w:pPr>
              <w:spacing w:before="40" w:after="40"/>
              <w:rPr>
                <w:b/>
                <w:bCs/>
                <w:sz w:val="20"/>
                <w:szCs w:val="20"/>
              </w:rPr>
            </w:pPr>
          </w:p>
        </w:tc>
        <w:tc>
          <w:tcPr>
            <w:tcW w:w="942" w:type="dxa"/>
            <w:noWrap/>
            <w:vAlign w:val="center"/>
          </w:tcPr>
          <w:p w:rsidR="00CD2A5A" w:rsidRDefault="00CD2A5A">
            <w:pPr>
              <w:spacing w:before="40" w:after="40"/>
              <w:ind w:right="170"/>
              <w:jc w:val="right"/>
              <w:rPr>
                <w:b/>
                <w:bCs/>
                <w:sz w:val="20"/>
                <w:szCs w:val="20"/>
              </w:rPr>
            </w:pPr>
            <w:r>
              <w:rPr>
                <w:b/>
                <w:bCs/>
                <w:sz w:val="20"/>
                <w:szCs w:val="20"/>
              </w:rPr>
              <w:t>1,287</w:t>
            </w:r>
          </w:p>
        </w:tc>
        <w:tc>
          <w:tcPr>
            <w:tcW w:w="1027" w:type="dxa"/>
            <w:noWrap/>
            <w:vAlign w:val="center"/>
          </w:tcPr>
          <w:p w:rsidR="00CD2A5A" w:rsidRDefault="00CD2A5A">
            <w:pPr>
              <w:spacing w:before="40" w:after="40"/>
              <w:rPr>
                <w:b/>
                <w:bCs/>
                <w:sz w:val="20"/>
                <w:szCs w:val="20"/>
              </w:rPr>
            </w:pPr>
          </w:p>
        </w:tc>
        <w:tc>
          <w:tcPr>
            <w:tcW w:w="990" w:type="dxa"/>
            <w:noWrap/>
            <w:vAlign w:val="center"/>
          </w:tcPr>
          <w:p w:rsidR="00CD2A5A" w:rsidRDefault="00CD2A5A">
            <w:pPr>
              <w:spacing w:before="40" w:after="40"/>
              <w:ind w:right="170"/>
              <w:jc w:val="right"/>
              <w:rPr>
                <w:b/>
                <w:bCs/>
                <w:sz w:val="20"/>
                <w:szCs w:val="20"/>
              </w:rPr>
            </w:pPr>
            <w:r>
              <w:rPr>
                <w:b/>
                <w:bCs/>
                <w:sz w:val="20"/>
                <w:szCs w:val="20"/>
              </w:rPr>
              <w:t>1,118</w:t>
            </w:r>
          </w:p>
        </w:tc>
        <w:tc>
          <w:tcPr>
            <w:tcW w:w="1028" w:type="dxa"/>
            <w:noWrap/>
            <w:vAlign w:val="center"/>
          </w:tcPr>
          <w:p w:rsidR="00CD2A5A" w:rsidRDefault="00CD2A5A">
            <w:pPr>
              <w:spacing w:before="40" w:after="40"/>
              <w:rPr>
                <w:b/>
                <w:bCs/>
                <w:sz w:val="20"/>
                <w:szCs w:val="20"/>
              </w:rPr>
            </w:pPr>
          </w:p>
        </w:tc>
        <w:tc>
          <w:tcPr>
            <w:tcW w:w="680" w:type="dxa"/>
            <w:noWrap/>
            <w:vAlign w:val="center"/>
          </w:tcPr>
          <w:p w:rsidR="00CD2A5A" w:rsidRDefault="00CD2A5A">
            <w:pPr>
              <w:spacing w:before="40" w:after="40"/>
              <w:ind w:right="170"/>
              <w:jc w:val="right"/>
              <w:rPr>
                <w:b/>
                <w:bCs/>
                <w:sz w:val="20"/>
                <w:szCs w:val="20"/>
              </w:rPr>
            </w:pPr>
            <w:r>
              <w:rPr>
                <w:b/>
                <w:bCs/>
                <w:sz w:val="20"/>
                <w:szCs w:val="20"/>
              </w:rPr>
              <w:t>2,892</w:t>
            </w:r>
          </w:p>
        </w:tc>
      </w:tr>
    </w:tbl>
    <w:p w:rsidR="00CD2A5A" w:rsidRDefault="00CD2A5A">
      <w:pPr>
        <w:spacing w:after="240"/>
        <w:rPr>
          <w:lang w:val="es-SV"/>
        </w:rPr>
      </w:pPr>
    </w:p>
    <w:p w:rsidR="00CD2A5A" w:rsidRDefault="00CD2A5A" w:rsidP="006228EF">
      <w:pPr>
        <w:pStyle w:val="A0"/>
        <w:rPr>
          <w:bCs/>
        </w:rPr>
      </w:pPr>
      <w:r>
        <w:t>B.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01"/>
        <w:gridCol w:w="932"/>
        <w:gridCol w:w="1016"/>
        <w:gridCol w:w="980"/>
        <w:gridCol w:w="1016"/>
        <w:gridCol w:w="942"/>
        <w:gridCol w:w="1027"/>
        <w:gridCol w:w="990"/>
        <w:gridCol w:w="1028"/>
        <w:gridCol w:w="680"/>
      </w:tblGrid>
      <w:tr w:rsidR="00CD2A5A">
        <w:trPr>
          <w:cantSplit/>
          <w:trHeight w:val="360"/>
          <w:jc w:val="center"/>
        </w:trPr>
        <w:tc>
          <w:tcPr>
            <w:tcW w:w="800" w:type="dxa"/>
            <w:vMerge w:val="restart"/>
            <w:noWrap/>
            <w:vAlign w:val="center"/>
          </w:tcPr>
          <w:p w:rsidR="00CD2A5A" w:rsidRDefault="00CD2A5A">
            <w:pPr>
              <w:pStyle w:val="Heading3"/>
              <w:spacing w:before="40" w:after="40" w:line="240" w:lineRule="auto"/>
              <w:rPr>
                <w:i/>
                <w:sz w:val="20"/>
              </w:rPr>
            </w:pPr>
            <w:r>
              <w:rPr>
                <w:i/>
                <w:sz w:val="20"/>
              </w:rPr>
              <w:t>Edad</w:t>
            </w:r>
          </w:p>
        </w:tc>
        <w:tc>
          <w:tcPr>
            <w:tcW w:w="3800" w:type="dxa"/>
            <w:gridSpan w:val="4"/>
            <w:noWrap/>
            <w:vAlign w:val="center"/>
          </w:tcPr>
          <w:p w:rsidR="00CD2A5A" w:rsidRDefault="00CD2A5A">
            <w:pPr>
              <w:spacing w:before="40" w:after="40"/>
              <w:jc w:val="center"/>
              <w:rPr>
                <w:b/>
                <w:bCs/>
                <w:i/>
                <w:sz w:val="20"/>
                <w:szCs w:val="20"/>
              </w:rPr>
            </w:pPr>
            <w:r>
              <w:rPr>
                <w:b/>
                <w:bCs/>
                <w:i/>
                <w:sz w:val="20"/>
                <w:szCs w:val="20"/>
              </w:rPr>
              <w:t>Agresión Sexual</w:t>
            </w:r>
          </w:p>
        </w:tc>
        <w:tc>
          <w:tcPr>
            <w:tcW w:w="3840" w:type="dxa"/>
            <w:gridSpan w:val="4"/>
            <w:noWrap/>
            <w:vAlign w:val="center"/>
          </w:tcPr>
          <w:p w:rsidR="00CD2A5A" w:rsidRDefault="00CD2A5A">
            <w:pPr>
              <w:spacing w:before="40" w:after="40"/>
              <w:jc w:val="center"/>
              <w:rPr>
                <w:b/>
                <w:bCs/>
                <w:i/>
                <w:sz w:val="20"/>
                <w:szCs w:val="20"/>
              </w:rPr>
            </w:pPr>
            <w:r>
              <w:rPr>
                <w:b/>
                <w:bCs/>
                <w:i/>
                <w:sz w:val="20"/>
                <w:szCs w:val="20"/>
              </w:rPr>
              <w:t>Maltrato a la Niñez</w:t>
            </w:r>
          </w:p>
        </w:tc>
        <w:tc>
          <w:tcPr>
            <w:tcW w:w="680" w:type="dxa"/>
            <w:noWrap/>
            <w:vAlign w:val="center"/>
          </w:tcPr>
          <w:p w:rsidR="00CD2A5A" w:rsidRDefault="00CD2A5A">
            <w:pPr>
              <w:spacing w:before="40" w:after="40"/>
              <w:jc w:val="center"/>
              <w:rPr>
                <w:i/>
                <w:sz w:val="20"/>
                <w:szCs w:val="20"/>
              </w:rPr>
            </w:pPr>
          </w:p>
        </w:tc>
      </w:tr>
      <w:tr w:rsidR="00CD2A5A">
        <w:trPr>
          <w:cantSplit/>
          <w:trHeight w:val="360"/>
          <w:jc w:val="center"/>
        </w:trPr>
        <w:tc>
          <w:tcPr>
            <w:tcW w:w="801" w:type="dxa"/>
            <w:vMerge/>
            <w:noWrap/>
            <w:vAlign w:val="center"/>
          </w:tcPr>
          <w:p w:rsidR="00CD2A5A" w:rsidRDefault="00CD2A5A">
            <w:pPr>
              <w:spacing w:before="40" w:after="40"/>
              <w:jc w:val="center"/>
              <w:rPr>
                <w:i/>
                <w:sz w:val="20"/>
                <w:szCs w:val="20"/>
              </w:rPr>
            </w:pPr>
          </w:p>
        </w:tc>
        <w:tc>
          <w:tcPr>
            <w:tcW w:w="932" w:type="dxa"/>
            <w:noWrap/>
            <w:vAlign w:val="center"/>
          </w:tcPr>
          <w:p w:rsidR="00CD2A5A" w:rsidRDefault="00CD2A5A">
            <w:pPr>
              <w:spacing w:before="40" w:after="40"/>
              <w:jc w:val="center"/>
              <w:rPr>
                <w:b/>
                <w:bCs/>
                <w:i/>
                <w:sz w:val="20"/>
                <w:szCs w:val="20"/>
              </w:rPr>
            </w:pPr>
            <w:r>
              <w:rPr>
                <w:b/>
                <w:bCs/>
                <w:i/>
                <w:sz w:val="20"/>
                <w:szCs w:val="20"/>
              </w:rPr>
              <w:t>Femenino</w:t>
            </w:r>
          </w:p>
        </w:tc>
        <w:tc>
          <w:tcPr>
            <w:tcW w:w="1016" w:type="dxa"/>
            <w:noWrap/>
            <w:vAlign w:val="center"/>
          </w:tcPr>
          <w:p w:rsidR="00CD2A5A" w:rsidRDefault="00CD2A5A">
            <w:pPr>
              <w:spacing w:before="40" w:after="40"/>
              <w:jc w:val="center"/>
              <w:rPr>
                <w:b/>
                <w:bCs/>
                <w:i/>
                <w:sz w:val="20"/>
                <w:szCs w:val="20"/>
              </w:rPr>
            </w:pPr>
            <w:r>
              <w:rPr>
                <w:b/>
                <w:bCs/>
                <w:i/>
                <w:sz w:val="20"/>
                <w:szCs w:val="20"/>
              </w:rPr>
              <w:t>Porcentaje</w:t>
            </w:r>
          </w:p>
        </w:tc>
        <w:tc>
          <w:tcPr>
            <w:tcW w:w="980" w:type="dxa"/>
            <w:noWrap/>
            <w:vAlign w:val="center"/>
          </w:tcPr>
          <w:p w:rsidR="00CD2A5A" w:rsidRDefault="00CD2A5A">
            <w:pPr>
              <w:spacing w:before="40" w:after="40"/>
              <w:jc w:val="center"/>
              <w:rPr>
                <w:b/>
                <w:bCs/>
                <w:i/>
                <w:sz w:val="20"/>
                <w:szCs w:val="20"/>
              </w:rPr>
            </w:pPr>
            <w:r>
              <w:rPr>
                <w:b/>
                <w:bCs/>
                <w:i/>
                <w:sz w:val="20"/>
                <w:szCs w:val="20"/>
              </w:rPr>
              <w:t>Masculino</w:t>
            </w:r>
          </w:p>
        </w:tc>
        <w:tc>
          <w:tcPr>
            <w:tcW w:w="1016" w:type="dxa"/>
            <w:noWrap/>
            <w:vAlign w:val="center"/>
          </w:tcPr>
          <w:p w:rsidR="00CD2A5A" w:rsidRDefault="00CD2A5A">
            <w:pPr>
              <w:spacing w:before="40" w:after="40"/>
              <w:jc w:val="center"/>
              <w:rPr>
                <w:b/>
                <w:bCs/>
                <w:i/>
                <w:sz w:val="20"/>
                <w:szCs w:val="20"/>
              </w:rPr>
            </w:pPr>
            <w:r>
              <w:rPr>
                <w:b/>
                <w:bCs/>
                <w:i/>
                <w:sz w:val="20"/>
                <w:szCs w:val="20"/>
              </w:rPr>
              <w:t>Porcentaje</w:t>
            </w:r>
          </w:p>
        </w:tc>
        <w:tc>
          <w:tcPr>
            <w:tcW w:w="942" w:type="dxa"/>
            <w:noWrap/>
            <w:vAlign w:val="center"/>
          </w:tcPr>
          <w:p w:rsidR="00CD2A5A" w:rsidRDefault="00CD2A5A">
            <w:pPr>
              <w:spacing w:before="40" w:after="40"/>
              <w:jc w:val="center"/>
              <w:rPr>
                <w:b/>
                <w:bCs/>
                <w:i/>
                <w:sz w:val="20"/>
                <w:szCs w:val="20"/>
              </w:rPr>
            </w:pPr>
            <w:r>
              <w:rPr>
                <w:b/>
                <w:bCs/>
                <w:i/>
                <w:sz w:val="20"/>
                <w:szCs w:val="20"/>
              </w:rPr>
              <w:t>Femenino</w:t>
            </w:r>
          </w:p>
        </w:tc>
        <w:tc>
          <w:tcPr>
            <w:tcW w:w="1027" w:type="dxa"/>
            <w:noWrap/>
            <w:vAlign w:val="center"/>
          </w:tcPr>
          <w:p w:rsidR="00CD2A5A" w:rsidRDefault="00CD2A5A">
            <w:pPr>
              <w:spacing w:before="40" w:after="40"/>
              <w:jc w:val="center"/>
              <w:rPr>
                <w:b/>
                <w:bCs/>
                <w:i/>
                <w:sz w:val="20"/>
                <w:szCs w:val="20"/>
              </w:rPr>
            </w:pPr>
            <w:r>
              <w:rPr>
                <w:b/>
                <w:bCs/>
                <w:i/>
                <w:sz w:val="20"/>
                <w:szCs w:val="20"/>
              </w:rPr>
              <w:t>Porcentaje</w:t>
            </w:r>
          </w:p>
        </w:tc>
        <w:tc>
          <w:tcPr>
            <w:tcW w:w="990" w:type="dxa"/>
            <w:noWrap/>
            <w:vAlign w:val="center"/>
          </w:tcPr>
          <w:p w:rsidR="00CD2A5A" w:rsidRDefault="00CD2A5A">
            <w:pPr>
              <w:spacing w:before="40" w:after="40"/>
              <w:jc w:val="center"/>
              <w:rPr>
                <w:b/>
                <w:bCs/>
                <w:i/>
                <w:sz w:val="20"/>
                <w:szCs w:val="20"/>
              </w:rPr>
            </w:pPr>
            <w:r>
              <w:rPr>
                <w:b/>
                <w:bCs/>
                <w:i/>
                <w:sz w:val="20"/>
                <w:szCs w:val="20"/>
              </w:rPr>
              <w:t>Masculino</w:t>
            </w:r>
          </w:p>
        </w:tc>
        <w:tc>
          <w:tcPr>
            <w:tcW w:w="1028" w:type="dxa"/>
            <w:noWrap/>
            <w:vAlign w:val="center"/>
          </w:tcPr>
          <w:p w:rsidR="00CD2A5A" w:rsidRDefault="00CD2A5A">
            <w:pPr>
              <w:spacing w:before="40" w:after="40"/>
              <w:jc w:val="center"/>
              <w:rPr>
                <w:b/>
                <w:bCs/>
                <w:i/>
                <w:sz w:val="20"/>
                <w:szCs w:val="20"/>
              </w:rPr>
            </w:pPr>
            <w:r>
              <w:rPr>
                <w:b/>
                <w:bCs/>
                <w:i/>
                <w:sz w:val="20"/>
                <w:szCs w:val="20"/>
              </w:rPr>
              <w:t>Porcentaje</w:t>
            </w:r>
          </w:p>
        </w:tc>
        <w:tc>
          <w:tcPr>
            <w:tcW w:w="680" w:type="dxa"/>
            <w:noWrap/>
            <w:vAlign w:val="center"/>
          </w:tcPr>
          <w:p w:rsidR="00CD2A5A" w:rsidRDefault="00CD2A5A">
            <w:pPr>
              <w:keepNext/>
              <w:spacing w:before="40" w:after="40"/>
              <w:jc w:val="center"/>
              <w:rPr>
                <w:i/>
                <w:sz w:val="20"/>
                <w:szCs w:val="20"/>
              </w:rPr>
            </w:pPr>
            <w:r>
              <w:rPr>
                <w:b/>
                <w:bCs/>
                <w:i/>
                <w:sz w:val="20"/>
                <w:szCs w:val="20"/>
              </w:rPr>
              <w:t>Total</w:t>
            </w:r>
            <w:r>
              <w:rPr>
                <w:i/>
                <w:sz w:val="20"/>
                <w:szCs w:val="20"/>
              </w:rPr>
              <w:t>:</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0-1</w:t>
            </w:r>
          </w:p>
        </w:tc>
        <w:tc>
          <w:tcPr>
            <w:tcW w:w="932" w:type="dxa"/>
            <w:noWrap/>
            <w:vAlign w:val="center"/>
          </w:tcPr>
          <w:p w:rsidR="00CD2A5A" w:rsidRDefault="00CD2A5A">
            <w:pPr>
              <w:spacing w:before="40" w:after="40"/>
              <w:ind w:right="170"/>
              <w:jc w:val="right"/>
              <w:rPr>
                <w:sz w:val="20"/>
                <w:szCs w:val="20"/>
              </w:rPr>
            </w:pPr>
          </w:p>
        </w:tc>
        <w:tc>
          <w:tcPr>
            <w:tcW w:w="1016" w:type="dxa"/>
            <w:noWrap/>
            <w:vAlign w:val="center"/>
          </w:tcPr>
          <w:p w:rsidR="00CD2A5A" w:rsidRDefault="00CD2A5A">
            <w:pPr>
              <w:spacing w:before="40" w:after="40"/>
              <w:ind w:right="170"/>
              <w:jc w:val="right"/>
              <w:rPr>
                <w:sz w:val="20"/>
                <w:szCs w:val="20"/>
              </w:rPr>
            </w:pPr>
          </w:p>
        </w:tc>
        <w:tc>
          <w:tcPr>
            <w:tcW w:w="980" w:type="dxa"/>
            <w:noWrap/>
            <w:vAlign w:val="center"/>
          </w:tcPr>
          <w:p w:rsidR="00CD2A5A" w:rsidRDefault="00CD2A5A">
            <w:pPr>
              <w:spacing w:before="40" w:after="40"/>
              <w:ind w:right="170"/>
              <w:jc w:val="right"/>
              <w:rPr>
                <w:sz w:val="20"/>
                <w:szCs w:val="20"/>
              </w:rPr>
            </w:pPr>
            <w:r>
              <w:rPr>
                <w:sz w:val="20"/>
                <w:szCs w:val="20"/>
              </w:rPr>
              <w:t>2</w:t>
            </w:r>
          </w:p>
        </w:tc>
        <w:tc>
          <w:tcPr>
            <w:tcW w:w="1016" w:type="dxa"/>
            <w:noWrap/>
            <w:vAlign w:val="center"/>
          </w:tcPr>
          <w:p w:rsidR="00CD2A5A" w:rsidRDefault="00CD2A5A">
            <w:pPr>
              <w:spacing w:before="40" w:after="40"/>
              <w:ind w:right="170"/>
              <w:jc w:val="right"/>
              <w:rPr>
                <w:sz w:val="20"/>
                <w:szCs w:val="20"/>
              </w:rPr>
            </w:pPr>
            <w:r>
              <w:rPr>
                <w:sz w:val="20"/>
                <w:szCs w:val="20"/>
              </w:rPr>
              <w:t>3,51%</w:t>
            </w:r>
          </w:p>
        </w:tc>
        <w:tc>
          <w:tcPr>
            <w:tcW w:w="942" w:type="dxa"/>
            <w:noWrap/>
            <w:vAlign w:val="center"/>
          </w:tcPr>
          <w:p w:rsidR="00CD2A5A" w:rsidRDefault="00CD2A5A">
            <w:pPr>
              <w:spacing w:before="40" w:after="40"/>
              <w:ind w:right="170"/>
              <w:jc w:val="right"/>
              <w:rPr>
                <w:sz w:val="20"/>
                <w:szCs w:val="20"/>
              </w:rPr>
            </w:pPr>
            <w:r>
              <w:rPr>
                <w:sz w:val="20"/>
                <w:szCs w:val="20"/>
              </w:rPr>
              <w:t>17</w:t>
            </w:r>
          </w:p>
        </w:tc>
        <w:tc>
          <w:tcPr>
            <w:tcW w:w="1027" w:type="dxa"/>
            <w:noWrap/>
            <w:vAlign w:val="center"/>
          </w:tcPr>
          <w:p w:rsidR="00CD2A5A" w:rsidRDefault="00CD2A5A">
            <w:pPr>
              <w:spacing w:before="40" w:after="40"/>
              <w:ind w:right="170"/>
              <w:jc w:val="right"/>
              <w:rPr>
                <w:sz w:val="20"/>
                <w:szCs w:val="20"/>
              </w:rPr>
            </w:pPr>
            <w:r>
              <w:rPr>
                <w:sz w:val="20"/>
                <w:szCs w:val="20"/>
              </w:rPr>
              <w:t>1,55%</w:t>
            </w:r>
          </w:p>
        </w:tc>
        <w:tc>
          <w:tcPr>
            <w:tcW w:w="990" w:type="dxa"/>
            <w:noWrap/>
            <w:vAlign w:val="center"/>
          </w:tcPr>
          <w:p w:rsidR="00CD2A5A" w:rsidRDefault="00CD2A5A">
            <w:pPr>
              <w:spacing w:before="40" w:after="40"/>
              <w:ind w:right="170"/>
              <w:jc w:val="right"/>
              <w:rPr>
                <w:sz w:val="20"/>
                <w:szCs w:val="20"/>
              </w:rPr>
            </w:pPr>
            <w:r>
              <w:rPr>
                <w:sz w:val="20"/>
                <w:szCs w:val="20"/>
              </w:rPr>
              <w:t>21</w:t>
            </w:r>
          </w:p>
        </w:tc>
        <w:tc>
          <w:tcPr>
            <w:tcW w:w="1028" w:type="dxa"/>
            <w:noWrap/>
            <w:vAlign w:val="center"/>
          </w:tcPr>
          <w:p w:rsidR="00CD2A5A" w:rsidRDefault="00CD2A5A">
            <w:pPr>
              <w:spacing w:before="40" w:after="40"/>
              <w:ind w:right="170"/>
              <w:jc w:val="right"/>
              <w:rPr>
                <w:sz w:val="20"/>
                <w:szCs w:val="20"/>
              </w:rPr>
            </w:pPr>
            <w:r>
              <w:rPr>
                <w:sz w:val="20"/>
                <w:szCs w:val="20"/>
              </w:rPr>
              <w:t>2,01%</w:t>
            </w:r>
          </w:p>
        </w:tc>
        <w:tc>
          <w:tcPr>
            <w:tcW w:w="680" w:type="dxa"/>
            <w:noWrap/>
            <w:vAlign w:val="center"/>
          </w:tcPr>
          <w:p w:rsidR="00CD2A5A" w:rsidRDefault="00CD2A5A">
            <w:pPr>
              <w:spacing w:before="40" w:after="40"/>
              <w:ind w:right="57"/>
              <w:jc w:val="right"/>
              <w:rPr>
                <w:b/>
                <w:bCs/>
                <w:sz w:val="20"/>
                <w:szCs w:val="20"/>
              </w:rPr>
            </w:pPr>
            <w:r>
              <w:rPr>
                <w:b/>
                <w:bCs/>
                <w:sz w:val="20"/>
                <w:szCs w:val="20"/>
              </w:rPr>
              <w:t>40</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2-5</w:t>
            </w:r>
          </w:p>
        </w:tc>
        <w:tc>
          <w:tcPr>
            <w:tcW w:w="932" w:type="dxa"/>
            <w:noWrap/>
            <w:vAlign w:val="center"/>
          </w:tcPr>
          <w:p w:rsidR="00CD2A5A" w:rsidRDefault="00CD2A5A">
            <w:pPr>
              <w:spacing w:before="40" w:after="40"/>
              <w:ind w:right="170"/>
              <w:jc w:val="right"/>
              <w:rPr>
                <w:sz w:val="20"/>
                <w:szCs w:val="20"/>
              </w:rPr>
            </w:pPr>
            <w:r>
              <w:rPr>
                <w:sz w:val="20"/>
                <w:szCs w:val="20"/>
              </w:rPr>
              <w:t>21</w:t>
            </w:r>
          </w:p>
        </w:tc>
        <w:tc>
          <w:tcPr>
            <w:tcW w:w="1016" w:type="dxa"/>
            <w:noWrap/>
            <w:vAlign w:val="center"/>
          </w:tcPr>
          <w:p w:rsidR="00CD2A5A" w:rsidRDefault="00CD2A5A">
            <w:pPr>
              <w:spacing w:before="40" w:after="40"/>
              <w:ind w:right="170"/>
              <w:jc w:val="right"/>
              <w:rPr>
                <w:sz w:val="20"/>
                <w:szCs w:val="20"/>
              </w:rPr>
            </w:pPr>
            <w:r>
              <w:rPr>
                <w:sz w:val="20"/>
                <w:szCs w:val="20"/>
              </w:rPr>
              <w:t>6,18%</w:t>
            </w:r>
          </w:p>
        </w:tc>
        <w:tc>
          <w:tcPr>
            <w:tcW w:w="980" w:type="dxa"/>
            <w:noWrap/>
            <w:vAlign w:val="center"/>
          </w:tcPr>
          <w:p w:rsidR="00CD2A5A" w:rsidRDefault="00CD2A5A">
            <w:pPr>
              <w:spacing w:before="40" w:after="40"/>
              <w:ind w:right="170"/>
              <w:jc w:val="right"/>
              <w:rPr>
                <w:sz w:val="20"/>
                <w:szCs w:val="20"/>
              </w:rPr>
            </w:pPr>
            <w:r>
              <w:rPr>
                <w:sz w:val="20"/>
                <w:szCs w:val="20"/>
              </w:rPr>
              <w:t>14</w:t>
            </w:r>
          </w:p>
        </w:tc>
        <w:tc>
          <w:tcPr>
            <w:tcW w:w="1016" w:type="dxa"/>
            <w:noWrap/>
            <w:vAlign w:val="center"/>
          </w:tcPr>
          <w:p w:rsidR="00CD2A5A" w:rsidRDefault="00CD2A5A">
            <w:pPr>
              <w:spacing w:before="40" w:after="40"/>
              <w:ind w:right="170"/>
              <w:jc w:val="right"/>
              <w:rPr>
                <w:sz w:val="20"/>
                <w:szCs w:val="20"/>
              </w:rPr>
            </w:pPr>
            <w:r>
              <w:rPr>
                <w:sz w:val="20"/>
                <w:szCs w:val="20"/>
              </w:rPr>
              <w:t>24,56%</w:t>
            </w:r>
          </w:p>
        </w:tc>
        <w:tc>
          <w:tcPr>
            <w:tcW w:w="942" w:type="dxa"/>
            <w:noWrap/>
            <w:vAlign w:val="center"/>
          </w:tcPr>
          <w:p w:rsidR="00CD2A5A" w:rsidRDefault="00CD2A5A">
            <w:pPr>
              <w:spacing w:before="40" w:after="40"/>
              <w:ind w:right="170"/>
              <w:jc w:val="right"/>
              <w:rPr>
                <w:sz w:val="20"/>
                <w:szCs w:val="20"/>
              </w:rPr>
            </w:pPr>
            <w:r>
              <w:rPr>
                <w:sz w:val="20"/>
                <w:szCs w:val="20"/>
              </w:rPr>
              <w:t>121</w:t>
            </w:r>
          </w:p>
        </w:tc>
        <w:tc>
          <w:tcPr>
            <w:tcW w:w="1027" w:type="dxa"/>
            <w:noWrap/>
            <w:vAlign w:val="center"/>
          </w:tcPr>
          <w:p w:rsidR="00CD2A5A" w:rsidRDefault="00CD2A5A">
            <w:pPr>
              <w:spacing w:before="40" w:after="40"/>
              <w:ind w:right="170"/>
              <w:jc w:val="right"/>
              <w:rPr>
                <w:sz w:val="20"/>
                <w:szCs w:val="20"/>
              </w:rPr>
            </w:pPr>
            <w:r>
              <w:rPr>
                <w:sz w:val="20"/>
                <w:szCs w:val="20"/>
              </w:rPr>
              <w:t>11,06%</w:t>
            </w:r>
          </w:p>
        </w:tc>
        <w:tc>
          <w:tcPr>
            <w:tcW w:w="990" w:type="dxa"/>
            <w:noWrap/>
            <w:vAlign w:val="center"/>
          </w:tcPr>
          <w:p w:rsidR="00CD2A5A" w:rsidRDefault="00CD2A5A">
            <w:pPr>
              <w:spacing w:before="40" w:after="40"/>
              <w:ind w:right="170"/>
              <w:jc w:val="right"/>
              <w:rPr>
                <w:sz w:val="20"/>
                <w:szCs w:val="20"/>
              </w:rPr>
            </w:pPr>
            <w:r>
              <w:rPr>
                <w:sz w:val="20"/>
                <w:szCs w:val="20"/>
              </w:rPr>
              <w:t>107</w:t>
            </w:r>
          </w:p>
        </w:tc>
        <w:tc>
          <w:tcPr>
            <w:tcW w:w="1028" w:type="dxa"/>
            <w:noWrap/>
            <w:vAlign w:val="center"/>
          </w:tcPr>
          <w:p w:rsidR="00CD2A5A" w:rsidRDefault="00CD2A5A">
            <w:pPr>
              <w:spacing w:before="40" w:after="40"/>
              <w:ind w:right="170"/>
              <w:jc w:val="right"/>
              <w:rPr>
                <w:sz w:val="20"/>
                <w:szCs w:val="20"/>
              </w:rPr>
            </w:pPr>
            <w:r>
              <w:rPr>
                <w:sz w:val="20"/>
                <w:szCs w:val="20"/>
              </w:rPr>
              <w:t>10,22%</w:t>
            </w:r>
          </w:p>
        </w:tc>
        <w:tc>
          <w:tcPr>
            <w:tcW w:w="680" w:type="dxa"/>
            <w:noWrap/>
            <w:vAlign w:val="center"/>
          </w:tcPr>
          <w:p w:rsidR="00CD2A5A" w:rsidRDefault="00CD2A5A">
            <w:pPr>
              <w:spacing w:before="40" w:after="40"/>
              <w:ind w:right="57"/>
              <w:jc w:val="right"/>
              <w:rPr>
                <w:b/>
                <w:bCs/>
                <w:sz w:val="20"/>
                <w:szCs w:val="20"/>
              </w:rPr>
            </w:pPr>
            <w:r>
              <w:rPr>
                <w:b/>
                <w:bCs/>
                <w:sz w:val="20"/>
                <w:szCs w:val="20"/>
              </w:rPr>
              <w:t>263</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6-9</w:t>
            </w:r>
          </w:p>
        </w:tc>
        <w:tc>
          <w:tcPr>
            <w:tcW w:w="932" w:type="dxa"/>
            <w:noWrap/>
            <w:vAlign w:val="center"/>
          </w:tcPr>
          <w:p w:rsidR="00CD2A5A" w:rsidRDefault="00CD2A5A">
            <w:pPr>
              <w:spacing w:before="40" w:after="40"/>
              <w:ind w:right="170"/>
              <w:jc w:val="right"/>
              <w:rPr>
                <w:sz w:val="20"/>
                <w:szCs w:val="20"/>
              </w:rPr>
            </w:pPr>
            <w:r>
              <w:rPr>
                <w:sz w:val="20"/>
                <w:szCs w:val="20"/>
              </w:rPr>
              <w:t>54</w:t>
            </w:r>
          </w:p>
        </w:tc>
        <w:tc>
          <w:tcPr>
            <w:tcW w:w="1016" w:type="dxa"/>
            <w:noWrap/>
            <w:vAlign w:val="center"/>
          </w:tcPr>
          <w:p w:rsidR="00CD2A5A" w:rsidRDefault="00CD2A5A">
            <w:pPr>
              <w:spacing w:before="40" w:after="40"/>
              <w:ind w:right="170"/>
              <w:jc w:val="right"/>
              <w:rPr>
                <w:sz w:val="20"/>
                <w:szCs w:val="20"/>
              </w:rPr>
            </w:pPr>
            <w:r>
              <w:rPr>
                <w:sz w:val="20"/>
                <w:szCs w:val="20"/>
              </w:rPr>
              <w:t>15,88%</w:t>
            </w:r>
          </w:p>
        </w:tc>
        <w:tc>
          <w:tcPr>
            <w:tcW w:w="980" w:type="dxa"/>
            <w:noWrap/>
            <w:vAlign w:val="center"/>
          </w:tcPr>
          <w:p w:rsidR="00CD2A5A" w:rsidRDefault="00CD2A5A">
            <w:pPr>
              <w:spacing w:before="40" w:after="40"/>
              <w:ind w:right="170"/>
              <w:jc w:val="right"/>
              <w:rPr>
                <w:sz w:val="20"/>
                <w:szCs w:val="20"/>
              </w:rPr>
            </w:pPr>
            <w:r>
              <w:rPr>
                <w:sz w:val="20"/>
                <w:szCs w:val="20"/>
              </w:rPr>
              <w:t>15</w:t>
            </w:r>
          </w:p>
        </w:tc>
        <w:tc>
          <w:tcPr>
            <w:tcW w:w="1016" w:type="dxa"/>
            <w:noWrap/>
            <w:vAlign w:val="center"/>
          </w:tcPr>
          <w:p w:rsidR="00CD2A5A" w:rsidRDefault="00CD2A5A">
            <w:pPr>
              <w:spacing w:before="40" w:after="40"/>
              <w:ind w:right="170"/>
              <w:jc w:val="right"/>
              <w:rPr>
                <w:sz w:val="20"/>
                <w:szCs w:val="20"/>
              </w:rPr>
            </w:pPr>
            <w:r>
              <w:rPr>
                <w:sz w:val="20"/>
                <w:szCs w:val="20"/>
              </w:rPr>
              <w:t>26,32%</w:t>
            </w:r>
          </w:p>
        </w:tc>
        <w:tc>
          <w:tcPr>
            <w:tcW w:w="942" w:type="dxa"/>
            <w:noWrap/>
            <w:vAlign w:val="center"/>
          </w:tcPr>
          <w:p w:rsidR="00CD2A5A" w:rsidRDefault="00CD2A5A">
            <w:pPr>
              <w:spacing w:before="40" w:after="40"/>
              <w:ind w:right="170"/>
              <w:jc w:val="right"/>
              <w:rPr>
                <w:sz w:val="20"/>
                <w:szCs w:val="20"/>
              </w:rPr>
            </w:pPr>
            <w:r>
              <w:rPr>
                <w:sz w:val="20"/>
                <w:szCs w:val="20"/>
              </w:rPr>
              <w:t>258</w:t>
            </w:r>
          </w:p>
        </w:tc>
        <w:tc>
          <w:tcPr>
            <w:tcW w:w="1027" w:type="dxa"/>
            <w:noWrap/>
            <w:vAlign w:val="center"/>
          </w:tcPr>
          <w:p w:rsidR="00CD2A5A" w:rsidRDefault="00CD2A5A">
            <w:pPr>
              <w:spacing w:before="40" w:after="40"/>
              <w:ind w:right="170"/>
              <w:jc w:val="right"/>
              <w:rPr>
                <w:sz w:val="20"/>
                <w:szCs w:val="20"/>
              </w:rPr>
            </w:pPr>
            <w:r>
              <w:rPr>
                <w:sz w:val="20"/>
                <w:szCs w:val="20"/>
              </w:rPr>
              <w:t>23,58%</w:t>
            </w:r>
          </w:p>
        </w:tc>
        <w:tc>
          <w:tcPr>
            <w:tcW w:w="990" w:type="dxa"/>
            <w:noWrap/>
            <w:vAlign w:val="center"/>
          </w:tcPr>
          <w:p w:rsidR="00CD2A5A" w:rsidRDefault="00CD2A5A">
            <w:pPr>
              <w:spacing w:before="40" w:after="40"/>
              <w:ind w:right="170"/>
              <w:jc w:val="right"/>
              <w:rPr>
                <w:sz w:val="20"/>
                <w:szCs w:val="20"/>
              </w:rPr>
            </w:pPr>
            <w:r>
              <w:rPr>
                <w:sz w:val="20"/>
                <w:szCs w:val="20"/>
              </w:rPr>
              <w:t>323</w:t>
            </w:r>
          </w:p>
        </w:tc>
        <w:tc>
          <w:tcPr>
            <w:tcW w:w="1028" w:type="dxa"/>
            <w:noWrap/>
            <w:vAlign w:val="center"/>
          </w:tcPr>
          <w:p w:rsidR="00CD2A5A" w:rsidRDefault="00CD2A5A">
            <w:pPr>
              <w:spacing w:before="40" w:after="40"/>
              <w:ind w:right="170"/>
              <w:jc w:val="right"/>
              <w:rPr>
                <w:sz w:val="20"/>
                <w:szCs w:val="20"/>
              </w:rPr>
            </w:pPr>
            <w:r>
              <w:rPr>
                <w:sz w:val="20"/>
                <w:szCs w:val="20"/>
              </w:rPr>
              <w:t>30,85%</w:t>
            </w:r>
          </w:p>
        </w:tc>
        <w:tc>
          <w:tcPr>
            <w:tcW w:w="680" w:type="dxa"/>
            <w:noWrap/>
            <w:vAlign w:val="center"/>
          </w:tcPr>
          <w:p w:rsidR="00CD2A5A" w:rsidRDefault="00CD2A5A">
            <w:pPr>
              <w:spacing w:before="40" w:after="40"/>
              <w:ind w:right="57"/>
              <w:jc w:val="right"/>
              <w:rPr>
                <w:b/>
                <w:bCs/>
                <w:sz w:val="20"/>
                <w:szCs w:val="20"/>
              </w:rPr>
            </w:pPr>
            <w:r>
              <w:rPr>
                <w:b/>
                <w:bCs/>
                <w:sz w:val="20"/>
                <w:szCs w:val="20"/>
              </w:rPr>
              <w:t>650</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10-13</w:t>
            </w:r>
          </w:p>
        </w:tc>
        <w:tc>
          <w:tcPr>
            <w:tcW w:w="932" w:type="dxa"/>
            <w:noWrap/>
            <w:vAlign w:val="center"/>
          </w:tcPr>
          <w:p w:rsidR="00CD2A5A" w:rsidRDefault="00CD2A5A">
            <w:pPr>
              <w:spacing w:before="40" w:after="40"/>
              <w:ind w:right="170"/>
              <w:jc w:val="right"/>
              <w:rPr>
                <w:sz w:val="20"/>
                <w:szCs w:val="20"/>
              </w:rPr>
            </w:pPr>
            <w:r>
              <w:rPr>
                <w:sz w:val="20"/>
                <w:szCs w:val="20"/>
              </w:rPr>
              <w:t>92</w:t>
            </w:r>
          </w:p>
        </w:tc>
        <w:tc>
          <w:tcPr>
            <w:tcW w:w="1016" w:type="dxa"/>
            <w:noWrap/>
            <w:vAlign w:val="center"/>
          </w:tcPr>
          <w:p w:rsidR="00CD2A5A" w:rsidRDefault="00CD2A5A">
            <w:pPr>
              <w:spacing w:before="40" w:after="40"/>
              <w:ind w:right="170"/>
              <w:jc w:val="right"/>
              <w:rPr>
                <w:sz w:val="20"/>
                <w:szCs w:val="20"/>
              </w:rPr>
            </w:pPr>
            <w:r>
              <w:rPr>
                <w:sz w:val="20"/>
                <w:szCs w:val="20"/>
              </w:rPr>
              <w:t>27,06%</w:t>
            </w:r>
          </w:p>
        </w:tc>
        <w:tc>
          <w:tcPr>
            <w:tcW w:w="980" w:type="dxa"/>
            <w:noWrap/>
            <w:vAlign w:val="center"/>
          </w:tcPr>
          <w:p w:rsidR="00CD2A5A" w:rsidRDefault="00CD2A5A">
            <w:pPr>
              <w:spacing w:before="40" w:after="40"/>
              <w:ind w:right="170"/>
              <w:jc w:val="right"/>
              <w:rPr>
                <w:sz w:val="20"/>
                <w:szCs w:val="20"/>
              </w:rPr>
            </w:pPr>
            <w:r>
              <w:rPr>
                <w:sz w:val="20"/>
                <w:szCs w:val="20"/>
              </w:rPr>
              <w:t>22</w:t>
            </w:r>
          </w:p>
        </w:tc>
        <w:tc>
          <w:tcPr>
            <w:tcW w:w="1016" w:type="dxa"/>
            <w:noWrap/>
            <w:vAlign w:val="center"/>
          </w:tcPr>
          <w:p w:rsidR="00CD2A5A" w:rsidRDefault="00CD2A5A">
            <w:pPr>
              <w:spacing w:before="40" w:after="40"/>
              <w:ind w:right="170"/>
              <w:jc w:val="right"/>
              <w:rPr>
                <w:sz w:val="20"/>
                <w:szCs w:val="20"/>
              </w:rPr>
            </w:pPr>
            <w:r>
              <w:rPr>
                <w:sz w:val="20"/>
                <w:szCs w:val="20"/>
              </w:rPr>
              <w:t>38,60%</w:t>
            </w:r>
          </w:p>
        </w:tc>
        <w:tc>
          <w:tcPr>
            <w:tcW w:w="942" w:type="dxa"/>
            <w:noWrap/>
            <w:vAlign w:val="center"/>
          </w:tcPr>
          <w:p w:rsidR="00CD2A5A" w:rsidRDefault="00CD2A5A">
            <w:pPr>
              <w:spacing w:before="40" w:after="40"/>
              <w:ind w:right="170"/>
              <w:jc w:val="right"/>
              <w:rPr>
                <w:sz w:val="20"/>
                <w:szCs w:val="20"/>
              </w:rPr>
            </w:pPr>
            <w:r>
              <w:rPr>
                <w:sz w:val="20"/>
                <w:szCs w:val="20"/>
              </w:rPr>
              <w:t>304</w:t>
            </w:r>
          </w:p>
        </w:tc>
        <w:tc>
          <w:tcPr>
            <w:tcW w:w="1027" w:type="dxa"/>
            <w:noWrap/>
            <w:vAlign w:val="center"/>
          </w:tcPr>
          <w:p w:rsidR="00CD2A5A" w:rsidRDefault="00CD2A5A">
            <w:pPr>
              <w:spacing w:before="40" w:after="40"/>
              <w:ind w:right="170"/>
              <w:jc w:val="right"/>
              <w:rPr>
                <w:sz w:val="20"/>
                <w:szCs w:val="20"/>
              </w:rPr>
            </w:pPr>
            <w:r>
              <w:rPr>
                <w:sz w:val="20"/>
                <w:szCs w:val="20"/>
              </w:rPr>
              <w:t>27,79%</w:t>
            </w:r>
          </w:p>
        </w:tc>
        <w:tc>
          <w:tcPr>
            <w:tcW w:w="990" w:type="dxa"/>
            <w:noWrap/>
            <w:vAlign w:val="center"/>
          </w:tcPr>
          <w:p w:rsidR="00CD2A5A" w:rsidRDefault="00CD2A5A">
            <w:pPr>
              <w:spacing w:before="40" w:after="40"/>
              <w:ind w:right="170"/>
              <w:jc w:val="right"/>
              <w:rPr>
                <w:sz w:val="20"/>
                <w:szCs w:val="20"/>
              </w:rPr>
            </w:pPr>
            <w:r>
              <w:rPr>
                <w:sz w:val="20"/>
                <w:szCs w:val="20"/>
              </w:rPr>
              <w:t>367</w:t>
            </w:r>
          </w:p>
        </w:tc>
        <w:tc>
          <w:tcPr>
            <w:tcW w:w="1028" w:type="dxa"/>
            <w:noWrap/>
            <w:vAlign w:val="center"/>
          </w:tcPr>
          <w:p w:rsidR="00CD2A5A" w:rsidRDefault="00CD2A5A">
            <w:pPr>
              <w:spacing w:before="40" w:after="40"/>
              <w:ind w:right="170"/>
              <w:jc w:val="right"/>
              <w:rPr>
                <w:sz w:val="20"/>
                <w:szCs w:val="20"/>
              </w:rPr>
            </w:pPr>
            <w:r>
              <w:rPr>
                <w:sz w:val="20"/>
                <w:szCs w:val="20"/>
              </w:rPr>
              <w:t>35,05%</w:t>
            </w:r>
          </w:p>
        </w:tc>
        <w:tc>
          <w:tcPr>
            <w:tcW w:w="680" w:type="dxa"/>
            <w:noWrap/>
            <w:vAlign w:val="center"/>
          </w:tcPr>
          <w:p w:rsidR="00CD2A5A" w:rsidRDefault="00CD2A5A">
            <w:pPr>
              <w:spacing w:before="40" w:after="40"/>
              <w:ind w:right="57"/>
              <w:jc w:val="right"/>
              <w:rPr>
                <w:b/>
                <w:bCs/>
                <w:sz w:val="20"/>
                <w:szCs w:val="20"/>
              </w:rPr>
            </w:pPr>
            <w:r>
              <w:rPr>
                <w:b/>
                <w:bCs/>
                <w:sz w:val="20"/>
                <w:szCs w:val="20"/>
              </w:rPr>
              <w:t>785</w:t>
            </w:r>
          </w:p>
        </w:tc>
      </w:tr>
      <w:tr w:rsidR="00CD2A5A">
        <w:trPr>
          <w:trHeight w:val="360"/>
          <w:jc w:val="center"/>
        </w:trPr>
        <w:tc>
          <w:tcPr>
            <w:tcW w:w="801" w:type="dxa"/>
            <w:noWrap/>
            <w:vAlign w:val="center"/>
          </w:tcPr>
          <w:p w:rsidR="00CD2A5A" w:rsidRDefault="00CD2A5A">
            <w:pPr>
              <w:spacing w:before="40" w:after="40"/>
              <w:rPr>
                <w:b/>
                <w:bCs/>
                <w:sz w:val="20"/>
                <w:szCs w:val="20"/>
              </w:rPr>
            </w:pPr>
            <w:r>
              <w:rPr>
                <w:b/>
                <w:bCs/>
                <w:sz w:val="20"/>
                <w:szCs w:val="20"/>
              </w:rPr>
              <w:t>14-17</w:t>
            </w:r>
          </w:p>
        </w:tc>
        <w:tc>
          <w:tcPr>
            <w:tcW w:w="932" w:type="dxa"/>
            <w:noWrap/>
            <w:vAlign w:val="center"/>
          </w:tcPr>
          <w:p w:rsidR="00CD2A5A" w:rsidRDefault="00CD2A5A">
            <w:pPr>
              <w:spacing w:before="40" w:after="40"/>
              <w:ind w:right="170"/>
              <w:jc w:val="right"/>
              <w:rPr>
                <w:sz w:val="20"/>
                <w:szCs w:val="20"/>
              </w:rPr>
            </w:pPr>
            <w:r>
              <w:rPr>
                <w:sz w:val="20"/>
                <w:szCs w:val="20"/>
              </w:rPr>
              <w:t>173</w:t>
            </w:r>
          </w:p>
        </w:tc>
        <w:tc>
          <w:tcPr>
            <w:tcW w:w="1016" w:type="dxa"/>
            <w:noWrap/>
            <w:vAlign w:val="center"/>
          </w:tcPr>
          <w:p w:rsidR="00CD2A5A" w:rsidRDefault="00CD2A5A">
            <w:pPr>
              <w:spacing w:before="40" w:after="40"/>
              <w:ind w:right="170"/>
              <w:jc w:val="right"/>
              <w:rPr>
                <w:sz w:val="20"/>
                <w:szCs w:val="20"/>
              </w:rPr>
            </w:pPr>
            <w:r>
              <w:rPr>
                <w:sz w:val="20"/>
                <w:szCs w:val="20"/>
              </w:rPr>
              <w:t>50,88%</w:t>
            </w:r>
          </w:p>
        </w:tc>
        <w:tc>
          <w:tcPr>
            <w:tcW w:w="980" w:type="dxa"/>
            <w:noWrap/>
            <w:vAlign w:val="center"/>
          </w:tcPr>
          <w:p w:rsidR="00CD2A5A" w:rsidRDefault="00CD2A5A">
            <w:pPr>
              <w:spacing w:before="40" w:after="40"/>
              <w:ind w:right="170"/>
              <w:jc w:val="right"/>
              <w:rPr>
                <w:sz w:val="20"/>
                <w:szCs w:val="20"/>
              </w:rPr>
            </w:pPr>
            <w:r>
              <w:rPr>
                <w:sz w:val="20"/>
                <w:szCs w:val="20"/>
              </w:rPr>
              <w:t>4</w:t>
            </w:r>
          </w:p>
        </w:tc>
        <w:tc>
          <w:tcPr>
            <w:tcW w:w="1016" w:type="dxa"/>
            <w:noWrap/>
            <w:vAlign w:val="center"/>
          </w:tcPr>
          <w:p w:rsidR="00CD2A5A" w:rsidRDefault="00CD2A5A">
            <w:pPr>
              <w:spacing w:before="40" w:after="40"/>
              <w:ind w:right="170"/>
              <w:jc w:val="right"/>
              <w:rPr>
                <w:sz w:val="20"/>
                <w:szCs w:val="20"/>
              </w:rPr>
            </w:pPr>
            <w:r>
              <w:rPr>
                <w:sz w:val="20"/>
                <w:szCs w:val="20"/>
              </w:rPr>
              <w:t>7,02%</w:t>
            </w:r>
          </w:p>
        </w:tc>
        <w:tc>
          <w:tcPr>
            <w:tcW w:w="942" w:type="dxa"/>
            <w:noWrap/>
            <w:vAlign w:val="center"/>
          </w:tcPr>
          <w:p w:rsidR="00CD2A5A" w:rsidRDefault="00CD2A5A">
            <w:pPr>
              <w:spacing w:before="40" w:after="40"/>
              <w:ind w:right="170"/>
              <w:jc w:val="right"/>
              <w:rPr>
                <w:sz w:val="20"/>
                <w:szCs w:val="20"/>
              </w:rPr>
            </w:pPr>
            <w:r>
              <w:rPr>
                <w:sz w:val="20"/>
                <w:szCs w:val="20"/>
              </w:rPr>
              <w:t>394</w:t>
            </w:r>
          </w:p>
        </w:tc>
        <w:tc>
          <w:tcPr>
            <w:tcW w:w="1027" w:type="dxa"/>
            <w:noWrap/>
            <w:vAlign w:val="center"/>
          </w:tcPr>
          <w:p w:rsidR="00CD2A5A" w:rsidRDefault="00CD2A5A">
            <w:pPr>
              <w:spacing w:before="40" w:after="40"/>
              <w:ind w:right="170"/>
              <w:jc w:val="right"/>
              <w:rPr>
                <w:sz w:val="20"/>
                <w:szCs w:val="20"/>
              </w:rPr>
            </w:pPr>
            <w:r>
              <w:rPr>
                <w:sz w:val="20"/>
                <w:szCs w:val="20"/>
              </w:rPr>
              <w:t>36,01%</w:t>
            </w:r>
          </w:p>
        </w:tc>
        <w:tc>
          <w:tcPr>
            <w:tcW w:w="990" w:type="dxa"/>
            <w:noWrap/>
            <w:vAlign w:val="center"/>
          </w:tcPr>
          <w:p w:rsidR="00CD2A5A" w:rsidRDefault="00CD2A5A">
            <w:pPr>
              <w:spacing w:before="40" w:after="40"/>
              <w:ind w:right="170"/>
              <w:jc w:val="right"/>
              <w:rPr>
                <w:sz w:val="20"/>
                <w:szCs w:val="20"/>
              </w:rPr>
            </w:pPr>
            <w:r>
              <w:rPr>
                <w:sz w:val="20"/>
                <w:szCs w:val="20"/>
              </w:rPr>
              <w:t>229</w:t>
            </w:r>
          </w:p>
        </w:tc>
        <w:tc>
          <w:tcPr>
            <w:tcW w:w="1028" w:type="dxa"/>
            <w:noWrap/>
            <w:vAlign w:val="center"/>
          </w:tcPr>
          <w:p w:rsidR="00CD2A5A" w:rsidRDefault="00CD2A5A">
            <w:pPr>
              <w:spacing w:before="40" w:after="40"/>
              <w:ind w:right="170"/>
              <w:jc w:val="right"/>
              <w:rPr>
                <w:sz w:val="20"/>
                <w:szCs w:val="20"/>
              </w:rPr>
            </w:pPr>
            <w:r>
              <w:rPr>
                <w:sz w:val="20"/>
                <w:szCs w:val="20"/>
              </w:rPr>
              <w:t>21,87%</w:t>
            </w:r>
          </w:p>
        </w:tc>
        <w:tc>
          <w:tcPr>
            <w:tcW w:w="680" w:type="dxa"/>
            <w:noWrap/>
            <w:vAlign w:val="center"/>
          </w:tcPr>
          <w:p w:rsidR="00CD2A5A" w:rsidRDefault="00CD2A5A">
            <w:pPr>
              <w:spacing w:before="40" w:after="40"/>
              <w:ind w:right="57"/>
              <w:jc w:val="right"/>
              <w:rPr>
                <w:b/>
                <w:bCs/>
                <w:sz w:val="20"/>
                <w:szCs w:val="20"/>
              </w:rPr>
            </w:pPr>
            <w:r>
              <w:rPr>
                <w:b/>
                <w:bCs/>
                <w:sz w:val="20"/>
                <w:szCs w:val="20"/>
              </w:rPr>
              <w:t>800</w:t>
            </w:r>
          </w:p>
        </w:tc>
      </w:tr>
      <w:tr w:rsidR="00CD2A5A">
        <w:trPr>
          <w:trHeight w:val="360"/>
          <w:jc w:val="center"/>
        </w:trPr>
        <w:tc>
          <w:tcPr>
            <w:tcW w:w="801" w:type="dxa"/>
            <w:noWrap/>
            <w:vAlign w:val="center"/>
          </w:tcPr>
          <w:p w:rsidR="00CD2A5A" w:rsidRDefault="00CD2A5A">
            <w:pPr>
              <w:keepNext/>
              <w:spacing w:before="40" w:after="40"/>
              <w:rPr>
                <w:b/>
                <w:bCs/>
                <w:sz w:val="20"/>
                <w:szCs w:val="20"/>
              </w:rPr>
            </w:pPr>
            <w:r>
              <w:rPr>
                <w:b/>
                <w:bCs/>
                <w:sz w:val="20"/>
                <w:szCs w:val="20"/>
              </w:rPr>
              <w:t>Total:</w:t>
            </w:r>
          </w:p>
        </w:tc>
        <w:tc>
          <w:tcPr>
            <w:tcW w:w="932" w:type="dxa"/>
            <w:noWrap/>
            <w:vAlign w:val="center"/>
          </w:tcPr>
          <w:p w:rsidR="00CD2A5A" w:rsidRDefault="00CD2A5A">
            <w:pPr>
              <w:spacing w:before="40" w:after="40"/>
              <w:ind w:right="170"/>
              <w:jc w:val="right"/>
              <w:rPr>
                <w:b/>
                <w:bCs/>
                <w:sz w:val="20"/>
                <w:szCs w:val="20"/>
              </w:rPr>
            </w:pPr>
            <w:r>
              <w:rPr>
                <w:b/>
                <w:bCs/>
                <w:sz w:val="20"/>
                <w:szCs w:val="20"/>
              </w:rPr>
              <w:t>340</w:t>
            </w:r>
          </w:p>
        </w:tc>
        <w:tc>
          <w:tcPr>
            <w:tcW w:w="1016" w:type="dxa"/>
            <w:noWrap/>
            <w:vAlign w:val="center"/>
          </w:tcPr>
          <w:p w:rsidR="00CD2A5A" w:rsidRDefault="00CD2A5A">
            <w:pPr>
              <w:spacing w:before="40" w:after="40"/>
              <w:ind w:right="170"/>
              <w:jc w:val="right"/>
              <w:rPr>
                <w:b/>
                <w:bCs/>
                <w:sz w:val="20"/>
                <w:szCs w:val="20"/>
              </w:rPr>
            </w:pPr>
          </w:p>
        </w:tc>
        <w:tc>
          <w:tcPr>
            <w:tcW w:w="980" w:type="dxa"/>
            <w:noWrap/>
            <w:vAlign w:val="center"/>
          </w:tcPr>
          <w:p w:rsidR="00CD2A5A" w:rsidRDefault="00CD2A5A">
            <w:pPr>
              <w:spacing w:before="40" w:after="40"/>
              <w:ind w:right="170"/>
              <w:jc w:val="right"/>
              <w:rPr>
                <w:b/>
                <w:bCs/>
                <w:sz w:val="20"/>
                <w:szCs w:val="20"/>
              </w:rPr>
            </w:pPr>
            <w:r>
              <w:rPr>
                <w:b/>
                <w:bCs/>
                <w:sz w:val="20"/>
                <w:szCs w:val="20"/>
              </w:rPr>
              <w:t>57</w:t>
            </w:r>
          </w:p>
        </w:tc>
        <w:tc>
          <w:tcPr>
            <w:tcW w:w="1016" w:type="dxa"/>
            <w:noWrap/>
            <w:vAlign w:val="center"/>
          </w:tcPr>
          <w:p w:rsidR="00CD2A5A" w:rsidRDefault="00CD2A5A">
            <w:pPr>
              <w:spacing w:before="40" w:after="40"/>
              <w:ind w:right="170"/>
              <w:jc w:val="right"/>
              <w:rPr>
                <w:b/>
                <w:bCs/>
                <w:sz w:val="20"/>
                <w:szCs w:val="20"/>
              </w:rPr>
            </w:pPr>
          </w:p>
        </w:tc>
        <w:tc>
          <w:tcPr>
            <w:tcW w:w="942" w:type="dxa"/>
            <w:noWrap/>
            <w:vAlign w:val="center"/>
          </w:tcPr>
          <w:p w:rsidR="00CD2A5A" w:rsidRDefault="00CD2A5A">
            <w:pPr>
              <w:spacing w:before="40" w:after="40"/>
              <w:ind w:right="170"/>
              <w:jc w:val="right"/>
              <w:rPr>
                <w:b/>
                <w:bCs/>
                <w:sz w:val="20"/>
                <w:szCs w:val="20"/>
              </w:rPr>
            </w:pPr>
            <w:r>
              <w:rPr>
                <w:b/>
                <w:bCs/>
                <w:sz w:val="20"/>
                <w:szCs w:val="20"/>
              </w:rPr>
              <w:t>1.094</w:t>
            </w:r>
          </w:p>
        </w:tc>
        <w:tc>
          <w:tcPr>
            <w:tcW w:w="1027" w:type="dxa"/>
            <w:noWrap/>
            <w:vAlign w:val="center"/>
          </w:tcPr>
          <w:p w:rsidR="00CD2A5A" w:rsidRDefault="00CD2A5A">
            <w:pPr>
              <w:spacing w:before="40" w:after="40"/>
              <w:ind w:right="170"/>
              <w:jc w:val="right"/>
              <w:rPr>
                <w:b/>
                <w:bCs/>
                <w:sz w:val="20"/>
                <w:szCs w:val="20"/>
              </w:rPr>
            </w:pPr>
          </w:p>
        </w:tc>
        <w:tc>
          <w:tcPr>
            <w:tcW w:w="990" w:type="dxa"/>
            <w:noWrap/>
            <w:vAlign w:val="center"/>
          </w:tcPr>
          <w:p w:rsidR="00CD2A5A" w:rsidRDefault="00CD2A5A">
            <w:pPr>
              <w:spacing w:before="40" w:after="40"/>
              <w:ind w:right="170"/>
              <w:jc w:val="right"/>
              <w:rPr>
                <w:b/>
                <w:bCs/>
                <w:sz w:val="20"/>
                <w:szCs w:val="20"/>
              </w:rPr>
            </w:pPr>
            <w:r>
              <w:rPr>
                <w:b/>
                <w:bCs/>
                <w:sz w:val="20"/>
                <w:szCs w:val="20"/>
              </w:rPr>
              <w:t>1.047</w:t>
            </w:r>
          </w:p>
        </w:tc>
        <w:tc>
          <w:tcPr>
            <w:tcW w:w="1028" w:type="dxa"/>
            <w:noWrap/>
            <w:vAlign w:val="center"/>
          </w:tcPr>
          <w:p w:rsidR="00CD2A5A" w:rsidRDefault="00CD2A5A">
            <w:pPr>
              <w:spacing w:before="40" w:after="40"/>
              <w:ind w:right="170"/>
              <w:jc w:val="right"/>
              <w:rPr>
                <w:b/>
                <w:bCs/>
                <w:sz w:val="20"/>
                <w:szCs w:val="20"/>
              </w:rPr>
            </w:pPr>
          </w:p>
        </w:tc>
        <w:tc>
          <w:tcPr>
            <w:tcW w:w="680" w:type="dxa"/>
            <w:noWrap/>
            <w:vAlign w:val="center"/>
          </w:tcPr>
          <w:p w:rsidR="00CD2A5A" w:rsidRDefault="00CD2A5A">
            <w:pPr>
              <w:spacing w:before="40" w:after="40"/>
              <w:ind w:right="57"/>
              <w:jc w:val="right"/>
              <w:rPr>
                <w:b/>
                <w:bCs/>
                <w:sz w:val="20"/>
                <w:szCs w:val="20"/>
              </w:rPr>
            </w:pPr>
            <w:r>
              <w:rPr>
                <w:b/>
                <w:bCs/>
                <w:sz w:val="20"/>
                <w:szCs w:val="20"/>
              </w:rPr>
              <w:t>2.538</w:t>
            </w:r>
          </w:p>
        </w:tc>
      </w:tr>
    </w:tbl>
    <w:p w:rsidR="00CD2A5A" w:rsidRDefault="00CD2A5A">
      <w:pPr>
        <w:spacing w:after="240"/>
        <w:rPr>
          <w:lang w:val="es-SV"/>
        </w:rPr>
      </w:pPr>
    </w:p>
    <w:p w:rsidR="00CD2A5A" w:rsidRDefault="00CD2A5A">
      <w:pPr>
        <w:pStyle w:val="I"/>
      </w:pPr>
      <w:r>
        <w:br w:type="page"/>
        <w:t>ANEXO VIII</w:t>
      </w:r>
    </w:p>
    <w:p w:rsidR="00CD2A5A" w:rsidRDefault="00CD2A5A" w:rsidP="00CD2A5A">
      <w:pPr>
        <w:pStyle w:val="Figure"/>
        <w:rPr>
          <w:lang w:val="es-SV"/>
        </w:rPr>
      </w:pPr>
      <w:r>
        <w:t xml:space="preserve">BENEFICIARIOS DE ACTIVIDADES DE APOYO INDIVIDUAL Y GRUPAL PARA </w:t>
      </w:r>
      <w:r>
        <w:br/>
        <w:t xml:space="preserve">VÍCTIMAS DE VIOLENCIA INTRAFAMILIAR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348"/>
        <w:gridCol w:w="1344"/>
        <w:gridCol w:w="1344"/>
        <w:gridCol w:w="1344"/>
        <w:gridCol w:w="1344"/>
        <w:gridCol w:w="1344"/>
        <w:gridCol w:w="1344"/>
      </w:tblGrid>
      <w:tr w:rsidR="00CD2A5A">
        <w:trPr>
          <w:cantSplit/>
          <w:trHeight w:val="255"/>
          <w:jc w:val="center"/>
        </w:trPr>
        <w:tc>
          <w:tcPr>
            <w:tcW w:w="1201" w:type="dxa"/>
            <w:vMerge w:val="restart"/>
            <w:noWrap/>
            <w:vAlign w:val="center"/>
          </w:tcPr>
          <w:p w:rsidR="00CD2A5A" w:rsidRDefault="00CD2A5A">
            <w:pPr>
              <w:spacing w:before="40" w:after="40"/>
              <w:jc w:val="center"/>
              <w:rPr>
                <w:b/>
                <w:bCs/>
                <w:i/>
                <w:sz w:val="20"/>
                <w:szCs w:val="20"/>
                <w:lang w:val="es-SV"/>
              </w:rPr>
            </w:pPr>
            <w:r>
              <w:rPr>
                <w:b/>
                <w:bCs/>
                <w:i/>
                <w:sz w:val="20"/>
                <w:szCs w:val="20"/>
                <w:lang w:val="es-SV"/>
              </w:rPr>
              <w:t>Año</w:t>
            </w:r>
          </w:p>
        </w:tc>
        <w:tc>
          <w:tcPr>
            <w:tcW w:w="3822" w:type="dxa"/>
            <w:gridSpan w:val="3"/>
            <w:noWrap/>
            <w:vAlign w:val="center"/>
          </w:tcPr>
          <w:p w:rsidR="00CD2A5A" w:rsidRDefault="00CD2A5A">
            <w:pPr>
              <w:spacing w:before="40" w:after="40"/>
              <w:jc w:val="center"/>
              <w:rPr>
                <w:b/>
                <w:bCs/>
                <w:i/>
                <w:sz w:val="20"/>
                <w:szCs w:val="20"/>
                <w:lang w:val="es-SV"/>
              </w:rPr>
            </w:pPr>
            <w:r>
              <w:rPr>
                <w:b/>
                <w:bCs/>
                <w:i/>
                <w:sz w:val="20"/>
                <w:szCs w:val="20"/>
                <w:lang w:val="es-SV"/>
              </w:rPr>
              <w:t>Individuales</w:t>
            </w:r>
          </w:p>
        </w:tc>
        <w:tc>
          <w:tcPr>
            <w:tcW w:w="3822" w:type="dxa"/>
            <w:gridSpan w:val="3"/>
            <w:vAlign w:val="center"/>
          </w:tcPr>
          <w:p w:rsidR="00CD2A5A" w:rsidRDefault="00CD2A5A">
            <w:pPr>
              <w:spacing w:before="40" w:after="40"/>
              <w:jc w:val="center"/>
              <w:rPr>
                <w:b/>
                <w:bCs/>
                <w:i/>
                <w:sz w:val="20"/>
                <w:szCs w:val="20"/>
                <w:lang w:val="es-SV"/>
              </w:rPr>
            </w:pPr>
            <w:r>
              <w:rPr>
                <w:b/>
                <w:bCs/>
                <w:i/>
                <w:sz w:val="20"/>
                <w:szCs w:val="20"/>
                <w:lang w:val="es-SV"/>
              </w:rPr>
              <w:t>Grupales</w:t>
            </w:r>
          </w:p>
        </w:tc>
      </w:tr>
      <w:tr w:rsidR="00CD2A5A">
        <w:trPr>
          <w:cantSplit/>
          <w:trHeight w:val="255"/>
          <w:jc w:val="center"/>
        </w:trPr>
        <w:tc>
          <w:tcPr>
            <w:tcW w:w="1201" w:type="dxa"/>
            <w:vMerge/>
            <w:noWrap/>
            <w:vAlign w:val="center"/>
          </w:tcPr>
          <w:p w:rsidR="00CD2A5A" w:rsidRDefault="00CD2A5A">
            <w:pPr>
              <w:spacing w:before="40" w:after="40"/>
              <w:jc w:val="center"/>
              <w:rPr>
                <w:b/>
                <w:bCs/>
                <w:i/>
                <w:sz w:val="20"/>
                <w:szCs w:val="20"/>
                <w:lang w:val="es-SV"/>
              </w:rPr>
            </w:pPr>
          </w:p>
        </w:tc>
        <w:tc>
          <w:tcPr>
            <w:tcW w:w="1274" w:type="dxa"/>
            <w:noWrap/>
            <w:vAlign w:val="center"/>
          </w:tcPr>
          <w:p w:rsidR="00CD2A5A" w:rsidRDefault="00CD2A5A">
            <w:pPr>
              <w:spacing w:before="40" w:after="40"/>
              <w:jc w:val="center"/>
              <w:rPr>
                <w:b/>
                <w:bCs/>
                <w:i/>
                <w:sz w:val="20"/>
                <w:szCs w:val="20"/>
                <w:lang w:val="es-SV"/>
              </w:rPr>
            </w:pPr>
            <w:r>
              <w:rPr>
                <w:b/>
                <w:bCs/>
                <w:i/>
                <w:sz w:val="20"/>
                <w:szCs w:val="20"/>
                <w:lang w:val="es-SV"/>
              </w:rPr>
              <w:t>Femenino</w:t>
            </w:r>
          </w:p>
        </w:tc>
        <w:tc>
          <w:tcPr>
            <w:tcW w:w="1274" w:type="dxa"/>
            <w:noWrap/>
            <w:vAlign w:val="center"/>
          </w:tcPr>
          <w:p w:rsidR="00CD2A5A" w:rsidRDefault="00CD2A5A">
            <w:pPr>
              <w:spacing w:before="40" w:after="40"/>
              <w:jc w:val="center"/>
              <w:rPr>
                <w:b/>
                <w:bCs/>
                <w:i/>
                <w:sz w:val="20"/>
                <w:szCs w:val="20"/>
                <w:lang w:val="es-SV"/>
              </w:rPr>
            </w:pPr>
            <w:r>
              <w:rPr>
                <w:b/>
                <w:bCs/>
                <w:i/>
                <w:sz w:val="20"/>
                <w:szCs w:val="20"/>
                <w:lang w:val="es-SV"/>
              </w:rPr>
              <w:t>Masculino</w:t>
            </w:r>
          </w:p>
        </w:tc>
        <w:tc>
          <w:tcPr>
            <w:tcW w:w="1274" w:type="dxa"/>
            <w:vAlign w:val="center"/>
          </w:tcPr>
          <w:p w:rsidR="00CD2A5A" w:rsidRDefault="00CD2A5A">
            <w:pPr>
              <w:spacing w:before="40" w:after="40"/>
              <w:jc w:val="center"/>
              <w:rPr>
                <w:b/>
                <w:bCs/>
                <w:i/>
                <w:sz w:val="20"/>
                <w:szCs w:val="20"/>
                <w:lang w:val="es-SV"/>
              </w:rPr>
            </w:pPr>
            <w:r>
              <w:rPr>
                <w:b/>
                <w:bCs/>
                <w:i/>
                <w:sz w:val="20"/>
                <w:szCs w:val="20"/>
                <w:lang w:val="es-SV"/>
              </w:rPr>
              <w:t>Total</w:t>
            </w:r>
          </w:p>
        </w:tc>
        <w:tc>
          <w:tcPr>
            <w:tcW w:w="1274" w:type="dxa"/>
            <w:vAlign w:val="center"/>
          </w:tcPr>
          <w:p w:rsidR="00CD2A5A" w:rsidRDefault="00CD2A5A">
            <w:pPr>
              <w:spacing w:before="40" w:after="40"/>
              <w:jc w:val="center"/>
              <w:rPr>
                <w:b/>
                <w:bCs/>
                <w:i/>
                <w:sz w:val="20"/>
                <w:szCs w:val="20"/>
                <w:lang w:val="es-SV"/>
              </w:rPr>
            </w:pPr>
            <w:r>
              <w:rPr>
                <w:b/>
                <w:bCs/>
                <w:i/>
                <w:sz w:val="20"/>
                <w:szCs w:val="20"/>
                <w:lang w:val="es-SV"/>
              </w:rPr>
              <w:t>Femenino</w:t>
            </w:r>
          </w:p>
        </w:tc>
        <w:tc>
          <w:tcPr>
            <w:tcW w:w="1274" w:type="dxa"/>
            <w:vAlign w:val="center"/>
          </w:tcPr>
          <w:p w:rsidR="00CD2A5A" w:rsidRDefault="00CD2A5A">
            <w:pPr>
              <w:spacing w:before="40" w:after="40"/>
              <w:jc w:val="center"/>
              <w:rPr>
                <w:b/>
                <w:bCs/>
                <w:i/>
                <w:sz w:val="20"/>
                <w:szCs w:val="20"/>
                <w:lang w:val="es-SV"/>
              </w:rPr>
            </w:pPr>
            <w:r>
              <w:rPr>
                <w:b/>
                <w:bCs/>
                <w:i/>
                <w:sz w:val="20"/>
                <w:szCs w:val="20"/>
                <w:lang w:val="es-SV"/>
              </w:rPr>
              <w:t>Masculino</w:t>
            </w:r>
          </w:p>
        </w:tc>
        <w:tc>
          <w:tcPr>
            <w:tcW w:w="1274" w:type="dxa"/>
            <w:vAlign w:val="center"/>
          </w:tcPr>
          <w:p w:rsidR="00CD2A5A" w:rsidRDefault="00CD2A5A">
            <w:pPr>
              <w:spacing w:before="40" w:after="40"/>
              <w:jc w:val="center"/>
              <w:rPr>
                <w:b/>
                <w:bCs/>
                <w:i/>
                <w:sz w:val="20"/>
                <w:szCs w:val="20"/>
                <w:lang w:val="es-SV"/>
              </w:rPr>
            </w:pPr>
            <w:r>
              <w:rPr>
                <w:b/>
                <w:bCs/>
                <w:i/>
                <w:sz w:val="20"/>
                <w:szCs w:val="20"/>
                <w:lang w:val="es-SV"/>
              </w:rPr>
              <w:t>Total</w:t>
            </w:r>
          </w:p>
        </w:tc>
      </w:tr>
      <w:tr w:rsidR="00CD2A5A">
        <w:trPr>
          <w:trHeight w:val="255"/>
          <w:jc w:val="center"/>
        </w:trPr>
        <w:tc>
          <w:tcPr>
            <w:tcW w:w="1277" w:type="dxa"/>
            <w:noWrap/>
            <w:vAlign w:val="bottom"/>
          </w:tcPr>
          <w:p w:rsidR="00CD2A5A" w:rsidRDefault="00CD2A5A">
            <w:pPr>
              <w:spacing w:before="40" w:after="40"/>
              <w:rPr>
                <w:sz w:val="20"/>
                <w:szCs w:val="20"/>
                <w:lang w:val="es-SV"/>
              </w:rPr>
            </w:pPr>
            <w:r>
              <w:rPr>
                <w:sz w:val="20"/>
                <w:szCs w:val="20"/>
                <w:lang w:val="es-SV"/>
              </w:rPr>
              <w:t>Año 2004</w:t>
            </w:r>
          </w:p>
        </w:tc>
        <w:tc>
          <w:tcPr>
            <w:tcW w:w="1274" w:type="dxa"/>
            <w:noWrap/>
            <w:vAlign w:val="center"/>
          </w:tcPr>
          <w:p w:rsidR="00CD2A5A" w:rsidRDefault="00CD2A5A">
            <w:pPr>
              <w:spacing w:before="40" w:after="40"/>
              <w:ind w:right="284"/>
              <w:jc w:val="right"/>
              <w:rPr>
                <w:sz w:val="20"/>
                <w:szCs w:val="20"/>
                <w:lang w:val="es-SV"/>
              </w:rPr>
            </w:pPr>
            <w:r>
              <w:rPr>
                <w:sz w:val="20"/>
                <w:szCs w:val="20"/>
                <w:lang w:val="es-SV"/>
              </w:rPr>
              <w:t>315</w:t>
            </w:r>
          </w:p>
        </w:tc>
        <w:tc>
          <w:tcPr>
            <w:tcW w:w="1274" w:type="dxa"/>
            <w:noWrap/>
            <w:vAlign w:val="center"/>
          </w:tcPr>
          <w:p w:rsidR="00CD2A5A" w:rsidRDefault="00CD2A5A">
            <w:pPr>
              <w:spacing w:before="40" w:after="40"/>
              <w:ind w:right="284"/>
              <w:jc w:val="right"/>
              <w:rPr>
                <w:sz w:val="20"/>
                <w:szCs w:val="20"/>
                <w:lang w:val="es-SV"/>
              </w:rPr>
            </w:pPr>
            <w:r>
              <w:rPr>
                <w:sz w:val="20"/>
                <w:szCs w:val="20"/>
                <w:lang w:val="es-SV"/>
              </w:rPr>
              <w:t>279</w:t>
            </w:r>
          </w:p>
        </w:tc>
        <w:tc>
          <w:tcPr>
            <w:tcW w:w="1274" w:type="dxa"/>
            <w:vAlign w:val="center"/>
          </w:tcPr>
          <w:p w:rsidR="00CD2A5A" w:rsidRDefault="00CD2A5A">
            <w:pPr>
              <w:spacing w:before="40" w:after="40"/>
              <w:ind w:right="284"/>
              <w:jc w:val="right"/>
              <w:rPr>
                <w:sz w:val="20"/>
                <w:szCs w:val="20"/>
                <w:lang w:val="es-SV"/>
              </w:rPr>
            </w:pPr>
            <w:r>
              <w:rPr>
                <w:sz w:val="20"/>
                <w:szCs w:val="20"/>
                <w:lang w:val="es-SV"/>
              </w:rPr>
              <w:t>594</w:t>
            </w:r>
          </w:p>
        </w:tc>
        <w:tc>
          <w:tcPr>
            <w:tcW w:w="1274" w:type="dxa"/>
            <w:vAlign w:val="center"/>
          </w:tcPr>
          <w:p w:rsidR="00CD2A5A" w:rsidRDefault="00CD2A5A">
            <w:pPr>
              <w:spacing w:before="40" w:after="40"/>
              <w:ind w:right="284"/>
              <w:jc w:val="right"/>
              <w:rPr>
                <w:sz w:val="20"/>
                <w:szCs w:val="20"/>
                <w:lang w:val="es-SV"/>
              </w:rPr>
            </w:pPr>
            <w:r>
              <w:rPr>
                <w:sz w:val="20"/>
                <w:szCs w:val="20"/>
                <w:lang w:val="es-SV"/>
              </w:rPr>
              <w:t>1.824</w:t>
            </w:r>
          </w:p>
        </w:tc>
        <w:tc>
          <w:tcPr>
            <w:tcW w:w="1274" w:type="dxa"/>
            <w:vAlign w:val="center"/>
          </w:tcPr>
          <w:p w:rsidR="00CD2A5A" w:rsidRDefault="00CD2A5A">
            <w:pPr>
              <w:spacing w:before="40" w:after="40"/>
              <w:ind w:right="284"/>
              <w:jc w:val="right"/>
              <w:rPr>
                <w:sz w:val="20"/>
                <w:szCs w:val="20"/>
                <w:lang w:val="es-SV"/>
              </w:rPr>
            </w:pPr>
            <w:r>
              <w:rPr>
                <w:sz w:val="20"/>
                <w:szCs w:val="20"/>
                <w:lang w:val="es-SV"/>
              </w:rPr>
              <w:t>1.679</w:t>
            </w:r>
          </w:p>
        </w:tc>
        <w:tc>
          <w:tcPr>
            <w:tcW w:w="1274" w:type="dxa"/>
            <w:vAlign w:val="center"/>
          </w:tcPr>
          <w:p w:rsidR="00CD2A5A" w:rsidRDefault="00CD2A5A">
            <w:pPr>
              <w:spacing w:before="40" w:after="40"/>
              <w:ind w:right="284"/>
              <w:jc w:val="right"/>
              <w:rPr>
                <w:sz w:val="20"/>
                <w:szCs w:val="20"/>
                <w:lang w:val="es-SV"/>
              </w:rPr>
            </w:pPr>
            <w:r>
              <w:rPr>
                <w:sz w:val="20"/>
                <w:szCs w:val="20"/>
                <w:lang w:val="es-SV"/>
              </w:rPr>
              <w:t>3503</w:t>
            </w:r>
          </w:p>
        </w:tc>
      </w:tr>
      <w:tr w:rsidR="00CD2A5A">
        <w:trPr>
          <w:trHeight w:val="255"/>
          <w:jc w:val="center"/>
        </w:trPr>
        <w:tc>
          <w:tcPr>
            <w:tcW w:w="1277" w:type="dxa"/>
            <w:noWrap/>
            <w:vAlign w:val="bottom"/>
          </w:tcPr>
          <w:p w:rsidR="00CD2A5A" w:rsidRDefault="00CD2A5A">
            <w:pPr>
              <w:spacing w:before="40" w:after="40"/>
              <w:rPr>
                <w:sz w:val="20"/>
                <w:szCs w:val="20"/>
                <w:lang w:val="es-SV"/>
              </w:rPr>
            </w:pPr>
            <w:r>
              <w:rPr>
                <w:sz w:val="20"/>
                <w:szCs w:val="20"/>
                <w:lang w:val="es-SV"/>
              </w:rPr>
              <w:t>Año 2005</w:t>
            </w:r>
          </w:p>
        </w:tc>
        <w:tc>
          <w:tcPr>
            <w:tcW w:w="1274" w:type="dxa"/>
            <w:noWrap/>
            <w:vAlign w:val="center"/>
          </w:tcPr>
          <w:p w:rsidR="00CD2A5A" w:rsidRDefault="00CD2A5A">
            <w:pPr>
              <w:spacing w:before="40" w:after="40"/>
              <w:ind w:right="284"/>
              <w:jc w:val="right"/>
              <w:rPr>
                <w:sz w:val="20"/>
                <w:szCs w:val="20"/>
                <w:lang w:val="es-SV"/>
              </w:rPr>
            </w:pPr>
            <w:r>
              <w:rPr>
                <w:sz w:val="20"/>
                <w:szCs w:val="20"/>
                <w:lang w:val="es-SV"/>
              </w:rPr>
              <w:t>1.053</w:t>
            </w:r>
          </w:p>
        </w:tc>
        <w:tc>
          <w:tcPr>
            <w:tcW w:w="1274" w:type="dxa"/>
            <w:noWrap/>
            <w:vAlign w:val="center"/>
          </w:tcPr>
          <w:p w:rsidR="00CD2A5A" w:rsidRDefault="00CD2A5A">
            <w:pPr>
              <w:spacing w:before="40" w:after="40"/>
              <w:ind w:right="284"/>
              <w:jc w:val="right"/>
              <w:rPr>
                <w:sz w:val="20"/>
                <w:szCs w:val="20"/>
                <w:lang w:val="es-SV"/>
              </w:rPr>
            </w:pPr>
            <w:r>
              <w:rPr>
                <w:sz w:val="20"/>
                <w:szCs w:val="20"/>
                <w:lang w:val="es-SV"/>
              </w:rPr>
              <w:t>884</w:t>
            </w:r>
          </w:p>
        </w:tc>
        <w:tc>
          <w:tcPr>
            <w:tcW w:w="1274" w:type="dxa"/>
            <w:vAlign w:val="center"/>
          </w:tcPr>
          <w:p w:rsidR="00CD2A5A" w:rsidRDefault="00CD2A5A">
            <w:pPr>
              <w:spacing w:before="40" w:after="40"/>
              <w:ind w:right="284"/>
              <w:jc w:val="right"/>
              <w:rPr>
                <w:sz w:val="20"/>
                <w:szCs w:val="20"/>
                <w:lang w:val="es-SV"/>
              </w:rPr>
            </w:pPr>
            <w:r>
              <w:rPr>
                <w:sz w:val="20"/>
                <w:szCs w:val="20"/>
                <w:lang w:val="es-SV"/>
              </w:rPr>
              <w:t>1937</w:t>
            </w:r>
          </w:p>
        </w:tc>
        <w:tc>
          <w:tcPr>
            <w:tcW w:w="1274" w:type="dxa"/>
            <w:vAlign w:val="center"/>
          </w:tcPr>
          <w:p w:rsidR="00CD2A5A" w:rsidRDefault="00CD2A5A">
            <w:pPr>
              <w:spacing w:before="40" w:after="40"/>
              <w:ind w:right="284"/>
              <w:jc w:val="right"/>
              <w:rPr>
                <w:sz w:val="20"/>
                <w:szCs w:val="20"/>
                <w:lang w:val="es-SV"/>
              </w:rPr>
            </w:pPr>
            <w:r>
              <w:rPr>
                <w:sz w:val="20"/>
                <w:szCs w:val="20"/>
                <w:lang w:val="es-SV"/>
              </w:rPr>
              <w:t>1.287</w:t>
            </w:r>
          </w:p>
        </w:tc>
        <w:tc>
          <w:tcPr>
            <w:tcW w:w="1274" w:type="dxa"/>
            <w:vAlign w:val="center"/>
          </w:tcPr>
          <w:p w:rsidR="00CD2A5A" w:rsidRDefault="00CD2A5A">
            <w:pPr>
              <w:spacing w:before="40" w:after="40"/>
              <w:ind w:right="284"/>
              <w:jc w:val="right"/>
              <w:rPr>
                <w:sz w:val="20"/>
                <w:szCs w:val="20"/>
                <w:lang w:val="es-SV"/>
              </w:rPr>
            </w:pPr>
            <w:r>
              <w:rPr>
                <w:sz w:val="20"/>
                <w:szCs w:val="20"/>
                <w:lang w:val="es-SV"/>
              </w:rPr>
              <w:t>1.077</w:t>
            </w:r>
          </w:p>
        </w:tc>
        <w:tc>
          <w:tcPr>
            <w:tcW w:w="1274" w:type="dxa"/>
            <w:vAlign w:val="center"/>
          </w:tcPr>
          <w:p w:rsidR="00CD2A5A" w:rsidRDefault="00CD2A5A">
            <w:pPr>
              <w:spacing w:before="40" w:after="40"/>
              <w:ind w:right="284"/>
              <w:jc w:val="right"/>
              <w:rPr>
                <w:sz w:val="20"/>
                <w:szCs w:val="20"/>
                <w:lang w:val="es-SV"/>
              </w:rPr>
            </w:pPr>
            <w:r>
              <w:rPr>
                <w:sz w:val="20"/>
                <w:szCs w:val="20"/>
                <w:lang w:val="es-SV"/>
              </w:rPr>
              <w:t>2364</w:t>
            </w:r>
          </w:p>
        </w:tc>
      </w:tr>
      <w:tr w:rsidR="00CD2A5A">
        <w:trPr>
          <w:trHeight w:val="255"/>
          <w:jc w:val="center"/>
        </w:trPr>
        <w:tc>
          <w:tcPr>
            <w:tcW w:w="1277" w:type="dxa"/>
            <w:noWrap/>
            <w:vAlign w:val="bottom"/>
          </w:tcPr>
          <w:p w:rsidR="00CD2A5A" w:rsidRDefault="00CD2A5A">
            <w:pPr>
              <w:spacing w:before="40" w:after="40"/>
              <w:rPr>
                <w:sz w:val="20"/>
                <w:szCs w:val="20"/>
                <w:lang w:val="es-SV"/>
              </w:rPr>
            </w:pPr>
            <w:r>
              <w:rPr>
                <w:sz w:val="20"/>
                <w:szCs w:val="20"/>
                <w:lang w:val="es-SV"/>
              </w:rPr>
              <w:t>Año 2006</w:t>
            </w:r>
          </w:p>
        </w:tc>
        <w:tc>
          <w:tcPr>
            <w:tcW w:w="1274" w:type="dxa"/>
            <w:noWrap/>
            <w:vAlign w:val="center"/>
          </w:tcPr>
          <w:p w:rsidR="00CD2A5A" w:rsidRDefault="00CD2A5A">
            <w:pPr>
              <w:spacing w:before="40" w:after="40"/>
              <w:ind w:right="284"/>
              <w:jc w:val="right"/>
              <w:rPr>
                <w:sz w:val="20"/>
                <w:szCs w:val="20"/>
                <w:lang w:val="es-SV"/>
              </w:rPr>
            </w:pPr>
            <w:r>
              <w:rPr>
                <w:sz w:val="20"/>
                <w:szCs w:val="20"/>
                <w:lang w:val="es-SV"/>
              </w:rPr>
              <w:t>3.532</w:t>
            </w:r>
          </w:p>
        </w:tc>
        <w:tc>
          <w:tcPr>
            <w:tcW w:w="1274" w:type="dxa"/>
            <w:noWrap/>
            <w:vAlign w:val="center"/>
          </w:tcPr>
          <w:p w:rsidR="00CD2A5A" w:rsidRDefault="00CD2A5A">
            <w:pPr>
              <w:spacing w:before="40" w:after="40"/>
              <w:ind w:right="284"/>
              <w:jc w:val="right"/>
              <w:rPr>
                <w:sz w:val="20"/>
                <w:szCs w:val="20"/>
                <w:lang w:val="es-SV"/>
              </w:rPr>
            </w:pPr>
            <w:r>
              <w:rPr>
                <w:sz w:val="20"/>
                <w:szCs w:val="20"/>
                <w:lang w:val="es-SV"/>
              </w:rPr>
              <w:t>2.231</w:t>
            </w:r>
          </w:p>
        </w:tc>
        <w:tc>
          <w:tcPr>
            <w:tcW w:w="1274" w:type="dxa"/>
            <w:vAlign w:val="center"/>
          </w:tcPr>
          <w:p w:rsidR="00CD2A5A" w:rsidRDefault="00CD2A5A">
            <w:pPr>
              <w:spacing w:before="40" w:after="40"/>
              <w:ind w:right="284"/>
              <w:jc w:val="right"/>
              <w:rPr>
                <w:sz w:val="20"/>
                <w:szCs w:val="20"/>
                <w:lang w:val="es-SV"/>
              </w:rPr>
            </w:pPr>
            <w:r>
              <w:rPr>
                <w:sz w:val="20"/>
                <w:szCs w:val="20"/>
                <w:lang w:val="es-SV"/>
              </w:rPr>
              <w:t>5763</w:t>
            </w:r>
          </w:p>
        </w:tc>
        <w:tc>
          <w:tcPr>
            <w:tcW w:w="1274" w:type="dxa"/>
            <w:vAlign w:val="center"/>
          </w:tcPr>
          <w:p w:rsidR="00CD2A5A" w:rsidRDefault="00CD2A5A">
            <w:pPr>
              <w:spacing w:before="40" w:after="40"/>
              <w:ind w:right="284"/>
              <w:jc w:val="right"/>
              <w:rPr>
                <w:sz w:val="20"/>
                <w:szCs w:val="20"/>
                <w:lang w:val="es-SV"/>
              </w:rPr>
            </w:pPr>
            <w:r>
              <w:rPr>
                <w:sz w:val="20"/>
                <w:szCs w:val="20"/>
                <w:lang w:val="es-SV"/>
              </w:rPr>
              <w:t>2.683</w:t>
            </w:r>
          </w:p>
        </w:tc>
        <w:tc>
          <w:tcPr>
            <w:tcW w:w="1274" w:type="dxa"/>
            <w:vAlign w:val="center"/>
          </w:tcPr>
          <w:p w:rsidR="00CD2A5A" w:rsidRDefault="00CD2A5A">
            <w:pPr>
              <w:spacing w:before="40" w:after="40"/>
              <w:ind w:right="284"/>
              <w:jc w:val="right"/>
              <w:rPr>
                <w:sz w:val="20"/>
                <w:szCs w:val="20"/>
                <w:lang w:val="es-SV"/>
              </w:rPr>
            </w:pPr>
            <w:r>
              <w:rPr>
                <w:sz w:val="20"/>
                <w:szCs w:val="20"/>
                <w:lang w:val="es-SV"/>
              </w:rPr>
              <w:t>1.777</w:t>
            </w:r>
          </w:p>
        </w:tc>
        <w:tc>
          <w:tcPr>
            <w:tcW w:w="1274" w:type="dxa"/>
            <w:vAlign w:val="center"/>
          </w:tcPr>
          <w:p w:rsidR="00CD2A5A" w:rsidRDefault="00CD2A5A">
            <w:pPr>
              <w:spacing w:before="40" w:after="40"/>
              <w:ind w:right="284"/>
              <w:jc w:val="right"/>
              <w:rPr>
                <w:sz w:val="20"/>
                <w:szCs w:val="20"/>
                <w:lang w:val="es-SV"/>
              </w:rPr>
            </w:pPr>
            <w:r>
              <w:rPr>
                <w:sz w:val="20"/>
                <w:szCs w:val="20"/>
                <w:lang w:val="es-SV"/>
              </w:rPr>
              <w:t>4460</w:t>
            </w:r>
          </w:p>
        </w:tc>
      </w:tr>
      <w:tr w:rsidR="00CD2A5A">
        <w:trPr>
          <w:trHeight w:val="255"/>
          <w:jc w:val="center"/>
        </w:trPr>
        <w:tc>
          <w:tcPr>
            <w:tcW w:w="1277" w:type="dxa"/>
            <w:noWrap/>
            <w:vAlign w:val="bottom"/>
          </w:tcPr>
          <w:p w:rsidR="00CD2A5A" w:rsidRDefault="00CD2A5A">
            <w:pPr>
              <w:spacing w:before="40" w:after="40"/>
              <w:rPr>
                <w:bCs/>
                <w:sz w:val="20"/>
                <w:szCs w:val="20"/>
                <w:lang w:val="es-SV"/>
              </w:rPr>
            </w:pPr>
            <w:r>
              <w:rPr>
                <w:bCs/>
                <w:sz w:val="20"/>
                <w:szCs w:val="20"/>
                <w:lang w:val="es-SV"/>
              </w:rPr>
              <w:t>Total</w:t>
            </w:r>
          </w:p>
        </w:tc>
        <w:tc>
          <w:tcPr>
            <w:tcW w:w="1274" w:type="dxa"/>
            <w:noWrap/>
            <w:vAlign w:val="center"/>
          </w:tcPr>
          <w:p w:rsidR="00CD2A5A" w:rsidRDefault="00CD2A5A">
            <w:pPr>
              <w:spacing w:before="40" w:after="40"/>
              <w:ind w:right="284"/>
              <w:jc w:val="right"/>
              <w:rPr>
                <w:bCs/>
                <w:sz w:val="20"/>
                <w:szCs w:val="20"/>
                <w:lang w:val="es-SV"/>
              </w:rPr>
            </w:pPr>
            <w:r>
              <w:rPr>
                <w:bCs/>
                <w:sz w:val="20"/>
                <w:szCs w:val="20"/>
                <w:lang w:val="es-SV"/>
              </w:rPr>
              <w:t>4.900</w:t>
            </w:r>
          </w:p>
        </w:tc>
        <w:tc>
          <w:tcPr>
            <w:tcW w:w="1274" w:type="dxa"/>
            <w:noWrap/>
            <w:vAlign w:val="center"/>
          </w:tcPr>
          <w:p w:rsidR="00CD2A5A" w:rsidRDefault="00CD2A5A">
            <w:pPr>
              <w:spacing w:before="40" w:after="40"/>
              <w:ind w:right="284"/>
              <w:jc w:val="right"/>
              <w:rPr>
                <w:bCs/>
                <w:sz w:val="20"/>
                <w:szCs w:val="20"/>
                <w:lang w:val="es-SV"/>
              </w:rPr>
            </w:pPr>
            <w:r>
              <w:rPr>
                <w:bCs/>
                <w:sz w:val="20"/>
                <w:szCs w:val="20"/>
                <w:lang w:val="es-SV"/>
              </w:rPr>
              <w:t>3.394</w:t>
            </w:r>
          </w:p>
        </w:tc>
        <w:tc>
          <w:tcPr>
            <w:tcW w:w="1274" w:type="dxa"/>
            <w:vAlign w:val="center"/>
          </w:tcPr>
          <w:p w:rsidR="00CD2A5A" w:rsidRDefault="00CD2A5A">
            <w:pPr>
              <w:spacing w:before="40" w:after="40"/>
              <w:ind w:right="284"/>
              <w:jc w:val="right"/>
              <w:rPr>
                <w:bCs/>
                <w:sz w:val="20"/>
                <w:szCs w:val="20"/>
                <w:lang w:val="es-SV"/>
              </w:rPr>
            </w:pPr>
            <w:r>
              <w:rPr>
                <w:bCs/>
                <w:sz w:val="20"/>
                <w:szCs w:val="20"/>
                <w:lang w:val="es-SV"/>
              </w:rPr>
              <w:fldChar w:fldCharType="begin"/>
            </w:r>
            <w:r>
              <w:rPr>
                <w:bCs/>
                <w:sz w:val="20"/>
                <w:szCs w:val="20"/>
                <w:lang w:val="es-SV"/>
              </w:rPr>
              <w:instrText xml:space="preserve"> =SUM(ABOVE) </w:instrText>
            </w:r>
            <w:r>
              <w:rPr>
                <w:bCs/>
                <w:sz w:val="20"/>
                <w:szCs w:val="20"/>
                <w:lang w:val="es-SV"/>
              </w:rPr>
              <w:fldChar w:fldCharType="separate"/>
            </w:r>
            <w:r>
              <w:rPr>
                <w:bCs/>
                <w:noProof/>
                <w:sz w:val="20"/>
                <w:szCs w:val="20"/>
                <w:lang w:val="es-SV"/>
              </w:rPr>
              <w:t>8294</w:t>
            </w:r>
            <w:r>
              <w:rPr>
                <w:bCs/>
                <w:sz w:val="20"/>
                <w:szCs w:val="20"/>
                <w:lang w:val="es-SV"/>
              </w:rPr>
              <w:fldChar w:fldCharType="end"/>
            </w:r>
          </w:p>
        </w:tc>
        <w:tc>
          <w:tcPr>
            <w:tcW w:w="1274" w:type="dxa"/>
            <w:vAlign w:val="center"/>
          </w:tcPr>
          <w:p w:rsidR="00CD2A5A" w:rsidRDefault="00CD2A5A">
            <w:pPr>
              <w:spacing w:before="40" w:after="40"/>
              <w:ind w:right="284"/>
              <w:jc w:val="right"/>
              <w:rPr>
                <w:bCs/>
                <w:sz w:val="20"/>
                <w:szCs w:val="20"/>
                <w:lang w:val="es-SV"/>
              </w:rPr>
            </w:pPr>
            <w:r>
              <w:rPr>
                <w:bCs/>
                <w:sz w:val="20"/>
                <w:szCs w:val="20"/>
                <w:lang w:val="es-SV"/>
              </w:rPr>
              <w:t>5.794</w:t>
            </w:r>
          </w:p>
        </w:tc>
        <w:tc>
          <w:tcPr>
            <w:tcW w:w="1274" w:type="dxa"/>
            <w:vAlign w:val="center"/>
          </w:tcPr>
          <w:p w:rsidR="00CD2A5A" w:rsidRDefault="00CD2A5A">
            <w:pPr>
              <w:spacing w:before="40" w:after="40"/>
              <w:ind w:right="284"/>
              <w:jc w:val="right"/>
              <w:rPr>
                <w:bCs/>
                <w:sz w:val="20"/>
                <w:szCs w:val="20"/>
                <w:lang w:val="es-SV"/>
              </w:rPr>
            </w:pPr>
            <w:r>
              <w:rPr>
                <w:bCs/>
                <w:sz w:val="20"/>
                <w:szCs w:val="20"/>
                <w:lang w:val="es-SV"/>
              </w:rPr>
              <w:t>4.533</w:t>
            </w:r>
          </w:p>
        </w:tc>
        <w:tc>
          <w:tcPr>
            <w:tcW w:w="1274" w:type="dxa"/>
            <w:vAlign w:val="center"/>
          </w:tcPr>
          <w:p w:rsidR="00CD2A5A" w:rsidRDefault="00CD2A5A">
            <w:pPr>
              <w:spacing w:before="40" w:after="40"/>
              <w:ind w:right="284"/>
              <w:jc w:val="right"/>
              <w:rPr>
                <w:bCs/>
                <w:sz w:val="20"/>
                <w:szCs w:val="20"/>
                <w:lang w:val="es-SV"/>
              </w:rPr>
            </w:pPr>
            <w:r>
              <w:rPr>
                <w:bCs/>
                <w:sz w:val="20"/>
                <w:szCs w:val="20"/>
                <w:lang w:val="es-SV"/>
              </w:rPr>
              <w:fldChar w:fldCharType="begin"/>
            </w:r>
            <w:r>
              <w:rPr>
                <w:bCs/>
                <w:sz w:val="20"/>
                <w:szCs w:val="20"/>
                <w:lang w:val="es-SV"/>
              </w:rPr>
              <w:instrText xml:space="preserve"> =SUM(ABOVE) </w:instrText>
            </w:r>
            <w:r>
              <w:rPr>
                <w:bCs/>
                <w:sz w:val="20"/>
                <w:szCs w:val="20"/>
                <w:lang w:val="es-SV"/>
              </w:rPr>
              <w:fldChar w:fldCharType="separate"/>
            </w:r>
            <w:r>
              <w:rPr>
                <w:bCs/>
                <w:noProof/>
                <w:sz w:val="20"/>
                <w:szCs w:val="20"/>
                <w:lang w:val="es-SV"/>
              </w:rPr>
              <w:t>10327</w:t>
            </w:r>
            <w:r>
              <w:rPr>
                <w:bCs/>
                <w:sz w:val="20"/>
                <w:szCs w:val="20"/>
                <w:lang w:val="es-SV"/>
              </w:rPr>
              <w:fldChar w:fldCharType="end"/>
            </w:r>
          </w:p>
        </w:tc>
      </w:tr>
    </w:tbl>
    <w:p w:rsidR="00CD2A5A" w:rsidRDefault="00CD2A5A">
      <w:pPr>
        <w:pStyle w:val="Source"/>
        <w:rPr>
          <w:lang w:val="pt-PT"/>
        </w:rPr>
      </w:pPr>
      <w:r>
        <w:rPr>
          <w:i/>
          <w:lang w:val="pt-PT"/>
        </w:rPr>
        <w:t>Fuente</w:t>
      </w:r>
      <w:r>
        <w:rPr>
          <w:lang w:val="pt-PT"/>
        </w:rPr>
        <w:t>: ISDEMU</w:t>
      </w:r>
    </w:p>
    <w:p w:rsidR="00CD2A5A" w:rsidRDefault="00CD2A5A">
      <w:pPr>
        <w:pStyle w:val="I"/>
      </w:pPr>
      <w:r>
        <w:br w:type="page"/>
        <w:t>ANEXO IX</w:t>
      </w:r>
    </w:p>
    <w:p w:rsidR="00CD2A5A" w:rsidRDefault="00CD2A5A">
      <w:pPr>
        <w:pStyle w:val="I"/>
      </w:pPr>
      <w:r>
        <w:t>DESNUTRICIÓN Y ANEMIA</w:t>
      </w:r>
    </w:p>
    <w:p w:rsidR="00CD2A5A" w:rsidRDefault="00CD2A5A" w:rsidP="00CD2A5A">
      <w:pPr>
        <w:pStyle w:val="Figure"/>
        <w:rPr>
          <w:lang w:val="es-SV"/>
        </w:rPr>
      </w:pPr>
      <w:r>
        <w:t>Tendencia de la prevalencia nacional de desnutrición en niños y niñas menores de 5 años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3"/>
        <w:gridCol w:w="2827"/>
        <w:gridCol w:w="2827"/>
        <w:gridCol w:w="2825"/>
      </w:tblGrid>
      <w:tr w:rsidR="00CD2A5A">
        <w:tblPrEx>
          <w:tblCellMar>
            <w:top w:w="0" w:type="dxa"/>
            <w:bottom w:w="0" w:type="dxa"/>
          </w:tblCellMar>
        </w:tblPrEx>
        <w:tc>
          <w:tcPr>
            <w:tcW w:w="561" w:type="pct"/>
            <w:vAlign w:val="center"/>
          </w:tcPr>
          <w:p w:rsidR="00CD2A5A" w:rsidRDefault="00CD2A5A">
            <w:pPr>
              <w:spacing w:before="40" w:after="40"/>
              <w:jc w:val="center"/>
              <w:rPr>
                <w:b/>
                <w:i/>
                <w:sz w:val="20"/>
                <w:szCs w:val="20"/>
                <w:lang w:val="es-SV"/>
              </w:rPr>
            </w:pPr>
            <w:r>
              <w:rPr>
                <w:b/>
                <w:i/>
                <w:sz w:val="20"/>
                <w:szCs w:val="20"/>
                <w:lang w:val="es-SV"/>
              </w:rPr>
              <w:t>Año</w:t>
            </w:r>
          </w:p>
        </w:tc>
        <w:tc>
          <w:tcPr>
            <w:tcW w:w="1480" w:type="pct"/>
            <w:vAlign w:val="center"/>
          </w:tcPr>
          <w:p w:rsidR="00CD2A5A" w:rsidRDefault="00CD2A5A">
            <w:pPr>
              <w:spacing w:before="40" w:after="40"/>
              <w:jc w:val="center"/>
              <w:rPr>
                <w:b/>
                <w:bCs/>
                <w:i/>
                <w:sz w:val="20"/>
                <w:szCs w:val="20"/>
                <w:lang w:val="es-SV"/>
              </w:rPr>
            </w:pPr>
            <w:r>
              <w:rPr>
                <w:b/>
                <w:bCs/>
                <w:i/>
                <w:sz w:val="20"/>
                <w:szCs w:val="20"/>
                <w:lang w:val="es-SV"/>
              </w:rPr>
              <w:t>Retardo en crecimiento</w:t>
            </w:r>
            <w:r>
              <w:rPr>
                <w:b/>
                <w:bCs/>
                <w:i/>
                <w:sz w:val="20"/>
                <w:szCs w:val="20"/>
                <w:lang w:val="es-SV"/>
              </w:rPr>
              <w:br/>
              <w:t>(Talla para la edad)</w:t>
            </w:r>
          </w:p>
        </w:tc>
        <w:tc>
          <w:tcPr>
            <w:tcW w:w="1480" w:type="pct"/>
            <w:vAlign w:val="center"/>
          </w:tcPr>
          <w:p w:rsidR="00CD2A5A" w:rsidRDefault="00CD2A5A">
            <w:pPr>
              <w:spacing w:before="40" w:after="40"/>
              <w:jc w:val="center"/>
              <w:rPr>
                <w:b/>
                <w:bCs/>
                <w:i/>
                <w:sz w:val="20"/>
                <w:szCs w:val="20"/>
                <w:lang w:val="es-SV"/>
              </w:rPr>
            </w:pPr>
            <w:r>
              <w:rPr>
                <w:b/>
                <w:bCs/>
                <w:i/>
                <w:sz w:val="20"/>
                <w:szCs w:val="20"/>
                <w:lang w:val="es-SV"/>
              </w:rPr>
              <w:t>Bajo peso</w:t>
            </w:r>
            <w:r>
              <w:rPr>
                <w:b/>
                <w:bCs/>
                <w:i/>
                <w:sz w:val="20"/>
                <w:szCs w:val="20"/>
                <w:lang w:val="es-SV"/>
              </w:rPr>
              <w:br/>
              <w:t>(peso para la edad)</w:t>
            </w:r>
          </w:p>
        </w:tc>
        <w:tc>
          <w:tcPr>
            <w:tcW w:w="1480" w:type="pct"/>
            <w:vAlign w:val="center"/>
          </w:tcPr>
          <w:p w:rsidR="00CD2A5A" w:rsidRDefault="00CD2A5A">
            <w:pPr>
              <w:spacing w:before="40" w:after="40"/>
              <w:jc w:val="center"/>
              <w:rPr>
                <w:b/>
                <w:i/>
                <w:sz w:val="20"/>
                <w:szCs w:val="20"/>
                <w:lang w:val="es-SV"/>
              </w:rPr>
            </w:pPr>
            <w:r>
              <w:rPr>
                <w:b/>
                <w:i/>
                <w:sz w:val="20"/>
                <w:szCs w:val="20"/>
                <w:lang w:val="es-SV"/>
              </w:rPr>
              <w:t>Delgadez</w:t>
            </w:r>
            <w:r>
              <w:rPr>
                <w:b/>
                <w:i/>
                <w:sz w:val="20"/>
                <w:szCs w:val="20"/>
                <w:lang w:val="es-SV"/>
              </w:rPr>
              <w:br/>
              <w:t>(peso para la talla)</w:t>
            </w:r>
          </w:p>
        </w:tc>
      </w:tr>
      <w:tr w:rsidR="00CD2A5A">
        <w:tblPrEx>
          <w:tblCellMar>
            <w:top w:w="0" w:type="dxa"/>
            <w:bottom w:w="0" w:type="dxa"/>
          </w:tblCellMar>
        </w:tblPrEx>
        <w:tc>
          <w:tcPr>
            <w:tcW w:w="561" w:type="pct"/>
          </w:tcPr>
          <w:p w:rsidR="00CD2A5A" w:rsidRDefault="00CD2A5A">
            <w:pPr>
              <w:spacing w:before="40" w:after="40"/>
              <w:rPr>
                <w:sz w:val="20"/>
                <w:szCs w:val="20"/>
                <w:lang w:val="es-SV"/>
              </w:rPr>
            </w:pPr>
            <w:r>
              <w:rPr>
                <w:sz w:val="20"/>
                <w:szCs w:val="20"/>
                <w:lang w:val="es-SV"/>
              </w:rPr>
              <w:t>1988</w:t>
            </w:r>
          </w:p>
        </w:tc>
        <w:tc>
          <w:tcPr>
            <w:tcW w:w="1480" w:type="pct"/>
          </w:tcPr>
          <w:p w:rsidR="00CD2A5A" w:rsidRDefault="00CD2A5A">
            <w:pPr>
              <w:spacing w:before="40" w:after="40"/>
              <w:jc w:val="center"/>
              <w:rPr>
                <w:sz w:val="20"/>
                <w:szCs w:val="20"/>
                <w:lang w:val="es-SV"/>
              </w:rPr>
            </w:pPr>
            <w:r>
              <w:rPr>
                <w:sz w:val="20"/>
                <w:szCs w:val="20"/>
                <w:lang w:val="es-SV"/>
              </w:rPr>
              <w:t>31,7</w:t>
            </w:r>
          </w:p>
        </w:tc>
        <w:tc>
          <w:tcPr>
            <w:tcW w:w="1480" w:type="pct"/>
          </w:tcPr>
          <w:p w:rsidR="00CD2A5A" w:rsidRDefault="00CD2A5A">
            <w:pPr>
              <w:spacing w:before="40" w:after="40"/>
              <w:jc w:val="center"/>
              <w:rPr>
                <w:sz w:val="20"/>
                <w:szCs w:val="20"/>
                <w:lang w:val="es-SV"/>
              </w:rPr>
            </w:pPr>
            <w:r>
              <w:rPr>
                <w:sz w:val="20"/>
                <w:szCs w:val="20"/>
                <w:lang w:val="es-SV"/>
              </w:rPr>
              <w:t>16,1</w:t>
            </w:r>
          </w:p>
        </w:tc>
        <w:tc>
          <w:tcPr>
            <w:tcW w:w="1480" w:type="pct"/>
          </w:tcPr>
          <w:p w:rsidR="00CD2A5A" w:rsidRDefault="00CD2A5A">
            <w:pPr>
              <w:spacing w:before="40" w:after="40"/>
              <w:jc w:val="center"/>
              <w:rPr>
                <w:sz w:val="20"/>
                <w:szCs w:val="20"/>
                <w:lang w:val="es-SV"/>
              </w:rPr>
            </w:pPr>
            <w:r>
              <w:rPr>
                <w:sz w:val="20"/>
                <w:szCs w:val="20"/>
                <w:lang w:val="es-SV"/>
              </w:rPr>
              <w:t>2,1</w:t>
            </w:r>
          </w:p>
        </w:tc>
      </w:tr>
      <w:tr w:rsidR="00CD2A5A">
        <w:tblPrEx>
          <w:tblCellMar>
            <w:top w:w="0" w:type="dxa"/>
            <w:bottom w:w="0" w:type="dxa"/>
          </w:tblCellMar>
        </w:tblPrEx>
        <w:tc>
          <w:tcPr>
            <w:tcW w:w="561" w:type="pct"/>
          </w:tcPr>
          <w:p w:rsidR="00CD2A5A" w:rsidRDefault="00CD2A5A">
            <w:pPr>
              <w:spacing w:before="40" w:after="40"/>
              <w:rPr>
                <w:sz w:val="20"/>
                <w:szCs w:val="20"/>
                <w:lang w:val="es-SV"/>
              </w:rPr>
            </w:pPr>
            <w:r>
              <w:rPr>
                <w:sz w:val="20"/>
                <w:szCs w:val="20"/>
                <w:lang w:val="es-SV"/>
              </w:rPr>
              <w:t>1993</w:t>
            </w:r>
          </w:p>
        </w:tc>
        <w:tc>
          <w:tcPr>
            <w:tcW w:w="1480" w:type="pct"/>
          </w:tcPr>
          <w:p w:rsidR="00CD2A5A" w:rsidRDefault="00CD2A5A">
            <w:pPr>
              <w:spacing w:before="40" w:after="40"/>
              <w:jc w:val="center"/>
              <w:rPr>
                <w:sz w:val="20"/>
                <w:szCs w:val="20"/>
                <w:lang w:val="es-SV"/>
              </w:rPr>
            </w:pPr>
            <w:r>
              <w:rPr>
                <w:sz w:val="20"/>
                <w:szCs w:val="20"/>
                <w:lang w:val="es-SV"/>
              </w:rPr>
              <w:t>22,8</w:t>
            </w:r>
          </w:p>
        </w:tc>
        <w:tc>
          <w:tcPr>
            <w:tcW w:w="1480" w:type="pct"/>
          </w:tcPr>
          <w:p w:rsidR="00CD2A5A" w:rsidRDefault="00CD2A5A">
            <w:pPr>
              <w:spacing w:before="40" w:after="40"/>
              <w:jc w:val="center"/>
              <w:rPr>
                <w:sz w:val="20"/>
                <w:szCs w:val="20"/>
                <w:lang w:val="es-SV"/>
              </w:rPr>
            </w:pPr>
            <w:r>
              <w:rPr>
                <w:sz w:val="20"/>
                <w:szCs w:val="20"/>
                <w:lang w:val="es-SV"/>
              </w:rPr>
              <w:t>11,2</w:t>
            </w:r>
          </w:p>
        </w:tc>
        <w:tc>
          <w:tcPr>
            <w:tcW w:w="1480" w:type="pct"/>
          </w:tcPr>
          <w:p w:rsidR="00CD2A5A" w:rsidRDefault="00CD2A5A">
            <w:pPr>
              <w:spacing w:before="40" w:after="40"/>
              <w:jc w:val="center"/>
              <w:rPr>
                <w:sz w:val="20"/>
                <w:szCs w:val="20"/>
                <w:lang w:val="es-SV"/>
              </w:rPr>
            </w:pPr>
            <w:r>
              <w:rPr>
                <w:sz w:val="20"/>
                <w:szCs w:val="20"/>
                <w:lang w:val="es-SV"/>
              </w:rPr>
              <w:t>1,3</w:t>
            </w:r>
          </w:p>
        </w:tc>
      </w:tr>
      <w:tr w:rsidR="00CD2A5A">
        <w:tblPrEx>
          <w:tblCellMar>
            <w:top w:w="0" w:type="dxa"/>
            <w:bottom w:w="0" w:type="dxa"/>
          </w:tblCellMar>
        </w:tblPrEx>
        <w:tc>
          <w:tcPr>
            <w:tcW w:w="561" w:type="pct"/>
          </w:tcPr>
          <w:p w:rsidR="00CD2A5A" w:rsidRDefault="00CD2A5A">
            <w:pPr>
              <w:spacing w:before="40" w:after="40"/>
              <w:rPr>
                <w:sz w:val="20"/>
                <w:szCs w:val="20"/>
                <w:lang w:val="es-SV"/>
              </w:rPr>
            </w:pPr>
            <w:r>
              <w:rPr>
                <w:sz w:val="20"/>
                <w:szCs w:val="20"/>
                <w:lang w:val="es-SV"/>
              </w:rPr>
              <w:t>1998</w:t>
            </w:r>
          </w:p>
        </w:tc>
        <w:tc>
          <w:tcPr>
            <w:tcW w:w="1480" w:type="pct"/>
          </w:tcPr>
          <w:p w:rsidR="00CD2A5A" w:rsidRDefault="00CD2A5A">
            <w:pPr>
              <w:spacing w:before="40" w:after="40"/>
              <w:jc w:val="center"/>
              <w:rPr>
                <w:sz w:val="20"/>
                <w:szCs w:val="20"/>
                <w:lang w:val="es-SV"/>
              </w:rPr>
            </w:pPr>
            <w:r>
              <w:rPr>
                <w:sz w:val="20"/>
                <w:szCs w:val="20"/>
                <w:lang w:val="es-SV"/>
              </w:rPr>
              <w:t>23,3</w:t>
            </w:r>
          </w:p>
        </w:tc>
        <w:tc>
          <w:tcPr>
            <w:tcW w:w="1480" w:type="pct"/>
          </w:tcPr>
          <w:p w:rsidR="00CD2A5A" w:rsidRDefault="00CD2A5A">
            <w:pPr>
              <w:spacing w:before="40" w:after="40"/>
              <w:jc w:val="center"/>
              <w:rPr>
                <w:sz w:val="20"/>
                <w:szCs w:val="20"/>
                <w:lang w:val="es-SV"/>
              </w:rPr>
            </w:pPr>
            <w:r>
              <w:rPr>
                <w:sz w:val="20"/>
                <w:szCs w:val="20"/>
                <w:lang w:val="es-SV"/>
              </w:rPr>
              <w:t>11,8</w:t>
            </w:r>
          </w:p>
        </w:tc>
        <w:tc>
          <w:tcPr>
            <w:tcW w:w="1480" w:type="pct"/>
          </w:tcPr>
          <w:p w:rsidR="00CD2A5A" w:rsidRDefault="00CD2A5A">
            <w:pPr>
              <w:spacing w:before="40" w:after="40"/>
              <w:jc w:val="center"/>
              <w:rPr>
                <w:sz w:val="20"/>
                <w:szCs w:val="20"/>
                <w:lang w:val="es-SV"/>
              </w:rPr>
            </w:pPr>
            <w:r>
              <w:rPr>
                <w:sz w:val="20"/>
                <w:szCs w:val="20"/>
                <w:lang w:val="es-SV"/>
              </w:rPr>
              <w:t>1,1</w:t>
            </w:r>
          </w:p>
        </w:tc>
      </w:tr>
      <w:tr w:rsidR="00CD2A5A">
        <w:tblPrEx>
          <w:tblCellMar>
            <w:top w:w="0" w:type="dxa"/>
            <w:bottom w:w="0" w:type="dxa"/>
          </w:tblCellMar>
        </w:tblPrEx>
        <w:tc>
          <w:tcPr>
            <w:tcW w:w="561" w:type="pct"/>
          </w:tcPr>
          <w:p w:rsidR="00CD2A5A" w:rsidRDefault="00CD2A5A">
            <w:pPr>
              <w:spacing w:before="40" w:after="40"/>
              <w:rPr>
                <w:sz w:val="20"/>
                <w:szCs w:val="20"/>
                <w:lang w:val="es-SV"/>
              </w:rPr>
            </w:pPr>
            <w:r>
              <w:rPr>
                <w:sz w:val="20"/>
                <w:szCs w:val="20"/>
                <w:lang w:val="es-SV"/>
              </w:rPr>
              <w:t>2002/03</w:t>
            </w:r>
          </w:p>
        </w:tc>
        <w:tc>
          <w:tcPr>
            <w:tcW w:w="1480" w:type="pct"/>
          </w:tcPr>
          <w:p w:rsidR="00CD2A5A" w:rsidRDefault="00CD2A5A">
            <w:pPr>
              <w:spacing w:before="40" w:after="40"/>
              <w:jc w:val="center"/>
              <w:rPr>
                <w:sz w:val="20"/>
                <w:szCs w:val="20"/>
                <w:lang w:val="es-SV"/>
              </w:rPr>
            </w:pPr>
            <w:r>
              <w:rPr>
                <w:sz w:val="20"/>
                <w:szCs w:val="20"/>
                <w:lang w:val="es-SV"/>
              </w:rPr>
              <w:t>18,9</w:t>
            </w:r>
          </w:p>
        </w:tc>
        <w:tc>
          <w:tcPr>
            <w:tcW w:w="1480" w:type="pct"/>
          </w:tcPr>
          <w:p w:rsidR="00CD2A5A" w:rsidRDefault="00CD2A5A">
            <w:pPr>
              <w:spacing w:before="40" w:after="40"/>
              <w:jc w:val="center"/>
              <w:rPr>
                <w:sz w:val="20"/>
                <w:szCs w:val="20"/>
                <w:lang w:val="es-SV"/>
              </w:rPr>
            </w:pPr>
            <w:r>
              <w:rPr>
                <w:sz w:val="20"/>
                <w:szCs w:val="20"/>
                <w:lang w:val="es-SV"/>
              </w:rPr>
              <w:t>10,3</w:t>
            </w:r>
          </w:p>
        </w:tc>
        <w:tc>
          <w:tcPr>
            <w:tcW w:w="1480" w:type="pct"/>
          </w:tcPr>
          <w:p w:rsidR="00CD2A5A" w:rsidRDefault="00CD2A5A">
            <w:pPr>
              <w:spacing w:before="40" w:after="40"/>
              <w:jc w:val="center"/>
              <w:rPr>
                <w:sz w:val="20"/>
                <w:szCs w:val="20"/>
                <w:lang w:val="es-SV"/>
              </w:rPr>
            </w:pPr>
            <w:r>
              <w:rPr>
                <w:sz w:val="20"/>
                <w:szCs w:val="20"/>
                <w:lang w:val="es-SV"/>
              </w:rPr>
              <w:t>1,4</w:t>
            </w:r>
          </w:p>
        </w:tc>
      </w:tr>
    </w:tbl>
    <w:p w:rsidR="00CD2A5A" w:rsidRDefault="00CD2A5A">
      <w:pPr>
        <w:spacing w:after="240"/>
        <w:rPr>
          <w:bCs/>
          <w:lang w:val="es-SV"/>
        </w:rPr>
      </w:pPr>
    </w:p>
    <w:p w:rsidR="00CD2A5A" w:rsidRDefault="00CD2A5A" w:rsidP="00CD2A5A">
      <w:pPr>
        <w:pStyle w:val="Figure"/>
      </w:pPr>
      <w:r>
        <w:t>Prevalencia nacional de anemia en niños y niñas  menores de 5 años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3"/>
        <w:gridCol w:w="5165"/>
      </w:tblGrid>
      <w:tr w:rsidR="00CD2A5A">
        <w:tblPrEx>
          <w:tblCellMar>
            <w:top w:w="0" w:type="dxa"/>
            <w:bottom w:w="0" w:type="dxa"/>
          </w:tblCellMar>
        </w:tblPrEx>
        <w:trPr>
          <w:jc w:val="center"/>
        </w:trPr>
        <w:tc>
          <w:tcPr>
            <w:tcW w:w="1510" w:type="dxa"/>
            <w:vAlign w:val="center"/>
          </w:tcPr>
          <w:p w:rsidR="00CD2A5A" w:rsidRDefault="00CD2A5A">
            <w:pPr>
              <w:spacing w:before="40" w:after="40"/>
              <w:jc w:val="center"/>
              <w:rPr>
                <w:b/>
                <w:i/>
                <w:sz w:val="20"/>
                <w:szCs w:val="20"/>
                <w:lang w:val="es-SV"/>
              </w:rPr>
            </w:pPr>
            <w:r>
              <w:rPr>
                <w:b/>
                <w:i/>
                <w:sz w:val="20"/>
                <w:szCs w:val="20"/>
                <w:lang w:val="es-SV"/>
              </w:rPr>
              <w:t>Año</w:t>
            </w:r>
          </w:p>
        </w:tc>
        <w:tc>
          <w:tcPr>
            <w:tcW w:w="2812" w:type="dxa"/>
            <w:vAlign w:val="center"/>
          </w:tcPr>
          <w:p w:rsidR="00CD2A5A" w:rsidRDefault="00CD2A5A">
            <w:pPr>
              <w:spacing w:before="40" w:after="40"/>
              <w:jc w:val="center"/>
              <w:rPr>
                <w:b/>
                <w:i/>
                <w:sz w:val="20"/>
                <w:szCs w:val="20"/>
                <w:lang w:val="es-SV"/>
              </w:rPr>
            </w:pPr>
            <w:r>
              <w:rPr>
                <w:b/>
                <w:i/>
                <w:sz w:val="20"/>
                <w:szCs w:val="20"/>
                <w:lang w:val="es-SV"/>
              </w:rPr>
              <w:t>Anemia (Hb &lt; 11mg/dl)</w:t>
            </w:r>
          </w:p>
        </w:tc>
      </w:tr>
      <w:tr w:rsidR="00CD2A5A">
        <w:tblPrEx>
          <w:tblCellMar>
            <w:top w:w="0" w:type="dxa"/>
            <w:bottom w:w="0" w:type="dxa"/>
          </w:tblCellMar>
        </w:tblPrEx>
        <w:trPr>
          <w:jc w:val="center"/>
        </w:trPr>
        <w:tc>
          <w:tcPr>
            <w:tcW w:w="1510" w:type="dxa"/>
          </w:tcPr>
          <w:p w:rsidR="00CD2A5A" w:rsidRDefault="00CD2A5A">
            <w:pPr>
              <w:spacing w:before="40" w:after="40"/>
              <w:rPr>
                <w:sz w:val="20"/>
                <w:szCs w:val="20"/>
                <w:lang w:val="es-SV"/>
              </w:rPr>
            </w:pPr>
            <w:r>
              <w:rPr>
                <w:sz w:val="20"/>
                <w:szCs w:val="20"/>
                <w:lang w:val="es-SV"/>
              </w:rPr>
              <w:t>1998</w:t>
            </w:r>
          </w:p>
        </w:tc>
        <w:tc>
          <w:tcPr>
            <w:tcW w:w="2812" w:type="dxa"/>
          </w:tcPr>
          <w:p w:rsidR="00CD2A5A" w:rsidRDefault="00CD2A5A">
            <w:pPr>
              <w:spacing w:before="40" w:after="40"/>
              <w:jc w:val="center"/>
              <w:rPr>
                <w:sz w:val="20"/>
                <w:szCs w:val="20"/>
                <w:lang w:val="es-SV"/>
              </w:rPr>
            </w:pPr>
            <w:r>
              <w:rPr>
                <w:sz w:val="20"/>
                <w:szCs w:val="20"/>
                <w:lang w:val="es-SV"/>
              </w:rPr>
              <w:t>18.9</w:t>
            </w:r>
          </w:p>
        </w:tc>
      </w:tr>
      <w:tr w:rsidR="00CD2A5A">
        <w:tblPrEx>
          <w:tblCellMar>
            <w:top w:w="0" w:type="dxa"/>
            <w:bottom w:w="0" w:type="dxa"/>
          </w:tblCellMar>
        </w:tblPrEx>
        <w:trPr>
          <w:jc w:val="center"/>
        </w:trPr>
        <w:tc>
          <w:tcPr>
            <w:tcW w:w="1510" w:type="dxa"/>
          </w:tcPr>
          <w:p w:rsidR="00CD2A5A" w:rsidRDefault="00CD2A5A">
            <w:pPr>
              <w:spacing w:before="40" w:after="40"/>
              <w:rPr>
                <w:sz w:val="20"/>
                <w:szCs w:val="20"/>
                <w:lang w:val="es-SV"/>
              </w:rPr>
            </w:pPr>
            <w:r>
              <w:rPr>
                <w:sz w:val="20"/>
                <w:szCs w:val="20"/>
                <w:lang w:val="es-SV"/>
              </w:rPr>
              <w:t>2002/03</w:t>
            </w:r>
          </w:p>
        </w:tc>
        <w:tc>
          <w:tcPr>
            <w:tcW w:w="2812" w:type="dxa"/>
          </w:tcPr>
          <w:p w:rsidR="00CD2A5A" w:rsidRDefault="00CD2A5A">
            <w:pPr>
              <w:spacing w:before="40" w:after="40"/>
              <w:jc w:val="center"/>
              <w:rPr>
                <w:sz w:val="20"/>
                <w:szCs w:val="20"/>
                <w:lang w:val="es-SV"/>
              </w:rPr>
            </w:pPr>
            <w:r>
              <w:rPr>
                <w:sz w:val="20"/>
                <w:szCs w:val="20"/>
                <w:lang w:val="es-SV"/>
              </w:rPr>
              <w:t>19.8</w:t>
            </w:r>
          </w:p>
        </w:tc>
      </w:tr>
    </w:tbl>
    <w:p w:rsidR="00CD2A5A" w:rsidRDefault="00CD2A5A">
      <w:pPr>
        <w:pStyle w:val="Title"/>
        <w:spacing w:after="240"/>
        <w:jc w:val="left"/>
        <w:rPr>
          <w:rFonts w:ascii="Times New Roman" w:hAnsi="Times New Roman" w:cs="Times New Roman"/>
          <w:b w:val="0"/>
          <w:lang w:val="es-SV"/>
        </w:rPr>
      </w:pPr>
    </w:p>
    <w:p w:rsidR="00CD2A5A" w:rsidRDefault="00CD2A5A">
      <w:pPr>
        <w:spacing w:after="240"/>
        <w:rPr>
          <w:b/>
          <w:lang w:val="es-SV"/>
        </w:rPr>
        <w:sectPr w:rsidR="00CD2A5A">
          <w:pgSz w:w="11906" w:h="16838" w:code="9"/>
          <w:pgMar w:top="851" w:right="1247" w:bottom="1418" w:left="1247" w:header="851" w:footer="567" w:gutter="0"/>
          <w:cols w:space="708"/>
          <w:titlePg/>
          <w:docGrid w:linePitch="360"/>
        </w:sectPr>
      </w:pPr>
    </w:p>
    <w:p w:rsidR="00CD2A5A" w:rsidRDefault="00CD2A5A">
      <w:pPr>
        <w:pStyle w:val="I"/>
      </w:pPr>
      <w:r>
        <w:t>ANEXO X</w:t>
      </w:r>
    </w:p>
    <w:p w:rsidR="00CD2A5A" w:rsidRDefault="00CD2A5A" w:rsidP="00CD2A5A">
      <w:pPr>
        <w:pStyle w:val="Figure"/>
      </w:pPr>
      <w:r>
        <w:t>REVISIÓN “PLUS 5” DE LA APLICACIÓN DE COMPROMISOS DEL PLAN DE ACCIÓN DEL DOCUMENTO "UN MUNDO APROPIADO PARA LOS NIÑOS"</w:t>
      </w:r>
    </w:p>
    <w:p w:rsidR="00CD2A5A" w:rsidRDefault="00CD2A5A" w:rsidP="006228EF">
      <w:pPr>
        <w:pStyle w:val="A0"/>
      </w:pPr>
      <w:r>
        <w:t>A.  Introducción</w:t>
      </w:r>
    </w:p>
    <w:p w:rsidR="00CD2A5A" w:rsidRDefault="00CD2A5A">
      <w:pPr>
        <w:numPr>
          <w:ilvl w:val="0"/>
          <w:numId w:val="33"/>
        </w:numPr>
        <w:tabs>
          <w:tab w:val="clear" w:pos="567"/>
        </w:tabs>
        <w:spacing w:after="240"/>
      </w:pPr>
      <w:r>
        <w:t>La Asamblea General de las Naciones Unidas, congregada en período extraordinario de sesiones en mayo de 2002, aprobó el documento de resultados titulado "Un mundo apropiado para los niños". En él se retoman, como un todo, los compromisos adquiridos en la Convención sobre los Derechos del Niño, en la Cumbre Mundial en favor de la Infancia (1990) y en la Cumbre del Milenio (2000)</w:t>
      </w:r>
      <w:r>
        <w:rPr>
          <w:rStyle w:val="FootnoteReference"/>
        </w:rPr>
        <w:footnoteReference w:id="59"/>
      </w:r>
      <w:r>
        <w:t>, y se establece un conjunto coherente de metas y objetivos intermedios en el curso del decenio 2000-2010  para ciertas esferas de acción prioritarias.</w:t>
      </w:r>
      <w:r>
        <w:rPr>
          <w:rStyle w:val="FootnoteReference"/>
        </w:rPr>
        <w:footnoteReference w:id="60"/>
      </w:r>
      <w:r>
        <w:t xml:space="preserve">  </w:t>
      </w:r>
    </w:p>
    <w:p w:rsidR="00CD2A5A" w:rsidRDefault="00CD2A5A">
      <w:pPr>
        <w:numPr>
          <w:ilvl w:val="0"/>
          <w:numId w:val="33"/>
        </w:numPr>
        <w:tabs>
          <w:tab w:val="clear" w:pos="567"/>
        </w:tabs>
        <w:spacing w:after="240"/>
      </w:pPr>
      <w:r>
        <w:t xml:space="preserve">El Salvador es signatario de estos cuatro Acuerdos mencionados (1989, 1990, 2000 y 2002), y como tal se ha comprometido </w:t>
      </w:r>
      <w:r>
        <w:rPr>
          <w:i/>
          <w:iCs/>
        </w:rPr>
        <w:t>a</w:t>
      </w:r>
      <w:r>
        <w:t xml:space="preserve">) a realizar “...exámenes periódicos, en los planos nacional y subnacional, de los progresos alcanzados a fin de hacer frente a los obstáculos y acelerar los avances de forma más eficaz” y </w:t>
      </w:r>
      <w:r>
        <w:rPr>
          <w:i/>
          <w:iCs/>
        </w:rPr>
        <w:t>b</w:t>
      </w:r>
      <w:r>
        <w:t>) a presentar información al Comité de Derechos del Niño “...sobre las medidas adoptadas y los r</w:t>
      </w:r>
      <w:r>
        <w:t>e</w:t>
      </w:r>
      <w:r>
        <w:t>sultados obtenidos” en la aplicación del Plan de Acción del documento "Un mundo apropiado para los niños" (en lo sucesivo denominado PA-MAN) (2002).</w:t>
      </w:r>
      <w:r>
        <w:rPr>
          <w:rStyle w:val="FootnoteReference"/>
        </w:rPr>
        <w:footnoteReference w:id="61"/>
      </w:r>
      <w:r>
        <w:t xml:space="preserve"> </w:t>
      </w:r>
    </w:p>
    <w:p w:rsidR="00CD2A5A" w:rsidRDefault="00CD2A5A">
      <w:pPr>
        <w:numPr>
          <w:ilvl w:val="0"/>
          <w:numId w:val="33"/>
        </w:numPr>
        <w:tabs>
          <w:tab w:val="clear" w:pos="567"/>
        </w:tabs>
        <w:spacing w:after="240"/>
      </w:pPr>
      <w:r>
        <w:t xml:space="preserve">El presente informe pretende </w:t>
      </w:r>
      <w:r>
        <w:rPr>
          <w:i/>
          <w:iCs/>
        </w:rPr>
        <w:t>a</w:t>
      </w:r>
      <w:r>
        <w:t xml:space="preserve">) mostrar la evolución alcanzada por El Salvador en su proceso hacia el cumplimiento de los objetivos y metas establecidos en el Plan de Acción, poniendo especial énfasis en el último período 2000-2005, </w:t>
      </w:r>
      <w:r>
        <w:rPr>
          <w:i/>
          <w:iCs/>
        </w:rPr>
        <w:t>b</w:t>
      </w:r>
      <w:r>
        <w:t xml:space="preserve">) presentar conclusiones y recomendaciones acerca de algunos aspectos de dicho proceso, y </w:t>
      </w:r>
      <w:r>
        <w:rPr>
          <w:i/>
          <w:iCs/>
        </w:rPr>
        <w:t>c</w:t>
      </w:r>
      <w:r>
        <w:t>) contribuir de esta manera a la elaboración por parte del Gobierno de El Salvador del informe de país que remitirá al Secretario General de las Naciones Unidas y a la sede central del Fondo de las Naciones Unidas para la Infancia (UNICEF).</w:t>
      </w:r>
      <w:r>
        <w:rPr>
          <w:rStyle w:val="FootnoteReference"/>
        </w:rPr>
        <w:footnoteReference w:id="62"/>
      </w:r>
    </w:p>
    <w:p w:rsidR="00CD2A5A" w:rsidRDefault="00CD2A5A">
      <w:pPr>
        <w:numPr>
          <w:ilvl w:val="0"/>
          <w:numId w:val="33"/>
        </w:numPr>
        <w:tabs>
          <w:tab w:val="clear" w:pos="567"/>
        </w:tabs>
        <w:spacing w:after="240"/>
        <w:rPr>
          <w:lang w:val="es-MX"/>
        </w:rPr>
      </w:pPr>
      <w:r>
        <w:t>Es importante mencionar que el país ha sufrido la destrucción que ocasionaron los dos terremotos de enero y febrero de 2001, así como del huracán Stan que afectó al país en el 2005. Estos desastres naturales ocasionaron daños en el país que trajeron consigo en algunos casos, una desaceleración en los indicativos y recursos para reducir la pobreza y el mejoramiento de la calidad de vida de la población en áreas como educación, salud, entre otros, ya que se utilizó el máximo de recursos para palear las necesidades inmediatas de la población afectada por estos desastres naturales, así como su inmediata reinserción en la actividad productiva y social del país, y a reconstrucción de la infraestructura dañada.</w:t>
      </w:r>
    </w:p>
    <w:p w:rsidR="00CD2A5A" w:rsidRDefault="00CD2A5A">
      <w:pPr>
        <w:keepNext/>
        <w:numPr>
          <w:ilvl w:val="0"/>
          <w:numId w:val="33"/>
        </w:numPr>
        <w:tabs>
          <w:tab w:val="clear" w:pos="567"/>
        </w:tabs>
        <w:spacing w:after="240"/>
      </w:pPr>
      <w:r>
        <w:t>Para la elaboración de este informe se utilizaron las siguientes fuentes de información:</w:t>
      </w:r>
    </w:p>
    <w:p w:rsidR="00CD2A5A" w:rsidRDefault="00CD2A5A">
      <w:pPr>
        <w:numPr>
          <w:ilvl w:val="0"/>
          <w:numId w:val="34"/>
        </w:numPr>
        <w:tabs>
          <w:tab w:val="clear" w:pos="927"/>
        </w:tabs>
        <w:spacing w:after="240"/>
        <w:ind w:firstLine="567"/>
      </w:pPr>
      <w:r>
        <w:t>Encuesta de Hogares de Propósitos Múltiples (EHPM)</w:t>
      </w:r>
      <w:r>
        <w:rPr>
          <w:rStyle w:val="FootnoteReference"/>
        </w:rPr>
        <w:footnoteReference w:id="63"/>
      </w:r>
      <w:r>
        <w:t xml:space="preserve"> bajo la responsabilidad de la Dirección General de Estadística y Censos (DIGESTYC)</w:t>
      </w:r>
      <w:r>
        <w:rPr>
          <w:rStyle w:val="FootnoteReference"/>
        </w:rPr>
        <w:footnoteReference w:id="64"/>
      </w:r>
      <w:r>
        <w:t>;</w:t>
      </w:r>
    </w:p>
    <w:p w:rsidR="00CD2A5A" w:rsidRDefault="00CD2A5A">
      <w:pPr>
        <w:numPr>
          <w:ilvl w:val="0"/>
          <w:numId w:val="34"/>
        </w:numPr>
        <w:tabs>
          <w:tab w:val="clear" w:pos="927"/>
        </w:tabs>
        <w:spacing w:after="240"/>
        <w:ind w:firstLine="567"/>
      </w:pPr>
      <w:r>
        <w:t>Encuesta Nacional de Salud Familiar (FESAL)</w:t>
      </w:r>
      <w:r>
        <w:rPr>
          <w:rStyle w:val="FootnoteReference"/>
        </w:rPr>
        <w:footnoteReference w:id="65"/>
      </w:r>
      <w:r>
        <w:t>, bajo la responsabilidad de la Asociación Demográfica Salvadoreña (ADS);</w:t>
      </w:r>
    </w:p>
    <w:p w:rsidR="00CD2A5A" w:rsidRDefault="00CD2A5A">
      <w:pPr>
        <w:numPr>
          <w:ilvl w:val="0"/>
          <w:numId w:val="34"/>
        </w:numPr>
        <w:tabs>
          <w:tab w:val="clear" w:pos="927"/>
        </w:tabs>
        <w:spacing w:after="240"/>
        <w:ind w:firstLine="567"/>
      </w:pPr>
      <w:r>
        <w:t>Unidad de Información en Salud, de la Dirección de Planificación en Salud, del Ministerio de Salud Pública y Asistencia Social (MSPAS)</w:t>
      </w:r>
      <w:r>
        <w:rPr>
          <w:rStyle w:val="FootnoteReference"/>
        </w:rPr>
        <w:footnoteReference w:id="66"/>
      </w:r>
    </w:p>
    <w:p w:rsidR="00CD2A5A" w:rsidRDefault="00CD2A5A">
      <w:pPr>
        <w:numPr>
          <w:ilvl w:val="0"/>
          <w:numId w:val="34"/>
        </w:numPr>
        <w:tabs>
          <w:tab w:val="clear" w:pos="927"/>
        </w:tabs>
        <w:spacing w:after="240"/>
        <w:ind w:firstLine="567"/>
      </w:pPr>
      <w:r>
        <w:rPr>
          <w:bCs/>
        </w:rPr>
        <w:t>Programa Nacional de Control y Prevención de ITS/VIH/SIDA del MSPAS.</w:t>
      </w:r>
      <w:r>
        <w:rPr>
          <w:rStyle w:val="FootnoteReference"/>
          <w:bCs/>
        </w:rPr>
        <w:footnoteReference w:id="67"/>
      </w:r>
    </w:p>
    <w:p w:rsidR="00CD2A5A" w:rsidRDefault="00CD2A5A">
      <w:pPr>
        <w:numPr>
          <w:ilvl w:val="0"/>
          <w:numId w:val="34"/>
        </w:numPr>
        <w:tabs>
          <w:tab w:val="clear" w:pos="927"/>
        </w:tabs>
        <w:spacing w:after="240"/>
        <w:ind w:firstLine="567"/>
      </w:pPr>
      <w:r>
        <w:rPr>
          <w:bCs/>
        </w:rPr>
        <w:t xml:space="preserve">Publicaciones oficiales del </w:t>
      </w:r>
      <w:r>
        <w:t>MSPAS</w:t>
      </w:r>
      <w:r>
        <w:rPr>
          <w:rStyle w:val="FootnoteReference"/>
        </w:rPr>
        <w:footnoteReference w:id="68"/>
      </w:r>
      <w:r>
        <w:t>;</w:t>
      </w:r>
    </w:p>
    <w:p w:rsidR="00CD2A5A" w:rsidRDefault="00CD2A5A">
      <w:pPr>
        <w:numPr>
          <w:ilvl w:val="0"/>
          <w:numId w:val="34"/>
        </w:numPr>
        <w:tabs>
          <w:tab w:val="clear" w:pos="927"/>
        </w:tabs>
        <w:spacing w:after="240"/>
        <w:ind w:firstLine="567"/>
      </w:pPr>
      <w:r>
        <w:t>Publicaciones oficiales del Ministerio de Educación (MINED)</w:t>
      </w:r>
      <w:r>
        <w:rPr>
          <w:rStyle w:val="FootnoteReference"/>
        </w:rPr>
        <w:footnoteReference w:id="69"/>
      </w:r>
    </w:p>
    <w:p w:rsidR="00CD2A5A" w:rsidRDefault="00CD2A5A">
      <w:pPr>
        <w:numPr>
          <w:ilvl w:val="0"/>
          <w:numId w:val="34"/>
        </w:numPr>
        <w:tabs>
          <w:tab w:val="clear" w:pos="927"/>
        </w:tabs>
        <w:spacing w:after="240"/>
        <w:ind w:firstLine="567"/>
      </w:pPr>
      <w:r>
        <w:rPr>
          <w:bCs/>
        </w:rPr>
        <w:t>Ministerio de Hacienda de El Salvador</w:t>
      </w:r>
      <w:r>
        <w:rPr>
          <w:rStyle w:val="FootnoteReference"/>
          <w:bCs/>
        </w:rPr>
        <w:footnoteReference w:id="70"/>
      </w:r>
      <w:r>
        <w:rPr>
          <w:bCs/>
        </w:rPr>
        <w:t>;</w:t>
      </w:r>
    </w:p>
    <w:p w:rsidR="00CD2A5A" w:rsidRDefault="00CD2A5A">
      <w:pPr>
        <w:numPr>
          <w:ilvl w:val="0"/>
          <w:numId w:val="34"/>
        </w:numPr>
        <w:tabs>
          <w:tab w:val="clear" w:pos="927"/>
        </w:tabs>
        <w:autoSpaceDE w:val="0"/>
        <w:autoSpaceDN w:val="0"/>
        <w:adjustRightInd w:val="0"/>
        <w:spacing w:after="240"/>
        <w:ind w:firstLine="567"/>
        <w:rPr>
          <w:bCs/>
        </w:rPr>
      </w:pPr>
      <w:r>
        <w:t xml:space="preserve">Sistema de Información para la Infancia (SIPI) del Instituto Salvadoreño </w:t>
      </w:r>
      <w:r>
        <w:rPr>
          <w:lang w:val="es-SV"/>
        </w:rPr>
        <w:t xml:space="preserve">para el   Desarrollo Integral de la Niñez y la Adolescencia (ISNA. </w:t>
      </w:r>
    </w:p>
    <w:p w:rsidR="00CD2A5A" w:rsidRDefault="00CD2A5A">
      <w:pPr>
        <w:numPr>
          <w:ilvl w:val="0"/>
          <w:numId w:val="33"/>
        </w:numPr>
        <w:tabs>
          <w:tab w:val="clear" w:pos="567"/>
        </w:tabs>
        <w:autoSpaceDE w:val="0"/>
        <w:autoSpaceDN w:val="0"/>
        <w:adjustRightInd w:val="0"/>
        <w:spacing w:after="240"/>
        <w:rPr>
          <w:bCs/>
        </w:rPr>
      </w:pPr>
      <w:r>
        <w:rPr>
          <w:bCs/>
        </w:rPr>
        <w:t>Adicionalmente se realizaron consultas con personal autorizado de algunas de las instituciones mencionadas tales como EHPM, FESAL, SIPI y con oficiales especializados de UNICEF y PNUD.</w:t>
      </w:r>
    </w:p>
    <w:p w:rsidR="00CD2A5A" w:rsidRDefault="00CD2A5A" w:rsidP="006228EF">
      <w:pPr>
        <w:pStyle w:val="A0"/>
      </w:pPr>
      <w:r>
        <w:t>B.  Principales Acciones</w:t>
      </w:r>
    </w:p>
    <w:p w:rsidR="00CD2A5A" w:rsidRDefault="00CD2A5A">
      <w:pPr>
        <w:numPr>
          <w:ilvl w:val="0"/>
          <w:numId w:val="33"/>
        </w:numPr>
        <w:tabs>
          <w:tab w:val="clear" w:pos="567"/>
        </w:tabs>
        <w:autoSpaceDE w:val="0"/>
        <w:autoSpaceDN w:val="0"/>
        <w:adjustRightInd w:val="0"/>
        <w:spacing w:after="240"/>
        <w:rPr>
          <w:b/>
          <w:bCs/>
        </w:rPr>
      </w:pPr>
      <w:r>
        <w:rPr>
          <w:bCs/>
        </w:rPr>
        <w:t>A continuación se presentan de manera resumida las más importantes acciones, iniciativas y cambios, impulsados por el Estado de El Salvador para fortalecer y consolidar el proceso hacia el cumplimiento de objetivos y metas del PA-MAN.</w:t>
      </w:r>
    </w:p>
    <w:p w:rsidR="00CD2A5A" w:rsidRDefault="00CD2A5A">
      <w:pPr>
        <w:autoSpaceDE w:val="0"/>
        <w:autoSpaceDN w:val="0"/>
        <w:adjustRightInd w:val="0"/>
        <w:spacing w:after="240"/>
        <w:ind w:left="567" w:hanging="567"/>
        <w:rPr>
          <w:b/>
          <w:bCs/>
        </w:rPr>
      </w:pPr>
      <w:r>
        <w:rPr>
          <w:b/>
          <w:bCs/>
        </w:rPr>
        <w:t xml:space="preserve">1. </w:t>
      </w:r>
      <w:r>
        <w:rPr>
          <w:b/>
          <w:bCs/>
        </w:rPr>
        <w:tab/>
        <w:t xml:space="preserve">Proceso de Formulación del Anteproyecto de Ley de Protección </w:t>
      </w:r>
      <w:r>
        <w:rPr>
          <w:b/>
          <w:bCs/>
        </w:rPr>
        <w:br/>
        <w:t>Integral de la Niñez y la Adolescencia</w:t>
      </w:r>
    </w:p>
    <w:p w:rsidR="00CD2A5A" w:rsidRDefault="00CD2A5A">
      <w:pPr>
        <w:numPr>
          <w:ilvl w:val="0"/>
          <w:numId w:val="33"/>
        </w:numPr>
        <w:tabs>
          <w:tab w:val="clear" w:pos="567"/>
        </w:tabs>
        <w:autoSpaceDE w:val="0"/>
        <w:autoSpaceDN w:val="0"/>
        <w:adjustRightInd w:val="0"/>
        <w:spacing w:after="240"/>
        <w:rPr>
          <w:b/>
          <w:bCs/>
        </w:rPr>
      </w:pPr>
      <w:r>
        <w:rPr>
          <w:bCs/>
        </w:rPr>
        <w:t>El Gobierno de El salvador en coordinación con la Comisión Coordinadora del Sector Justicia/UTE, el UNICEF y otras entidades de gobierno están elaborando, a través de un proceso participativo, un anteproyecto de Ley de Protección Integral de la Niñez y la Adolescencia</w:t>
      </w:r>
      <w:r>
        <w:rPr>
          <w:b/>
          <w:bCs/>
        </w:rPr>
        <w:t xml:space="preserve">. </w:t>
      </w:r>
    </w:p>
    <w:p w:rsidR="00CD2A5A" w:rsidRDefault="00CD2A5A">
      <w:pPr>
        <w:numPr>
          <w:ilvl w:val="0"/>
          <w:numId w:val="33"/>
        </w:numPr>
        <w:tabs>
          <w:tab w:val="clear" w:pos="567"/>
        </w:tabs>
        <w:autoSpaceDE w:val="0"/>
        <w:autoSpaceDN w:val="0"/>
        <w:adjustRightInd w:val="0"/>
        <w:spacing w:after="240"/>
        <w:rPr>
          <w:b/>
          <w:bCs/>
        </w:rPr>
      </w:pPr>
      <w:r>
        <w:rPr>
          <w:bCs/>
        </w:rPr>
        <w:t>Como antecedentes de este esfuerzo se tienen el Plan Nacional de Acción para la Infancia 2001-2010 y el Antepr</w:t>
      </w:r>
      <w:r>
        <w:rPr>
          <w:lang w:val="es-SV"/>
        </w:rPr>
        <w:t>oyecto de Ley de Código de la Niñez y la Adolescencia</w:t>
      </w:r>
    </w:p>
    <w:p w:rsidR="00CD2A5A" w:rsidRDefault="00CD2A5A">
      <w:pPr>
        <w:pStyle w:val="10"/>
        <w:ind w:left="567" w:hanging="567"/>
        <w:rPr>
          <w:bCs/>
        </w:rPr>
      </w:pPr>
      <w:r>
        <w:t xml:space="preserve">2. </w:t>
      </w:r>
      <w:r>
        <w:tab/>
        <w:t>Ley de Prevención y Control de la Infección Provocada por el Virus de Inmunodeficiencia Humana</w:t>
      </w:r>
      <w:r>
        <w:rPr>
          <w:rStyle w:val="FootnoteReference"/>
          <w:b/>
        </w:rPr>
        <w:footnoteReference w:id="71"/>
      </w:r>
    </w:p>
    <w:p w:rsidR="00CD2A5A" w:rsidRDefault="00CD2A5A">
      <w:pPr>
        <w:numPr>
          <w:ilvl w:val="0"/>
          <w:numId w:val="33"/>
        </w:numPr>
        <w:tabs>
          <w:tab w:val="clear" w:pos="567"/>
        </w:tabs>
        <w:spacing w:after="240"/>
        <w:rPr>
          <w:lang w:val="es-MX"/>
        </w:rPr>
      </w:pPr>
      <w:r>
        <w:t xml:space="preserve">La ley tiene por objeto </w:t>
      </w:r>
      <w:r>
        <w:rPr>
          <w:lang w:val="es-MX"/>
        </w:rPr>
        <w:t>prevenir, controlar y regular la atención de la infección causada por el virus de inmunodeficiencia humana, y establecer las obligaciones de las personas portadoras del virus y definir de manera general la Política Nacional de Atención Integral ante el VIH/SIDA. Además garantiza los derechos individuales y sociales de las personas viviendo con el VIH/SIDA.</w:t>
      </w:r>
    </w:p>
    <w:p w:rsidR="00CD2A5A" w:rsidRDefault="00CD2A5A">
      <w:pPr>
        <w:numPr>
          <w:ilvl w:val="0"/>
          <w:numId w:val="33"/>
        </w:numPr>
        <w:tabs>
          <w:tab w:val="clear" w:pos="567"/>
        </w:tabs>
        <w:spacing w:after="240"/>
        <w:rPr>
          <w:lang w:val="es-MX"/>
        </w:rPr>
      </w:pPr>
      <w:r>
        <w:t xml:space="preserve">Los principios rectores de la ley son </w:t>
      </w:r>
      <w:r>
        <w:rPr>
          <w:lang w:val="es-MX"/>
        </w:rPr>
        <w:t>la no discriminación, confidencialidad, continuidad, integridad, calidad, calidez, equidad, información y la corresponsabilidad; sin perjuicio de los derechos establecidos en la Constitución y en los tratados internacionales que en materia de salud y derechos humanos, haya suscrito y ratificado el país.</w:t>
      </w:r>
    </w:p>
    <w:p w:rsidR="00CD2A5A" w:rsidRDefault="00CD2A5A">
      <w:pPr>
        <w:numPr>
          <w:ilvl w:val="0"/>
          <w:numId w:val="33"/>
        </w:numPr>
        <w:tabs>
          <w:tab w:val="clear" w:pos="567"/>
        </w:tabs>
        <w:spacing w:after="240"/>
      </w:pPr>
      <w:r>
        <w:t>La ley cuenta con el respectivo reglamento para asegurar su aplicación.</w:t>
      </w:r>
    </w:p>
    <w:p w:rsidR="00CD2A5A" w:rsidRDefault="00CD2A5A">
      <w:pPr>
        <w:numPr>
          <w:ilvl w:val="0"/>
          <w:numId w:val="33"/>
        </w:numPr>
        <w:tabs>
          <w:tab w:val="clear" w:pos="567"/>
        </w:tabs>
        <w:autoSpaceDE w:val="0"/>
        <w:autoSpaceDN w:val="0"/>
        <w:adjustRightInd w:val="0"/>
        <w:spacing w:after="240"/>
      </w:pPr>
      <w:r>
        <w:t>El Programa Nacional de Prevención y Control de Infecciones de Transmisión Sexual y VIH-SIDA del MSPAS, asume la misión bajo la cual ha sido creada la ley y el reglamento, y funciona como una instancia del sector salud, cuyo propósito es prevenir las ITS/VIH/SIDA y garantizar la promoción y atención eficaz y oportuna a las personas afectadas, facilitando para ello el acceso y uso de los servicios de salud en coordinación y cooperación interinstitucional e interagencial involucrando a todos los sectores de la población.</w:t>
      </w:r>
    </w:p>
    <w:p w:rsidR="00CD2A5A" w:rsidRDefault="00CD2A5A">
      <w:pPr>
        <w:numPr>
          <w:ilvl w:val="0"/>
          <w:numId w:val="33"/>
        </w:numPr>
        <w:tabs>
          <w:tab w:val="clear" w:pos="567"/>
        </w:tabs>
        <w:spacing w:after="240"/>
      </w:pPr>
      <w:r>
        <w:rPr>
          <w:bCs/>
        </w:rPr>
        <w:t>La Ley s</w:t>
      </w:r>
      <w:r>
        <w:t>ubraya la necesidad de informar sobre el desarrollo de la epidemia y de controlar los casos detectados.</w:t>
      </w:r>
    </w:p>
    <w:p w:rsidR="00CD2A5A" w:rsidRDefault="00CD2A5A">
      <w:pPr>
        <w:pStyle w:val="10"/>
      </w:pPr>
      <w:r>
        <w:t xml:space="preserve">3. </w:t>
      </w:r>
      <w:r>
        <w:tab/>
        <w:t>Plan Nacional de Educación  2021</w:t>
      </w:r>
      <w:r>
        <w:rPr>
          <w:rStyle w:val="FootnoteReference"/>
          <w:b/>
          <w:bCs/>
        </w:rPr>
        <w:footnoteReference w:id="72"/>
      </w:r>
    </w:p>
    <w:p w:rsidR="00CD2A5A" w:rsidRDefault="00CD2A5A">
      <w:pPr>
        <w:numPr>
          <w:ilvl w:val="0"/>
          <w:numId w:val="33"/>
        </w:numPr>
        <w:tabs>
          <w:tab w:val="clear" w:pos="567"/>
        </w:tabs>
        <w:autoSpaceDE w:val="0"/>
        <w:autoSpaceDN w:val="0"/>
        <w:adjustRightInd w:val="0"/>
        <w:spacing w:after="240"/>
        <w:rPr>
          <w:bCs/>
        </w:rPr>
      </w:pPr>
      <w:r>
        <w:rPr>
          <w:bCs/>
        </w:rPr>
        <w:t>En marzo 2005 se da inicio al Plan Nacional de Educación 2021, el cual se proyecta hacia el largo plazo y define sus propios objetivos, líneas estratégicas y políticas principales. El Plan 2021 parte de reconocer que la actual inversión pública en educación resulta relativamente baja en el contexto internacional, y que su incremento dependerá del crecimiento futuro del PIB así como de la capacidad de recaudación e inversión del sector público.</w:t>
      </w:r>
    </w:p>
    <w:p w:rsidR="00CD2A5A" w:rsidRDefault="00CD2A5A">
      <w:pPr>
        <w:keepNext/>
        <w:numPr>
          <w:ilvl w:val="0"/>
          <w:numId w:val="33"/>
        </w:numPr>
        <w:tabs>
          <w:tab w:val="clear" w:pos="567"/>
        </w:tabs>
        <w:autoSpaceDE w:val="0"/>
        <w:autoSpaceDN w:val="0"/>
        <w:adjustRightInd w:val="0"/>
        <w:spacing w:after="240"/>
        <w:rPr>
          <w:bCs/>
        </w:rPr>
      </w:pPr>
      <w:r>
        <w:rPr>
          <w:bCs/>
        </w:rPr>
        <w:t>Para impulsarlo se han creado 10 programas:</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EDUCAME, </w:t>
      </w:r>
      <w:r>
        <w:t>cuyo propósito es flexibilizar la oferta de los servicios educativos en Tercer Ciclo y Bachillerato, por medio de la implementación de nuevas modalidades de atención y de entrega de los mismos, a fin de disminuir la sobre-edad y reintegrar al sistema educativo a jóvenes que interrumpieron su formación académica;</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PODER, </w:t>
      </w:r>
      <w:r>
        <w:t>ejecutado para fomentar el cultivo de actitudes positivas y la libertad para tomar decisiones responsables en los jóvenes estudiantes de Tercer Ciclo y Bachillerato, mediante actividades extracurriculares basadas en cinco principios elementales: participación, oportunidades, desarrollo, educación y recreación;</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MEGATEC, </w:t>
      </w:r>
      <w:r>
        <w:t>cuyo propósito es diseñar y poner en marcha una alternativa educativa moderna, que aproveche y potencie la educación media técnica y superior tecnológica para formar capital humano que dinamice el desarrollo productivo regional;</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COMPRENDO, </w:t>
      </w:r>
      <w:r>
        <w:t>su finalidad es mejorar las capacidades de razonamiento y análisis matemático, así como las competencias de comprensión y expresión del lenguaje en los niños y las niñas de primer ciclo de educación básica, como base para lograr mayor éxito escolar;</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REDES ESCOLARES EFECTIVAS, </w:t>
      </w:r>
      <w:r>
        <w:t>tiene como propósito mejorar la eficiencia en la provisión de los servicios educativos y lograr que los niños y los jóvenes de zonas de mayor pobreza y de mayor rezago educativo tengan acceso a una educación de calidad;</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CONÉCTATE, </w:t>
      </w:r>
      <w:r>
        <w:t>cuyo objetivo es proveer al Sistema Educativo Nacional herramientas tecnológicas que mejoren los niveles de calidad académica y que desarrollen, en los estudiantes, las competencias tecnológicas que exige el ámbito laboral actual, lo que permitirá elevar el nivel de competitividad del país;</w:t>
      </w:r>
    </w:p>
    <w:p w:rsidR="00CD2A5A" w:rsidRDefault="00CD2A5A">
      <w:pPr>
        <w:numPr>
          <w:ilvl w:val="0"/>
          <w:numId w:val="35"/>
        </w:numPr>
        <w:tabs>
          <w:tab w:val="clear" w:pos="567"/>
        </w:tabs>
        <w:autoSpaceDE w:val="0"/>
        <w:autoSpaceDN w:val="0"/>
        <w:adjustRightInd w:val="0"/>
        <w:spacing w:after="240"/>
        <w:ind w:left="0" w:firstLine="567"/>
        <w:rPr>
          <w:bCs/>
        </w:rPr>
      </w:pPr>
      <w:r>
        <w:rPr>
          <w:bCs/>
        </w:rPr>
        <w:t xml:space="preserve">COMPITE, </w:t>
      </w:r>
      <w:r>
        <w:t>programa creado para desarrollar las competencias de los estudiantes de Tercer Ciclo de Educación Básica y Bachillerato en el manejo de la lengua inglesa. Tales competencias lingüísticas son cuatro: hablar, escuchar, leer y escribir;</w:t>
      </w:r>
    </w:p>
    <w:p w:rsidR="00CD2A5A" w:rsidRDefault="00CD2A5A">
      <w:pPr>
        <w:numPr>
          <w:ilvl w:val="0"/>
          <w:numId w:val="35"/>
        </w:numPr>
        <w:tabs>
          <w:tab w:val="clear" w:pos="567"/>
        </w:tabs>
        <w:autoSpaceDE w:val="0"/>
        <w:autoSpaceDN w:val="0"/>
        <w:adjustRightInd w:val="0"/>
        <w:spacing w:after="240"/>
        <w:ind w:left="0" w:firstLine="567"/>
        <w:rPr>
          <w:lang w:val="es-MX"/>
        </w:rPr>
      </w:pPr>
      <w:r>
        <w:rPr>
          <w:lang w:val="es-MX"/>
        </w:rPr>
        <w:t>EDUCACIÓN PARA LA DIVERSIDAD. Adoptará mecanismos para favorecer el acceso, la permanencia y la satisfacción de necesidades de aprendizaje de las niñas, los niños, los jóvenes y los adultos que presentan necesidades educativas especiales, ya sea que estén o no asociadas a discapacidad;</w:t>
      </w:r>
    </w:p>
    <w:p w:rsidR="00CD2A5A" w:rsidRDefault="00CD2A5A">
      <w:pPr>
        <w:pStyle w:val="Paragraph"/>
        <w:numPr>
          <w:ilvl w:val="0"/>
          <w:numId w:val="35"/>
        </w:numPr>
        <w:tabs>
          <w:tab w:val="clear" w:pos="567"/>
        </w:tabs>
        <w:spacing w:before="0" w:after="240"/>
        <w:ind w:left="0" w:firstLine="567"/>
        <w:jc w:val="left"/>
        <w:rPr>
          <w:szCs w:val="24"/>
        </w:rPr>
      </w:pPr>
      <w:r>
        <w:rPr>
          <w:szCs w:val="24"/>
        </w:rPr>
        <w:t>EDUCACIÓN PREESCOLAR Y BASICA EN LA RED SOLIDARIA, para mejorar y aumentar la asistencia oportuna a la educación formal a fin de aumentar la escolaridad de la población en los 100 municipios más pobres identificados en el mapa de pobreza del país;</w:t>
      </w:r>
    </w:p>
    <w:p w:rsidR="00CD2A5A" w:rsidRDefault="00CD2A5A">
      <w:pPr>
        <w:pStyle w:val="Paragraph"/>
        <w:numPr>
          <w:ilvl w:val="0"/>
          <w:numId w:val="35"/>
        </w:numPr>
        <w:tabs>
          <w:tab w:val="clear" w:pos="567"/>
        </w:tabs>
        <w:spacing w:before="0" w:after="240"/>
        <w:ind w:left="0" w:firstLine="567"/>
        <w:jc w:val="left"/>
        <w:rPr>
          <w:szCs w:val="24"/>
        </w:rPr>
      </w:pPr>
      <w:r>
        <w:rPr>
          <w:szCs w:val="24"/>
        </w:rPr>
        <w:t>EDUCO. Amplía la cobertura de los servicios educativos en parvularia y básica en las áreas rurales del país, especialmente las más pobres y distantes. Se basa en la creación y legalización de organizaciones de padres y madres de familia (ACE), encargadas de la administración de las transferencias del MINED y de la contratación de docentes.</w:t>
      </w:r>
    </w:p>
    <w:p w:rsidR="00CD2A5A" w:rsidRDefault="00CD2A5A">
      <w:pPr>
        <w:pStyle w:val="10"/>
      </w:pPr>
      <w:r>
        <w:t xml:space="preserve">4. </w:t>
      </w:r>
      <w:r>
        <w:tab/>
        <w:t>Fondo Solidario para la Salud</w:t>
      </w:r>
      <w:r>
        <w:rPr>
          <w:rStyle w:val="FootnoteReference"/>
          <w:b/>
          <w:bCs/>
        </w:rPr>
        <w:footnoteReference w:id="73"/>
      </w:r>
    </w:p>
    <w:p w:rsidR="00CD2A5A" w:rsidRDefault="00CD2A5A">
      <w:pPr>
        <w:numPr>
          <w:ilvl w:val="0"/>
          <w:numId w:val="33"/>
        </w:numPr>
        <w:tabs>
          <w:tab w:val="clear" w:pos="567"/>
        </w:tabs>
        <w:spacing w:after="240"/>
      </w:pPr>
      <w:r>
        <w:rPr>
          <w:bCs/>
        </w:rPr>
        <w:t>El Fondo Solidario para la Salud (FOSALUD) fue creado, mediante Decreto Legislativo del 17 de diciembre de 2004</w:t>
      </w:r>
      <w:r>
        <w:rPr>
          <w:rStyle w:val="FootnoteReference"/>
          <w:bCs/>
        </w:rPr>
        <w:footnoteReference w:id="74"/>
      </w:r>
      <w:r>
        <w:rPr>
          <w:bCs/>
        </w:rPr>
        <w:t xml:space="preserve">, </w:t>
      </w:r>
      <w:r>
        <w:t xml:space="preserve">como una entidad de derecho público y utilidad pública, con personalidad jurídica, de carácter técnico, de duración indefinida y con personalidad y patrimonio propio, con plena autonomía en el ejercicio de sus funciones, tanto en lo financiero como en lo administrativo y presupuestario, con prohibición para transferir recursos, sujeto a un reglamento de ley emitido en un plazo de 120 días después de su vigencia y que está adscrito al Ministerio de Salud Pública y Asistencia Social. </w:t>
      </w:r>
      <w:r>
        <w:rPr>
          <w:bCs/>
        </w:rPr>
        <w:t>Su</w:t>
      </w:r>
      <w:r>
        <w:t xml:space="preserve"> Junta Directiva, presidida por el Ministro de Salud, fue instalada el 18 de Abril de 2005, y el 31 de Mayo de 2005 fue nombrado su Director Ejecutivo.</w:t>
      </w:r>
    </w:p>
    <w:p w:rsidR="00CD2A5A" w:rsidRDefault="00CD2A5A">
      <w:pPr>
        <w:pStyle w:val="NormalWeb"/>
        <w:numPr>
          <w:ilvl w:val="0"/>
          <w:numId w:val="33"/>
        </w:numPr>
        <w:tabs>
          <w:tab w:val="clear" w:pos="567"/>
        </w:tabs>
        <w:spacing w:before="0" w:beforeAutospacing="0" w:after="240" w:afterAutospacing="0"/>
        <w:rPr>
          <w:color w:val="auto"/>
        </w:rPr>
      </w:pPr>
      <w:r>
        <w:rPr>
          <w:color w:val="auto"/>
        </w:rPr>
        <w:t>Los o</w:t>
      </w:r>
      <w:r>
        <w:rPr>
          <w:rStyle w:val="Strong"/>
          <w:b w:val="0"/>
          <w:color w:val="auto"/>
        </w:rPr>
        <w:t xml:space="preserve">bjetivos del Programa son: </w:t>
      </w:r>
      <w:r>
        <w:rPr>
          <w:rStyle w:val="Strong"/>
          <w:b w:val="0"/>
          <w:i/>
          <w:iCs/>
          <w:color w:val="auto"/>
        </w:rPr>
        <w:t>a</w:t>
      </w:r>
      <w:r>
        <w:rPr>
          <w:rStyle w:val="Strong"/>
          <w:b w:val="0"/>
          <w:color w:val="auto"/>
        </w:rPr>
        <w:t xml:space="preserve">) </w:t>
      </w:r>
      <w:r>
        <w:rPr>
          <w:color w:val="auto"/>
        </w:rPr>
        <w:t xml:space="preserve">velar por su sostenibilidad financiera, así como por la eficiencia y eficacia, </w:t>
      </w:r>
      <w:r>
        <w:rPr>
          <w:i/>
          <w:iCs/>
          <w:color w:val="auto"/>
        </w:rPr>
        <w:t>b</w:t>
      </w:r>
      <w:r>
        <w:rPr>
          <w:color w:val="auto"/>
        </w:rPr>
        <w:t xml:space="preserve">) formular y ejecutar programas integrales que atiendan las necesidades básicas de salud de la población más vulnerable del país, en coordinación con el MSPAS, </w:t>
      </w:r>
      <w:r>
        <w:rPr>
          <w:i/>
          <w:iCs/>
          <w:color w:val="auto"/>
        </w:rPr>
        <w:t>c</w:t>
      </w:r>
      <w:r>
        <w:rPr>
          <w:color w:val="auto"/>
        </w:rPr>
        <w:t>) fomentar campañas de educación en salud, a fin de prevenir enfermedades derivadas del uso y consumo de substancias nocivas y peligrosas para la salud de las personas.</w:t>
      </w:r>
    </w:p>
    <w:p w:rsidR="00CD2A5A" w:rsidRDefault="00CD2A5A">
      <w:pPr>
        <w:pStyle w:val="NormalWeb"/>
        <w:numPr>
          <w:ilvl w:val="0"/>
          <w:numId w:val="33"/>
        </w:numPr>
        <w:tabs>
          <w:tab w:val="clear" w:pos="567"/>
        </w:tabs>
        <w:spacing w:before="0" w:beforeAutospacing="0" w:after="240" w:afterAutospacing="0"/>
        <w:rPr>
          <w:color w:val="auto"/>
        </w:rPr>
      </w:pPr>
      <w:r>
        <w:rPr>
          <w:rStyle w:val="Strong"/>
          <w:b w:val="0"/>
          <w:color w:val="auto"/>
        </w:rPr>
        <w:t xml:space="preserve">El Programa ofrece un nuevo tipo de servicio de atención integral con las siguientes características: </w:t>
      </w:r>
      <w:r>
        <w:rPr>
          <w:rStyle w:val="Strong"/>
          <w:b w:val="0"/>
          <w:i/>
          <w:iCs/>
          <w:color w:val="auto"/>
        </w:rPr>
        <w:t>a</w:t>
      </w:r>
      <w:r>
        <w:rPr>
          <w:rStyle w:val="Strong"/>
          <w:b w:val="0"/>
          <w:color w:val="auto"/>
        </w:rPr>
        <w:t>) la e</w:t>
      </w:r>
      <w:r>
        <w:rPr>
          <w:color w:val="auto"/>
        </w:rPr>
        <w:t xml:space="preserve">xtensión de la cobertura de promoción en salud y de atención de la consulta médica preventiva, con énfasis en el grupo materno-infantil, atención de partos de bajo riesgo y salud bucal, </w:t>
      </w:r>
      <w:r>
        <w:rPr>
          <w:i/>
          <w:iCs/>
          <w:color w:val="auto"/>
        </w:rPr>
        <w:t>b</w:t>
      </w:r>
      <w:r>
        <w:rPr>
          <w:color w:val="auto"/>
        </w:rPr>
        <w:t xml:space="preserve">) la detección, manejo de emergencias médico quirúrgicas, referencia y retorno de casos, y </w:t>
      </w:r>
      <w:r>
        <w:rPr>
          <w:i/>
          <w:iCs/>
          <w:color w:val="auto"/>
        </w:rPr>
        <w:t>c</w:t>
      </w:r>
      <w:r>
        <w:rPr>
          <w:color w:val="auto"/>
        </w:rPr>
        <w:t>) la ampliación de horarios de atención a 24 horas, en Unidades de Salud y atención en fines de semana en otras Unidades que carecen de este servicio durante el primer año.</w:t>
      </w:r>
    </w:p>
    <w:p w:rsidR="00CD2A5A" w:rsidRDefault="00CD2A5A">
      <w:pPr>
        <w:pStyle w:val="NormalWeb"/>
        <w:numPr>
          <w:ilvl w:val="0"/>
          <w:numId w:val="33"/>
        </w:numPr>
        <w:tabs>
          <w:tab w:val="clear" w:pos="567"/>
        </w:tabs>
        <w:spacing w:before="0" w:beforeAutospacing="0" w:after="240" w:afterAutospacing="0"/>
        <w:rPr>
          <w:color w:val="auto"/>
        </w:rPr>
      </w:pPr>
      <w:r>
        <w:rPr>
          <w:rStyle w:val="Strong"/>
          <w:b w:val="0"/>
          <w:color w:val="auto"/>
        </w:rPr>
        <w:t xml:space="preserve">El Programa espera obtener los siguientes resultados: </w:t>
      </w:r>
      <w:r>
        <w:rPr>
          <w:rStyle w:val="Strong"/>
          <w:b w:val="0"/>
          <w:i/>
          <w:iCs/>
          <w:color w:val="auto"/>
        </w:rPr>
        <w:t>a</w:t>
      </w:r>
      <w:r>
        <w:rPr>
          <w:rStyle w:val="Strong"/>
          <w:b w:val="0"/>
          <w:color w:val="auto"/>
        </w:rPr>
        <w:t>) b</w:t>
      </w:r>
      <w:r>
        <w:rPr>
          <w:color w:val="auto"/>
        </w:rPr>
        <w:t xml:space="preserve">eneficiar a 4,299,413 habitantes,  </w:t>
      </w:r>
      <w:r>
        <w:rPr>
          <w:i/>
          <w:iCs/>
          <w:color w:val="auto"/>
        </w:rPr>
        <w:t>b</w:t>
      </w:r>
      <w:r>
        <w:rPr>
          <w:color w:val="auto"/>
        </w:rPr>
        <w:t xml:space="preserve">) satisfacer a los usuarios brindando una atención con calidad y calidez, </w:t>
      </w:r>
      <w:r>
        <w:rPr>
          <w:i/>
          <w:iCs/>
          <w:color w:val="auto"/>
        </w:rPr>
        <w:t>c</w:t>
      </w:r>
      <w:r>
        <w:rPr>
          <w:color w:val="auto"/>
        </w:rPr>
        <w:t xml:space="preserve">) generar 1.586 empleos, </w:t>
      </w:r>
      <w:r>
        <w:rPr>
          <w:i/>
          <w:iCs/>
          <w:color w:val="auto"/>
        </w:rPr>
        <w:t>d</w:t>
      </w:r>
      <w:r>
        <w:rPr>
          <w:color w:val="auto"/>
        </w:rPr>
        <w:t xml:space="preserve">) mejorar el acceso al sistema público de atención en salud, </w:t>
      </w:r>
      <w:r>
        <w:rPr>
          <w:i/>
          <w:iCs/>
          <w:color w:val="auto"/>
        </w:rPr>
        <w:t>e</w:t>
      </w:r>
      <w:r>
        <w:rPr>
          <w:color w:val="auto"/>
        </w:rPr>
        <w:t xml:space="preserve">) favorecer el uso adecuado de la red de establecimientos y  </w:t>
      </w:r>
      <w:r>
        <w:rPr>
          <w:i/>
          <w:iCs/>
          <w:color w:val="auto"/>
        </w:rPr>
        <w:t>f</w:t>
      </w:r>
      <w:r>
        <w:rPr>
          <w:color w:val="auto"/>
        </w:rPr>
        <w:t xml:space="preserve">) mejorar el nivel de salud de los salvadoreños.  </w:t>
      </w:r>
    </w:p>
    <w:p w:rsidR="00CD2A5A" w:rsidRDefault="00CD2A5A">
      <w:pPr>
        <w:autoSpaceDE w:val="0"/>
        <w:autoSpaceDN w:val="0"/>
        <w:adjustRightInd w:val="0"/>
        <w:spacing w:after="240"/>
      </w:pPr>
      <w:r>
        <w:rPr>
          <w:rStyle w:val="1Car"/>
        </w:rPr>
        <w:t xml:space="preserve">5. </w:t>
      </w:r>
      <w:r>
        <w:rPr>
          <w:rStyle w:val="1Car"/>
        </w:rPr>
        <w:tab/>
        <w:t xml:space="preserve">Centros de Bienestar Infantil (CBI), Centros de Desarrollo Infantil (CDI) </w:t>
      </w:r>
      <w:r>
        <w:rPr>
          <w:rStyle w:val="1Car"/>
        </w:rPr>
        <w:br/>
      </w:r>
      <w:r>
        <w:rPr>
          <w:b/>
        </w:rPr>
        <w:t>y los Hogares de Atención Inicial (HAI) del ISNA</w:t>
      </w:r>
    </w:p>
    <w:p w:rsidR="00CD2A5A" w:rsidRDefault="00CD2A5A">
      <w:pPr>
        <w:numPr>
          <w:ilvl w:val="0"/>
          <w:numId w:val="33"/>
        </w:numPr>
        <w:tabs>
          <w:tab w:val="clear" w:pos="567"/>
        </w:tabs>
        <w:autoSpaceDE w:val="0"/>
        <w:autoSpaceDN w:val="0"/>
        <w:adjustRightInd w:val="0"/>
        <w:spacing w:after="240"/>
      </w:pPr>
      <w:r>
        <w:t xml:space="preserve">Estos Centros brindan servicios de salud preventiva a través de controles periódicos, de vacunación, consultas médicas y odontológicas y suplementarias de micronutrientes; así como servicios de nutrición a través de raciones diarias de almuerzo y merienda; y estimulación temprana. Actualmente el ISNA cuenta con 202 CDI que atienden a una población de 4.833 niños y niñas, 15 CDI que atienden una población de 1.245 niños y niñas y 17 HAI con alrededor de 170 niños y niñas. </w:t>
      </w:r>
    </w:p>
    <w:p w:rsidR="00CD2A5A" w:rsidRDefault="00CD2A5A">
      <w:pPr>
        <w:pStyle w:val="10"/>
      </w:pPr>
      <w:r>
        <w:t xml:space="preserve">6. </w:t>
      </w:r>
      <w:r>
        <w:tab/>
        <w:t>Centros Regionales y Oficinas Locales del ISNA</w:t>
      </w:r>
    </w:p>
    <w:p w:rsidR="00CD2A5A" w:rsidRDefault="00CD2A5A">
      <w:pPr>
        <w:numPr>
          <w:ilvl w:val="0"/>
          <w:numId w:val="33"/>
        </w:numPr>
        <w:tabs>
          <w:tab w:val="clear" w:pos="567"/>
        </w:tabs>
        <w:autoSpaceDE w:val="0"/>
        <w:autoSpaceDN w:val="0"/>
        <w:adjustRightInd w:val="0"/>
        <w:spacing w:after="240"/>
      </w:pPr>
      <w:r>
        <w:t xml:space="preserve">Además, el ISNA cuenta con tres delegaciones regionales ubicadas en la región occidental, paracentral y oriental del país, así como con catorce oficinas locales adscritas a las tres delegaciones. </w:t>
      </w:r>
    </w:p>
    <w:p w:rsidR="00CD2A5A" w:rsidRDefault="00CD2A5A">
      <w:pPr>
        <w:numPr>
          <w:ilvl w:val="0"/>
          <w:numId w:val="33"/>
        </w:numPr>
        <w:tabs>
          <w:tab w:val="clear" w:pos="567"/>
        </w:tabs>
        <w:autoSpaceDE w:val="0"/>
        <w:autoSpaceDN w:val="0"/>
        <w:adjustRightInd w:val="0"/>
        <w:spacing w:after="240"/>
        <w:rPr>
          <w:lang w:val="es-MX"/>
        </w:rPr>
      </w:pPr>
      <w:r>
        <w:t xml:space="preserve">Estas oficinas locales </w:t>
      </w:r>
      <w:r>
        <w:rPr>
          <w:lang w:val="es-MX"/>
        </w:rPr>
        <w:t>son unidades operativas que buscan ante todo acercar el servicio de promoción de derechos y protección a la niñez y adolescencia vulnerada, en y desde la comunidad.</w:t>
      </w:r>
    </w:p>
    <w:p w:rsidR="00CD2A5A" w:rsidRDefault="00CD2A5A">
      <w:pPr>
        <w:autoSpaceDE w:val="0"/>
        <w:autoSpaceDN w:val="0"/>
        <w:adjustRightInd w:val="0"/>
        <w:spacing w:after="240"/>
        <w:ind w:left="567" w:hanging="567"/>
        <w:rPr>
          <w:rStyle w:val="1Car"/>
        </w:rPr>
      </w:pPr>
      <w:r>
        <w:rPr>
          <w:b/>
        </w:rPr>
        <w:t xml:space="preserve">7. </w:t>
      </w:r>
      <w:r>
        <w:rPr>
          <w:b/>
        </w:rPr>
        <w:tab/>
        <w:t xml:space="preserve">Plan Estratégico Nacional (PEN) para la Prevención, Atención y Control </w:t>
      </w:r>
      <w:r>
        <w:rPr>
          <w:b/>
        </w:rPr>
        <w:br/>
      </w:r>
      <w:r>
        <w:rPr>
          <w:rStyle w:val="1Car"/>
        </w:rPr>
        <w:t>del VIH-SIDA e ITS 2005-2009</w:t>
      </w:r>
      <w:r>
        <w:rPr>
          <w:rStyle w:val="1Car"/>
        </w:rPr>
        <w:footnoteReference w:id="75"/>
      </w:r>
    </w:p>
    <w:p w:rsidR="00CD2A5A" w:rsidRDefault="00CD2A5A">
      <w:pPr>
        <w:numPr>
          <w:ilvl w:val="0"/>
          <w:numId w:val="33"/>
        </w:numPr>
        <w:tabs>
          <w:tab w:val="clear" w:pos="567"/>
        </w:tabs>
        <w:autoSpaceDE w:val="0"/>
        <w:autoSpaceDN w:val="0"/>
        <w:adjustRightInd w:val="0"/>
        <w:spacing w:after="240"/>
      </w:pPr>
      <w:r>
        <w:t>Este Plan Estratégico, elaborado tras una larga consulta nacional, se propone adoptar un abordaje integral, y los responsables de su implementación serán: el MSPAS, CONASIDA, Fondo Global, ONGs, el Comité Técnico Asesor y otras alianzas.</w:t>
      </w:r>
    </w:p>
    <w:p w:rsidR="00CD2A5A" w:rsidRDefault="00CD2A5A">
      <w:pPr>
        <w:keepNext/>
        <w:numPr>
          <w:ilvl w:val="0"/>
          <w:numId w:val="33"/>
        </w:numPr>
        <w:tabs>
          <w:tab w:val="clear" w:pos="567"/>
        </w:tabs>
        <w:autoSpaceDE w:val="0"/>
        <w:autoSpaceDN w:val="0"/>
        <w:adjustRightInd w:val="0"/>
        <w:spacing w:after="240"/>
      </w:pPr>
      <w:r>
        <w:t xml:space="preserve">Los objetivos estratégicos del PEN son: </w:t>
      </w:r>
    </w:p>
    <w:p w:rsidR="00CD2A5A" w:rsidRDefault="00CD2A5A">
      <w:pPr>
        <w:numPr>
          <w:ilvl w:val="0"/>
          <w:numId w:val="16"/>
        </w:numPr>
        <w:tabs>
          <w:tab w:val="clear" w:pos="924"/>
        </w:tabs>
        <w:autoSpaceDE w:val="0"/>
        <w:autoSpaceDN w:val="0"/>
        <w:adjustRightInd w:val="0"/>
        <w:spacing w:after="240"/>
        <w:ind w:left="0" w:firstLine="567"/>
      </w:pPr>
      <w:r>
        <w:t>Coordinación de la respuesta nacional con la participación de organizaciones e instituciones gubernamentales, no gubernamentales, privadas, Personas Viviendo con VIH/SIDA (PVVS) y otros grupos;</w:t>
      </w:r>
    </w:p>
    <w:p w:rsidR="00CD2A5A" w:rsidRDefault="00CD2A5A">
      <w:pPr>
        <w:numPr>
          <w:ilvl w:val="0"/>
          <w:numId w:val="16"/>
        </w:numPr>
        <w:tabs>
          <w:tab w:val="clear" w:pos="924"/>
        </w:tabs>
        <w:autoSpaceDE w:val="0"/>
        <w:autoSpaceDN w:val="0"/>
        <w:adjustRightInd w:val="0"/>
        <w:spacing w:after="240"/>
        <w:ind w:left="0" w:firstLine="567"/>
      </w:pPr>
      <w:r>
        <w:t>Incremento de la oferta y cobertura de los servicios integrales de atención y prevención del VIH-SIDA e ITS en El Salvador;</w:t>
      </w:r>
    </w:p>
    <w:p w:rsidR="00CD2A5A" w:rsidRDefault="00CD2A5A">
      <w:pPr>
        <w:numPr>
          <w:ilvl w:val="0"/>
          <w:numId w:val="16"/>
        </w:numPr>
        <w:tabs>
          <w:tab w:val="clear" w:pos="924"/>
        </w:tabs>
        <w:autoSpaceDE w:val="0"/>
        <w:autoSpaceDN w:val="0"/>
        <w:adjustRightInd w:val="0"/>
        <w:spacing w:after="240"/>
        <w:ind w:left="0" w:firstLine="567"/>
      </w:pPr>
      <w:r>
        <w:t xml:space="preserve">Reducción de la prevalencia de VIH-SIDA e ITS a poblaciones en condiciones de mayor vulnerabilidad; </w:t>
      </w:r>
    </w:p>
    <w:p w:rsidR="00CD2A5A" w:rsidRDefault="00CD2A5A">
      <w:pPr>
        <w:numPr>
          <w:ilvl w:val="0"/>
          <w:numId w:val="16"/>
        </w:numPr>
        <w:tabs>
          <w:tab w:val="clear" w:pos="924"/>
        </w:tabs>
        <w:autoSpaceDE w:val="0"/>
        <w:autoSpaceDN w:val="0"/>
        <w:adjustRightInd w:val="0"/>
        <w:spacing w:after="240"/>
        <w:ind w:left="0" w:firstLine="567"/>
      </w:pPr>
      <w:r>
        <w:t>Incremento de los conocimientos para la aplicación de medidas de protección, atención y control del VIH-SIDA e ITS;</w:t>
      </w:r>
    </w:p>
    <w:p w:rsidR="00CD2A5A" w:rsidRDefault="00CD2A5A">
      <w:pPr>
        <w:numPr>
          <w:ilvl w:val="0"/>
          <w:numId w:val="16"/>
        </w:numPr>
        <w:tabs>
          <w:tab w:val="clear" w:pos="924"/>
        </w:tabs>
        <w:autoSpaceDE w:val="0"/>
        <w:autoSpaceDN w:val="0"/>
        <w:adjustRightInd w:val="0"/>
        <w:spacing w:after="240"/>
        <w:ind w:left="0" w:firstLine="567"/>
      </w:pPr>
      <w:r>
        <w:t>Optimización del sistema de vigilancia epidemiológica en VIH-SIDA e ITS para la toma de decisiones en la respuesta nacional;</w:t>
      </w:r>
    </w:p>
    <w:p w:rsidR="00CD2A5A" w:rsidRDefault="00CD2A5A">
      <w:pPr>
        <w:numPr>
          <w:ilvl w:val="0"/>
          <w:numId w:val="16"/>
        </w:numPr>
        <w:tabs>
          <w:tab w:val="clear" w:pos="924"/>
        </w:tabs>
        <w:autoSpaceDE w:val="0"/>
        <w:autoSpaceDN w:val="0"/>
        <w:adjustRightInd w:val="0"/>
        <w:spacing w:after="240"/>
        <w:ind w:left="0" w:firstLine="567"/>
      </w:pPr>
      <w:r>
        <w:t>Fortalecimiento del Sistema Integrado de Monitoreo y Evaluación de VIH-SIDA e ITS funcionando en El Salvador;</w:t>
      </w:r>
    </w:p>
    <w:p w:rsidR="00CD2A5A" w:rsidRDefault="00CD2A5A">
      <w:pPr>
        <w:numPr>
          <w:ilvl w:val="0"/>
          <w:numId w:val="16"/>
        </w:numPr>
        <w:tabs>
          <w:tab w:val="clear" w:pos="924"/>
        </w:tabs>
        <w:autoSpaceDE w:val="0"/>
        <w:autoSpaceDN w:val="0"/>
        <w:adjustRightInd w:val="0"/>
        <w:spacing w:after="240"/>
        <w:ind w:left="0" w:firstLine="567"/>
      </w:pPr>
      <w:r>
        <w:t xml:space="preserve">Incremento al respeto de los derechos humanos y la equidad de género en la prevención, atención y control del VIH-SIDA; </w:t>
      </w:r>
    </w:p>
    <w:p w:rsidR="00CD2A5A" w:rsidRDefault="00CD2A5A">
      <w:pPr>
        <w:numPr>
          <w:ilvl w:val="0"/>
          <w:numId w:val="16"/>
        </w:numPr>
        <w:tabs>
          <w:tab w:val="clear" w:pos="924"/>
        </w:tabs>
        <w:autoSpaceDE w:val="0"/>
        <w:autoSpaceDN w:val="0"/>
        <w:adjustRightInd w:val="0"/>
        <w:spacing w:after="240"/>
        <w:ind w:left="0" w:firstLine="567"/>
      </w:pPr>
      <w:r>
        <w:t>Aplicación de un marco legal y normativo que responda a las necesidades de la población ante el VIH-SIDA.</w:t>
      </w:r>
    </w:p>
    <w:p w:rsidR="00CD2A5A" w:rsidRDefault="00CD2A5A">
      <w:pPr>
        <w:keepNext/>
        <w:autoSpaceDE w:val="0"/>
        <w:autoSpaceDN w:val="0"/>
        <w:adjustRightInd w:val="0"/>
        <w:spacing w:after="240"/>
      </w:pPr>
      <w:r>
        <w:rPr>
          <w:b/>
        </w:rPr>
        <w:t xml:space="preserve">8. </w:t>
      </w:r>
      <w:r>
        <w:rPr>
          <w:b/>
        </w:rPr>
        <w:tab/>
      </w:r>
      <w:r>
        <w:rPr>
          <w:rStyle w:val="1Car"/>
        </w:rPr>
        <w:t>Mortalidad Materna: Línea Basal y Sistema de Vigilancia</w:t>
      </w:r>
      <w:r>
        <w:rPr>
          <w:rStyle w:val="1Car"/>
        </w:rPr>
        <w:footnoteReference w:id="76"/>
      </w:r>
    </w:p>
    <w:p w:rsidR="00CD2A5A" w:rsidRDefault="00CD2A5A">
      <w:pPr>
        <w:numPr>
          <w:ilvl w:val="0"/>
          <w:numId w:val="33"/>
        </w:numPr>
        <w:tabs>
          <w:tab w:val="clear" w:pos="567"/>
        </w:tabs>
        <w:autoSpaceDE w:val="0"/>
        <w:autoSpaceDN w:val="0"/>
        <w:adjustRightInd w:val="0"/>
        <w:spacing w:after="240"/>
      </w:pPr>
      <w:r>
        <w:t>El MSPAS y el ISSS oficializaron los resultados de la Línea Basal de Mortalidad Materna. Con ello El Salvador cuenta con un dato confiable sobre la mortalidad materna de mujeres de 10 a 54 años registrada en los 262 municipios del país.  El informe cuenta con una sección especial de recomendaciones para evitar nuevas muertes maternas.</w:t>
      </w:r>
    </w:p>
    <w:p w:rsidR="00CD2A5A" w:rsidRDefault="00CD2A5A">
      <w:pPr>
        <w:numPr>
          <w:ilvl w:val="0"/>
          <w:numId w:val="33"/>
        </w:numPr>
        <w:tabs>
          <w:tab w:val="clear" w:pos="567"/>
        </w:tabs>
        <w:autoSpaceDE w:val="0"/>
        <w:autoSpaceDN w:val="0"/>
        <w:adjustRightInd w:val="0"/>
        <w:spacing w:after="240"/>
      </w:pPr>
      <w:r>
        <w:t>El MSPAS ha establecido un Sistema de Vigilancia Epidemiológica de Mortalidad Materna, implementando una metodología innovadora a nivel de América Latina y El Caribe, asimismo ha creado la Comisión Nacional de Vigilancia de la Salud Materna e Infantil que cuenta con representantes de asociaciones científicas y profesionales, de instituciones académicas y de la sociedad civil.</w:t>
      </w:r>
    </w:p>
    <w:p w:rsidR="00CD2A5A" w:rsidRDefault="00CD2A5A">
      <w:pPr>
        <w:autoSpaceDE w:val="0"/>
        <w:autoSpaceDN w:val="0"/>
        <w:adjustRightInd w:val="0"/>
        <w:spacing w:after="240"/>
        <w:rPr>
          <w:b/>
        </w:rPr>
      </w:pPr>
      <w:r>
        <w:rPr>
          <w:b/>
        </w:rPr>
        <w:t xml:space="preserve">9. </w:t>
      </w:r>
      <w:r>
        <w:rPr>
          <w:b/>
        </w:rPr>
        <w:tab/>
        <w:t>Programa Red Solidaria</w:t>
      </w:r>
      <w:r>
        <w:rPr>
          <w:rStyle w:val="FootnoteReference"/>
          <w:b w:val="0"/>
        </w:rPr>
        <w:footnoteReference w:id="77"/>
      </w:r>
    </w:p>
    <w:p w:rsidR="00CD2A5A" w:rsidRDefault="00CD2A5A">
      <w:pPr>
        <w:pStyle w:val="NormalWeb"/>
        <w:numPr>
          <w:ilvl w:val="0"/>
          <w:numId w:val="33"/>
        </w:numPr>
        <w:tabs>
          <w:tab w:val="clear" w:pos="567"/>
        </w:tabs>
        <w:spacing w:before="0" w:beforeAutospacing="0" w:after="240" w:afterAutospacing="0"/>
        <w:rPr>
          <w:color w:val="auto"/>
        </w:rPr>
      </w:pPr>
      <w:r>
        <w:rPr>
          <w:color w:val="auto"/>
        </w:rPr>
        <w:t>El 7 de marzo de 2005 el Gobierno de El Salvador presenta oficialmente el programa Red Solidaria como una de las más importantes iniciativas en el área social, combinando el papel tradicional de protección y asistencia social con el desarrollo social, es decir, al mismo tiempo que mejora el ingreso de las familias en el corto plazo, promueve una disminución sostenible de la pobreza en el largo plazo, al mejorar las condiciones educativas y de salud de las familias. El programa Red Solidaria responde al compromiso del Gobierno de El Salvador de establecer una red de protección social para la población más pobre y cerrar las brechas geográficas, es coherente además con los esfuerzos por cumplir los objetivos de desarrollo del Milenio.</w:t>
      </w:r>
    </w:p>
    <w:p w:rsidR="00CD2A5A" w:rsidRDefault="00CD2A5A">
      <w:pPr>
        <w:pStyle w:val="NormalWeb"/>
        <w:numPr>
          <w:ilvl w:val="0"/>
          <w:numId w:val="33"/>
        </w:numPr>
        <w:tabs>
          <w:tab w:val="clear" w:pos="567"/>
        </w:tabs>
        <w:spacing w:before="0" w:beforeAutospacing="0" w:after="240" w:afterAutospacing="0"/>
        <w:rPr>
          <w:color w:val="auto"/>
        </w:rPr>
      </w:pPr>
      <w:r>
        <w:rPr>
          <w:color w:val="auto"/>
        </w:rPr>
        <w:t xml:space="preserve">Red Solidaria atiende a la población rural de los 100 municipios más pobres de El Salvador y parte de un concepto multidimensional de la pobreza. Ésta se entiende como una condición de escasez de ingreso, así como también de falta de acceso a la educación, la salud y los servicios de infraestructura básica, tales como agua y saneamiento básico, electricidad y caminos rurales. Es decir, la pobreza se concibe como la falta de oportunidades económicas y sociales. </w:t>
      </w:r>
    </w:p>
    <w:p w:rsidR="00CD2A5A" w:rsidRDefault="00CD2A5A">
      <w:pPr>
        <w:pStyle w:val="NormalWeb"/>
        <w:keepNext/>
        <w:numPr>
          <w:ilvl w:val="0"/>
          <w:numId w:val="33"/>
        </w:numPr>
        <w:tabs>
          <w:tab w:val="clear" w:pos="567"/>
        </w:tabs>
        <w:spacing w:before="0" w:beforeAutospacing="0" w:after="240" w:afterAutospacing="0"/>
        <w:rPr>
          <w:color w:val="auto"/>
        </w:rPr>
      </w:pPr>
      <w:r>
        <w:rPr>
          <w:color w:val="auto"/>
        </w:rPr>
        <w:t>El Programa está diseñado como una estrategia completa, integral, de atención directa que funciona a través de tres Ejes de Intervención:</w:t>
      </w:r>
    </w:p>
    <w:p w:rsidR="00CD2A5A" w:rsidRDefault="00CD2A5A">
      <w:pPr>
        <w:pStyle w:val="NormalWeb"/>
        <w:numPr>
          <w:ilvl w:val="0"/>
          <w:numId w:val="17"/>
        </w:numPr>
        <w:tabs>
          <w:tab w:val="clear" w:pos="924"/>
        </w:tabs>
        <w:spacing w:before="0" w:beforeAutospacing="0" w:after="240" w:afterAutospacing="0"/>
        <w:ind w:left="0" w:firstLine="567"/>
        <w:rPr>
          <w:color w:val="auto"/>
        </w:rPr>
      </w:pPr>
      <w:r>
        <w:rPr>
          <w:color w:val="auto"/>
        </w:rPr>
        <w:t>Red Solidaria a la Familia, contempla acciones focalizadas en las familias en extrema pobreza, e incluye transferencias monetarias o bonos para salud y educación a la madre de familia o responsable. Asimismo considera la corresponsabilidad de la familia para matricular y enviar a los hijos a la escuela, cumplir con los controles de crecimiento y vacunación de los menores de 5 años y controles de salud de la mujer embarazada;</w:t>
      </w:r>
    </w:p>
    <w:p w:rsidR="00CD2A5A" w:rsidRDefault="00CD2A5A">
      <w:pPr>
        <w:pStyle w:val="NormalWeb"/>
        <w:numPr>
          <w:ilvl w:val="0"/>
          <w:numId w:val="17"/>
        </w:numPr>
        <w:tabs>
          <w:tab w:val="clear" w:pos="924"/>
        </w:tabs>
        <w:spacing w:before="0" w:beforeAutospacing="0" w:after="240" w:afterAutospacing="0"/>
        <w:ind w:left="0" w:firstLine="567"/>
        <w:rPr>
          <w:color w:val="auto"/>
        </w:rPr>
      </w:pPr>
      <w:r>
        <w:rPr>
          <w:color w:val="auto"/>
        </w:rPr>
        <w:t>Red de Servicios Básicos a través del fortalecimiento de la red de servicios de educación y salud y la mejora del acceso a servicios básicos como agua y saneamiento, electrificación, etc.;</w:t>
      </w:r>
    </w:p>
    <w:p w:rsidR="00CD2A5A" w:rsidRDefault="00CD2A5A">
      <w:pPr>
        <w:pStyle w:val="NormalWeb"/>
        <w:numPr>
          <w:ilvl w:val="0"/>
          <w:numId w:val="17"/>
        </w:numPr>
        <w:tabs>
          <w:tab w:val="clear" w:pos="924"/>
        </w:tabs>
        <w:spacing w:before="0" w:beforeAutospacing="0" w:after="240" w:afterAutospacing="0"/>
        <w:ind w:left="0" w:firstLine="567"/>
        <w:rPr>
          <w:color w:val="auto"/>
        </w:rPr>
      </w:pPr>
      <w:r>
        <w:rPr>
          <w:color w:val="auto"/>
        </w:rPr>
        <w:t>Red de Sostenibilidad a la Familia, considera proyectos para mejorar el entorno productivo a través de diversificación de fuentes de ingreso, micro crédito, facilitar proyectos productivos, entre otros.</w:t>
      </w:r>
    </w:p>
    <w:p w:rsidR="00CD2A5A" w:rsidRDefault="00CD2A5A">
      <w:pPr>
        <w:pStyle w:val="NormalWeb"/>
        <w:numPr>
          <w:ilvl w:val="0"/>
          <w:numId w:val="33"/>
        </w:numPr>
        <w:tabs>
          <w:tab w:val="clear" w:pos="567"/>
        </w:tabs>
        <w:spacing w:before="0" w:beforeAutospacing="0" w:after="240" w:afterAutospacing="0"/>
        <w:rPr>
          <w:color w:val="auto"/>
        </w:rPr>
      </w:pPr>
      <w:r>
        <w:rPr>
          <w:color w:val="auto"/>
        </w:rPr>
        <w:t xml:space="preserve">La meta del Programa para los próximos cuatro años es atender a 100 mil familias en extrema pobreza, a un costo de 200 millones de dólares. Para lograrlo se invertirá alrededor de 50 millones de dólarespor año. Estos fondos saldrán de cuatro fuentes: </w:t>
      </w:r>
      <w:r>
        <w:rPr>
          <w:i/>
          <w:iCs/>
          <w:color w:val="auto"/>
        </w:rPr>
        <w:t>a</w:t>
      </w:r>
      <w:r>
        <w:rPr>
          <w:color w:val="auto"/>
        </w:rPr>
        <w:t xml:space="preserve">) las asignaciones de los distintos ministerios del Gobierno de El Salvador que participan en el Programa, </w:t>
      </w:r>
      <w:r>
        <w:rPr>
          <w:i/>
          <w:iCs/>
          <w:color w:val="auto"/>
        </w:rPr>
        <w:t>b</w:t>
      </w:r>
      <w:r>
        <w:rPr>
          <w:color w:val="auto"/>
        </w:rPr>
        <w:t xml:space="preserve">) los aportes de la cooperación internacional, </w:t>
      </w:r>
      <w:r>
        <w:rPr>
          <w:i/>
          <w:iCs/>
          <w:color w:val="auto"/>
        </w:rPr>
        <w:t>c</w:t>
      </w:r>
      <w:r>
        <w:rPr>
          <w:color w:val="auto"/>
        </w:rPr>
        <w:t xml:space="preserve">) los préstamos de organismos internacionales y </w:t>
      </w:r>
      <w:r>
        <w:rPr>
          <w:i/>
          <w:iCs/>
          <w:color w:val="auto"/>
        </w:rPr>
        <w:t>d</w:t>
      </w:r>
      <w:r>
        <w:rPr>
          <w:color w:val="auto"/>
        </w:rPr>
        <w:t xml:space="preserve">) una partida específica del presupuesto nacional. </w:t>
      </w:r>
    </w:p>
    <w:p w:rsidR="00CD2A5A" w:rsidRDefault="00CD2A5A" w:rsidP="006228EF">
      <w:pPr>
        <w:pStyle w:val="A0"/>
      </w:pPr>
      <w:r>
        <w:t>C.  Recursos</w:t>
      </w:r>
    </w:p>
    <w:p w:rsidR="00CD2A5A" w:rsidRDefault="00CD2A5A">
      <w:pPr>
        <w:numPr>
          <w:ilvl w:val="0"/>
          <w:numId w:val="33"/>
        </w:numPr>
        <w:tabs>
          <w:tab w:val="clear" w:pos="567"/>
        </w:tabs>
        <w:autoSpaceDE w:val="0"/>
        <w:autoSpaceDN w:val="0"/>
        <w:adjustRightInd w:val="0"/>
        <w:spacing w:after="240"/>
        <w:rPr>
          <w:bCs/>
        </w:rPr>
      </w:pPr>
      <w:r>
        <w:rPr>
          <w:bCs/>
        </w:rPr>
        <w:t>Las cuentas nacionales publicadas no permiten analizar la asignación de recursos para lograr específicamente los objetivos de desarrollo del Milenio y los objetivos y metas del PA-MAN. Sin embargo se pueden realizar ciertas apreciaciones más generales respecto a los recursos públicos asignados a educación y salud, dos rubros que afectan singularmente a los derechos y a la calidad de vida de niños, niñas y adolescentes.</w:t>
      </w:r>
      <w:r>
        <w:rPr>
          <w:rStyle w:val="FootnoteReference"/>
          <w:bCs/>
        </w:rPr>
        <w:footnoteReference w:id="78"/>
      </w:r>
    </w:p>
    <w:p w:rsidR="00CD2A5A" w:rsidRDefault="00CD2A5A">
      <w:pPr>
        <w:pStyle w:val="10"/>
      </w:pPr>
      <w:r>
        <w:t xml:space="preserve">1. </w:t>
      </w:r>
      <w:r>
        <w:tab/>
        <w:t>Educación</w:t>
      </w:r>
    </w:p>
    <w:p w:rsidR="00CD2A5A" w:rsidRDefault="00CD2A5A">
      <w:pPr>
        <w:numPr>
          <w:ilvl w:val="0"/>
          <w:numId w:val="33"/>
        </w:numPr>
        <w:tabs>
          <w:tab w:val="clear" w:pos="567"/>
        </w:tabs>
        <w:spacing w:after="240"/>
      </w:pPr>
      <w:r>
        <w:t>La proporción del gasto público en el ramo de Educación en relación con el Producto Interno Bruto (PIB) en 1995 fue de 1,95%, y ascendió en 2006 a 2,97%; lo que significaría un incremento promedio anual de + 0,10 puntos porcentuales. Pero este ritmo general se debilitó en el segundo quinquenio 2000-2004 llegando a + 0,04 puntos anuales; dentro de este quinquenio la proporción alcanzada en 2001 (3,4%) fue debilitándose año con año hasta llegar a 3.06% en 2005</w:t>
      </w:r>
      <w:r>
        <w:rPr>
          <w:rStyle w:val="FootnoteReference"/>
          <w:b w:val="0"/>
        </w:rPr>
        <w:footnoteReference w:id="79"/>
      </w:r>
      <w:r>
        <w:t>.</w:t>
      </w:r>
    </w:p>
    <w:p w:rsidR="00CD2A5A" w:rsidRDefault="00CD2A5A">
      <w:pPr>
        <w:keepNext/>
        <w:numPr>
          <w:ilvl w:val="0"/>
          <w:numId w:val="33"/>
        </w:numPr>
        <w:tabs>
          <w:tab w:val="clear" w:pos="567"/>
        </w:tabs>
        <w:spacing w:after="240"/>
      </w:pPr>
      <w:r>
        <w:t>La proporción del gasto público en el ramo de Educación en relación con el Gasto Público Total en 1995 fue de 13,56%, y ascendió en 2006 a 15,3%; lo que significaría un incremento promedio anual de 0.30 puntos porcentuales. Pero esta tendencia al crecimiento se detuvo en el segundo quinquenio 2000-2004, en el que se dio un decremento promedio de 0,15 puntos porcentuales anuales entre el año 2000 (17,28%) y el 2004 (16,8%), siendo ésta última una proporción de gasto inferior a la de 1998. Además, la conducta observada en este último quinquenio no ha sido clara: 17,28% en 2000, 19,74% en 2001, 14,02% en 2002 (inferior a la proporción del gasto de 1996), 18,8% en 2003, 16,8% en 2004 y 16,2% en el 2005.</w:t>
      </w:r>
    </w:p>
    <w:p w:rsidR="00CD2A5A" w:rsidRDefault="00CD2A5A">
      <w:pPr>
        <w:pStyle w:val="10"/>
      </w:pPr>
      <w:r>
        <w:t xml:space="preserve">2. </w:t>
      </w:r>
      <w:r>
        <w:tab/>
        <w:t>Salud</w:t>
      </w:r>
    </w:p>
    <w:p w:rsidR="00CD2A5A" w:rsidRDefault="00CD2A5A">
      <w:pPr>
        <w:numPr>
          <w:ilvl w:val="0"/>
          <w:numId w:val="33"/>
        </w:numPr>
        <w:tabs>
          <w:tab w:val="clear" w:pos="567"/>
        </w:tabs>
        <w:spacing w:after="240"/>
      </w:pPr>
      <w:r>
        <w:t>La proporción del gasto público en el ramo de Salud Pública y Asistencia Social en relación con el PIB en 1995 fue de 1,29%, y ascendió en 2006 a 1,7%; lo que implicaría un incremento promedio anual de 0.02 puntos porcentuales. Pero esta leve tendencia al crecimiento se revirtió en el segundo quinquenio 2000-2004, en el que se dio un decremento promedio de 0.01 puntos porcentuales anuales entre el año 2000 (1,6%) y el 2004 (1,5%), siendo ésta última una proporción de gasto cercana a la de 1998; dentro de este quinquenio el proceso de debilitamiento fue constante, sin embargo para los años 2005 y 2006 se evidencia un incremento del gasto (1,6 y 1,7 respectivamente) lo cual podría suponer el inicio de una tendencia creciente en relación a este rubro.</w:t>
      </w:r>
    </w:p>
    <w:p w:rsidR="00CD2A5A" w:rsidRDefault="00CD2A5A">
      <w:pPr>
        <w:numPr>
          <w:ilvl w:val="0"/>
          <w:numId w:val="33"/>
        </w:numPr>
        <w:tabs>
          <w:tab w:val="clear" w:pos="567"/>
        </w:tabs>
        <w:spacing w:after="240"/>
      </w:pPr>
      <w:r>
        <w:t xml:space="preserve">La proporción del gasto público en Salud Pública y Asistencia Social en relación con el Gasto Público Total en 1995 fue de 8,98%, y en el año 2006 significó el 8,6% del presupuesto total del Estado. Esta tendencia a la baja se evidenció desde el segundo quinquenio 2000-2004, en el que se dio una reducción promedio de 0,31 puntos porcentuales anuales entre el año 2000 (9,98%) y el 2004 (8,4%), siendo ésta última una proporción de gasto inferior a la de 1995. </w:t>
      </w:r>
    </w:p>
    <w:p w:rsidR="00CD2A5A" w:rsidRDefault="00CD2A5A" w:rsidP="006228EF">
      <w:pPr>
        <w:pStyle w:val="A0"/>
      </w:pPr>
      <w:r>
        <w:t>D.  Instrumentos de seguimiento</w:t>
      </w:r>
    </w:p>
    <w:p w:rsidR="00CD2A5A" w:rsidRDefault="00CD2A5A">
      <w:pPr>
        <w:numPr>
          <w:ilvl w:val="0"/>
          <w:numId w:val="33"/>
        </w:numPr>
        <w:tabs>
          <w:tab w:val="clear" w:pos="567"/>
        </w:tabs>
        <w:autoSpaceDE w:val="0"/>
        <w:autoSpaceDN w:val="0"/>
        <w:adjustRightInd w:val="0"/>
        <w:spacing w:after="240"/>
        <w:rPr>
          <w:b/>
          <w:bCs/>
        </w:rPr>
      </w:pPr>
      <w:r>
        <w:t>Se presenta en esta sección un balance de las innovaciones realizadas en el período 2000-2005</w:t>
      </w:r>
      <w:r>
        <w:rPr>
          <w:b/>
        </w:rPr>
        <w:t xml:space="preserve"> </w:t>
      </w:r>
      <w:r>
        <w:t>así como de las proyecciones para el período 2005-2010 por parte de las más importantes fuentes de información estadística del país.</w:t>
      </w:r>
    </w:p>
    <w:p w:rsidR="00CD2A5A" w:rsidRDefault="00CD2A5A">
      <w:pPr>
        <w:pStyle w:val="10"/>
      </w:pPr>
      <w:r>
        <w:t xml:space="preserve">1. </w:t>
      </w:r>
      <w:r>
        <w:tab/>
        <w:t xml:space="preserve">Encuesta de Hogares de Propósitos Múltiples </w:t>
      </w:r>
    </w:p>
    <w:p w:rsidR="00CD2A5A" w:rsidRDefault="00CD2A5A">
      <w:pPr>
        <w:numPr>
          <w:ilvl w:val="0"/>
          <w:numId w:val="33"/>
        </w:numPr>
        <w:tabs>
          <w:tab w:val="clear" w:pos="567"/>
        </w:tabs>
        <w:spacing w:after="240"/>
      </w:pPr>
      <w:r>
        <w:t>La Encuesta de Hogares de Propósitos Múltiples (EHPM) es conducida por un equipo especializado bajo la responsabilidad de la DIGESTYC.  Sus temas fundamentales son: población, educación, vivienda, empleo, ingreso y salud. Cada tema es analizado desde la perspectiva del país en general, y desde la perspectiva particular del área urbana, del área rural y del área metropolitana de San Salvador (AMSS)</w:t>
      </w:r>
    </w:p>
    <w:p w:rsidR="00CD2A5A" w:rsidRDefault="00CD2A5A">
      <w:pPr>
        <w:keepNext/>
        <w:spacing w:after="240"/>
        <w:rPr>
          <w:b/>
        </w:rPr>
      </w:pPr>
      <w:r>
        <w:rPr>
          <w:b/>
        </w:rPr>
        <w:t>Innovaciones realizadas en el período 2000-2005</w:t>
      </w:r>
    </w:p>
    <w:p w:rsidR="00CD2A5A" w:rsidRDefault="00CD2A5A">
      <w:pPr>
        <w:numPr>
          <w:ilvl w:val="0"/>
          <w:numId w:val="33"/>
        </w:numPr>
        <w:tabs>
          <w:tab w:val="clear" w:pos="567"/>
        </w:tabs>
        <w:spacing w:after="240"/>
      </w:pPr>
      <w:r>
        <w:t>Financiada desde su inicio en 1975 por fondos de cooperación internacional, en 2003 la encuesta da un paso importante hacia su institucionalización al asumir el propio Gobierno de El Salvador su financiamiento en el presupuesto nacional.</w:t>
      </w:r>
    </w:p>
    <w:p w:rsidR="00CD2A5A" w:rsidRDefault="00CD2A5A">
      <w:pPr>
        <w:spacing w:after="240"/>
        <w:rPr>
          <w:b/>
        </w:rPr>
      </w:pPr>
      <w:r>
        <w:rPr>
          <w:b/>
        </w:rPr>
        <w:t>Proyecciones para el período 2005-2010</w:t>
      </w:r>
    </w:p>
    <w:p w:rsidR="00CD2A5A" w:rsidRDefault="00CD2A5A">
      <w:pPr>
        <w:keepNext/>
        <w:numPr>
          <w:ilvl w:val="0"/>
          <w:numId w:val="33"/>
        </w:numPr>
        <w:tabs>
          <w:tab w:val="clear" w:pos="567"/>
        </w:tabs>
        <w:spacing w:after="240"/>
      </w:pPr>
      <w:r>
        <w:t>La proyección fundamental de DIGESTYC para el período 2005-2010 consiste en la elaboración de las diversas secciones del nuevo censo:</w:t>
      </w:r>
    </w:p>
    <w:p w:rsidR="00CD2A5A" w:rsidRDefault="00CD2A5A">
      <w:pPr>
        <w:numPr>
          <w:ilvl w:val="0"/>
          <w:numId w:val="36"/>
        </w:numPr>
        <w:tabs>
          <w:tab w:val="clear" w:pos="924"/>
        </w:tabs>
        <w:spacing w:after="240"/>
        <w:ind w:left="0" w:firstLine="567"/>
      </w:pPr>
      <w:r>
        <w:t>El censo económico (2005-2006);</w:t>
      </w:r>
    </w:p>
    <w:p w:rsidR="00CD2A5A" w:rsidRDefault="00CD2A5A">
      <w:pPr>
        <w:numPr>
          <w:ilvl w:val="0"/>
          <w:numId w:val="36"/>
        </w:numPr>
        <w:tabs>
          <w:tab w:val="clear" w:pos="924"/>
        </w:tabs>
        <w:spacing w:after="240"/>
        <w:ind w:left="0" w:firstLine="567"/>
      </w:pPr>
      <w:r>
        <w:t>El censo de ingresos y gastos, con una nueva estructura del índice de precios (2005</w:t>
      </w:r>
      <w:r>
        <w:noBreakHyphen/>
        <w:t>2006);</w:t>
      </w:r>
    </w:p>
    <w:p w:rsidR="00CD2A5A" w:rsidRDefault="00CD2A5A">
      <w:pPr>
        <w:numPr>
          <w:ilvl w:val="0"/>
          <w:numId w:val="36"/>
        </w:numPr>
        <w:tabs>
          <w:tab w:val="clear" w:pos="924"/>
        </w:tabs>
        <w:spacing w:after="240"/>
        <w:ind w:left="0" w:firstLine="567"/>
      </w:pPr>
      <w:r>
        <w:t>El censo de población y vivienda (2007);</w:t>
      </w:r>
    </w:p>
    <w:p w:rsidR="00CD2A5A" w:rsidRDefault="00CD2A5A">
      <w:pPr>
        <w:numPr>
          <w:ilvl w:val="0"/>
          <w:numId w:val="36"/>
        </w:numPr>
        <w:tabs>
          <w:tab w:val="clear" w:pos="924"/>
        </w:tabs>
        <w:spacing w:after="240"/>
        <w:ind w:left="0" w:firstLine="567"/>
      </w:pPr>
      <w:r>
        <w:t>El censo agropecuario (2007).</w:t>
      </w:r>
    </w:p>
    <w:p w:rsidR="00CD2A5A" w:rsidRDefault="00CD2A5A">
      <w:pPr>
        <w:pStyle w:val="10"/>
      </w:pPr>
      <w:r>
        <w:t xml:space="preserve">2. </w:t>
      </w:r>
      <w:r>
        <w:tab/>
        <w:t xml:space="preserve">Encuesta Nacional de Salud Familiar </w:t>
      </w:r>
    </w:p>
    <w:p w:rsidR="00CD2A5A" w:rsidRDefault="00CD2A5A">
      <w:pPr>
        <w:numPr>
          <w:ilvl w:val="0"/>
          <w:numId w:val="33"/>
        </w:numPr>
        <w:tabs>
          <w:tab w:val="clear" w:pos="567"/>
        </w:tabs>
        <w:spacing w:after="240"/>
      </w:pPr>
      <w:r>
        <w:t>La Encuesta Nacional de Salud Familiar (FESAL) es conducida bajo la responsabilidad de la Asociación Demográfica Salvadoreña (ADS) con la participación activa del Comité Consultivo Interinstitucional (CCI)</w:t>
      </w:r>
      <w:r>
        <w:rPr>
          <w:rStyle w:val="FootnoteReference"/>
        </w:rPr>
        <w:footnoteReference w:id="80"/>
      </w:r>
      <w:r>
        <w:t xml:space="preserve"> y bajo la asistencia técnica de los Centros para el Control y Prevención de Enfermedades (CDC) con sede en Atlanta. La encuesta, iniciada a partir de 1973, se ha llevado a cabo con una periodicidad promedio de cinco años, y pretende darle seguimiento a la evolución de los comportamientos reproductivos, de salud materna e infantil en El Salvador.</w:t>
      </w:r>
    </w:p>
    <w:p w:rsidR="00CD2A5A" w:rsidRDefault="00CD2A5A">
      <w:pPr>
        <w:keepNext/>
        <w:numPr>
          <w:ilvl w:val="0"/>
          <w:numId w:val="33"/>
        </w:numPr>
        <w:tabs>
          <w:tab w:val="clear" w:pos="567"/>
        </w:tabs>
        <w:spacing w:after="240"/>
      </w:pPr>
      <w:r>
        <w:t>Innovaciones realizadas en el período 1998-2003:</w:t>
      </w:r>
    </w:p>
    <w:p w:rsidR="00CD2A5A" w:rsidRDefault="00CD2A5A">
      <w:pPr>
        <w:numPr>
          <w:ilvl w:val="0"/>
          <w:numId w:val="37"/>
        </w:numPr>
        <w:tabs>
          <w:tab w:val="clear" w:pos="924"/>
        </w:tabs>
        <w:spacing w:after="240"/>
        <w:ind w:left="0" w:firstLine="567"/>
      </w:pPr>
      <w:r>
        <w:t>La muestra ha sido ampliada con el objeto de poder analizar de manera diferenciada la situación en cada uno de los 14 Departamentos del país;</w:t>
      </w:r>
    </w:p>
    <w:p w:rsidR="00CD2A5A" w:rsidRDefault="00CD2A5A">
      <w:pPr>
        <w:numPr>
          <w:ilvl w:val="0"/>
          <w:numId w:val="37"/>
        </w:numPr>
        <w:tabs>
          <w:tab w:val="clear" w:pos="924"/>
        </w:tabs>
        <w:spacing w:after="240"/>
        <w:ind w:left="0" w:firstLine="567"/>
      </w:pPr>
      <w:r>
        <w:t>La investigación del componente VIH-SIDA se ha profundizado;</w:t>
      </w:r>
    </w:p>
    <w:p w:rsidR="00CD2A5A" w:rsidRDefault="00CD2A5A">
      <w:pPr>
        <w:numPr>
          <w:ilvl w:val="0"/>
          <w:numId w:val="37"/>
        </w:numPr>
        <w:tabs>
          <w:tab w:val="clear" w:pos="924"/>
        </w:tabs>
        <w:spacing w:after="240"/>
        <w:ind w:left="0" w:firstLine="567"/>
      </w:pPr>
      <w:r>
        <w:t>La investigación sobre la asistencia escolar de niños y niñas que no han cumplido los 15 años de edad ha sido incluida;</w:t>
      </w:r>
    </w:p>
    <w:p w:rsidR="00CD2A5A" w:rsidRDefault="00CD2A5A">
      <w:pPr>
        <w:numPr>
          <w:ilvl w:val="0"/>
          <w:numId w:val="37"/>
        </w:numPr>
        <w:tabs>
          <w:tab w:val="clear" w:pos="924"/>
        </w:tabs>
        <w:spacing w:after="240"/>
        <w:ind w:left="0" w:firstLine="567"/>
      </w:pPr>
      <w:r>
        <w:t>El estudio de la violencia intrafamiliar ha sido incluido;</w:t>
      </w:r>
    </w:p>
    <w:p w:rsidR="00CD2A5A" w:rsidRDefault="00CD2A5A">
      <w:pPr>
        <w:numPr>
          <w:ilvl w:val="0"/>
          <w:numId w:val="37"/>
        </w:numPr>
        <w:tabs>
          <w:tab w:val="clear" w:pos="924"/>
        </w:tabs>
        <w:spacing w:after="240"/>
        <w:ind w:left="0" w:firstLine="567"/>
      </w:pPr>
      <w:r>
        <w:t>El análisis del género masculino – con un cuestionario y una sub-muestra específicos – ha sido incluido.</w:t>
      </w:r>
    </w:p>
    <w:p w:rsidR="00CD2A5A" w:rsidRDefault="00CD2A5A">
      <w:pPr>
        <w:keepNext/>
        <w:spacing w:after="240"/>
        <w:rPr>
          <w:b/>
        </w:rPr>
      </w:pPr>
      <w:r>
        <w:rPr>
          <w:b/>
        </w:rPr>
        <w:t>Proyecciones para el período 2003-2008</w:t>
      </w:r>
    </w:p>
    <w:p w:rsidR="00CD2A5A" w:rsidRDefault="00CD2A5A">
      <w:pPr>
        <w:numPr>
          <w:ilvl w:val="0"/>
          <w:numId w:val="33"/>
        </w:numPr>
        <w:tabs>
          <w:tab w:val="clear" w:pos="567"/>
        </w:tabs>
        <w:spacing w:after="240"/>
      </w:pPr>
      <w:r>
        <w:t>Actualmente se gestiona el financiamiento</w:t>
      </w:r>
      <w:r>
        <w:rPr>
          <w:rStyle w:val="FootnoteReference"/>
        </w:rPr>
        <w:footnoteReference w:id="81"/>
      </w:r>
      <w:r>
        <w:t xml:space="preserve"> necesario para mantener el tamaño de la muestra general y para aumentar el tamaño de la muestra específica para la investigación sobre el sexo masculino</w:t>
      </w:r>
    </w:p>
    <w:p w:rsidR="00CD2A5A" w:rsidRDefault="00CD2A5A">
      <w:pPr>
        <w:pStyle w:val="10"/>
      </w:pPr>
      <w:r>
        <w:t xml:space="preserve">3. </w:t>
      </w:r>
      <w:r>
        <w:tab/>
        <w:t xml:space="preserve">Ministerio de Salud Pública y Asistencia Social </w:t>
      </w:r>
    </w:p>
    <w:p w:rsidR="00CD2A5A" w:rsidRDefault="00CD2A5A">
      <w:pPr>
        <w:numPr>
          <w:ilvl w:val="0"/>
          <w:numId w:val="33"/>
        </w:numPr>
        <w:tabs>
          <w:tab w:val="clear" w:pos="567"/>
        </w:tabs>
        <w:spacing w:after="240"/>
      </w:pPr>
      <w:r>
        <w:t>Se ha logrado que el MSPAS reciba de manera sistemática y completa la información del ISSS en materia de VIH-SIDA y de vacunación, así como la información del sector privado en materia de inmunización.</w:t>
      </w:r>
    </w:p>
    <w:p w:rsidR="00CD2A5A" w:rsidRDefault="00CD2A5A">
      <w:pPr>
        <w:numPr>
          <w:ilvl w:val="0"/>
          <w:numId w:val="33"/>
        </w:numPr>
        <w:tabs>
          <w:tab w:val="clear" w:pos="567"/>
        </w:tabs>
        <w:spacing w:after="240"/>
      </w:pPr>
      <w:r>
        <w:t>El MSPAS se encuentra en una etapa avanzada de desarrollo de un Sistema de Información que permitirá monitorear las metas institucionales por grupos de edades y áreas geográficas, e integrará en forma automatizada la información de los hospitales y de las unidades de salud</w:t>
      </w:r>
    </w:p>
    <w:p w:rsidR="00CD2A5A" w:rsidRDefault="00CD2A5A">
      <w:pPr>
        <w:pStyle w:val="10"/>
      </w:pPr>
      <w:r>
        <w:t xml:space="preserve">4. </w:t>
      </w:r>
      <w:r>
        <w:tab/>
        <w:t xml:space="preserve">Sistema de Información para la Infancia </w:t>
      </w:r>
    </w:p>
    <w:p w:rsidR="00CD2A5A" w:rsidRDefault="00CD2A5A">
      <w:pPr>
        <w:numPr>
          <w:ilvl w:val="0"/>
          <w:numId w:val="33"/>
        </w:numPr>
        <w:tabs>
          <w:tab w:val="clear" w:pos="567"/>
        </w:tabs>
        <w:spacing w:after="240"/>
      </w:pPr>
      <w:r>
        <w:t xml:space="preserve">Bajo la responsabilidad del </w:t>
      </w:r>
      <w:r>
        <w:rPr>
          <w:lang w:val="es-SV"/>
        </w:rPr>
        <w:t xml:space="preserve"> ISNA, este</w:t>
      </w:r>
      <w:r>
        <w:t xml:space="preserve"> sistema de información colecta datos sobre niños, niñas y adolescentes atendidos por las instituciones de protección a la infancia en El Salvador, sobre sus familias y sobre los centros que los atienden; de esta manera el Sistema de Información para la Infancia (SIPI) se constituye en un sistema estadístico y de indicadores que facilita la definición de políticas institucionales, la toma de decisiones y la integración de datos que a su vez posibilitan el monitoreo del cumplimiento de la Convención sobre los Derechos del Niño y de los Programas que desarrolla el ISNA y otras entidades de atención a la infancia y adolescencia.</w:t>
      </w:r>
    </w:p>
    <w:p w:rsidR="00CD2A5A" w:rsidRDefault="00CD2A5A">
      <w:pPr>
        <w:keepNext/>
        <w:numPr>
          <w:ilvl w:val="0"/>
          <w:numId w:val="33"/>
        </w:numPr>
        <w:tabs>
          <w:tab w:val="clear" w:pos="567"/>
        </w:tabs>
        <w:spacing w:after="240"/>
      </w:pPr>
      <w:r>
        <w:t>En el año 2005 el SIPI ya está preparado para iniciar la ejecución de dos innovaciones:</w:t>
      </w:r>
    </w:p>
    <w:p w:rsidR="00CD2A5A" w:rsidRDefault="00CD2A5A">
      <w:pPr>
        <w:numPr>
          <w:ilvl w:val="1"/>
          <w:numId w:val="33"/>
        </w:numPr>
        <w:tabs>
          <w:tab w:val="clear" w:pos="1647"/>
        </w:tabs>
        <w:spacing w:after="240"/>
        <w:ind w:left="0" w:firstLine="567"/>
      </w:pPr>
      <w:r>
        <w:t>El procesamiento de la información desde las oficinas locales hacia la oficina central;</w:t>
      </w:r>
    </w:p>
    <w:p w:rsidR="00CD2A5A" w:rsidRDefault="00CD2A5A">
      <w:pPr>
        <w:numPr>
          <w:ilvl w:val="1"/>
          <w:numId w:val="33"/>
        </w:numPr>
        <w:tabs>
          <w:tab w:val="clear" w:pos="1647"/>
        </w:tabs>
        <w:spacing w:after="240"/>
        <w:ind w:left="0" w:firstLine="567"/>
      </w:pPr>
      <w:r>
        <w:t>Ea sistematización de los programas en beneficio de los niños y adolescentes y de la cobertura  de tales programas ejecutados por las Organizaciones no Gubernamentales – ONG’s – inscritas en el ISNA.</w:t>
      </w:r>
    </w:p>
    <w:p w:rsidR="00CD2A5A" w:rsidRDefault="00CD2A5A">
      <w:pPr>
        <w:pStyle w:val="10"/>
      </w:pPr>
      <w:r>
        <w:t xml:space="preserve">5. </w:t>
      </w:r>
      <w:r>
        <w:tab/>
        <w:t>Proyección de Creación de una Nueva  Institución Nacional Articuladora</w:t>
      </w:r>
    </w:p>
    <w:p w:rsidR="00CD2A5A" w:rsidRDefault="00CD2A5A">
      <w:pPr>
        <w:numPr>
          <w:ilvl w:val="0"/>
          <w:numId w:val="33"/>
        </w:numPr>
        <w:tabs>
          <w:tab w:val="clear" w:pos="567"/>
        </w:tabs>
        <w:spacing w:after="240"/>
      </w:pPr>
      <w:r>
        <w:t>Persisten las gestiones tendientes a crear un ente nacional de mayor nivel capaz de articular y potenciar los diversos sistemas de información vigentes en el Estado.</w:t>
      </w:r>
    </w:p>
    <w:p w:rsidR="00CD2A5A" w:rsidRDefault="00CD2A5A">
      <w:pPr>
        <w:numPr>
          <w:ilvl w:val="0"/>
          <w:numId w:val="33"/>
        </w:numPr>
        <w:tabs>
          <w:tab w:val="clear" w:pos="567"/>
        </w:tabs>
        <w:spacing w:after="240"/>
      </w:pPr>
      <w:r>
        <w:t>Se ha logrado establecer de manera conjunta la Línea de Base de la Mortalidad Materna</w:t>
      </w:r>
    </w:p>
    <w:p w:rsidR="00CD2A5A" w:rsidRDefault="00CD2A5A" w:rsidP="006228EF">
      <w:pPr>
        <w:pStyle w:val="A0"/>
      </w:pPr>
      <w:r>
        <w:t>E.  Asociaciones, alianzas y niveles de participación</w:t>
      </w:r>
    </w:p>
    <w:p w:rsidR="00CD2A5A" w:rsidRDefault="00CD2A5A">
      <w:pPr>
        <w:numPr>
          <w:ilvl w:val="0"/>
          <w:numId w:val="33"/>
        </w:numPr>
        <w:tabs>
          <w:tab w:val="clear" w:pos="567"/>
        </w:tabs>
        <w:spacing w:after="240"/>
        <w:rPr>
          <w:bCs/>
        </w:rPr>
      </w:pPr>
      <w:r>
        <w:rPr>
          <w:bCs/>
        </w:rPr>
        <w:t>Algunas de las actividades y proyecciones en el ámbito nacional que han sido señaladas arriba en las secciones 2 y 4 están construidas sobre una dinámica asociativa, que implica la creación de alianzas y una ampliación de la participación con el objeto de impulsar mejor las metas y objetivos propuestos. En esta sección se hace referencia a un proyecto que se desarrolla en el ámbito internacional.</w:t>
      </w:r>
    </w:p>
    <w:p w:rsidR="00CD2A5A" w:rsidRDefault="00CD2A5A">
      <w:pPr>
        <w:pStyle w:val="10"/>
      </w:pPr>
      <w:r>
        <w:t xml:space="preserve">1. </w:t>
      </w:r>
      <w:r>
        <w:tab/>
        <w:t>Plan Subregional de Promoción de la Salud</w:t>
      </w:r>
    </w:p>
    <w:p w:rsidR="00CD2A5A" w:rsidRDefault="00CD2A5A">
      <w:pPr>
        <w:keepNext/>
        <w:numPr>
          <w:ilvl w:val="0"/>
          <w:numId w:val="33"/>
        </w:numPr>
        <w:tabs>
          <w:tab w:val="clear" w:pos="567"/>
        </w:tabs>
        <w:spacing w:after="240"/>
      </w:pPr>
      <w:r>
        <w:t>Los países miembros de RESSCAD</w:t>
      </w:r>
      <w:r>
        <w:rPr>
          <w:rStyle w:val="FootnoteReference"/>
        </w:rPr>
        <w:footnoteReference w:id="82"/>
      </w:r>
      <w:r>
        <w:t>, las Repúblicas de Belice, Guatemala, El Salvador, Honduras, Nicaragua, Costa Rica, Panamá y República Dominicana, han suscrito este Plan Subregional para los próximos cinco años aceptando los siguientes desafíos:</w:t>
      </w:r>
    </w:p>
    <w:p w:rsidR="00CD2A5A" w:rsidRDefault="00CD2A5A">
      <w:pPr>
        <w:numPr>
          <w:ilvl w:val="0"/>
          <w:numId w:val="38"/>
        </w:numPr>
        <w:tabs>
          <w:tab w:val="clear" w:pos="1284"/>
        </w:tabs>
        <w:autoSpaceDE w:val="0"/>
        <w:autoSpaceDN w:val="0"/>
        <w:adjustRightInd w:val="0"/>
        <w:spacing w:after="240"/>
        <w:ind w:left="0" w:firstLine="567"/>
      </w:pPr>
      <w:r>
        <w:t>Situar la Promoción de la Salud como prioridad fundamental en las políticas y programas de salud locales, regionales, nacionales e internacionales a fin de mejorar la calidad de vida y fortalecer el desarrollo sostenible.</w:t>
      </w:r>
    </w:p>
    <w:p w:rsidR="00CD2A5A" w:rsidRDefault="00CD2A5A">
      <w:pPr>
        <w:numPr>
          <w:ilvl w:val="0"/>
          <w:numId w:val="38"/>
        </w:numPr>
        <w:tabs>
          <w:tab w:val="clear" w:pos="1284"/>
        </w:tabs>
        <w:autoSpaceDE w:val="0"/>
        <w:autoSpaceDN w:val="0"/>
        <w:adjustRightInd w:val="0"/>
        <w:spacing w:after="240"/>
        <w:ind w:left="0" w:firstLine="567"/>
      </w:pPr>
      <w:r>
        <w:t>Consolidar el proceso participativo para la construcción de una Política Nacional de Promoción de la Salud.</w:t>
      </w:r>
    </w:p>
    <w:p w:rsidR="00CD2A5A" w:rsidRDefault="00CD2A5A">
      <w:pPr>
        <w:numPr>
          <w:ilvl w:val="0"/>
          <w:numId w:val="38"/>
        </w:numPr>
        <w:tabs>
          <w:tab w:val="clear" w:pos="1284"/>
        </w:tabs>
        <w:autoSpaceDE w:val="0"/>
        <w:autoSpaceDN w:val="0"/>
        <w:adjustRightInd w:val="0"/>
        <w:spacing w:after="240"/>
        <w:ind w:left="0" w:firstLine="567"/>
      </w:pPr>
      <w:r>
        <w:t>Elaborar e implementar los Planes Nacionales y Planes Locales de Promoción de la Salud con enfoque intersectorial a partir de la identificación de prioridades en salud</w:t>
      </w:r>
    </w:p>
    <w:p w:rsidR="00CD2A5A" w:rsidRDefault="00CD2A5A">
      <w:pPr>
        <w:numPr>
          <w:ilvl w:val="0"/>
          <w:numId w:val="38"/>
        </w:numPr>
        <w:tabs>
          <w:tab w:val="clear" w:pos="1284"/>
        </w:tabs>
        <w:autoSpaceDE w:val="0"/>
        <w:autoSpaceDN w:val="0"/>
        <w:adjustRightInd w:val="0"/>
        <w:spacing w:after="240"/>
        <w:ind w:left="0" w:firstLine="567"/>
      </w:pPr>
      <w:r>
        <w:t>Impulsar y fortalecer el desarrollo de investigaciones científicas sobre prioridades determinadas en Promoción de la Salud, como herramienta para la toma de decisiones en la reorientación de los recursos financieros y operacionales a fin de crear la capacidad humana nacional requerida.</w:t>
      </w:r>
    </w:p>
    <w:p w:rsidR="00CD2A5A" w:rsidRDefault="00CD2A5A">
      <w:pPr>
        <w:numPr>
          <w:ilvl w:val="0"/>
          <w:numId w:val="38"/>
        </w:numPr>
        <w:tabs>
          <w:tab w:val="clear" w:pos="1284"/>
        </w:tabs>
        <w:autoSpaceDE w:val="0"/>
        <w:autoSpaceDN w:val="0"/>
        <w:adjustRightInd w:val="0"/>
        <w:spacing w:after="240"/>
        <w:ind w:left="0" w:firstLine="567"/>
      </w:pPr>
      <w:r>
        <w:t>Fortalecer la capacitación y formación de recursos humanos nacionales, para el desarrollo de acciones de Promoción de la Salud mediante alianzas con las Instituciones Formadoras.</w:t>
      </w:r>
    </w:p>
    <w:p w:rsidR="00CD2A5A" w:rsidRDefault="00CD2A5A">
      <w:pPr>
        <w:numPr>
          <w:ilvl w:val="0"/>
          <w:numId w:val="38"/>
        </w:numPr>
        <w:tabs>
          <w:tab w:val="clear" w:pos="1284"/>
        </w:tabs>
        <w:autoSpaceDE w:val="0"/>
        <w:autoSpaceDN w:val="0"/>
        <w:adjustRightInd w:val="0"/>
        <w:spacing w:after="240"/>
        <w:ind w:left="0" w:firstLine="567"/>
      </w:pPr>
      <w:r>
        <w:t>Conformar un “Consejo Subregional para la Promoción de la Salud” y “Consejo Nacional para la Promoción de la Salud”.</w:t>
      </w:r>
    </w:p>
    <w:p w:rsidR="00CD2A5A" w:rsidRDefault="00CD2A5A">
      <w:pPr>
        <w:numPr>
          <w:ilvl w:val="0"/>
          <w:numId w:val="38"/>
        </w:numPr>
        <w:tabs>
          <w:tab w:val="clear" w:pos="1284"/>
        </w:tabs>
        <w:autoSpaceDE w:val="0"/>
        <w:autoSpaceDN w:val="0"/>
        <w:adjustRightInd w:val="0"/>
        <w:spacing w:after="240"/>
        <w:ind w:left="0" w:firstLine="567"/>
      </w:pPr>
      <w:r>
        <w:t>Establecer y fortalecer, para la Subregión, Redes Sociales e instancias de participación como apoyo a la gestión de la Promoción de la Salud.</w:t>
      </w:r>
    </w:p>
    <w:p w:rsidR="00CD2A5A" w:rsidRDefault="00CD2A5A">
      <w:pPr>
        <w:numPr>
          <w:ilvl w:val="0"/>
          <w:numId w:val="38"/>
        </w:numPr>
        <w:tabs>
          <w:tab w:val="clear" w:pos="1284"/>
        </w:tabs>
        <w:autoSpaceDE w:val="0"/>
        <w:autoSpaceDN w:val="0"/>
        <w:adjustRightInd w:val="0"/>
        <w:spacing w:after="240"/>
        <w:ind w:left="0" w:firstLine="567"/>
      </w:pPr>
      <w:r>
        <w:t>Desarrollar herramientas y mecanismos de monitoreo y evaluación de las acciones realizadas en Promoción de la Salud, a fin de medir el impacto en los indicadores de salud.</w:t>
      </w:r>
    </w:p>
    <w:p w:rsidR="00CD2A5A" w:rsidRDefault="00CD2A5A">
      <w:pPr>
        <w:numPr>
          <w:ilvl w:val="0"/>
          <w:numId w:val="38"/>
        </w:numPr>
        <w:tabs>
          <w:tab w:val="clear" w:pos="1284"/>
        </w:tabs>
        <w:autoSpaceDE w:val="0"/>
        <w:autoSpaceDN w:val="0"/>
        <w:adjustRightInd w:val="0"/>
        <w:spacing w:after="240"/>
        <w:ind w:left="0" w:firstLine="567"/>
      </w:pPr>
      <w:r>
        <w:t>Revisar y reformular los Planes Nacionales y Locales basados en el análisis de los procesos de monitoreo y evaluación.</w:t>
      </w:r>
    </w:p>
    <w:p w:rsidR="00CD2A5A" w:rsidRDefault="00CD2A5A">
      <w:pPr>
        <w:numPr>
          <w:ilvl w:val="0"/>
          <w:numId w:val="38"/>
        </w:numPr>
        <w:tabs>
          <w:tab w:val="clear" w:pos="1284"/>
        </w:tabs>
        <w:autoSpaceDE w:val="0"/>
        <w:autoSpaceDN w:val="0"/>
        <w:adjustRightInd w:val="0"/>
        <w:spacing w:after="240"/>
        <w:ind w:left="0" w:firstLine="567"/>
      </w:pPr>
      <w:r>
        <w:t>Evaluar la inversión intersectorial en Promoción de la Salud.</w:t>
      </w:r>
    </w:p>
    <w:p w:rsidR="00CD2A5A" w:rsidRDefault="00CD2A5A">
      <w:pPr>
        <w:numPr>
          <w:ilvl w:val="0"/>
          <w:numId w:val="38"/>
        </w:numPr>
        <w:tabs>
          <w:tab w:val="clear" w:pos="1284"/>
        </w:tabs>
        <w:autoSpaceDE w:val="0"/>
        <w:autoSpaceDN w:val="0"/>
        <w:adjustRightInd w:val="0"/>
        <w:spacing w:after="240"/>
        <w:ind w:left="0" w:firstLine="567"/>
      </w:pPr>
      <w:r>
        <w:t>Identificar y reforzar mecanismos de sostenibilidad para las actividades intersectoriales en Promoción de la Salud.</w:t>
      </w:r>
    </w:p>
    <w:p w:rsidR="00CD2A5A" w:rsidRDefault="00CD2A5A">
      <w:pPr>
        <w:numPr>
          <w:ilvl w:val="0"/>
          <w:numId w:val="38"/>
        </w:numPr>
        <w:tabs>
          <w:tab w:val="clear" w:pos="1284"/>
        </w:tabs>
        <w:autoSpaceDE w:val="0"/>
        <w:autoSpaceDN w:val="0"/>
        <w:adjustRightInd w:val="0"/>
        <w:spacing w:after="240"/>
        <w:ind w:left="0" w:firstLine="567"/>
      </w:pPr>
      <w:r>
        <w:t>Sistematizar las experiencias en Promoción de la Salud, institucionales y de la sociedad civil, basadas en evidencias.</w:t>
      </w:r>
    </w:p>
    <w:p w:rsidR="00CD2A5A" w:rsidRDefault="00CD2A5A">
      <w:pPr>
        <w:numPr>
          <w:ilvl w:val="0"/>
          <w:numId w:val="38"/>
        </w:numPr>
        <w:tabs>
          <w:tab w:val="clear" w:pos="1284"/>
        </w:tabs>
        <w:autoSpaceDE w:val="0"/>
        <w:autoSpaceDN w:val="0"/>
        <w:adjustRightInd w:val="0"/>
        <w:spacing w:after="240"/>
        <w:ind w:left="0" w:firstLine="567"/>
      </w:pPr>
      <w:r>
        <w:t>Compartir experiencias y lecciones aprendidas documentadas, con todos los sectores nacionales y con los países de la subregión.</w:t>
      </w:r>
    </w:p>
    <w:p w:rsidR="00CD2A5A" w:rsidRDefault="00CD2A5A">
      <w:pPr>
        <w:numPr>
          <w:ilvl w:val="0"/>
          <w:numId w:val="38"/>
        </w:numPr>
        <w:tabs>
          <w:tab w:val="clear" w:pos="1284"/>
        </w:tabs>
        <w:autoSpaceDE w:val="0"/>
        <w:autoSpaceDN w:val="0"/>
        <w:adjustRightInd w:val="0"/>
        <w:spacing w:after="240"/>
        <w:ind w:left="0" w:firstLine="567"/>
      </w:pPr>
      <w:r>
        <w:t>Lograr el empoderamiento y el trabajo intersectorial (público, privado y de la sociedad civil) que promuevan las condiciones de vida necesarias para mejorar la calidad de vida y el desarrollo sostenible, a nivel subregional, nacional y local.</w:t>
      </w:r>
    </w:p>
    <w:p w:rsidR="00CD2A5A" w:rsidRDefault="00CD2A5A">
      <w:pPr>
        <w:numPr>
          <w:ilvl w:val="0"/>
          <w:numId w:val="38"/>
        </w:numPr>
        <w:tabs>
          <w:tab w:val="clear" w:pos="1284"/>
        </w:tabs>
        <w:autoSpaceDE w:val="0"/>
        <w:autoSpaceDN w:val="0"/>
        <w:adjustRightInd w:val="0"/>
        <w:spacing w:after="240"/>
        <w:ind w:left="0" w:firstLine="567"/>
      </w:pPr>
      <w:r>
        <w:t>Fortalecer la Comunicación Social efectiva.</w:t>
      </w:r>
    </w:p>
    <w:p w:rsidR="00CD2A5A" w:rsidRDefault="00CD2A5A">
      <w:pPr>
        <w:numPr>
          <w:ilvl w:val="0"/>
          <w:numId w:val="38"/>
        </w:numPr>
        <w:tabs>
          <w:tab w:val="clear" w:pos="1284"/>
        </w:tabs>
        <w:autoSpaceDE w:val="0"/>
        <w:autoSpaceDN w:val="0"/>
        <w:adjustRightInd w:val="0"/>
        <w:spacing w:after="240"/>
        <w:ind w:left="0" w:firstLine="567"/>
      </w:pPr>
      <w:r>
        <w:t>Involucrar a los Organismos de Cooperación Internacional para apoyar las iniciativas en Promoción de la Salud que se propongan.</w:t>
      </w:r>
    </w:p>
    <w:p w:rsidR="00CD2A5A" w:rsidRDefault="00CD2A5A">
      <w:pPr>
        <w:numPr>
          <w:ilvl w:val="0"/>
          <w:numId w:val="38"/>
        </w:numPr>
        <w:tabs>
          <w:tab w:val="clear" w:pos="1284"/>
        </w:tabs>
        <w:autoSpaceDE w:val="0"/>
        <w:autoSpaceDN w:val="0"/>
        <w:adjustRightInd w:val="0"/>
        <w:spacing w:after="240"/>
        <w:ind w:left="0" w:firstLine="567"/>
      </w:pPr>
      <w:r>
        <w:t>Actualizar los marcos jurídicos como una base sólida para la Promoción de la Salud</w:t>
      </w:r>
    </w:p>
    <w:p w:rsidR="00CD2A5A" w:rsidRDefault="00CD2A5A">
      <w:pPr>
        <w:keepNext/>
        <w:numPr>
          <w:ilvl w:val="0"/>
          <w:numId w:val="33"/>
        </w:numPr>
        <w:tabs>
          <w:tab w:val="clear" w:pos="567"/>
        </w:tabs>
        <w:spacing w:after="240"/>
      </w:pPr>
      <w:r>
        <w:t>Se espera obtener, al término de dos años, los siguientes resultados:</w:t>
      </w:r>
    </w:p>
    <w:p w:rsidR="00CD2A5A" w:rsidRDefault="00CD2A5A">
      <w:pPr>
        <w:numPr>
          <w:ilvl w:val="0"/>
          <w:numId w:val="39"/>
        </w:numPr>
        <w:tabs>
          <w:tab w:val="clear" w:pos="1284"/>
        </w:tabs>
        <w:autoSpaceDE w:val="0"/>
        <w:autoSpaceDN w:val="0"/>
        <w:adjustRightInd w:val="0"/>
        <w:spacing w:after="240"/>
        <w:ind w:left="0" w:firstLine="567"/>
      </w:pPr>
      <w:r>
        <w:t>Políticas Públicas Saludables desarrollándose;</w:t>
      </w:r>
    </w:p>
    <w:p w:rsidR="00CD2A5A" w:rsidRDefault="00CD2A5A">
      <w:pPr>
        <w:numPr>
          <w:ilvl w:val="0"/>
          <w:numId w:val="39"/>
        </w:numPr>
        <w:tabs>
          <w:tab w:val="clear" w:pos="1284"/>
        </w:tabs>
        <w:autoSpaceDE w:val="0"/>
        <w:autoSpaceDN w:val="0"/>
        <w:adjustRightInd w:val="0"/>
        <w:spacing w:after="240"/>
        <w:ind w:left="0" w:firstLine="567"/>
      </w:pPr>
      <w:r>
        <w:t>Redes Sociales en Promoción de la Salud funcionando;</w:t>
      </w:r>
    </w:p>
    <w:p w:rsidR="00CD2A5A" w:rsidRDefault="00CD2A5A">
      <w:pPr>
        <w:numPr>
          <w:ilvl w:val="0"/>
          <w:numId w:val="39"/>
        </w:numPr>
        <w:tabs>
          <w:tab w:val="clear" w:pos="1284"/>
        </w:tabs>
        <w:autoSpaceDE w:val="0"/>
        <w:autoSpaceDN w:val="0"/>
        <w:adjustRightInd w:val="0"/>
        <w:spacing w:after="240"/>
        <w:ind w:left="0" w:firstLine="567"/>
      </w:pPr>
      <w:r>
        <w:t>Planes Nacionales de Promoción de la Salud con metas y objetivos prioritarios, con enfoque intersectorial, evaluados;</w:t>
      </w:r>
    </w:p>
    <w:p w:rsidR="00CD2A5A" w:rsidRDefault="00CD2A5A">
      <w:pPr>
        <w:numPr>
          <w:ilvl w:val="0"/>
          <w:numId w:val="39"/>
        </w:numPr>
        <w:tabs>
          <w:tab w:val="clear" w:pos="1284"/>
        </w:tabs>
        <w:autoSpaceDE w:val="0"/>
        <w:autoSpaceDN w:val="0"/>
        <w:adjustRightInd w:val="0"/>
        <w:spacing w:after="240"/>
        <w:ind w:left="0" w:firstLine="567"/>
      </w:pPr>
      <w:r>
        <w:t>Recursos Humanos, formados y capacitados en Promoción de la Salud;</w:t>
      </w:r>
    </w:p>
    <w:p w:rsidR="00CD2A5A" w:rsidRDefault="00CD2A5A">
      <w:pPr>
        <w:numPr>
          <w:ilvl w:val="0"/>
          <w:numId w:val="39"/>
        </w:numPr>
        <w:tabs>
          <w:tab w:val="clear" w:pos="1284"/>
        </w:tabs>
        <w:autoSpaceDE w:val="0"/>
        <w:autoSpaceDN w:val="0"/>
        <w:adjustRightInd w:val="0"/>
        <w:spacing w:after="240"/>
        <w:ind w:left="0" w:firstLine="567"/>
      </w:pPr>
      <w:r>
        <w:t>Servicios de Salud reorientados hacia la Promoción de la Salud;</w:t>
      </w:r>
    </w:p>
    <w:p w:rsidR="00CD2A5A" w:rsidRDefault="00CD2A5A">
      <w:pPr>
        <w:numPr>
          <w:ilvl w:val="0"/>
          <w:numId w:val="39"/>
        </w:numPr>
        <w:tabs>
          <w:tab w:val="clear" w:pos="1284"/>
        </w:tabs>
        <w:autoSpaceDE w:val="0"/>
        <w:autoSpaceDN w:val="0"/>
        <w:adjustRightInd w:val="0"/>
        <w:spacing w:after="240"/>
        <w:ind w:left="0" w:firstLine="567"/>
      </w:pPr>
      <w:r>
        <w:t>Recursos financieros del estado en apoyo a la Promoción de la Salud;</w:t>
      </w:r>
    </w:p>
    <w:p w:rsidR="00CD2A5A" w:rsidRDefault="00CD2A5A">
      <w:pPr>
        <w:numPr>
          <w:ilvl w:val="0"/>
          <w:numId w:val="39"/>
        </w:numPr>
        <w:tabs>
          <w:tab w:val="clear" w:pos="1284"/>
        </w:tabs>
        <w:autoSpaceDE w:val="0"/>
        <w:autoSpaceDN w:val="0"/>
        <w:adjustRightInd w:val="0"/>
        <w:spacing w:after="240"/>
        <w:ind w:left="0" w:firstLine="567"/>
      </w:pPr>
      <w:r>
        <w:t>Organismos de Cooperación Internacional apoyando las iniciativas.</w:t>
      </w:r>
    </w:p>
    <w:p w:rsidR="00CD2A5A" w:rsidRDefault="00CD2A5A" w:rsidP="006228EF">
      <w:pPr>
        <w:pStyle w:val="A0"/>
      </w:pPr>
      <w:r>
        <w:t>F.  Situación y perspectivas del proceso hacia los objetivos y metas</w:t>
      </w:r>
    </w:p>
    <w:p w:rsidR="00CD2A5A" w:rsidRDefault="00CD2A5A">
      <w:pPr>
        <w:numPr>
          <w:ilvl w:val="0"/>
          <w:numId w:val="33"/>
        </w:numPr>
        <w:tabs>
          <w:tab w:val="clear" w:pos="567"/>
        </w:tabs>
        <w:spacing w:after="240"/>
        <w:rPr>
          <w:bCs/>
        </w:rPr>
      </w:pPr>
      <w:r>
        <w:rPr>
          <w:bCs/>
        </w:rPr>
        <w:t xml:space="preserve">Se constatarán a continuación los datos más recientes a nivel nacional sobre la situación y las </w:t>
      </w:r>
      <w:r>
        <w:t>perspectivas</w:t>
      </w:r>
      <w:r>
        <w:rPr>
          <w:bCs/>
        </w:rPr>
        <w:t xml:space="preserve"> del proceso hacia los objetivos y metas del PA-MAN en el contexto de los objetivos de desarrollo del Milenio (ODM) y la Declaración del Milenio.</w:t>
      </w:r>
    </w:p>
    <w:p w:rsidR="00CD2A5A" w:rsidRDefault="00CD2A5A">
      <w:pPr>
        <w:numPr>
          <w:ilvl w:val="0"/>
          <w:numId w:val="33"/>
        </w:numPr>
        <w:tabs>
          <w:tab w:val="clear" w:pos="567"/>
        </w:tabs>
        <w:spacing w:after="240"/>
        <w:rPr>
          <w:bCs/>
        </w:rPr>
      </w:pPr>
      <w:r>
        <w:rPr>
          <w:bCs/>
        </w:rPr>
        <w:t xml:space="preserve">En lo que se refiere a las perspectivas de cumplimiento de metas, se ha comenzado por establecer en cada caso el ritmo promedio de incremento o decremento en el comportamiento del indicador tanto en el período general 1990-2006 como en el período más reciente que en la mayoría de los casos es </w:t>
      </w:r>
      <w:r>
        <w:t>2000</w:t>
      </w:r>
      <w:r>
        <w:rPr>
          <w:bCs/>
        </w:rPr>
        <w:t>-2005/2006. A partir de ambos datos y del valor del indicador en 2005/2006 se realiza una simple proyección lineal. De esta manera, cuando se concluye que existe o no existe una perspectiva razonable de cumplimiento de meta se asume en todo caso, como hipótesis de trabajo, la persistencia de los ritmos observados, tanto en el período general 1990-2006 como en el más reciente. Pero también se asume como hipótesis de trabajo la tendencia a la prevalencia que tendrá de hecho la conducta más reciente sobre la conducta del próximo quinquenio, a no ser que se interponga una decisión efectiva para modificarlo.</w:t>
      </w:r>
    </w:p>
    <w:p w:rsidR="00CD2A5A" w:rsidRDefault="00CD2A5A">
      <w:pPr>
        <w:keepNext/>
        <w:numPr>
          <w:ilvl w:val="0"/>
          <w:numId w:val="33"/>
        </w:numPr>
        <w:tabs>
          <w:tab w:val="clear" w:pos="567"/>
        </w:tabs>
        <w:spacing w:after="240"/>
        <w:rPr>
          <w:bCs/>
        </w:rPr>
      </w:pPr>
      <w:r>
        <w:rPr>
          <w:bCs/>
        </w:rPr>
        <w:t xml:space="preserve">El análisis de la conducta de cada indicador irá precedido por un pequeño recuadro con los datos básicos: </w:t>
      </w:r>
      <w:r>
        <w:rPr>
          <w:bCs/>
          <w:i/>
          <w:iCs/>
        </w:rPr>
        <w:t>a</w:t>
      </w:r>
      <w:r>
        <w:rPr>
          <w:bCs/>
        </w:rPr>
        <w:t xml:space="preserve">) el contenido del indicador, </w:t>
      </w:r>
      <w:r>
        <w:rPr>
          <w:bCs/>
          <w:i/>
          <w:iCs/>
        </w:rPr>
        <w:t>b</w:t>
      </w:r>
      <w:r>
        <w:rPr>
          <w:bCs/>
        </w:rPr>
        <w:t xml:space="preserve">) la meta establecida en términos generales, junto con el año </w:t>
      </w:r>
      <w:r>
        <w:t>asignado</w:t>
      </w:r>
      <w:r>
        <w:rPr>
          <w:bCs/>
        </w:rPr>
        <w:t xml:space="preserve"> para su cumplimiento y la referencia al texto oficial en el que ha quedado establecida, y </w:t>
      </w:r>
      <w:r>
        <w:rPr>
          <w:bCs/>
          <w:i/>
          <w:iCs/>
        </w:rPr>
        <w:t>c</w:t>
      </w:r>
      <w:r>
        <w:rPr>
          <w:bCs/>
        </w:rPr>
        <w:t>) el valor de la meta concreta para El Salvador calculado sobre la base del comportamiento del indicador en 1990.</w:t>
      </w:r>
    </w:p>
    <w:p w:rsidR="00CD2A5A" w:rsidRDefault="00CD2A5A">
      <w:pPr>
        <w:keepNext/>
        <w:spacing w:after="240"/>
        <w:jc w:val="center"/>
        <w:rPr>
          <w:b/>
          <w:bCs/>
        </w:rPr>
      </w:pPr>
      <w:r>
        <w:rPr>
          <w:b/>
          <w:bCs/>
        </w:rPr>
        <w:t>TEMA I: Promoviendo estilos de vida saludables</w:t>
      </w:r>
    </w:p>
    <w:p w:rsidR="00CD2A5A" w:rsidRDefault="00CD2A5A">
      <w:pPr>
        <w:pStyle w:val="10"/>
      </w:pPr>
      <w:r>
        <w:t xml:space="preserve">1. </w:t>
      </w:r>
      <w:r>
        <w:tab/>
        <w:t>Objetivo: Erradicar la pobreza extrema y el hambre (ODM 1)</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03"/>
        <w:gridCol w:w="7851"/>
        <w:gridCol w:w="958"/>
      </w:tblGrid>
      <w:tr w:rsidR="00CD2A5A">
        <w:trPr>
          <w:cantSplit/>
          <w:jc w:val="center"/>
        </w:trPr>
        <w:tc>
          <w:tcPr>
            <w:tcW w:w="588" w:type="dxa"/>
            <w:vMerge w:val="restart"/>
            <w:vAlign w:val="center"/>
          </w:tcPr>
          <w:p w:rsidR="00CD2A5A" w:rsidRDefault="00CD2A5A">
            <w:pPr>
              <w:autoSpaceDE w:val="0"/>
              <w:autoSpaceDN w:val="0"/>
              <w:adjustRightInd w:val="0"/>
              <w:spacing w:before="40" w:after="40"/>
              <w:rPr>
                <w:sz w:val="20"/>
                <w:szCs w:val="20"/>
              </w:rPr>
            </w:pPr>
            <w:r>
              <w:rPr>
                <w:sz w:val="20"/>
                <w:szCs w:val="20"/>
              </w:rPr>
              <w:t>1</w:t>
            </w:r>
          </w:p>
        </w:tc>
        <w:tc>
          <w:tcPr>
            <w:tcW w:w="8587" w:type="dxa"/>
            <w:gridSpan w:val="2"/>
            <w:vAlign w:val="center"/>
          </w:tcPr>
          <w:p w:rsidR="00CD2A5A" w:rsidRDefault="00CD2A5A">
            <w:pPr>
              <w:autoSpaceDE w:val="0"/>
              <w:autoSpaceDN w:val="0"/>
              <w:adjustRightInd w:val="0"/>
              <w:spacing w:before="40" w:after="40"/>
              <w:rPr>
                <w:sz w:val="20"/>
                <w:szCs w:val="20"/>
              </w:rPr>
            </w:pPr>
            <w:r>
              <w:rPr>
                <w:sz w:val="20"/>
                <w:szCs w:val="20"/>
              </w:rPr>
              <w:t xml:space="preserve">Porcentaje de personas cuyos </w:t>
            </w:r>
            <w:r>
              <w:rPr>
                <w:sz w:val="20"/>
                <w:szCs w:val="20"/>
                <w:u w:val="single"/>
              </w:rPr>
              <w:t>ingresos son inferiores a 1 dólar</w:t>
            </w:r>
            <w:r>
              <w:rPr>
                <w:sz w:val="20"/>
                <w:szCs w:val="20"/>
              </w:rPr>
              <w:t xml:space="preserve"> por día</w:t>
            </w:r>
            <w:r>
              <w:rPr>
                <w:rStyle w:val="FootnoteReference"/>
                <w:sz w:val="20"/>
                <w:szCs w:val="20"/>
              </w:rPr>
              <w:footnoteReference w:id="83"/>
            </w:r>
          </w:p>
        </w:tc>
      </w:tr>
      <w:tr w:rsidR="00CD2A5A">
        <w:trPr>
          <w:cantSplit/>
          <w:jc w:val="center"/>
        </w:trPr>
        <w:tc>
          <w:tcPr>
            <w:tcW w:w="588" w:type="dxa"/>
            <w:vMerge/>
            <w:vAlign w:val="center"/>
          </w:tcPr>
          <w:p w:rsidR="00CD2A5A" w:rsidRDefault="00CD2A5A">
            <w:pPr>
              <w:autoSpaceDE w:val="0"/>
              <w:autoSpaceDN w:val="0"/>
              <w:adjustRightInd w:val="0"/>
              <w:spacing w:before="40" w:after="40"/>
              <w:rPr>
                <w:sz w:val="20"/>
                <w:szCs w:val="20"/>
              </w:rPr>
            </w:pPr>
          </w:p>
        </w:tc>
        <w:tc>
          <w:tcPr>
            <w:tcW w:w="7653" w:type="dxa"/>
            <w:vAlign w:val="center"/>
          </w:tcPr>
          <w:p w:rsidR="00CD2A5A" w:rsidRDefault="00CD2A5A">
            <w:pPr>
              <w:keepNext/>
              <w:autoSpaceDE w:val="0"/>
              <w:autoSpaceDN w:val="0"/>
              <w:adjustRightInd w:val="0"/>
              <w:spacing w:before="40" w:after="40"/>
              <w:rPr>
                <w:sz w:val="20"/>
                <w:szCs w:val="20"/>
              </w:rPr>
            </w:pPr>
            <w:r>
              <w:rPr>
                <w:sz w:val="20"/>
                <w:szCs w:val="20"/>
              </w:rPr>
              <w:t>META:  Reducir a la mitad (2015) (ODM 1)</w:t>
            </w:r>
          </w:p>
        </w:tc>
        <w:tc>
          <w:tcPr>
            <w:tcW w:w="934" w:type="dxa"/>
            <w:vAlign w:val="center"/>
          </w:tcPr>
          <w:p w:rsidR="00CD2A5A" w:rsidRDefault="00CD2A5A">
            <w:pPr>
              <w:autoSpaceDE w:val="0"/>
              <w:autoSpaceDN w:val="0"/>
              <w:adjustRightInd w:val="0"/>
              <w:spacing w:before="40" w:after="40"/>
              <w:rPr>
                <w:sz w:val="20"/>
                <w:szCs w:val="20"/>
              </w:rPr>
            </w:pPr>
            <w:r>
              <w:rPr>
                <w:sz w:val="20"/>
                <w:szCs w:val="20"/>
              </w:rPr>
              <w:t>16,3%</w:t>
            </w:r>
          </w:p>
        </w:tc>
      </w:tr>
    </w:tbl>
    <w:p w:rsidR="00CD2A5A" w:rsidRDefault="00CD2A5A">
      <w:pPr>
        <w:autoSpaceDE w:val="0"/>
        <w:autoSpaceDN w:val="0"/>
        <w:adjustRightInd w:val="0"/>
        <w:spacing w:after="240"/>
      </w:pPr>
    </w:p>
    <w:p w:rsidR="00CD2A5A" w:rsidRDefault="00CD2A5A">
      <w:pPr>
        <w:numPr>
          <w:ilvl w:val="0"/>
          <w:numId w:val="33"/>
        </w:numPr>
        <w:tabs>
          <w:tab w:val="clear" w:pos="567"/>
        </w:tabs>
        <w:autoSpaceDE w:val="0"/>
        <w:autoSpaceDN w:val="0"/>
        <w:adjustRightInd w:val="0"/>
        <w:spacing w:after="240"/>
      </w:pPr>
      <w:r>
        <w:t>Partiendo de un 32,6% a nivel nacional en 1991 y considerando la tendencia hacia la baja reflejada en el 15,9% para el año de 2005; La meta proyectada a nivel nacional para el año 2015 (16,3) ya ha sido cumplida.</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94"/>
        <w:gridCol w:w="7830"/>
        <w:gridCol w:w="1088"/>
      </w:tblGrid>
      <w:tr w:rsidR="00CD2A5A">
        <w:trPr>
          <w:cantSplit/>
          <w:jc w:val="center"/>
        </w:trPr>
        <w:tc>
          <w:tcPr>
            <w:tcW w:w="476" w:type="dxa"/>
            <w:vMerge w:val="restart"/>
            <w:vAlign w:val="center"/>
          </w:tcPr>
          <w:p w:rsidR="00CD2A5A" w:rsidRDefault="00CD2A5A">
            <w:pPr>
              <w:autoSpaceDE w:val="0"/>
              <w:autoSpaceDN w:val="0"/>
              <w:adjustRightInd w:val="0"/>
              <w:spacing w:before="40" w:after="40"/>
              <w:rPr>
                <w:sz w:val="20"/>
                <w:szCs w:val="20"/>
              </w:rPr>
            </w:pPr>
            <w:r>
              <w:rPr>
                <w:sz w:val="20"/>
                <w:szCs w:val="20"/>
              </w:rPr>
              <w:t>2</w:t>
            </w:r>
          </w:p>
        </w:tc>
        <w:tc>
          <w:tcPr>
            <w:tcW w:w="8605" w:type="dxa"/>
            <w:gridSpan w:val="2"/>
            <w:vAlign w:val="center"/>
          </w:tcPr>
          <w:p w:rsidR="00CD2A5A" w:rsidRDefault="00CD2A5A">
            <w:pPr>
              <w:autoSpaceDE w:val="0"/>
              <w:autoSpaceDN w:val="0"/>
              <w:adjustRightInd w:val="0"/>
              <w:spacing w:before="40" w:after="40"/>
              <w:rPr>
                <w:sz w:val="20"/>
                <w:szCs w:val="20"/>
              </w:rPr>
            </w:pPr>
            <w:r>
              <w:rPr>
                <w:sz w:val="20"/>
                <w:szCs w:val="20"/>
              </w:rPr>
              <w:t xml:space="preserve">Incidencia de la </w:t>
            </w:r>
            <w:r>
              <w:rPr>
                <w:sz w:val="20"/>
                <w:szCs w:val="20"/>
                <w:u w:val="single"/>
              </w:rPr>
              <w:t>pobreza extrema o crítica</w:t>
            </w:r>
            <w:r>
              <w:rPr>
                <w:sz w:val="20"/>
                <w:szCs w:val="20"/>
              </w:rPr>
              <w:t xml:space="preserve"> - como el porcentaje de hogares cuyos ingresos no son suficientes para satisfacer los costos de la canasta básica de alimentos -   </w:t>
            </w:r>
          </w:p>
        </w:tc>
      </w:tr>
      <w:tr w:rsidR="00CD2A5A">
        <w:trPr>
          <w:cantSplit/>
          <w:jc w:val="center"/>
        </w:trPr>
        <w:tc>
          <w:tcPr>
            <w:tcW w:w="476" w:type="dxa"/>
            <w:vMerge/>
            <w:vAlign w:val="center"/>
          </w:tcPr>
          <w:p w:rsidR="00CD2A5A" w:rsidRDefault="00CD2A5A">
            <w:pPr>
              <w:autoSpaceDE w:val="0"/>
              <w:autoSpaceDN w:val="0"/>
              <w:adjustRightInd w:val="0"/>
              <w:spacing w:before="40" w:after="40"/>
              <w:rPr>
                <w:sz w:val="20"/>
                <w:szCs w:val="20"/>
              </w:rPr>
            </w:pPr>
          </w:p>
        </w:tc>
        <w:tc>
          <w:tcPr>
            <w:tcW w:w="7555" w:type="dxa"/>
            <w:vAlign w:val="center"/>
          </w:tcPr>
          <w:p w:rsidR="00CD2A5A" w:rsidRDefault="00CD2A5A">
            <w:pPr>
              <w:keepNext/>
              <w:autoSpaceDE w:val="0"/>
              <w:autoSpaceDN w:val="0"/>
              <w:adjustRightInd w:val="0"/>
              <w:spacing w:before="40" w:after="40"/>
              <w:rPr>
                <w:sz w:val="20"/>
                <w:szCs w:val="20"/>
              </w:rPr>
            </w:pPr>
            <w:r>
              <w:rPr>
                <w:sz w:val="20"/>
                <w:szCs w:val="20"/>
              </w:rPr>
              <w:t>META:  Reducir a la mitad (2015) (ODM 1)</w:t>
            </w:r>
          </w:p>
        </w:tc>
        <w:tc>
          <w:tcPr>
            <w:tcW w:w="1050" w:type="dxa"/>
            <w:vAlign w:val="center"/>
          </w:tcPr>
          <w:p w:rsidR="00CD2A5A" w:rsidRDefault="00CD2A5A">
            <w:pPr>
              <w:autoSpaceDE w:val="0"/>
              <w:autoSpaceDN w:val="0"/>
              <w:adjustRightInd w:val="0"/>
              <w:spacing w:before="40" w:after="40"/>
              <w:rPr>
                <w:sz w:val="20"/>
                <w:szCs w:val="20"/>
              </w:rPr>
            </w:pPr>
            <w:r>
              <w:rPr>
                <w:sz w:val="20"/>
                <w:szCs w:val="20"/>
              </w:rPr>
              <w:t>15,3 %</w:t>
            </w:r>
          </w:p>
        </w:tc>
      </w:tr>
    </w:tbl>
    <w:p w:rsidR="00CD2A5A" w:rsidRDefault="00CD2A5A">
      <w:pPr>
        <w:autoSpaceDE w:val="0"/>
        <w:autoSpaceDN w:val="0"/>
        <w:adjustRightInd w:val="0"/>
        <w:spacing w:after="240"/>
      </w:pPr>
    </w:p>
    <w:p w:rsidR="00CD2A5A" w:rsidRDefault="00CD2A5A">
      <w:pPr>
        <w:numPr>
          <w:ilvl w:val="0"/>
          <w:numId w:val="33"/>
        </w:numPr>
        <w:tabs>
          <w:tab w:val="clear" w:pos="567"/>
        </w:tabs>
        <w:autoSpaceDE w:val="0"/>
        <w:autoSpaceDN w:val="0"/>
        <w:adjustRightInd w:val="0"/>
        <w:spacing w:after="240"/>
      </w:pPr>
      <w:r>
        <w:t>El 28,2% de pobreza extrema a nivel nacional en 1991 ha sido reducido en 15,9 puntos a 12.3%</w:t>
      </w:r>
      <w:r>
        <w:rPr>
          <w:rStyle w:val="FootnoteReference"/>
          <w:b w:val="0"/>
        </w:rPr>
        <w:footnoteReference w:id="84"/>
      </w:r>
      <w:r>
        <w:t xml:space="preserve"> para el 2005; la meta proyectada para 2015 (15.3%) ya ha sido cumplida.</w:t>
      </w:r>
      <w:r>
        <w:rPr>
          <w:rStyle w:val="FootnoteReference"/>
        </w:rPr>
        <w:footnoteReference w:id="85"/>
      </w:r>
      <w:r>
        <w:t xml:space="preserve">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6"/>
        <w:gridCol w:w="7946"/>
        <w:gridCol w:w="980"/>
      </w:tblGrid>
      <w:tr w:rsidR="00CD2A5A">
        <w:trPr>
          <w:cantSplit/>
          <w:jc w:val="center"/>
        </w:trPr>
        <w:tc>
          <w:tcPr>
            <w:tcW w:w="470"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5" w:type="dxa"/>
            <w:gridSpan w:val="2"/>
            <w:vAlign w:val="center"/>
          </w:tcPr>
          <w:p w:rsidR="00CD2A5A" w:rsidRDefault="00CD2A5A">
            <w:pPr>
              <w:autoSpaceDE w:val="0"/>
              <w:autoSpaceDN w:val="0"/>
              <w:adjustRightInd w:val="0"/>
              <w:spacing w:before="40" w:after="40"/>
              <w:rPr>
                <w:sz w:val="20"/>
                <w:szCs w:val="20"/>
              </w:rPr>
            </w:pPr>
            <w:r>
              <w:rPr>
                <w:sz w:val="20"/>
                <w:szCs w:val="20"/>
              </w:rPr>
              <w:t xml:space="preserve">Incidencia de la </w:t>
            </w:r>
            <w:r>
              <w:rPr>
                <w:sz w:val="20"/>
                <w:szCs w:val="20"/>
                <w:u w:val="single"/>
              </w:rPr>
              <w:t>pobreza relativa</w:t>
            </w:r>
            <w:r>
              <w:rPr>
                <w:sz w:val="20"/>
                <w:szCs w:val="20"/>
              </w:rPr>
              <w:t xml:space="preserve">- como el porcentaje de hogares cuyos ingresos son suficientes para cubrir la Canasta Básica Alimentaria no así para satisfacer los costos de la canasta básica ampliada -                                                                      </w:t>
            </w:r>
          </w:p>
        </w:tc>
      </w:tr>
      <w:tr w:rsidR="00CD2A5A">
        <w:trPr>
          <w:cantSplit/>
          <w:jc w:val="center"/>
        </w:trPr>
        <w:tc>
          <w:tcPr>
            <w:tcW w:w="470" w:type="dxa"/>
            <w:vMerge/>
            <w:vAlign w:val="center"/>
          </w:tcPr>
          <w:p w:rsidR="00CD2A5A" w:rsidRDefault="00CD2A5A">
            <w:pPr>
              <w:autoSpaceDE w:val="0"/>
              <w:autoSpaceDN w:val="0"/>
              <w:adjustRightInd w:val="0"/>
              <w:spacing w:before="40" w:after="40"/>
              <w:rPr>
                <w:sz w:val="20"/>
                <w:szCs w:val="20"/>
              </w:rPr>
            </w:pPr>
          </w:p>
        </w:tc>
        <w:tc>
          <w:tcPr>
            <w:tcW w:w="7678" w:type="dxa"/>
            <w:vAlign w:val="center"/>
          </w:tcPr>
          <w:p w:rsidR="00CD2A5A" w:rsidRDefault="00CD2A5A">
            <w:pPr>
              <w:keepNext/>
              <w:autoSpaceDE w:val="0"/>
              <w:autoSpaceDN w:val="0"/>
              <w:adjustRightInd w:val="0"/>
              <w:spacing w:before="40" w:after="40"/>
              <w:rPr>
                <w:sz w:val="20"/>
                <w:szCs w:val="20"/>
              </w:rPr>
            </w:pPr>
            <w:r>
              <w:rPr>
                <w:sz w:val="20"/>
                <w:szCs w:val="20"/>
              </w:rPr>
              <w:t>META:  Reducir a la mitad (2015) (ODM 1)</w:t>
            </w:r>
          </w:p>
        </w:tc>
        <w:tc>
          <w:tcPr>
            <w:tcW w:w="947" w:type="dxa"/>
            <w:vAlign w:val="center"/>
          </w:tcPr>
          <w:p w:rsidR="00CD2A5A" w:rsidRDefault="00CD2A5A">
            <w:pPr>
              <w:autoSpaceDE w:val="0"/>
              <w:autoSpaceDN w:val="0"/>
              <w:adjustRightInd w:val="0"/>
              <w:spacing w:before="40" w:after="40"/>
              <w:rPr>
                <w:sz w:val="20"/>
                <w:szCs w:val="20"/>
              </w:rPr>
            </w:pPr>
            <w:r>
              <w:rPr>
                <w:sz w:val="20"/>
                <w:szCs w:val="20"/>
              </w:rPr>
              <w:t>17,8%</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pPr>
      <w:r>
        <w:t>El 31,5% de pobreza relativa a nivel nacional en 1991 ha sido reducido en 8,7 puntos para el 2005 (22,82%); esto significa un promedio de reducción anual de – 0,61 puntos de porcentaje. Asumiendo la sostenibilidad de este ritmo general para los 10 años siguientes sería razonable proyectar la superación de la meta 2015 con un 16% de pobreza relativa a nivel nacional.</w:t>
      </w:r>
      <w:r>
        <w:rPr>
          <w:rStyle w:val="FootnoteReference"/>
        </w:rPr>
        <w:footnoteReference w:id="86"/>
      </w:r>
    </w:p>
    <w:p w:rsidR="00CD2A5A" w:rsidRDefault="00CD2A5A">
      <w:pPr>
        <w:numPr>
          <w:ilvl w:val="0"/>
          <w:numId w:val="33"/>
        </w:numPr>
        <w:tabs>
          <w:tab w:val="clear" w:pos="567"/>
        </w:tabs>
        <w:autoSpaceDE w:val="0"/>
        <w:autoSpaceDN w:val="0"/>
        <w:adjustRightInd w:val="0"/>
        <w:rPr>
          <w:sz w:val="16"/>
          <w:szCs w:val="16"/>
        </w:rPr>
      </w:pPr>
      <w:r>
        <w:t xml:space="preserve">Sin embargo, el proceso de reducción experimentado entre 1990 y 2005 no ha sido homogéneo ni siempre sostenido. Mientras en el primer quinquenio (1990–1995) se logró un promedio de – 0,5 puntos de porcentaje al año, y en el segundo quinquenio (1995–2000) el promedio ascendió sustancialmente a – 1,4 puntos al año, en cambio en el tercer quinquenio (2000–2005) la incidencia de la pobreza relativa a nivel nacional se ha mantenido año 2000 (con 22.8%) y el año 2005 (con 22,8%).  A nivel nacional es viable alcanzar la meta 2015 si se acelera el ritmo de cambio de este indicador. </w:t>
      </w:r>
      <w:r>
        <w:br w:type="page"/>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17"/>
        <w:gridCol w:w="1008"/>
      </w:tblGrid>
      <w:tr w:rsidR="00CD2A5A">
        <w:trPr>
          <w:cantSplit/>
          <w:jc w:val="center"/>
        </w:trPr>
        <w:tc>
          <w:tcPr>
            <w:tcW w:w="471" w:type="dxa"/>
            <w:vMerge w:val="restart"/>
            <w:vAlign w:val="center"/>
          </w:tcPr>
          <w:p w:rsidR="00CD2A5A" w:rsidRDefault="00CD2A5A">
            <w:pPr>
              <w:keepNext/>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vAlign w:val="center"/>
          </w:tcPr>
          <w:p w:rsidR="00CD2A5A" w:rsidRDefault="00CD2A5A">
            <w:pPr>
              <w:keepNext/>
              <w:autoSpaceDE w:val="0"/>
              <w:autoSpaceDN w:val="0"/>
              <w:adjustRightInd w:val="0"/>
              <w:spacing w:before="40" w:after="40"/>
              <w:rPr>
                <w:sz w:val="20"/>
                <w:szCs w:val="20"/>
              </w:rPr>
            </w:pPr>
            <w:r>
              <w:rPr>
                <w:sz w:val="20"/>
                <w:szCs w:val="20"/>
                <w:u w:val="single"/>
              </w:rPr>
              <w:t>Tasa de desnutrición global</w:t>
            </w:r>
            <w:r>
              <w:rPr>
                <w:sz w:val="20"/>
                <w:szCs w:val="20"/>
              </w:rPr>
              <w:t xml:space="preserve"> – severa y moderada – como la proporción de niños y niñas </w:t>
            </w:r>
            <w:r>
              <w:rPr>
                <w:sz w:val="20"/>
                <w:szCs w:val="20"/>
                <w:u w:val="single"/>
              </w:rPr>
              <w:t>de 3 a 59 meses</w:t>
            </w:r>
            <w:r>
              <w:rPr>
                <w:sz w:val="20"/>
                <w:szCs w:val="20"/>
              </w:rPr>
              <w:t xml:space="preserve"> de edad que caen bajo dos desviaciones estándar de la mediana de peso/edad. </w:t>
            </w:r>
          </w:p>
        </w:tc>
      </w:tr>
      <w:tr w:rsidR="00CD2A5A">
        <w:trPr>
          <w:cantSplit/>
          <w:jc w:val="center"/>
        </w:trPr>
        <w:tc>
          <w:tcPr>
            <w:tcW w:w="471" w:type="dxa"/>
            <w:vMerge/>
            <w:vAlign w:val="center"/>
          </w:tcPr>
          <w:p w:rsidR="00CD2A5A" w:rsidRDefault="00CD2A5A">
            <w:pPr>
              <w:keepNext/>
              <w:autoSpaceDE w:val="0"/>
              <w:autoSpaceDN w:val="0"/>
              <w:adjustRightInd w:val="0"/>
              <w:spacing w:before="40" w:after="40"/>
              <w:rPr>
                <w:sz w:val="20"/>
                <w:szCs w:val="20"/>
              </w:rPr>
            </w:pPr>
          </w:p>
        </w:tc>
        <w:tc>
          <w:tcPr>
            <w:tcW w:w="7650" w:type="dxa"/>
            <w:vAlign w:val="center"/>
          </w:tcPr>
          <w:p w:rsidR="00CD2A5A" w:rsidRDefault="00CD2A5A">
            <w:pPr>
              <w:keepNext/>
              <w:autoSpaceDE w:val="0"/>
              <w:autoSpaceDN w:val="0"/>
              <w:adjustRightInd w:val="0"/>
              <w:spacing w:before="40" w:after="40"/>
              <w:rPr>
                <w:sz w:val="20"/>
                <w:szCs w:val="20"/>
              </w:rPr>
            </w:pPr>
            <w:r>
              <w:rPr>
                <w:sz w:val="20"/>
                <w:szCs w:val="20"/>
              </w:rPr>
              <w:t>META:  Reducir en un tercio (2010) (PA-MAN A, 1, 36 (c))</w:t>
            </w:r>
          </w:p>
        </w:tc>
        <w:tc>
          <w:tcPr>
            <w:tcW w:w="974" w:type="dxa"/>
            <w:vAlign w:val="center"/>
          </w:tcPr>
          <w:p w:rsidR="00CD2A5A" w:rsidRDefault="00CD2A5A">
            <w:pPr>
              <w:keepNext/>
              <w:autoSpaceDE w:val="0"/>
              <w:autoSpaceDN w:val="0"/>
              <w:adjustRightInd w:val="0"/>
              <w:spacing w:before="40" w:after="40"/>
              <w:rPr>
                <w:sz w:val="20"/>
                <w:szCs w:val="20"/>
              </w:rPr>
            </w:pPr>
            <w:r>
              <w:rPr>
                <w:sz w:val="20"/>
                <w:szCs w:val="20"/>
              </w:rPr>
              <w:t>7.5%</w:t>
            </w:r>
          </w:p>
        </w:tc>
      </w:tr>
      <w:tr w:rsidR="00CD2A5A">
        <w:trPr>
          <w:cantSplit/>
          <w:jc w:val="center"/>
        </w:trPr>
        <w:tc>
          <w:tcPr>
            <w:tcW w:w="471" w:type="dxa"/>
            <w:vMerge/>
            <w:vAlign w:val="center"/>
          </w:tcPr>
          <w:p w:rsidR="00CD2A5A" w:rsidRDefault="00CD2A5A">
            <w:pPr>
              <w:keepNext/>
              <w:autoSpaceDE w:val="0"/>
              <w:autoSpaceDN w:val="0"/>
              <w:adjustRightInd w:val="0"/>
              <w:spacing w:before="40" w:after="40"/>
              <w:rPr>
                <w:sz w:val="20"/>
                <w:szCs w:val="20"/>
              </w:rPr>
            </w:pPr>
          </w:p>
        </w:tc>
        <w:tc>
          <w:tcPr>
            <w:tcW w:w="7650" w:type="dxa"/>
            <w:vAlign w:val="center"/>
          </w:tcPr>
          <w:p w:rsidR="00CD2A5A" w:rsidRDefault="00CD2A5A">
            <w:pPr>
              <w:keepNext/>
              <w:autoSpaceDE w:val="0"/>
              <w:autoSpaceDN w:val="0"/>
              <w:adjustRightInd w:val="0"/>
              <w:spacing w:before="40" w:after="40"/>
              <w:rPr>
                <w:sz w:val="20"/>
                <w:szCs w:val="20"/>
              </w:rPr>
            </w:pPr>
            <w:r>
              <w:rPr>
                <w:sz w:val="20"/>
                <w:szCs w:val="20"/>
              </w:rPr>
              <w:t>META:  Reducir a la mitad (2015) (ODM 1)</w:t>
            </w:r>
            <w:r>
              <w:rPr>
                <w:rStyle w:val="FootnoteReference"/>
                <w:sz w:val="20"/>
                <w:szCs w:val="20"/>
              </w:rPr>
              <w:footnoteReference w:id="87"/>
            </w:r>
          </w:p>
        </w:tc>
        <w:tc>
          <w:tcPr>
            <w:tcW w:w="974" w:type="dxa"/>
            <w:vAlign w:val="center"/>
          </w:tcPr>
          <w:p w:rsidR="00CD2A5A" w:rsidRDefault="00CD2A5A">
            <w:pPr>
              <w:keepNext/>
              <w:autoSpaceDE w:val="0"/>
              <w:autoSpaceDN w:val="0"/>
              <w:adjustRightInd w:val="0"/>
              <w:spacing w:before="40" w:after="40"/>
              <w:rPr>
                <w:sz w:val="20"/>
                <w:szCs w:val="20"/>
              </w:rPr>
            </w:pPr>
            <w:r>
              <w:rPr>
                <w:sz w:val="20"/>
                <w:szCs w:val="20"/>
              </w:rPr>
              <w:t>5.6%</w:t>
            </w:r>
          </w:p>
        </w:tc>
      </w:tr>
    </w:tbl>
    <w:p w:rsidR="00CD2A5A" w:rsidRDefault="00CD2A5A">
      <w:pPr>
        <w:autoSpaceDE w:val="0"/>
        <w:autoSpaceDN w:val="0"/>
        <w:adjustRightInd w:val="0"/>
        <w:spacing w:after="240"/>
      </w:pPr>
    </w:p>
    <w:p w:rsidR="00CD2A5A" w:rsidRDefault="00CD2A5A">
      <w:pPr>
        <w:numPr>
          <w:ilvl w:val="0"/>
          <w:numId w:val="33"/>
        </w:numPr>
        <w:tabs>
          <w:tab w:val="clear" w:pos="567"/>
        </w:tabs>
        <w:autoSpaceDE w:val="0"/>
        <w:autoSpaceDN w:val="0"/>
        <w:adjustRightInd w:val="0"/>
        <w:spacing w:after="240"/>
      </w:pPr>
      <w:r>
        <w:t>La tasa de 11.2% en 1991</w:t>
      </w:r>
      <w:r>
        <w:rPr>
          <w:rStyle w:val="FootnoteReference"/>
          <w:b w:val="0"/>
        </w:rPr>
        <w:footnoteReference w:id="88"/>
      </w:r>
      <w:r>
        <w:t xml:space="preserve"> descendió a 10,3% en 2003</w:t>
      </w:r>
      <w:r>
        <w:rPr>
          <w:rStyle w:val="FootnoteReference"/>
          <w:b w:val="0"/>
        </w:rPr>
        <w:footnoteReference w:id="89"/>
      </w:r>
      <w:r>
        <w:t>; un decremento de 0,9 puntos en 10 años, a un ritmo promedio de 0,09 puntos al año. Sin embargo es importante mencionar que en el primer tramo (1990-1995) la tasa creció, y no fue hasta el segundo tramo, entre 1995</w:t>
      </w:r>
      <w:r>
        <w:rPr>
          <w:rStyle w:val="FootnoteReference"/>
          <w:b w:val="0"/>
        </w:rPr>
        <w:footnoteReference w:id="90"/>
      </w:r>
      <w:r>
        <w:t xml:space="preserve"> y 2000, que descendió con un promedio anual de 0,3 puntos al año. De mantenerse este ritmo más reciente es viable que el país cumpla las metas 2010 y 2015.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17"/>
        <w:gridCol w:w="1008"/>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vAlign w:val="center"/>
          </w:tcPr>
          <w:p w:rsidR="00CD2A5A" w:rsidRDefault="00CD2A5A">
            <w:pPr>
              <w:autoSpaceDE w:val="0"/>
              <w:autoSpaceDN w:val="0"/>
              <w:adjustRightInd w:val="0"/>
              <w:spacing w:before="40" w:after="40"/>
              <w:rPr>
                <w:sz w:val="20"/>
                <w:szCs w:val="20"/>
              </w:rPr>
            </w:pPr>
            <w:r>
              <w:rPr>
                <w:sz w:val="20"/>
                <w:szCs w:val="20"/>
              </w:rPr>
              <w:t xml:space="preserve">Tasa de </w:t>
            </w:r>
            <w:r>
              <w:rPr>
                <w:sz w:val="20"/>
                <w:szCs w:val="20"/>
                <w:u w:val="single"/>
              </w:rPr>
              <w:t>bajo peso al nacer</w:t>
            </w:r>
            <w:r>
              <w:rPr>
                <w:sz w:val="20"/>
                <w:szCs w:val="20"/>
              </w:rPr>
              <w:t xml:space="preserve"> – como la proporción de niños y niñas nacidos vivos que pesaron por debajo de 2.5 Kgs. o 5.5 libras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0" w:type="dxa"/>
            <w:vAlign w:val="center"/>
          </w:tcPr>
          <w:p w:rsidR="00CD2A5A" w:rsidRDefault="00CD2A5A">
            <w:pPr>
              <w:keepNext/>
              <w:autoSpaceDE w:val="0"/>
              <w:autoSpaceDN w:val="0"/>
              <w:adjustRightInd w:val="0"/>
              <w:spacing w:before="40" w:after="40"/>
              <w:rPr>
                <w:sz w:val="20"/>
                <w:szCs w:val="20"/>
              </w:rPr>
            </w:pPr>
            <w:r>
              <w:rPr>
                <w:sz w:val="20"/>
                <w:szCs w:val="20"/>
              </w:rPr>
              <w:t>META: Reducir al menos en un tercio (2010) (PA-MAN A, 1, 36 (c))</w:t>
            </w:r>
          </w:p>
        </w:tc>
        <w:tc>
          <w:tcPr>
            <w:tcW w:w="974" w:type="dxa"/>
            <w:vAlign w:val="center"/>
          </w:tcPr>
          <w:p w:rsidR="00CD2A5A" w:rsidRDefault="00CD2A5A">
            <w:pPr>
              <w:autoSpaceDE w:val="0"/>
              <w:autoSpaceDN w:val="0"/>
              <w:adjustRightInd w:val="0"/>
              <w:spacing w:before="40" w:after="40"/>
              <w:rPr>
                <w:sz w:val="20"/>
                <w:szCs w:val="20"/>
              </w:rPr>
            </w:pPr>
            <w:r>
              <w:rPr>
                <w:sz w:val="20"/>
                <w:szCs w:val="20"/>
              </w:rPr>
              <w:t>5.5%</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0" w:type="dxa"/>
            <w:vAlign w:val="center"/>
          </w:tcPr>
          <w:p w:rsidR="00CD2A5A" w:rsidRDefault="00CD2A5A">
            <w:pPr>
              <w:keepNext/>
              <w:autoSpaceDE w:val="0"/>
              <w:autoSpaceDN w:val="0"/>
              <w:adjustRightInd w:val="0"/>
              <w:spacing w:before="40" w:after="40"/>
              <w:rPr>
                <w:sz w:val="20"/>
                <w:szCs w:val="20"/>
              </w:rPr>
            </w:pPr>
            <w:r>
              <w:rPr>
                <w:sz w:val="20"/>
                <w:szCs w:val="20"/>
              </w:rPr>
              <w:t>META:  Reducir a la mitad (2015) (ODM 1)</w:t>
            </w:r>
            <w:r>
              <w:rPr>
                <w:rStyle w:val="FootnoteReference"/>
                <w:sz w:val="20"/>
                <w:szCs w:val="20"/>
              </w:rPr>
              <w:footnoteReference w:id="91"/>
            </w:r>
          </w:p>
        </w:tc>
        <w:tc>
          <w:tcPr>
            <w:tcW w:w="974" w:type="dxa"/>
            <w:vAlign w:val="center"/>
          </w:tcPr>
          <w:p w:rsidR="00CD2A5A" w:rsidRDefault="00CD2A5A">
            <w:pPr>
              <w:autoSpaceDE w:val="0"/>
              <w:autoSpaceDN w:val="0"/>
              <w:adjustRightInd w:val="0"/>
              <w:spacing w:before="40" w:after="40"/>
              <w:rPr>
                <w:sz w:val="20"/>
                <w:szCs w:val="20"/>
              </w:rPr>
            </w:pPr>
            <w:r>
              <w:rPr>
                <w:sz w:val="20"/>
                <w:szCs w:val="20"/>
              </w:rPr>
              <w:t>4.1%</w:t>
            </w:r>
          </w:p>
        </w:tc>
      </w:tr>
    </w:tbl>
    <w:p w:rsidR="00CD2A5A" w:rsidRDefault="00CD2A5A">
      <w:pPr>
        <w:autoSpaceDE w:val="0"/>
        <w:autoSpaceDN w:val="0"/>
        <w:adjustRightInd w:val="0"/>
        <w:spacing w:after="240"/>
      </w:pPr>
    </w:p>
    <w:p w:rsidR="00CD2A5A" w:rsidRDefault="00CD2A5A">
      <w:pPr>
        <w:keepNext/>
        <w:numPr>
          <w:ilvl w:val="0"/>
          <w:numId w:val="33"/>
        </w:numPr>
        <w:tabs>
          <w:tab w:val="clear" w:pos="567"/>
        </w:tabs>
        <w:spacing w:after="240"/>
      </w:pPr>
      <w:r>
        <w:t>Este indicador muestra una tendencia general no sostenida: 8,2% para el período 1988-1993 (1990), asciende a 12,3% para el período 1993-1998 (1995) y desciende a 9,4% para el período 1993-2002. Si se mantiene una tendencia descendente pronunciada, es probable plantear el cumplimiento de la meta tanto para 2010 como para 2015.</w:t>
      </w:r>
      <w:r>
        <w:rPr>
          <w:rStyle w:val="FootnoteReference"/>
          <w:b w:val="0"/>
        </w:rPr>
        <w:footnoteReference w:id="92"/>
      </w:r>
    </w:p>
    <w:p w:rsidR="00CD2A5A" w:rsidRDefault="00CD2A5A" w:rsidP="006228EF">
      <w:pPr>
        <w:pStyle w:val="A0"/>
      </w:pPr>
      <w:r>
        <w:t>B.  Objetivo: Reducir la mortalidad infantil (ODM 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2"/>
        <w:gridCol w:w="1003"/>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vAlign w:val="center"/>
          </w:tcPr>
          <w:p w:rsidR="00CD2A5A" w:rsidRDefault="00CD2A5A">
            <w:pPr>
              <w:autoSpaceDE w:val="0"/>
              <w:autoSpaceDN w:val="0"/>
              <w:adjustRightInd w:val="0"/>
              <w:spacing w:before="40" w:after="40"/>
              <w:rPr>
                <w:sz w:val="20"/>
                <w:szCs w:val="20"/>
              </w:rPr>
            </w:pPr>
            <w:r>
              <w:rPr>
                <w:sz w:val="20"/>
                <w:szCs w:val="20"/>
              </w:rPr>
              <w:t xml:space="preserve">Tasa de </w:t>
            </w:r>
            <w:r>
              <w:rPr>
                <w:sz w:val="20"/>
                <w:szCs w:val="20"/>
                <w:u w:val="single"/>
              </w:rPr>
              <w:t>mortalidad infantil</w:t>
            </w:r>
            <w:r>
              <w:rPr>
                <w:sz w:val="20"/>
                <w:szCs w:val="20"/>
              </w:rPr>
              <w:t xml:space="preserve"> (0 a 11 meses) – como el número de defunciones de niños y niñas menores de 1 año de edad por 1000 nacidos vivos –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5" w:type="dxa"/>
            <w:vAlign w:val="center"/>
          </w:tcPr>
          <w:p w:rsidR="00CD2A5A" w:rsidRDefault="00CD2A5A">
            <w:pPr>
              <w:keepNext/>
              <w:autoSpaceDE w:val="0"/>
              <w:autoSpaceDN w:val="0"/>
              <w:adjustRightInd w:val="0"/>
              <w:spacing w:before="40" w:after="40"/>
              <w:rPr>
                <w:sz w:val="20"/>
                <w:szCs w:val="20"/>
              </w:rPr>
            </w:pPr>
            <w:r>
              <w:rPr>
                <w:sz w:val="20"/>
                <w:szCs w:val="20"/>
              </w:rPr>
              <w:t>META: Reducirla en un tercio (2010) (PA-MAN A, 1, 36 (a))</w:t>
            </w:r>
          </w:p>
        </w:tc>
        <w:tc>
          <w:tcPr>
            <w:tcW w:w="969" w:type="dxa"/>
            <w:vAlign w:val="center"/>
          </w:tcPr>
          <w:p w:rsidR="00CD2A5A" w:rsidRDefault="00CD2A5A">
            <w:pPr>
              <w:autoSpaceDE w:val="0"/>
              <w:autoSpaceDN w:val="0"/>
              <w:adjustRightInd w:val="0"/>
              <w:spacing w:before="40" w:after="40"/>
              <w:rPr>
                <w:sz w:val="20"/>
                <w:szCs w:val="20"/>
              </w:rPr>
            </w:pPr>
            <w:r>
              <w:rPr>
                <w:sz w:val="20"/>
                <w:szCs w:val="20"/>
              </w:rPr>
              <w:t>27.3</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5" w:type="dxa"/>
            <w:vAlign w:val="center"/>
          </w:tcPr>
          <w:p w:rsidR="00CD2A5A" w:rsidRDefault="00CD2A5A">
            <w:pPr>
              <w:keepNext/>
              <w:autoSpaceDE w:val="0"/>
              <w:autoSpaceDN w:val="0"/>
              <w:adjustRightInd w:val="0"/>
              <w:spacing w:before="40" w:after="40"/>
              <w:rPr>
                <w:sz w:val="20"/>
                <w:szCs w:val="20"/>
              </w:rPr>
            </w:pPr>
            <w:r>
              <w:rPr>
                <w:sz w:val="20"/>
                <w:szCs w:val="20"/>
              </w:rPr>
              <w:t>META:  Reducirla en dos tercios (2015) (ODM 4)</w:t>
            </w:r>
          </w:p>
        </w:tc>
        <w:tc>
          <w:tcPr>
            <w:tcW w:w="969" w:type="dxa"/>
            <w:vAlign w:val="center"/>
          </w:tcPr>
          <w:p w:rsidR="00CD2A5A" w:rsidRDefault="00CD2A5A">
            <w:pPr>
              <w:autoSpaceDE w:val="0"/>
              <w:autoSpaceDN w:val="0"/>
              <w:adjustRightInd w:val="0"/>
              <w:spacing w:before="40" w:after="40"/>
              <w:rPr>
                <w:sz w:val="20"/>
                <w:szCs w:val="20"/>
              </w:rPr>
            </w:pPr>
            <w:r>
              <w:rPr>
                <w:sz w:val="20"/>
                <w:szCs w:val="20"/>
              </w:rPr>
              <w:t>13.7</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rPr>
          <w:bCs/>
        </w:rPr>
      </w:pPr>
      <w:r>
        <w:rPr>
          <w:bCs/>
        </w:rPr>
        <w:t xml:space="preserve">La meta 2010 de mortalidad infantil (27,3) ya fue alcanzada y superada durante el período 1998-2002, a nivel nacional, con una tasa de 24. </w:t>
      </w:r>
    </w:p>
    <w:p w:rsidR="00CD2A5A" w:rsidRDefault="00CD2A5A">
      <w:pPr>
        <w:numPr>
          <w:ilvl w:val="0"/>
          <w:numId w:val="33"/>
        </w:numPr>
        <w:tabs>
          <w:tab w:val="clear" w:pos="567"/>
        </w:tabs>
        <w:autoSpaceDE w:val="0"/>
        <w:autoSpaceDN w:val="0"/>
        <w:adjustRightInd w:val="0"/>
        <w:spacing w:after="240"/>
      </w:pPr>
      <w:r>
        <w:t xml:space="preserve">Para el año 2006 el Ministerio de Salud Pública reporta una tasa incluso más reducida de 12,75 por mil nacidos vivos. En este sentido la meta de reducir en dos tercios este indicador también ya ha sido cumplida y superada por el país, por lo que </w:t>
      </w:r>
      <w:r>
        <w:rPr>
          <w:lang w:val="es-ES_tradnl"/>
        </w:rPr>
        <w:t>por lo que es razonable proyectar el mantener cumplida la meta hasta el año 2015</w:t>
      </w:r>
      <w:r>
        <w:t>.</w:t>
      </w:r>
    </w:p>
    <w:p w:rsidR="00CD2A5A" w:rsidRDefault="00CD2A5A">
      <w:pPr>
        <w:autoSpaceDE w:val="0"/>
        <w:autoSpaceDN w:val="0"/>
        <w:adjustRightInd w:val="0"/>
        <w:spacing w:after="240"/>
      </w:pP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939"/>
        <w:gridCol w:w="985"/>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vAlign w:val="center"/>
          </w:tcPr>
          <w:p w:rsidR="00CD2A5A" w:rsidRDefault="00CD2A5A">
            <w:pPr>
              <w:keepNext/>
              <w:autoSpaceDE w:val="0"/>
              <w:autoSpaceDN w:val="0"/>
              <w:adjustRightInd w:val="0"/>
              <w:spacing w:before="40" w:after="40"/>
              <w:rPr>
                <w:sz w:val="20"/>
                <w:szCs w:val="20"/>
              </w:rPr>
            </w:pPr>
            <w:r>
              <w:rPr>
                <w:sz w:val="20"/>
                <w:szCs w:val="20"/>
              </w:rPr>
              <w:t xml:space="preserve">Tasa de </w:t>
            </w:r>
            <w:r>
              <w:rPr>
                <w:sz w:val="20"/>
                <w:szCs w:val="20"/>
                <w:u w:val="single"/>
              </w:rPr>
              <w:t>mortalidad en la niñez</w:t>
            </w:r>
            <w:r>
              <w:rPr>
                <w:sz w:val="20"/>
                <w:szCs w:val="20"/>
              </w:rPr>
              <w:t xml:space="preserve"> (1-4) – como el número de defunciones de niños y niñas de 1 a 4 años cumplidos por 1000 nacidos vivos –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2" w:type="dxa"/>
            <w:vAlign w:val="center"/>
          </w:tcPr>
          <w:p w:rsidR="00CD2A5A" w:rsidRDefault="00CD2A5A">
            <w:pPr>
              <w:keepNext/>
              <w:autoSpaceDE w:val="0"/>
              <w:autoSpaceDN w:val="0"/>
              <w:adjustRightInd w:val="0"/>
              <w:spacing w:before="40" w:after="40"/>
              <w:rPr>
                <w:sz w:val="20"/>
                <w:szCs w:val="20"/>
              </w:rPr>
            </w:pPr>
            <w:r>
              <w:rPr>
                <w:sz w:val="20"/>
                <w:szCs w:val="20"/>
              </w:rPr>
              <w:t>META: Reducirla en un tercio (2010) (PA-MAN A, 1, 36 (a))</w:t>
            </w:r>
          </w:p>
        </w:tc>
        <w:tc>
          <w:tcPr>
            <w:tcW w:w="952" w:type="dxa"/>
            <w:vAlign w:val="center"/>
          </w:tcPr>
          <w:p w:rsidR="00CD2A5A" w:rsidRDefault="00CD2A5A">
            <w:pPr>
              <w:keepNext/>
              <w:autoSpaceDE w:val="0"/>
              <w:autoSpaceDN w:val="0"/>
              <w:adjustRightInd w:val="0"/>
              <w:spacing w:before="40" w:after="40"/>
              <w:rPr>
                <w:sz w:val="20"/>
                <w:szCs w:val="20"/>
              </w:rPr>
            </w:pPr>
            <w:r>
              <w:rPr>
                <w:sz w:val="20"/>
                <w:szCs w:val="20"/>
              </w:rPr>
              <w:t>8</w:t>
            </w:r>
          </w:p>
        </w:tc>
      </w:tr>
      <w:tr w:rsidR="00CD2A5A">
        <w:trPr>
          <w:cantSplit/>
          <w:jc w:val="center"/>
        </w:trPr>
        <w:tc>
          <w:tcPr>
            <w:tcW w:w="471" w:type="dxa"/>
            <w:vMerge/>
            <w:vAlign w:val="center"/>
          </w:tcPr>
          <w:p w:rsidR="00CD2A5A" w:rsidRDefault="00CD2A5A">
            <w:pPr>
              <w:keepNext/>
              <w:autoSpaceDE w:val="0"/>
              <w:autoSpaceDN w:val="0"/>
              <w:adjustRightInd w:val="0"/>
              <w:spacing w:before="40" w:after="40"/>
              <w:rPr>
                <w:sz w:val="20"/>
                <w:szCs w:val="20"/>
              </w:rPr>
            </w:pPr>
          </w:p>
        </w:tc>
        <w:tc>
          <w:tcPr>
            <w:tcW w:w="7672" w:type="dxa"/>
            <w:vAlign w:val="center"/>
          </w:tcPr>
          <w:p w:rsidR="00CD2A5A" w:rsidRDefault="00CD2A5A">
            <w:pPr>
              <w:keepNext/>
              <w:autoSpaceDE w:val="0"/>
              <w:autoSpaceDN w:val="0"/>
              <w:adjustRightInd w:val="0"/>
              <w:spacing w:before="40" w:after="40"/>
              <w:rPr>
                <w:sz w:val="20"/>
                <w:szCs w:val="20"/>
              </w:rPr>
            </w:pPr>
            <w:r>
              <w:rPr>
                <w:sz w:val="20"/>
                <w:szCs w:val="20"/>
              </w:rPr>
              <w:t>META:  Reducirla en dos tercios (2015) (ODM 4)</w:t>
            </w:r>
          </w:p>
        </w:tc>
        <w:tc>
          <w:tcPr>
            <w:tcW w:w="952" w:type="dxa"/>
            <w:vAlign w:val="center"/>
          </w:tcPr>
          <w:p w:rsidR="00CD2A5A" w:rsidRDefault="00CD2A5A">
            <w:pPr>
              <w:keepNext/>
              <w:autoSpaceDE w:val="0"/>
              <w:autoSpaceDN w:val="0"/>
              <w:adjustRightInd w:val="0"/>
              <w:spacing w:before="40" w:after="40"/>
              <w:rPr>
                <w:sz w:val="20"/>
                <w:szCs w:val="20"/>
              </w:rPr>
            </w:pPr>
            <w:r>
              <w:rPr>
                <w:sz w:val="20"/>
                <w:szCs w:val="20"/>
              </w:rPr>
              <w:t>4</w:t>
            </w:r>
          </w:p>
        </w:tc>
      </w:tr>
    </w:tbl>
    <w:p w:rsidR="00CD2A5A" w:rsidRDefault="00CD2A5A">
      <w:pPr>
        <w:keepNext/>
        <w:autoSpaceDE w:val="0"/>
        <w:autoSpaceDN w:val="0"/>
        <w:adjustRightInd w:val="0"/>
        <w:spacing w:after="240"/>
      </w:pPr>
    </w:p>
    <w:p w:rsidR="00CD2A5A" w:rsidRDefault="00CD2A5A">
      <w:pPr>
        <w:numPr>
          <w:ilvl w:val="0"/>
          <w:numId w:val="33"/>
        </w:numPr>
        <w:tabs>
          <w:tab w:val="clear" w:pos="567"/>
        </w:tabs>
        <w:spacing w:after="240"/>
        <w:rPr>
          <w:bCs/>
        </w:rPr>
      </w:pPr>
      <w:r>
        <w:rPr>
          <w:bCs/>
        </w:rPr>
        <w:t xml:space="preserve">La meta 2010 de mortalidad en la niñez (8) ya fue alcanzada y superada durante el período 1998-2002,  a nivel nacional, con tasa 6. </w:t>
      </w:r>
    </w:p>
    <w:p w:rsidR="00CD2A5A" w:rsidRDefault="00CD2A5A">
      <w:pPr>
        <w:numPr>
          <w:ilvl w:val="0"/>
          <w:numId w:val="33"/>
        </w:numPr>
        <w:tabs>
          <w:tab w:val="clear" w:pos="567"/>
        </w:tabs>
        <w:spacing w:after="240"/>
      </w:pPr>
      <w:r>
        <w:t>De similar manera es muy probable proyectar el cumplimiento de la meta 2015.</w:t>
      </w:r>
    </w:p>
    <w:p w:rsidR="00CD2A5A" w:rsidRDefault="00CD2A5A" w:rsidP="006228EF">
      <w:pPr>
        <w:pStyle w:val="A0"/>
      </w:pPr>
      <w:r>
        <w:t>3.  Objetivo: Mejorar la salud materna (ODM 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6"/>
        <w:gridCol w:w="7916"/>
        <w:gridCol w:w="1010"/>
      </w:tblGrid>
      <w:tr w:rsidR="00CD2A5A">
        <w:trPr>
          <w:cantSplit/>
          <w:jc w:val="center"/>
        </w:trPr>
        <w:tc>
          <w:tcPr>
            <w:tcW w:w="470"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5" w:type="dxa"/>
            <w:gridSpan w:val="2"/>
            <w:vAlign w:val="center"/>
          </w:tcPr>
          <w:p w:rsidR="00CD2A5A" w:rsidRDefault="00CD2A5A">
            <w:pPr>
              <w:autoSpaceDE w:val="0"/>
              <w:autoSpaceDN w:val="0"/>
              <w:adjustRightInd w:val="0"/>
              <w:spacing w:before="40" w:after="40"/>
              <w:rPr>
                <w:sz w:val="20"/>
                <w:szCs w:val="20"/>
              </w:rPr>
            </w:pPr>
            <w:r>
              <w:rPr>
                <w:sz w:val="20"/>
                <w:szCs w:val="20"/>
              </w:rPr>
              <w:t xml:space="preserve">Tasa de </w:t>
            </w:r>
            <w:r>
              <w:rPr>
                <w:sz w:val="20"/>
                <w:szCs w:val="20"/>
                <w:u w:val="single"/>
              </w:rPr>
              <w:t>mortalidad materna</w:t>
            </w:r>
            <w:r>
              <w:rPr>
                <w:sz w:val="20"/>
                <w:szCs w:val="20"/>
              </w:rPr>
              <w:t xml:space="preserve"> – como el número de defunciones de mujeres por causa materna por 100.000 nacidos vivos – / reducirla en un tercio (2010) (PA-MANA A, 1, 36 (b)); en tres cuartas partes (2015) (ODM 5)                                                                                                                       </w:t>
            </w:r>
          </w:p>
        </w:tc>
      </w:tr>
      <w:tr w:rsidR="00CD2A5A">
        <w:trPr>
          <w:cantSplit/>
          <w:jc w:val="center"/>
        </w:trPr>
        <w:tc>
          <w:tcPr>
            <w:tcW w:w="470" w:type="dxa"/>
            <w:vMerge/>
            <w:vAlign w:val="center"/>
          </w:tcPr>
          <w:p w:rsidR="00CD2A5A" w:rsidRDefault="00CD2A5A">
            <w:pPr>
              <w:autoSpaceDE w:val="0"/>
              <w:autoSpaceDN w:val="0"/>
              <w:adjustRightInd w:val="0"/>
              <w:spacing w:before="40" w:after="40"/>
              <w:rPr>
                <w:sz w:val="20"/>
                <w:szCs w:val="20"/>
              </w:rPr>
            </w:pPr>
          </w:p>
        </w:tc>
        <w:tc>
          <w:tcPr>
            <w:tcW w:w="7649" w:type="dxa"/>
            <w:vAlign w:val="center"/>
          </w:tcPr>
          <w:p w:rsidR="00CD2A5A" w:rsidRDefault="00CD2A5A">
            <w:pPr>
              <w:keepNext/>
              <w:autoSpaceDE w:val="0"/>
              <w:autoSpaceDN w:val="0"/>
              <w:adjustRightInd w:val="0"/>
              <w:spacing w:before="40" w:after="40"/>
              <w:rPr>
                <w:sz w:val="20"/>
                <w:szCs w:val="20"/>
              </w:rPr>
            </w:pPr>
            <w:r>
              <w:rPr>
                <w:sz w:val="20"/>
                <w:szCs w:val="20"/>
              </w:rPr>
              <w:t>META: Reducirla en un tercio (2010) (PA-MAN A, 1, 36 (b))</w:t>
            </w:r>
          </w:p>
        </w:tc>
        <w:tc>
          <w:tcPr>
            <w:tcW w:w="976" w:type="dxa"/>
            <w:vAlign w:val="center"/>
          </w:tcPr>
          <w:p w:rsidR="00CD2A5A" w:rsidRDefault="00CD2A5A">
            <w:pPr>
              <w:autoSpaceDE w:val="0"/>
              <w:autoSpaceDN w:val="0"/>
              <w:adjustRightInd w:val="0"/>
              <w:spacing w:before="40" w:after="40"/>
              <w:rPr>
                <w:sz w:val="20"/>
                <w:szCs w:val="20"/>
              </w:rPr>
            </w:pPr>
            <w:r>
              <w:rPr>
                <w:sz w:val="20"/>
                <w:szCs w:val="20"/>
              </w:rPr>
              <w:t>105.3</w:t>
            </w:r>
          </w:p>
        </w:tc>
      </w:tr>
      <w:tr w:rsidR="00CD2A5A">
        <w:trPr>
          <w:cantSplit/>
          <w:jc w:val="center"/>
        </w:trPr>
        <w:tc>
          <w:tcPr>
            <w:tcW w:w="470" w:type="dxa"/>
            <w:vMerge/>
            <w:vAlign w:val="center"/>
          </w:tcPr>
          <w:p w:rsidR="00CD2A5A" w:rsidRDefault="00CD2A5A">
            <w:pPr>
              <w:autoSpaceDE w:val="0"/>
              <w:autoSpaceDN w:val="0"/>
              <w:adjustRightInd w:val="0"/>
              <w:spacing w:before="40" w:after="40"/>
              <w:rPr>
                <w:sz w:val="20"/>
                <w:szCs w:val="20"/>
              </w:rPr>
            </w:pPr>
          </w:p>
        </w:tc>
        <w:tc>
          <w:tcPr>
            <w:tcW w:w="7649" w:type="dxa"/>
            <w:vAlign w:val="center"/>
          </w:tcPr>
          <w:p w:rsidR="00CD2A5A" w:rsidRDefault="00CD2A5A">
            <w:pPr>
              <w:keepNext/>
              <w:autoSpaceDE w:val="0"/>
              <w:autoSpaceDN w:val="0"/>
              <w:adjustRightInd w:val="0"/>
              <w:spacing w:before="40" w:after="40"/>
              <w:rPr>
                <w:sz w:val="20"/>
                <w:szCs w:val="20"/>
              </w:rPr>
            </w:pPr>
            <w:r>
              <w:rPr>
                <w:sz w:val="20"/>
                <w:szCs w:val="20"/>
              </w:rPr>
              <w:t xml:space="preserve">META:  Reducirla en tres cuartas partes (2015) (ODM 5)                                                                                                                     </w:t>
            </w:r>
          </w:p>
        </w:tc>
        <w:tc>
          <w:tcPr>
            <w:tcW w:w="976" w:type="dxa"/>
            <w:vAlign w:val="center"/>
          </w:tcPr>
          <w:p w:rsidR="00CD2A5A" w:rsidRDefault="00CD2A5A">
            <w:pPr>
              <w:autoSpaceDE w:val="0"/>
              <w:autoSpaceDN w:val="0"/>
              <w:adjustRightInd w:val="0"/>
              <w:spacing w:before="40" w:after="40"/>
              <w:rPr>
                <w:sz w:val="20"/>
                <w:szCs w:val="20"/>
              </w:rPr>
            </w:pPr>
            <w:r>
              <w:rPr>
                <w:sz w:val="20"/>
                <w:szCs w:val="20"/>
              </w:rPr>
              <w:t>39.5</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rPr>
          <w:b/>
          <w:strike/>
          <w:u w:val="single"/>
        </w:rPr>
      </w:pPr>
      <w:r>
        <w:t xml:space="preserve">Los resultados arrojados por FESAL sobre este indicador muestran una aparente tendencia general hacia el crecimiento más que hacia la reducción, aunque con una conducta no sostenida, una tasa de 158 para el período 1983-1993 (1988), disminuye a 120 para el período 1988-1998 (1993) y asciende a 173 para el período 1993-2002 (1998). </w:t>
      </w:r>
    </w:p>
    <w:p w:rsidR="00CD2A5A" w:rsidRDefault="00CD2A5A">
      <w:pPr>
        <w:numPr>
          <w:ilvl w:val="0"/>
          <w:numId w:val="33"/>
        </w:numPr>
        <w:tabs>
          <w:tab w:val="clear" w:pos="567"/>
        </w:tabs>
        <w:spacing w:after="240"/>
      </w:pPr>
      <w:r>
        <w:t>Más allá de estos resultados, aquí subyace un problema de falta de precisión estadística en la metodología de encuesta por muestreo aleatorio de viviendas utilizada en la obtención de estos datos, por lo que la misma FESAL recomienda usar otras fuentes de información y otras metodologías para detectar tendencias en este indicador.</w:t>
      </w:r>
      <w:r>
        <w:rPr>
          <w:rStyle w:val="FootnoteReference"/>
        </w:rPr>
        <w:footnoteReference w:id="93"/>
      </w:r>
    </w:p>
    <w:p w:rsidR="00CD2A5A" w:rsidRDefault="00CD2A5A">
      <w:pPr>
        <w:numPr>
          <w:ilvl w:val="0"/>
          <w:numId w:val="33"/>
        </w:numPr>
        <w:tabs>
          <w:tab w:val="clear" w:pos="567"/>
        </w:tabs>
        <w:spacing w:after="240"/>
      </w:pPr>
      <w:r>
        <w:t>Dada la necesidad de mejorar el registro de la mortalidad materna, el Ministerio de Salud Pública y Asistencia Social ha trabajado en el fortalecimiento del sistema de vigilancia para establecer una línea base de la razón de mortalidad materna y dotar de parámetros de comparación para el futuro.</w:t>
      </w:r>
    </w:p>
    <w:p w:rsidR="00CD2A5A" w:rsidRDefault="00CD2A5A">
      <w:pPr>
        <w:numPr>
          <w:ilvl w:val="0"/>
          <w:numId w:val="33"/>
        </w:numPr>
        <w:tabs>
          <w:tab w:val="clear" w:pos="567"/>
        </w:tabs>
        <w:spacing w:after="240"/>
      </w:pPr>
      <w:r>
        <w:t>El resultado obtenido del estudio de línea base, realizado entre el 1 de junio de 2005 y el 31 de mayo de 2006, concluye que la razón de mortalidad materna a nivel nacional para el período estudiado es de 71.2 por 100 mil nacidos vivos</w:t>
      </w:r>
      <w:r>
        <w:rPr>
          <w:rStyle w:val="FootnoteReference"/>
        </w:rPr>
        <w:footnoteReference w:id="94"/>
      </w:r>
      <w:r>
        <w:t>. Con esta nueva medición el país puede dar por cumplida la meta para el 2010 y es probable alcanzar la meta 2015.</w:t>
      </w:r>
    </w:p>
    <w:p w:rsidR="00CD2A5A" w:rsidRDefault="00CD2A5A">
      <w:pPr>
        <w:spacing w:after="240"/>
      </w:pPr>
    </w:p>
    <w:p w:rsidR="00CD2A5A" w:rsidRDefault="00CD2A5A">
      <w:pPr>
        <w:keepNext/>
        <w:spacing w:after="240"/>
      </w:pPr>
      <w:r>
        <w:rPr>
          <w:b/>
          <w:bCs/>
        </w:rPr>
        <w:t xml:space="preserve">4. </w:t>
      </w:r>
      <w:r>
        <w:rPr>
          <w:b/>
          <w:bCs/>
        </w:rPr>
        <w:tab/>
        <w:t>Objetivo: Combatir las enfermedades (ODM 6)</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6"/>
        <w:gridCol w:w="7922"/>
        <w:gridCol w:w="1004"/>
      </w:tblGrid>
      <w:tr w:rsidR="00CD2A5A">
        <w:trPr>
          <w:cantSplit/>
          <w:jc w:val="center"/>
        </w:trPr>
        <w:tc>
          <w:tcPr>
            <w:tcW w:w="470"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5" w:type="dxa"/>
            <w:gridSpan w:val="2"/>
          </w:tcPr>
          <w:p w:rsidR="00CD2A5A" w:rsidRDefault="00CD2A5A">
            <w:pPr>
              <w:spacing w:before="40" w:after="40"/>
              <w:rPr>
                <w:sz w:val="20"/>
                <w:szCs w:val="20"/>
              </w:rPr>
            </w:pPr>
            <w:r>
              <w:rPr>
                <w:sz w:val="20"/>
                <w:szCs w:val="20"/>
              </w:rPr>
              <w:t xml:space="preserve">Cobertura de </w:t>
            </w:r>
            <w:r>
              <w:rPr>
                <w:sz w:val="20"/>
                <w:szCs w:val="20"/>
                <w:u w:val="single"/>
              </w:rPr>
              <w:t>inmunización completa y total</w:t>
            </w:r>
            <w:r>
              <w:rPr>
                <w:sz w:val="20"/>
                <w:szCs w:val="20"/>
              </w:rPr>
              <w:t xml:space="preserve"> – BCG, DPT/Pentavalente, Polio, Sarampión/SPR o las cuatro vacunas en conjunto – de niños y niñas menores de 5 años de edad que viven con la madre.</w:t>
            </w:r>
          </w:p>
        </w:tc>
      </w:tr>
      <w:tr w:rsidR="00CD2A5A">
        <w:trPr>
          <w:cantSplit/>
          <w:jc w:val="center"/>
        </w:trPr>
        <w:tc>
          <w:tcPr>
            <w:tcW w:w="470" w:type="dxa"/>
            <w:vMerge/>
            <w:vAlign w:val="center"/>
          </w:tcPr>
          <w:p w:rsidR="00CD2A5A" w:rsidRDefault="00CD2A5A">
            <w:pPr>
              <w:autoSpaceDE w:val="0"/>
              <w:autoSpaceDN w:val="0"/>
              <w:adjustRightInd w:val="0"/>
              <w:spacing w:before="40" w:after="40"/>
              <w:rPr>
                <w:sz w:val="20"/>
                <w:szCs w:val="20"/>
              </w:rPr>
            </w:pPr>
          </w:p>
        </w:tc>
        <w:tc>
          <w:tcPr>
            <w:tcW w:w="7655" w:type="dxa"/>
            <w:vAlign w:val="center"/>
          </w:tcPr>
          <w:p w:rsidR="00CD2A5A" w:rsidRDefault="00CD2A5A">
            <w:pPr>
              <w:keepNext/>
              <w:autoSpaceDE w:val="0"/>
              <w:autoSpaceDN w:val="0"/>
              <w:adjustRightInd w:val="0"/>
              <w:spacing w:before="40" w:after="40"/>
              <w:rPr>
                <w:sz w:val="20"/>
                <w:szCs w:val="20"/>
              </w:rPr>
            </w:pPr>
            <w:r>
              <w:rPr>
                <w:sz w:val="20"/>
                <w:szCs w:val="20"/>
              </w:rPr>
              <w:t>META: garantizar cobertura del  90% (2010) (PA-MAN A, 1, 37 (7))</w:t>
            </w:r>
          </w:p>
        </w:tc>
        <w:tc>
          <w:tcPr>
            <w:tcW w:w="970" w:type="dxa"/>
            <w:vAlign w:val="center"/>
          </w:tcPr>
          <w:p w:rsidR="00CD2A5A" w:rsidRDefault="00CD2A5A">
            <w:pPr>
              <w:autoSpaceDE w:val="0"/>
              <w:autoSpaceDN w:val="0"/>
              <w:adjustRightInd w:val="0"/>
              <w:spacing w:before="40" w:after="40"/>
              <w:rPr>
                <w:sz w:val="20"/>
                <w:szCs w:val="20"/>
              </w:rPr>
            </w:pPr>
            <w:r>
              <w:rPr>
                <w:sz w:val="20"/>
                <w:szCs w:val="20"/>
              </w:rPr>
              <w:t>90%</w:t>
            </w:r>
          </w:p>
        </w:tc>
      </w:tr>
    </w:tbl>
    <w:p w:rsidR="00CD2A5A" w:rsidRDefault="00CD2A5A">
      <w:pPr>
        <w:numPr>
          <w:ilvl w:val="0"/>
          <w:numId w:val="33"/>
        </w:numPr>
        <w:tabs>
          <w:tab w:val="clear" w:pos="567"/>
        </w:tabs>
        <w:spacing w:before="240" w:after="240"/>
      </w:pPr>
      <w:r>
        <w:t>La norma en El Salvador para la aplicación de la vacuna contra el Sarampión era a los 9 meses cumplidos mientras que la norma actual para la aplicación de la SPR es al año de edad.  Por ello ha parecido conveniente utilizar en primer lugar en este informe el indicador de inmunización total en niños y niñas de 12 a 59 meses de edad, en lugar del indicador sugerido de inmunización total en niños y niñas menores de 1 año. A continuación se analizarán otros indicadores complementarios.</w:t>
      </w:r>
    </w:p>
    <w:p w:rsidR="00CD2A5A" w:rsidRDefault="00CD2A5A">
      <w:pPr>
        <w:numPr>
          <w:ilvl w:val="0"/>
          <w:numId w:val="33"/>
        </w:numPr>
        <w:tabs>
          <w:tab w:val="clear" w:pos="567"/>
        </w:tabs>
        <w:autoSpaceDE w:val="0"/>
        <w:autoSpaceDN w:val="0"/>
        <w:adjustRightInd w:val="0"/>
        <w:spacing w:after="240"/>
      </w:pPr>
      <w:r>
        <w:t>La cobertura del 76.7% en 1990 ha crecido  solo 4,4 puntos porcentuales, a  81,2%, en 10 años (2002)</w:t>
      </w:r>
      <w:r>
        <w:rPr>
          <w:rStyle w:val="FootnoteReference"/>
          <w:b w:val="0"/>
        </w:rPr>
        <w:t xml:space="preserve"> </w:t>
      </w:r>
      <w:r>
        <w:rPr>
          <w:rStyle w:val="FootnoteReference"/>
          <w:b w:val="0"/>
        </w:rPr>
        <w:footnoteReference w:id="95"/>
      </w:r>
      <w:r>
        <w:t>. La situación mostró cierto dinamismo entre 1990 y 1995 pero en el siguiente quinquenio la cobertura ha experimentado solo una leve tendencia al crecimiento. De continuar los esfuerzos de inmunización que está realizando el Ministerio de Salud Pública, es probable que el país pueda lograr la meta para 2010.</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1"/>
        <w:gridCol w:w="10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Cobertura de </w:t>
            </w:r>
            <w:r>
              <w:rPr>
                <w:sz w:val="20"/>
                <w:szCs w:val="20"/>
                <w:u w:val="single"/>
              </w:rPr>
              <w:t>inmunización completa de BCG</w:t>
            </w:r>
            <w:r>
              <w:rPr>
                <w:sz w:val="20"/>
                <w:szCs w:val="20"/>
              </w:rPr>
              <w:t xml:space="preserve"> contra la Tuberculosis de los niños y niñas menores de 1 año.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4" w:type="dxa"/>
            <w:vAlign w:val="center"/>
          </w:tcPr>
          <w:p w:rsidR="00CD2A5A" w:rsidRDefault="00CD2A5A">
            <w:pPr>
              <w:keepNext/>
              <w:autoSpaceDE w:val="0"/>
              <w:autoSpaceDN w:val="0"/>
              <w:adjustRightInd w:val="0"/>
              <w:spacing w:before="40" w:after="40"/>
              <w:rPr>
                <w:sz w:val="20"/>
                <w:szCs w:val="20"/>
              </w:rPr>
            </w:pPr>
            <w:r>
              <w:rPr>
                <w:sz w:val="20"/>
                <w:szCs w:val="20"/>
              </w:rPr>
              <w:t>META: garantizar cobertura del 90% (2010) (PA-MAN A, 1, 37 (7))</w:t>
            </w:r>
          </w:p>
        </w:tc>
        <w:tc>
          <w:tcPr>
            <w:tcW w:w="970" w:type="dxa"/>
            <w:vAlign w:val="center"/>
          </w:tcPr>
          <w:p w:rsidR="00CD2A5A" w:rsidRDefault="00CD2A5A">
            <w:pPr>
              <w:autoSpaceDE w:val="0"/>
              <w:autoSpaceDN w:val="0"/>
              <w:adjustRightInd w:val="0"/>
              <w:spacing w:before="40" w:after="40"/>
              <w:rPr>
                <w:sz w:val="20"/>
                <w:szCs w:val="20"/>
              </w:rPr>
            </w:pPr>
            <w:r>
              <w:rPr>
                <w:sz w:val="20"/>
                <w:szCs w:val="20"/>
              </w:rPr>
              <w:t>90%</w:t>
            </w:r>
          </w:p>
        </w:tc>
      </w:tr>
    </w:tbl>
    <w:p w:rsidR="00CD2A5A" w:rsidRDefault="00CD2A5A">
      <w:pPr>
        <w:autoSpaceDE w:val="0"/>
        <w:autoSpaceDN w:val="0"/>
        <w:adjustRightInd w:val="0"/>
        <w:spacing w:after="240"/>
      </w:pPr>
    </w:p>
    <w:p w:rsidR="00CD2A5A" w:rsidRDefault="00CD2A5A">
      <w:pPr>
        <w:numPr>
          <w:ilvl w:val="0"/>
          <w:numId w:val="33"/>
        </w:numPr>
        <w:tabs>
          <w:tab w:val="clear" w:pos="567"/>
        </w:tabs>
        <w:autoSpaceDE w:val="0"/>
        <w:autoSpaceDN w:val="0"/>
        <w:adjustRightInd w:val="0"/>
        <w:spacing w:after="240"/>
      </w:pPr>
      <w:r>
        <w:t>A escala nacional la meta ha sido cumplida durante el período 1993-1998.</w:t>
      </w:r>
      <w:r>
        <w:rPr>
          <w:rStyle w:val="FootnoteReference"/>
        </w:rPr>
        <w:footnoteReference w:id="96"/>
      </w:r>
      <w:r>
        <w:t xml:space="preserve"> Para el año 2006 el dato que refleja el Ministerio de Salud Pública es de 92,8% de cobertura.</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1"/>
        <w:gridCol w:w="10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Cobertura de </w:t>
            </w:r>
            <w:r>
              <w:rPr>
                <w:sz w:val="20"/>
                <w:szCs w:val="20"/>
                <w:u w:val="single"/>
              </w:rPr>
              <w:t>inmunización completa de DPT</w:t>
            </w:r>
            <w:r>
              <w:rPr>
                <w:sz w:val="20"/>
                <w:szCs w:val="20"/>
              </w:rPr>
              <w:t xml:space="preserve"> contra la Difteria, Tétano y Tos ferina de los niños y niñas menores de 1 año.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4" w:type="dxa"/>
            <w:vAlign w:val="center"/>
          </w:tcPr>
          <w:p w:rsidR="00CD2A5A" w:rsidRDefault="00CD2A5A">
            <w:pPr>
              <w:keepNext/>
              <w:autoSpaceDE w:val="0"/>
              <w:autoSpaceDN w:val="0"/>
              <w:adjustRightInd w:val="0"/>
              <w:spacing w:before="40" w:after="40"/>
              <w:rPr>
                <w:sz w:val="20"/>
                <w:szCs w:val="20"/>
              </w:rPr>
            </w:pPr>
            <w:r>
              <w:rPr>
                <w:sz w:val="20"/>
                <w:szCs w:val="20"/>
              </w:rPr>
              <w:t>META: garantizar cobertura del  90% (2010) (PA-MAN A, 1, 37 (7))</w:t>
            </w:r>
          </w:p>
        </w:tc>
        <w:tc>
          <w:tcPr>
            <w:tcW w:w="970" w:type="dxa"/>
            <w:vAlign w:val="center"/>
          </w:tcPr>
          <w:p w:rsidR="00CD2A5A" w:rsidRDefault="00CD2A5A">
            <w:pPr>
              <w:autoSpaceDE w:val="0"/>
              <w:autoSpaceDN w:val="0"/>
              <w:adjustRightInd w:val="0"/>
              <w:spacing w:before="40" w:after="40"/>
              <w:rPr>
                <w:sz w:val="20"/>
                <w:szCs w:val="20"/>
              </w:rPr>
            </w:pPr>
            <w:r>
              <w:rPr>
                <w:sz w:val="20"/>
                <w:szCs w:val="20"/>
              </w:rPr>
              <w:t>90%</w:t>
            </w:r>
          </w:p>
        </w:tc>
      </w:tr>
    </w:tbl>
    <w:p w:rsidR="00CD2A5A" w:rsidRDefault="00CD2A5A">
      <w:pPr>
        <w:autoSpaceDE w:val="0"/>
        <w:autoSpaceDN w:val="0"/>
        <w:adjustRightInd w:val="0"/>
        <w:spacing w:after="240"/>
      </w:pPr>
    </w:p>
    <w:p w:rsidR="00CD2A5A" w:rsidRDefault="00CD2A5A">
      <w:pPr>
        <w:numPr>
          <w:ilvl w:val="0"/>
          <w:numId w:val="33"/>
        </w:numPr>
        <w:tabs>
          <w:tab w:val="clear" w:pos="567"/>
        </w:tabs>
        <w:autoSpaceDE w:val="0"/>
        <w:autoSpaceDN w:val="0"/>
        <w:adjustRightInd w:val="0"/>
        <w:spacing w:after="240"/>
      </w:pPr>
      <w:r>
        <w:t>Según datos del Ministerio de Salud Pública y Asistencia Social, para el año 2006 el porcentaje de cobertura de DPT/Pentavalente fue de 95.7%, por lo cual puede afirmarse que la meta 2010 ha sido cumplida.</w:t>
      </w:r>
      <w:r>
        <w:rPr>
          <w:rStyle w:val="FootnoteReference"/>
        </w:rPr>
        <w:footnoteReference w:id="97"/>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1"/>
        <w:gridCol w:w="10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Cobertura de </w:t>
            </w:r>
            <w:r>
              <w:rPr>
                <w:sz w:val="20"/>
                <w:szCs w:val="20"/>
                <w:u w:val="single"/>
              </w:rPr>
              <w:t>inmunización completa de POLIO</w:t>
            </w:r>
            <w:r>
              <w:rPr>
                <w:sz w:val="20"/>
                <w:szCs w:val="20"/>
              </w:rPr>
              <w:t xml:space="preserve"> contra la Poliomielitis de los niños y niñas menores de 1 año.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4" w:type="dxa"/>
            <w:vAlign w:val="center"/>
          </w:tcPr>
          <w:p w:rsidR="00CD2A5A" w:rsidRDefault="00CD2A5A">
            <w:pPr>
              <w:keepNext/>
              <w:autoSpaceDE w:val="0"/>
              <w:autoSpaceDN w:val="0"/>
              <w:adjustRightInd w:val="0"/>
              <w:spacing w:before="40" w:after="40"/>
              <w:rPr>
                <w:sz w:val="20"/>
                <w:szCs w:val="20"/>
              </w:rPr>
            </w:pPr>
            <w:r>
              <w:rPr>
                <w:sz w:val="20"/>
                <w:szCs w:val="20"/>
              </w:rPr>
              <w:t>META: garantizar cobertura del  90% (2010) (PA-MAN A, 1, 37 (7))</w:t>
            </w:r>
          </w:p>
        </w:tc>
        <w:tc>
          <w:tcPr>
            <w:tcW w:w="970" w:type="dxa"/>
            <w:vAlign w:val="center"/>
          </w:tcPr>
          <w:p w:rsidR="00CD2A5A" w:rsidRDefault="00CD2A5A">
            <w:pPr>
              <w:autoSpaceDE w:val="0"/>
              <w:autoSpaceDN w:val="0"/>
              <w:adjustRightInd w:val="0"/>
              <w:spacing w:before="40" w:after="40"/>
              <w:rPr>
                <w:sz w:val="20"/>
                <w:szCs w:val="20"/>
              </w:rPr>
            </w:pPr>
            <w:r>
              <w:rPr>
                <w:sz w:val="20"/>
                <w:szCs w:val="20"/>
              </w:rPr>
              <w:t>90%</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pPr>
      <w:r>
        <w:t>Según datos del Ministerio de Salud Pública y Asistencia Social, para el año 2006 el porcentaje de cobertura de Antipolio fue de 95,5%</w:t>
      </w:r>
      <w:r>
        <w:rPr>
          <w:rStyle w:val="FootnoteReference"/>
          <w:b w:val="0"/>
        </w:rPr>
        <w:footnoteReference w:id="98"/>
      </w:r>
      <w:r>
        <w:t xml:space="preserve">, por lo cual puede afirmarse que la meta 2010 ha sido cumplida.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1"/>
        <w:gridCol w:w="10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Cobertura de inmunización</w:t>
            </w:r>
            <w:r>
              <w:rPr>
                <w:sz w:val="20"/>
                <w:szCs w:val="20"/>
              </w:rPr>
              <w:t xml:space="preserve"> completa - una dosis - contra el </w:t>
            </w:r>
            <w:r>
              <w:rPr>
                <w:sz w:val="20"/>
                <w:szCs w:val="20"/>
                <w:u w:val="single"/>
              </w:rPr>
              <w:t>Sarampión</w:t>
            </w:r>
            <w:r>
              <w:rPr>
                <w:sz w:val="20"/>
                <w:szCs w:val="20"/>
              </w:rPr>
              <w:t xml:space="preserve"> - SPR -                                                                                                                  de los niños y niñas entre 12 y 23 meses de edad.</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4" w:type="dxa"/>
            <w:vAlign w:val="center"/>
          </w:tcPr>
          <w:p w:rsidR="00CD2A5A" w:rsidRDefault="00CD2A5A">
            <w:pPr>
              <w:keepNext/>
              <w:autoSpaceDE w:val="0"/>
              <w:autoSpaceDN w:val="0"/>
              <w:adjustRightInd w:val="0"/>
              <w:spacing w:before="40" w:after="40"/>
              <w:rPr>
                <w:sz w:val="20"/>
                <w:szCs w:val="20"/>
              </w:rPr>
            </w:pPr>
            <w:r>
              <w:rPr>
                <w:sz w:val="20"/>
                <w:szCs w:val="20"/>
              </w:rPr>
              <w:t>META: garantizar cobertura del  90% (2010) (PA-MANA A, 1, 37 (7))</w:t>
            </w:r>
          </w:p>
        </w:tc>
        <w:tc>
          <w:tcPr>
            <w:tcW w:w="970" w:type="dxa"/>
            <w:vAlign w:val="center"/>
          </w:tcPr>
          <w:p w:rsidR="00CD2A5A" w:rsidRDefault="00CD2A5A">
            <w:pPr>
              <w:autoSpaceDE w:val="0"/>
              <w:autoSpaceDN w:val="0"/>
              <w:adjustRightInd w:val="0"/>
              <w:spacing w:before="40" w:after="40"/>
              <w:rPr>
                <w:sz w:val="20"/>
                <w:szCs w:val="20"/>
              </w:rPr>
            </w:pPr>
            <w:r>
              <w:rPr>
                <w:sz w:val="20"/>
                <w:szCs w:val="20"/>
              </w:rPr>
              <w:t>90%</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pPr>
      <w:r>
        <w:t>Dado que la norma actual para la aplicación de la SPR es al año de edad, se utiliza este indicador referido a los niños y niñas entre los 12 y 23 meses de edad.</w:t>
      </w:r>
    </w:p>
    <w:p w:rsidR="00CD2A5A" w:rsidRDefault="00CD2A5A">
      <w:pPr>
        <w:numPr>
          <w:ilvl w:val="0"/>
          <w:numId w:val="33"/>
        </w:numPr>
        <w:tabs>
          <w:tab w:val="clear" w:pos="567"/>
        </w:tabs>
        <w:autoSpaceDE w:val="0"/>
        <w:autoSpaceDN w:val="0"/>
        <w:adjustRightInd w:val="0"/>
        <w:spacing w:after="240"/>
      </w:pPr>
      <w:r>
        <w:t>La meta para el año 2010 de lograr un 90% de cobertura de inmunización completa con una dosis contra el sarampión (SPR) ya ha sido cumplida, ya que para el año 2006 el Ministerio de Salud Pública y Asistencia Social reporta un porcentaje de cobertura de vacunación contra el sarampión de un 98,0%</w:t>
      </w:r>
      <w:r>
        <w:rPr>
          <w:rStyle w:val="FootnoteReference"/>
          <w:b w:val="0"/>
        </w:rPr>
        <w:footnoteReference w:id="99"/>
      </w:r>
      <w:r>
        <w:t xml:space="preserve">. De mantener los esfuerzos que está realizando el país en esta área, es muy probable plantear que la meta se mantenga cumplida hasta el año 2010.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3"/>
        <w:gridCol w:w="1002"/>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Prevalencia</w:t>
            </w:r>
            <w:r>
              <w:rPr>
                <w:sz w:val="20"/>
                <w:szCs w:val="20"/>
              </w:rPr>
              <w:t xml:space="preserve"> de infecciones agudas de las </w:t>
            </w:r>
            <w:r>
              <w:rPr>
                <w:sz w:val="20"/>
                <w:szCs w:val="20"/>
                <w:u w:val="single"/>
              </w:rPr>
              <w:t>vías respiratorias</w:t>
            </w:r>
            <w:r>
              <w:rPr>
                <w:sz w:val="20"/>
                <w:szCs w:val="20"/>
              </w:rPr>
              <w:t xml:space="preserve"> – IRA – en las últimas dos semanas en niños y niñas menores de 5 años de edad.</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6" w:type="dxa"/>
            <w:vAlign w:val="center"/>
          </w:tcPr>
          <w:p w:rsidR="00CD2A5A" w:rsidRDefault="00CD2A5A">
            <w:pPr>
              <w:keepNext/>
              <w:numPr>
                <w:ilvl w:val="0"/>
                <w:numId w:val="15"/>
              </w:numPr>
              <w:tabs>
                <w:tab w:val="clear" w:pos="357"/>
              </w:tabs>
              <w:spacing w:before="40" w:after="40"/>
              <w:rPr>
                <w:sz w:val="20"/>
                <w:szCs w:val="20"/>
              </w:rPr>
            </w:pPr>
            <w:r>
              <w:rPr>
                <w:sz w:val="20"/>
                <w:szCs w:val="20"/>
              </w:rPr>
              <w:t>META: Reducir en una tercera parte (2010) (PA-MAN A, 1, 37 (11))</w:t>
            </w:r>
          </w:p>
        </w:tc>
        <w:tc>
          <w:tcPr>
            <w:tcW w:w="968" w:type="dxa"/>
            <w:vAlign w:val="center"/>
          </w:tcPr>
          <w:p w:rsidR="00CD2A5A" w:rsidRDefault="00CD2A5A">
            <w:pPr>
              <w:autoSpaceDE w:val="0"/>
              <w:autoSpaceDN w:val="0"/>
              <w:adjustRightInd w:val="0"/>
              <w:spacing w:before="40" w:after="40"/>
              <w:rPr>
                <w:sz w:val="20"/>
                <w:szCs w:val="20"/>
              </w:rPr>
            </w:pPr>
            <w:r>
              <w:rPr>
                <w:sz w:val="20"/>
                <w:szCs w:val="20"/>
              </w:rPr>
              <w:t>39,6</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pPr>
      <w:r>
        <w:t xml:space="preserve">Las reducciones sustanciales de prevalencia de IRA (del 26,5%) obtenidas durante el período 1993-1998 con respecto al período anterior 1988-1993, no fueron sostenidas durante el período siguiente 1998-2003, en donde se dio un incremento (del 9,4%) aunque de menor magnitud, de tal manera que no logró cancelar las reducciones de períodos anteriores, pero sí ha impedido que se pueda definir una tendencia clara y firme hacia la reducción de la prevalencia de IRA en el siguiente período. </w:t>
      </w:r>
    </w:p>
    <w:p w:rsidR="00CD2A5A" w:rsidRDefault="00CD2A5A">
      <w:pPr>
        <w:numPr>
          <w:ilvl w:val="0"/>
          <w:numId w:val="33"/>
        </w:numPr>
        <w:tabs>
          <w:tab w:val="clear" w:pos="567"/>
        </w:tabs>
        <w:autoSpaceDE w:val="0"/>
        <w:autoSpaceDN w:val="0"/>
        <w:adjustRightInd w:val="0"/>
        <w:spacing w:after="240"/>
      </w:pPr>
      <w:r>
        <w:t>Sin embargo, considerando que la prevalencia inicial (59,4%) en 1990 (1988-1992) se redujo en 17,1 puntos en 10 años (2002, – 42,3%), se considera muy probable que la dinámica de los períodos anteriores pueda reproducirse en el siguiente período, para alcanzar y superar la meta 2010 (39,6).</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6"/>
        <w:gridCol w:w="7922"/>
        <w:gridCol w:w="1004"/>
      </w:tblGrid>
      <w:tr w:rsidR="00CD2A5A">
        <w:trPr>
          <w:cantSplit/>
          <w:jc w:val="center"/>
        </w:trPr>
        <w:tc>
          <w:tcPr>
            <w:tcW w:w="470"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5" w:type="dxa"/>
            <w:gridSpan w:val="2"/>
          </w:tcPr>
          <w:p w:rsidR="00CD2A5A" w:rsidRDefault="00CD2A5A">
            <w:pPr>
              <w:spacing w:before="40" w:after="40"/>
              <w:rPr>
                <w:sz w:val="20"/>
                <w:szCs w:val="20"/>
              </w:rPr>
            </w:pPr>
            <w:r>
              <w:rPr>
                <w:sz w:val="20"/>
                <w:szCs w:val="20"/>
                <w:u w:val="single"/>
              </w:rPr>
              <w:t>Prevalencia de la diarrea</w:t>
            </w:r>
            <w:r>
              <w:rPr>
                <w:sz w:val="20"/>
                <w:szCs w:val="20"/>
              </w:rPr>
              <w:t xml:space="preserve"> – como la proporción de niños y niñas menores de 5 años de edad que tuvieron diarrea en las últimas dos semanas.</w:t>
            </w:r>
          </w:p>
        </w:tc>
      </w:tr>
      <w:tr w:rsidR="00CD2A5A">
        <w:trPr>
          <w:cantSplit/>
          <w:jc w:val="center"/>
        </w:trPr>
        <w:tc>
          <w:tcPr>
            <w:tcW w:w="470" w:type="dxa"/>
            <w:vMerge/>
            <w:vAlign w:val="center"/>
          </w:tcPr>
          <w:p w:rsidR="00CD2A5A" w:rsidRDefault="00CD2A5A">
            <w:pPr>
              <w:autoSpaceDE w:val="0"/>
              <w:autoSpaceDN w:val="0"/>
              <w:adjustRightInd w:val="0"/>
              <w:spacing w:before="40" w:after="40"/>
              <w:rPr>
                <w:sz w:val="20"/>
                <w:szCs w:val="20"/>
              </w:rPr>
            </w:pPr>
          </w:p>
        </w:tc>
        <w:tc>
          <w:tcPr>
            <w:tcW w:w="7655" w:type="dxa"/>
            <w:vAlign w:val="center"/>
          </w:tcPr>
          <w:p w:rsidR="00CD2A5A" w:rsidRDefault="00CD2A5A">
            <w:pPr>
              <w:keepNext/>
              <w:spacing w:before="40" w:after="40"/>
              <w:rPr>
                <w:sz w:val="20"/>
                <w:szCs w:val="20"/>
              </w:rPr>
            </w:pPr>
            <w:r>
              <w:rPr>
                <w:sz w:val="20"/>
                <w:szCs w:val="20"/>
              </w:rPr>
              <w:t>META: Reducir a la mitad (2010) (PA-MAN A, 1, 37 (11))</w:t>
            </w:r>
          </w:p>
        </w:tc>
        <w:tc>
          <w:tcPr>
            <w:tcW w:w="970" w:type="dxa"/>
            <w:vAlign w:val="center"/>
          </w:tcPr>
          <w:p w:rsidR="00CD2A5A" w:rsidRDefault="00CD2A5A">
            <w:pPr>
              <w:autoSpaceDE w:val="0"/>
              <w:autoSpaceDN w:val="0"/>
              <w:adjustRightInd w:val="0"/>
              <w:spacing w:before="40" w:after="40"/>
              <w:rPr>
                <w:sz w:val="20"/>
                <w:szCs w:val="20"/>
              </w:rPr>
            </w:pPr>
            <w:r>
              <w:rPr>
                <w:sz w:val="20"/>
                <w:szCs w:val="20"/>
              </w:rPr>
              <w:t>12,2 %</w:t>
            </w:r>
          </w:p>
        </w:tc>
      </w:tr>
    </w:tbl>
    <w:p w:rsidR="00CD2A5A" w:rsidRDefault="00CD2A5A">
      <w:pPr>
        <w:autoSpaceDE w:val="0"/>
        <w:autoSpaceDN w:val="0"/>
        <w:adjustRightInd w:val="0"/>
        <w:spacing w:after="240"/>
      </w:pPr>
    </w:p>
    <w:p w:rsidR="00CD2A5A" w:rsidRDefault="00CD2A5A">
      <w:pPr>
        <w:numPr>
          <w:ilvl w:val="0"/>
          <w:numId w:val="33"/>
        </w:numPr>
        <w:tabs>
          <w:tab w:val="clear" w:pos="567"/>
        </w:tabs>
        <w:autoSpaceDE w:val="0"/>
        <w:autoSpaceDN w:val="0"/>
        <w:adjustRightInd w:val="0"/>
        <w:spacing w:after="240"/>
      </w:pPr>
      <w:r>
        <w:t>La prevalencia inicial (24,4) en 1990 (1988-1992) ha sido reducida en 10.6 puntos en 10 años, representando un porcentaje de 138%</w:t>
      </w:r>
      <w:r>
        <w:rPr>
          <w:rStyle w:val="FootnoteReference"/>
        </w:rPr>
        <w:footnoteReference w:id="100"/>
      </w:r>
      <w:r>
        <w:t xml:space="preserve"> lo cual indica que es muy probable que el país cumpla la meta para el año 2010 a nivel nacional.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1"/>
        <w:gridCol w:w="10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Prevalencia de ANEMIA entre niños y niñas</w:t>
            </w:r>
            <w:r>
              <w:rPr>
                <w:sz w:val="20"/>
                <w:szCs w:val="20"/>
              </w:rPr>
              <w:t xml:space="preserve"> menores de 5 años de edad - como la proporción de niños y niñas de ese rango de edades que por su nivel de hemoglobina padecen anemia según los criterios de CDC (</w:t>
            </w:r>
            <w:r>
              <w:rPr>
                <w:i/>
                <w:iCs/>
                <w:sz w:val="20"/>
                <w:szCs w:val="20"/>
              </w:rPr>
              <w:t>Morbility and Mortality Weekly Report</w:t>
            </w:r>
            <w:r>
              <w:rPr>
                <w:sz w:val="20"/>
                <w:szCs w:val="20"/>
              </w:rPr>
              <w:t xml:space="preserve"> - MMWR), 1998) -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4" w:type="dxa"/>
            <w:vAlign w:val="center"/>
          </w:tcPr>
          <w:p w:rsidR="00CD2A5A" w:rsidRDefault="00CD2A5A">
            <w:pPr>
              <w:keepNext/>
              <w:spacing w:before="40" w:after="40"/>
              <w:rPr>
                <w:sz w:val="20"/>
                <w:szCs w:val="20"/>
              </w:rPr>
            </w:pPr>
            <w:r>
              <w:rPr>
                <w:sz w:val="20"/>
                <w:szCs w:val="20"/>
              </w:rPr>
              <w:t>META: reducir en una tercera parte (2010) (PA-MAN A, 1, 37 (22))</w:t>
            </w:r>
          </w:p>
        </w:tc>
        <w:tc>
          <w:tcPr>
            <w:tcW w:w="970" w:type="dxa"/>
            <w:vAlign w:val="center"/>
          </w:tcPr>
          <w:p w:rsidR="00CD2A5A" w:rsidRDefault="00CD2A5A">
            <w:pPr>
              <w:autoSpaceDE w:val="0"/>
              <w:autoSpaceDN w:val="0"/>
              <w:adjustRightInd w:val="0"/>
              <w:spacing w:before="40" w:after="40"/>
              <w:rPr>
                <w:sz w:val="20"/>
                <w:szCs w:val="20"/>
              </w:rPr>
            </w:pPr>
            <w:r>
              <w:rPr>
                <w:sz w:val="20"/>
                <w:szCs w:val="20"/>
              </w:rPr>
              <w:t>12,6%</w:t>
            </w:r>
          </w:p>
        </w:tc>
      </w:tr>
    </w:tbl>
    <w:p w:rsidR="00CD2A5A" w:rsidRDefault="00CD2A5A">
      <w:pPr>
        <w:numPr>
          <w:ilvl w:val="0"/>
          <w:numId w:val="33"/>
        </w:numPr>
        <w:tabs>
          <w:tab w:val="clear" w:pos="567"/>
        </w:tabs>
        <w:autoSpaceDE w:val="0"/>
        <w:autoSpaceDN w:val="0"/>
        <w:adjustRightInd w:val="0"/>
        <w:spacing w:after="240"/>
      </w:pPr>
      <w:r>
        <w:t>Según la FESAL, a nivel nacional para los años 2002-2003 el 19,8% de los niños y niñas de 12 a 59 meses presentaron anemia, lo que indica un estancamiento en la situación desde 1998. Entre los quinquenios 1993-1998 y 1998-2003 el indicador se movió para crecer apenas 0,9 puntos porcentuales. Si se mantiene una tendencia descendente pronunciada, es probable plantear el cumplimiento de la meta tanto para 2010 como para 2015.</w:t>
      </w:r>
      <w:r>
        <w:rPr>
          <w:rStyle w:val="FootnoteReference"/>
          <w:b w:val="0"/>
        </w:rPr>
        <w:footnoteReference w:id="101"/>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21"/>
        <w:gridCol w:w="10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Prevalencia de ANEMIA entre madres</w:t>
            </w:r>
            <w:r>
              <w:rPr>
                <w:sz w:val="20"/>
                <w:szCs w:val="20"/>
              </w:rPr>
              <w:t xml:space="preserve"> de niños menores de 5 años de edad - como la proporción de madres de niños y niñas de ese rango de edades que por su nivel de hemoglobina padecen anemia según los criterios de CDC (MMWR, 1998) -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54" w:type="dxa"/>
            <w:vAlign w:val="center"/>
          </w:tcPr>
          <w:p w:rsidR="00CD2A5A" w:rsidRDefault="00CD2A5A">
            <w:pPr>
              <w:keepNext/>
              <w:spacing w:before="40" w:after="40"/>
              <w:rPr>
                <w:sz w:val="20"/>
                <w:szCs w:val="20"/>
              </w:rPr>
            </w:pPr>
            <w:r>
              <w:rPr>
                <w:sz w:val="20"/>
                <w:szCs w:val="20"/>
              </w:rPr>
              <w:t>META: reducir en una tercera parte (2010) (PA-MAN A, 1, 37 (22))</w:t>
            </w:r>
          </w:p>
        </w:tc>
        <w:tc>
          <w:tcPr>
            <w:tcW w:w="970" w:type="dxa"/>
            <w:vAlign w:val="center"/>
          </w:tcPr>
          <w:p w:rsidR="00CD2A5A" w:rsidRDefault="00CD2A5A">
            <w:pPr>
              <w:autoSpaceDE w:val="0"/>
              <w:autoSpaceDN w:val="0"/>
              <w:adjustRightInd w:val="0"/>
              <w:spacing w:before="40" w:after="40"/>
              <w:rPr>
                <w:sz w:val="20"/>
                <w:szCs w:val="20"/>
              </w:rPr>
            </w:pPr>
            <w:r>
              <w:rPr>
                <w:sz w:val="20"/>
                <w:szCs w:val="20"/>
              </w:rPr>
              <w:t>5,9%</w:t>
            </w:r>
          </w:p>
        </w:tc>
      </w:tr>
    </w:tbl>
    <w:p w:rsidR="00CD2A5A" w:rsidRDefault="00CD2A5A">
      <w:pPr>
        <w:autoSpaceDE w:val="0"/>
        <w:autoSpaceDN w:val="0"/>
        <w:adjustRightInd w:val="0"/>
        <w:spacing w:after="240"/>
      </w:pPr>
    </w:p>
    <w:p w:rsidR="00CD2A5A" w:rsidRDefault="00CD2A5A">
      <w:pPr>
        <w:numPr>
          <w:ilvl w:val="0"/>
          <w:numId w:val="33"/>
        </w:numPr>
        <w:tabs>
          <w:tab w:val="clear" w:pos="567"/>
        </w:tabs>
        <w:spacing w:after="240"/>
      </w:pPr>
      <w:r>
        <w:t>Entre los quinquenios 1993-1998 y 1998-2003 el indicador no se movió de 8.8%. De continuar este estancamiento en el indicador, sería poco probable el cumplimiento de la meta para el año 2010.</w:t>
      </w:r>
      <w:r>
        <w:rPr>
          <w:rStyle w:val="FootnoteReference"/>
          <w:b w:val="0"/>
        </w:rPr>
        <w:footnoteReference w:id="102"/>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5"/>
        <w:gridCol w:w="980"/>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Numero de casos de </w:t>
            </w:r>
            <w:r>
              <w:rPr>
                <w:sz w:val="20"/>
                <w:szCs w:val="20"/>
                <w:u w:val="single"/>
              </w:rPr>
              <w:t>paludismo</w:t>
            </w:r>
            <w:r>
              <w:rPr>
                <w:sz w:val="20"/>
                <w:szCs w:val="20"/>
              </w:rPr>
              <w:t xml:space="preserve"> entre personas </w:t>
            </w:r>
            <w:r>
              <w:rPr>
                <w:sz w:val="20"/>
                <w:szCs w:val="20"/>
                <w:u w:val="single"/>
              </w:rPr>
              <w:t>menores de 14</w:t>
            </w:r>
            <w:r>
              <w:rPr>
                <w:sz w:val="20"/>
                <w:szCs w:val="20"/>
              </w:rPr>
              <w:t xml:space="preserve"> años de edad.</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7" w:type="dxa"/>
            <w:vAlign w:val="center"/>
          </w:tcPr>
          <w:p w:rsidR="00CD2A5A" w:rsidRDefault="00CD2A5A">
            <w:pPr>
              <w:keepNext/>
              <w:spacing w:before="40" w:after="40"/>
              <w:rPr>
                <w:sz w:val="20"/>
                <w:szCs w:val="20"/>
              </w:rPr>
            </w:pPr>
            <w:r>
              <w:rPr>
                <w:sz w:val="20"/>
                <w:szCs w:val="20"/>
              </w:rPr>
              <w:t>META: detener y comenzar a reducir (2015) (ODM 6)</w:t>
            </w:r>
          </w:p>
        </w:tc>
        <w:tc>
          <w:tcPr>
            <w:tcW w:w="947" w:type="dxa"/>
            <w:vAlign w:val="center"/>
          </w:tcPr>
          <w:p w:rsidR="00CD2A5A" w:rsidRDefault="00CD2A5A">
            <w:pPr>
              <w:autoSpaceDE w:val="0"/>
              <w:autoSpaceDN w:val="0"/>
              <w:adjustRightInd w:val="0"/>
              <w:spacing w:before="40" w:after="40"/>
              <w:rPr>
                <w:sz w:val="20"/>
                <w:szCs w:val="20"/>
              </w:rPr>
            </w:pPr>
          </w:p>
        </w:tc>
      </w:tr>
    </w:tbl>
    <w:p w:rsidR="00CD2A5A" w:rsidRDefault="00CD2A5A"/>
    <w:p w:rsidR="00CD2A5A" w:rsidRDefault="00CD2A5A">
      <w:pPr>
        <w:numPr>
          <w:ilvl w:val="0"/>
          <w:numId w:val="33"/>
        </w:numPr>
        <w:tabs>
          <w:tab w:val="clear" w:pos="567"/>
        </w:tabs>
        <w:autoSpaceDE w:val="0"/>
        <w:autoSpaceDN w:val="0"/>
        <w:adjustRightInd w:val="0"/>
        <w:spacing w:after="240"/>
      </w:pPr>
      <w:r>
        <w:t>El MSPAS</w:t>
      </w:r>
      <w:r>
        <w:rPr>
          <w:rStyle w:val="FootnoteReference"/>
          <w:b w:val="0"/>
        </w:rPr>
        <w:footnoteReference w:id="103"/>
      </w:r>
      <w:r>
        <w:t xml:space="preserve"> no aporta datos de 1990. Para 1995 reporta 1458 casos, 242 casos para 2000 y 10 casos par 2005. La meta ya ha sido cumplida.</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943"/>
        <w:gridCol w:w="981"/>
      </w:tblGrid>
      <w:tr w:rsidR="00CD2A5A">
        <w:trPr>
          <w:cantSplit/>
          <w:jc w:val="center"/>
        </w:trPr>
        <w:tc>
          <w:tcPr>
            <w:tcW w:w="472"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3" w:type="dxa"/>
            <w:gridSpan w:val="2"/>
          </w:tcPr>
          <w:p w:rsidR="00CD2A5A" w:rsidRDefault="00CD2A5A">
            <w:pPr>
              <w:spacing w:before="40" w:after="40"/>
              <w:rPr>
                <w:sz w:val="20"/>
                <w:szCs w:val="20"/>
              </w:rPr>
            </w:pPr>
            <w:r>
              <w:rPr>
                <w:sz w:val="20"/>
                <w:szCs w:val="20"/>
              </w:rPr>
              <w:t xml:space="preserve">Defunciones causadas por el </w:t>
            </w:r>
            <w:r>
              <w:rPr>
                <w:sz w:val="20"/>
                <w:szCs w:val="20"/>
                <w:u w:val="single"/>
              </w:rPr>
              <w:t>sarampión</w:t>
            </w:r>
            <w:r>
              <w:rPr>
                <w:sz w:val="20"/>
                <w:szCs w:val="20"/>
              </w:rPr>
              <w:t xml:space="preserve"> en la población que no ha cumplido los 4 años de edad.</w:t>
            </w:r>
          </w:p>
        </w:tc>
      </w:tr>
      <w:tr w:rsidR="00CD2A5A">
        <w:trPr>
          <w:cantSplit/>
          <w:jc w:val="center"/>
        </w:trPr>
        <w:tc>
          <w:tcPr>
            <w:tcW w:w="472" w:type="dxa"/>
            <w:vMerge/>
            <w:vAlign w:val="center"/>
          </w:tcPr>
          <w:p w:rsidR="00CD2A5A" w:rsidRDefault="00CD2A5A">
            <w:pPr>
              <w:autoSpaceDE w:val="0"/>
              <w:autoSpaceDN w:val="0"/>
              <w:adjustRightInd w:val="0"/>
              <w:spacing w:before="40" w:after="40"/>
              <w:rPr>
                <w:sz w:val="20"/>
                <w:szCs w:val="20"/>
              </w:rPr>
            </w:pPr>
          </w:p>
        </w:tc>
        <w:tc>
          <w:tcPr>
            <w:tcW w:w="7675" w:type="dxa"/>
            <w:vAlign w:val="center"/>
          </w:tcPr>
          <w:p w:rsidR="00CD2A5A" w:rsidRDefault="00CD2A5A">
            <w:pPr>
              <w:keepNext/>
              <w:spacing w:before="40" w:after="40"/>
              <w:rPr>
                <w:sz w:val="20"/>
                <w:szCs w:val="20"/>
              </w:rPr>
            </w:pPr>
            <w:r>
              <w:rPr>
                <w:sz w:val="20"/>
                <w:szCs w:val="20"/>
              </w:rPr>
              <w:t>META: reducir a la mitad (2005) (PA-MAN A, 1, 37 (7))</w:t>
            </w:r>
          </w:p>
        </w:tc>
        <w:tc>
          <w:tcPr>
            <w:tcW w:w="948" w:type="dxa"/>
            <w:vAlign w:val="center"/>
          </w:tcPr>
          <w:p w:rsidR="00CD2A5A" w:rsidRDefault="00CD2A5A">
            <w:pPr>
              <w:autoSpaceDE w:val="0"/>
              <w:autoSpaceDN w:val="0"/>
              <w:adjustRightInd w:val="0"/>
              <w:spacing w:before="40" w:after="40"/>
              <w:rPr>
                <w:sz w:val="20"/>
                <w:szCs w:val="20"/>
              </w:rPr>
            </w:pPr>
          </w:p>
        </w:tc>
      </w:tr>
    </w:tbl>
    <w:p w:rsidR="00CD2A5A" w:rsidRDefault="00CD2A5A">
      <w:pPr>
        <w:spacing w:after="240"/>
      </w:pPr>
    </w:p>
    <w:p w:rsidR="00CD2A5A" w:rsidRDefault="00CD2A5A">
      <w:pPr>
        <w:numPr>
          <w:ilvl w:val="0"/>
          <w:numId w:val="33"/>
        </w:numPr>
        <w:tabs>
          <w:tab w:val="clear" w:pos="567"/>
        </w:tabs>
        <w:autoSpaceDE w:val="0"/>
        <w:autoSpaceDN w:val="0"/>
        <w:adjustRightInd w:val="0"/>
        <w:spacing w:after="240"/>
      </w:pPr>
      <w:r>
        <w:t>Al menos desde 1991 hasta 2005 no se registran defunciones confirmadas por sarampión.</w:t>
      </w:r>
      <w:r>
        <w:rPr>
          <w:rStyle w:val="FootnoteReference"/>
          <w:b w:val="0"/>
        </w:rPr>
        <w:footnoteReference w:id="104"/>
      </w:r>
      <w:r>
        <w:t xml:space="preserve">  La meta ha sido cumplida.</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939"/>
        <w:gridCol w:w="985"/>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Tétanos</w:t>
            </w:r>
            <w:r>
              <w:rPr>
                <w:sz w:val="20"/>
                <w:szCs w:val="20"/>
              </w:rPr>
              <w:t xml:space="preserve"> materno</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2" w:type="dxa"/>
            <w:vAlign w:val="center"/>
          </w:tcPr>
          <w:p w:rsidR="00CD2A5A" w:rsidRDefault="00CD2A5A">
            <w:pPr>
              <w:keepNext/>
              <w:spacing w:before="40" w:after="40"/>
              <w:rPr>
                <w:sz w:val="20"/>
                <w:szCs w:val="20"/>
                <w:lang w:val="pt-BR"/>
              </w:rPr>
            </w:pPr>
            <w:r>
              <w:rPr>
                <w:sz w:val="20"/>
                <w:szCs w:val="20"/>
                <w:lang w:val="pt-BR"/>
              </w:rPr>
              <w:t>META: erradicado (2005) (PA-MAN A, 1, 37 (7))</w:t>
            </w:r>
          </w:p>
        </w:tc>
        <w:tc>
          <w:tcPr>
            <w:tcW w:w="952" w:type="dxa"/>
            <w:vAlign w:val="center"/>
          </w:tcPr>
          <w:p w:rsidR="00CD2A5A" w:rsidRDefault="00CD2A5A">
            <w:pPr>
              <w:autoSpaceDE w:val="0"/>
              <w:autoSpaceDN w:val="0"/>
              <w:adjustRightInd w:val="0"/>
              <w:spacing w:before="40" w:after="40"/>
              <w:rPr>
                <w:sz w:val="20"/>
                <w:szCs w:val="20"/>
              </w:rPr>
            </w:pPr>
            <w:r>
              <w:rPr>
                <w:sz w:val="20"/>
                <w:szCs w:val="20"/>
              </w:rPr>
              <w:t>0</w:t>
            </w:r>
          </w:p>
        </w:tc>
      </w:tr>
    </w:tbl>
    <w:p w:rsidR="00CD2A5A" w:rsidRDefault="00CD2A5A"/>
    <w:p w:rsidR="00CD2A5A" w:rsidRDefault="00CD2A5A">
      <w:pPr>
        <w:numPr>
          <w:ilvl w:val="0"/>
          <w:numId w:val="33"/>
        </w:numPr>
        <w:tabs>
          <w:tab w:val="clear" w:pos="567"/>
        </w:tabs>
        <w:autoSpaceDE w:val="0"/>
        <w:autoSpaceDN w:val="0"/>
        <w:adjustRightInd w:val="0"/>
        <w:spacing w:after="240"/>
      </w:pPr>
      <w:r>
        <w:t>No se reportan casos de tétanos materno entre 2000 y 2005.</w:t>
      </w:r>
      <w:r>
        <w:rPr>
          <w:rStyle w:val="FootnoteReference"/>
          <w:b w:val="0"/>
        </w:rPr>
        <w:footnoteReference w:id="105"/>
      </w:r>
      <w:r>
        <w:t xml:space="preserve">   La meta ha sido cumplida.</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939"/>
        <w:gridCol w:w="985"/>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Tétanos</w:t>
            </w:r>
            <w:r>
              <w:rPr>
                <w:sz w:val="20"/>
                <w:szCs w:val="20"/>
              </w:rPr>
              <w:t xml:space="preserve"> neonatal</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2" w:type="dxa"/>
            <w:vAlign w:val="center"/>
          </w:tcPr>
          <w:p w:rsidR="00CD2A5A" w:rsidRDefault="00CD2A5A">
            <w:pPr>
              <w:keepNext/>
              <w:spacing w:before="40" w:after="40"/>
              <w:rPr>
                <w:sz w:val="20"/>
                <w:szCs w:val="20"/>
                <w:lang w:val="pt-BR"/>
              </w:rPr>
            </w:pPr>
            <w:r>
              <w:rPr>
                <w:sz w:val="20"/>
                <w:szCs w:val="20"/>
                <w:lang w:val="pt-BR"/>
              </w:rPr>
              <w:t>META: erradicado (2005) (PA-MAN A, 1, 37 (7))</w:t>
            </w:r>
          </w:p>
        </w:tc>
        <w:tc>
          <w:tcPr>
            <w:tcW w:w="952" w:type="dxa"/>
            <w:vAlign w:val="center"/>
          </w:tcPr>
          <w:p w:rsidR="00CD2A5A" w:rsidRDefault="00CD2A5A">
            <w:pPr>
              <w:autoSpaceDE w:val="0"/>
              <w:autoSpaceDN w:val="0"/>
              <w:adjustRightInd w:val="0"/>
              <w:spacing w:before="40" w:after="40"/>
              <w:rPr>
                <w:sz w:val="20"/>
                <w:szCs w:val="20"/>
              </w:rPr>
            </w:pPr>
            <w:r>
              <w:rPr>
                <w:sz w:val="20"/>
                <w:szCs w:val="20"/>
              </w:rPr>
              <w:t>0</w:t>
            </w:r>
          </w:p>
        </w:tc>
      </w:tr>
    </w:tbl>
    <w:p w:rsidR="00CD2A5A" w:rsidRDefault="00CD2A5A"/>
    <w:p w:rsidR="00CD2A5A" w:rsidRDefault="00CD2A5A">
      <w:pPr>
        <w:numPr>
          <w:ilvl w:val="0"/>
          <w:numId w:val="33"/>
        </w:numPr>
        <w:tabs>
          <w:tab w:val="clear" w:pos="567"/>
        </w:tabs>
        <w:autoSpaceDE w:val="0"/>
        <w:autoSpaceDN w:val="0"/>
        <w:adjustRightInd w:val="0"/>
        <w:spacing w:after="240"/>
      </w:pPr>
      <w:r>
        <w:t>En el año 2000 se reportó un caso y otro en 2005</w:t>
      </w:r>
      <w:r>
        <w:rPr>
          <w:rStyle w:val="FootnoteReference"/>
          <w:b w:val="0"/>
        </w:rPr>
        <w:footnoteReference w:id="106"/>
      </w:r>
      <w:r>
        <w:t>, por lo tanto la meta para el 2005 no fue cumplida por el país, sin embargo durante todo el año 2006 y hasta la semana 11 del 2007 el Ministerio de Salud Pública no reporta ningún caso de tétanos neonatal.</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940"/>
        <w:gridCol w:w="98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Poliomielitis</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3" w:type="dxa"/>
            <w:vAlign w:val="center"/>
          </w:tcPr>
          <w:p w:rsidR="00CD2A5A" w:rsidRDefault="00CD2A5A">
            <w:pPr>
              <w:keepNext/>
              <w:spacing w:before="40" w:after="40"/>
              <w:rPr>
                <w:sz w:val="20"/>
                <w:szCs w:val="20"/>
              </w:rPr>
            </w:pPr>
            <w:r>
              <w:rPr>
                <w:sz w:val="20"/>
                <w:szCs w:val="20"/>
              </w:rPr>
              <w:t>META: Certificar su eliminación (2005) (PA-MAN A, 1, 37 (8))</w:t>
            </w:r>
          </w:p>
        </w:tc>
        <w:tc>
          <w:tcPr>
            <w:tcW w:w="951" w:type="dxa"/>
            <w:vAlign w:val="center"/>
          </w:tcPr>
          <w:p w:rsidR="00CD2A5A" w:rsidRDefault="00CD2A5A">
            <w:pPr>
              <w:autoSpaceDE w:val="0"/>
              <w:autoSpaceDN w:val="0"/>
              <w:adjustRightInd w:val="0"/>
              <w:spacing w:before="40" w:after="40"/>
              <w:rPr>
                <w:sz w:val="20"/>
                <w:szCs w:val="20"/>
              </w:rPr>
            </w:pPr>
            <w:r>
              <w:rPr>
                <w:sz w:val="20"/>
                <w:szCs w:val="20"/>
              </w:rPr>
              <w:t>0</w:t>
            </w:r>
          </w:p>
        </w:tc>
      </w:tr>
    </w:tbl>
    <w:p w:rsidR="00CD2A5A" w:rsidRDefault="00CD2A5A">
      <w:pPr>
        <w:numPr>
          <w:ilvl w:val="0"/>
          <w:numId w:val="33"/>
        </w:numPr>
        <w:tabs>
          <w:tab w:val="clear" w:pos="567"/>
        </w:tabs>
        <w:autoSpaceDE w:val="0"/>
        <w:autoSpaceDN w:val="0"/>
        <w:adjustRightInd w:val="0"/>
        <w:spacing w:after="240"/>
      </w:pPr>
      <w:r>
        <w:t>Está actualmente vigente la certificación de eliminación de la poliomielitis que recibió El Salvador en 1987, por lo tanto la meta ha sido cumplida.</w:t>
      </w:r>
      <w:r>
        <w:rPr>
          <w:rStyle w:val="FootnoteReference"/>
          <w:b w:val="0"/>
        </w:rPr>
        <w:footnoteReference w:id="107"/>
      </w:r>
      <w:r>
        <w:t xml:space="preserve">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Tasa de prevalencia</w:t>
            </w:r>
            <w:r>
              <w:rPr>
                <w:sz w:val="20"/>
                <w:szCs w:val="20"/>
              </w:rPr>
              <w:t xml:space="preserve"> de la </w:t>
            </w:r>
            <w:r>
              <w:rPr>
                <w:sz w:val="20"/>
                <w:szCs w:val="20"/>
                <w:u w:val="single"/>
              </w:rPr>
              <w:t>tuberculosis</w:t>
            </w:r>
            <w:r>
              <w:rPr>
                <w:sz w:val="20"/>
                <w:szCs w:val="20"/>
              </w:rPr>
              <w:t>, como el número de casos de tuberculosis por 100000 habitantes.</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reducir a la mitad (2010) (PA-MAN A, 1, 37 (11))</w:t>
            </w:r>
          </w:p>
        </w:tc>
        <w:tc>
          <w:tcPr>
            <w:tcW w:w="948" w:type="dxa"/>
            <w:vAlign w:val="center"/>
          </w:tcPr>
          <w:p w:rsidR="00CD2A5A" w:rsidRDefault="00CD2A5A">
            <w:pPr>
              <w:autoSpaceDE w:val="0"/>
              <w:autoSpaceDN w:val="0"/>
              <w:adjustRightInd w:val="0"/>
              <w:spacing w:before="40" w:after="40"/>
              <w:rPr>
                <w:sz w:val="20"/>
                <w:szCs w:val="20"/>
              </w:rPr>
            </w:pPr>
          </w:p>
        </w:tc>
      </w:tr>
    </w:tbl>
    <w:p w:rsidR="00CD2A5A" w:rsidRDefault="00CD2A5A">
      <w:pPr>
        <w:spacing w:after="240"/>
      </w:pPr>
    </w:p>
    <w:p w:rsidR="00CD2A5A" w:rsidRDefault="00CD2A5A">
      <w:pPr>
        <w:numPr>
          <w:ilvl w:val="0"/>
          <w:numId w:val="33"/>
        </w:numPr>
        <w:tabs>
          <w:tab w:val="clear" w:pos="567"/>
        </w:tabs>
        <w:autoSpaceDE w:val="0"/>
        <w:autoSpaceDN w:val="0"/>
        <w:adjustRightInd w:val="0"/>
        <w:spacing w:after="240"/>
      </w:pPr>
      <w:r>
        <w:t>El MSPAS no reporta la tasa de 1990. En 2000 la tasa fue de 24, y en 2006 fue de 23.1. Si se mantiene una tendencia descendente pronunciada, es probable plantear el cumplimiento de la meta tanto para 2010 como para 2015.</w:t>
      </w:r>
      <w:r>
        <w:rPr>
          <w:rStyle w:val="FootnoteReference"/>
          <w:b w:val="0"/>
        </w:rPr>
        <w:footnoteReference w:id="108"/>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Muertes</w:t>
            </w:r>
            <w:r>
              <w:rPr>
                <w:sz w:val="20"/>
                <w:szCs w:val="20"/>
              </w:rPr>
              <w:t xml:space="preserve"> causadas por la </w:t>
            </w:r>
            <w:r>
              <w:rPr>
                <w:sz w:val="20"/>
                <w:szCs w:val="20"/>
                <w:u w:val="single"/>
              </w:rPr>
              <w:t>tuberculosis</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reducir a la mitad (2010) (PA-MAN A, 1, 37 (11))</w:t>
            </w:r>
          </w:p>
        </w:tc>
        <w:tc>
          <w:tcPr>
            <w:tcW w:w="948" w:type="dxa"/>
            <w:vAlign w:val="center"/>
          </w:tcPr>
          <w:p w:rsidR="00CD2A5A" w:rsidRDefault="00CD2A5A">
            <w:pPr>
              <w:autoSpaceDE w:val="0"/>
              <w:autoSpaceDN w:val="0"/>
              <w:adjustRightInd w:val="0"/>
              <w:spacing w:before="40" w:after="40"/>
              <w:rPr>
                <w:sz w:val="20"/>
                <w:szCs w:val="20"/>
              </w:rPr>
            </w:pPr>
          </w:p>
        </w:tc>
      </w:tr>
    </w:tbl>
    <w:p w:rsidR="00CD2A5A" w:rsidRDefault="00CD2A5A">
      <w:pPr>
        <w:spacing w:after="240"/>
      </w:pPr>
    </w:p>
    <w:p w:rsidR="00CD2A5A" w:rsidRDefault="00CD2A5A">
      <w:pPr>
        <w:numPr>
          <w:ilvl w:val="0"/>
          <w:numId w:val="33"/>
        </w:numPr>
        <w:tabs>
          <w:tab w:val="clear" w:pos="567"/>
        </w:tabs>
        <w:spacing w:after="240"/>
      </w:pPr>
      <w:r>
        <w:t>El MSPAS reporta 33 defunciones en 1997 y 44 en 2006</w:t>
      </w:r>
      <w:r>
        <w:rPr>
          <w:rStyle w:val="FootnoteReference"/>
          <w:b w:val="0"/>
        </w:rPr>
        <w:footnoteReference w:id="109"/>
      </w:r>
      <w:r>
        <w:t xml:space="preserve">. Estos datos indican que es poco probable proyectar el cumplimiento de la meta para el 2010.  </w:t>
      </w:r>
    </w:p>
    <w:p w:rsidR="00CD2A5A" w:rsidRDefault="00CD2A5A">
      <w:pPr>
        <w:pStyle w:val="10"/>
      </w:pPr>
      <w:r>
        <w:t xml:space="preserve">5. </w:t>
      </w:r>
      <w:r>
        <w:tab/>
        <w:t>Objetivo: Garantizar la sostenibilidad del medio ambiente (ODM 7)</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71"/>
        <w:gridCol w:w="7849"/>
        <w:gridCol w:w="892"/>
      </w:tblGrid>
      <w:tr w:rsidR="00CD2A5A">
        <w:trPr>
          <w:gridAfter w:val="1"/>
          <w:wAfter w:w="917" w:type="dxa"/>
          <w:jc w:val="center"/>
        </w:trPr>
        <w:tc>
          <w:tcPr>
            <w:tcW w:w="688" w:type="dxa"/>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144" w:type="dxa"/>
          </w:tcPr>
          <w:p w:rsidR="00CD2A5A" w:rsidRDefault="00CD2A5A">
            <w:pPr>
              <w:spacing w:before="40" w:after="40"/>
              <w:rPr>
                <w:sz w:val="20"/>
                <w:szCs w:val="20"/>
              </w:rPr>
            </w:pPr>
            <w:r>
              <w:rPr>
                <w:sz w:val="20"/>
                <w:szCs w:val="20"/>
              </w:rPr>
              <w:t xml:space="preserve">Proporción de hogares que carecen de </w:t>
            </w:r>
            <w:r>
              <w:rPr>
                <w:sz w:val="20"/>
                <w:szCs w:val="20"/>
                <w:u w:val="single"/>
              </w:rPr>
              <w:t>acceso al agua potable entubada</w:t>
            </w:r>
            <w:r>
              <w:rPr>
                <w:sz w:val="20"/>
                <w:szCs w:val="20"/>
              </w:rPr>
              <w:t>, sea que esté servida con conexión domiciliaria, sea que esté servida en fuente pública de fácil acceso.</w:t>
            </w:r>
            <w:r>
              <w:rPr>
                <w:rStyle w:val="FootnoteReference"/>
                <w:sz w:val="20"/>
                <w:szCs w:val="20"/>
              </w:rPr>
              <w:footnoteReference w:id="110"/>
            </w:r>
          </w:p>
        </w:tc>
      </w:tr>
      <w:tr w:rsidR="00CD2A5A">
        <w:trPr>
          <w:cantSplit/>
          <w:jc w:val="center"/>
        </w:trPr>
        <w:tc>
          <w:tcPr>
            <w:tcW w:w="688" w:type="dxa"/>
            <w:vMerge w:val="restart"/>
            <w:vAlign w:val="center"/>
          </w:tcPr>
          <w:p w:rsidR="00CD2A5A" w:rsidRDefault="00CD2A5A">
            <w:pPr>
              <w:autoSpaceDE w:val="0"/>
              <w:autoSpaceDN w:val="0"/>
              <w:adjustRightInd w:val="0"/>
              <w:spacing w:before="40" w:after="40"/>
              <w:rPr>
                <w:sz w:val="20"/>
                <w:szCs w:val="20"/>
              </w:rPr>
            </w:pPr>
          </w:p>
        </w:tc>
        <w:tc>
          <w:tcPr>
            <w:tcW w:w="8144" w:type="dxa"/>
            <w:vAlign w:val="center"/>
          </w:tcPr>
          <w:p w:rsidR="00CD2A5A" w:rsidRDefault="00CD2A5A">
            <w:pPr>
              <w:keepNext/>
              <w:spacing w:before="40" w:after="40"/>
              <w:rPr>
                <w:sz w:val="20"/>
                <w:szCs w:val="20"/>
              </w:rPr>
            </w:pPr>
            <w:r>
              <w:rPr>
                <w:sz w:val="20"/>
                <w:szCs w:val="20"/>
              </w:rPr>
              <w:t>META: reducir en un tercio (2010) (PA-MAN A, 1, 36 (d))</w:t>
            </w:r>
          </w:p>
        </w:tc>
        <w:tc>
          <w:tcPr>
            <w:tcW w:w="917" w:type="dxa"/>
            <w:vAlign w:val="center"/>
          </w:tcPr>
          <w:p w:rsidR="00CD2A5A" w:rsidRDefault="00CD2A5A">
            <w:pPr>
              <w:autoSpaceDE w:val="0"/>
              <w:autoSpaceDN w:val="0"/>
              <w:adjustRightInd w:val="0"/>
              <w:spacing w:before="40" w:after="40"/>
              <w:rPr>
                <w:sz w:val="20"/>
                <w:szCs w:val="20"/>
              </w:rPr>
            </w:pPr>
            <w:r>
              <w:rPr>
                <w:sz w:val="20"/>
                <w:szCs w:val="20"/>
              </w:rPr>
              <w:t>30,7%</w:t>
            </w:r>
          </w:p>
        </w:tc>
      </w:tr>
      <w:tr w:rsidR="00CD2A5A">
        <w:trPr>
          <w:cantSplit/>
          <w:jc w:val="center"/>
        </w:trPr>
        <w:tc>
          <w:tcPr>
            <w:tcW w:w="688" w:type="dxa"/>
            <w:vMerge/>
            <w:vAlign w:val="center"/>
          </w:tcPr>
          <w:p w:rsidR="00CD2A5A" w:rsidRDefault="00CD2A5A">
            <w:pPr>
              <w:autoSpaceDE w:val="0"/>
              <w:autoSpaceDN w:val="0"/>
              <w:adjustRightInd w:val="0"/>
              <w:spacing w:before="40" w:after="40"/>
              <w:rPr>
                <w:sz w:val="20"/>
                <w:szCs w:val="20"/>
              </w:rPr>
            </w:pPr>
          </w:p>
        </w:tc>
        <w:tc>
          <w:tcPr>
            <w:tcW w:w="8144" w:type="dxa"/>
            <w:vAlign w:val="center"/>
          </w:tcPr>
          <w:p w:rsidR="00CD2A5A" w:rsidRDefault="00CD2A5A">
            <w:pPr>
              <w:keepNext/>
              <w:spacing w:before="40" w:after="40"/>
              <w:rPr>
                <w:sz w:val="20"/>
                <w:szCs w:val="20"/>
              </w:rPr>
            </w:pPr>
            <w:r>
              <w:rPr>
                <w:sz w:val="20"/>
                <w:szCs w:val="20"/>
              </w:rPr>
              <w:t>META: reducir a la mitad (2015) (ODM 7)</w:t>
            </w:r>
          </w:p>
        </w:tc>
        <w:tc>
          <w:tcPr>
            <w:tcW w:w="917" w:type="dxa"/>
            <w:vAlign w:val="center"/>
          </w:tcPr>
          <w:p w:rsidR="00CD2A5A" w:rsidRDefault="00CD2A5A">
            <w:pPr>
              <w:autoSpaceDE w:val="0"/>
              <w:autoSpaceDN w:val="0"/>
              <w:adjustRightInd w:val="0"/>
              <w:spacing w:before="40" w:after="40"/>
              <w:rPr>
                <w:sz w:val="20"/>
                <w:szCs w:val="20"/>
              </w:rPr>
            </w:pPr>
            <w:r>
              <w:rPr>
                <w:sz w:val="20"/>
                <w:szCs w:val="20"/>
              </w:rPr>
              <w:t>23,0%</w:t>
            </w:r>
          </w:p>
        </w:tc>
      </w:tr>
    </w:tbl>
    <w:p w:rsidR="00CD2A5A" w:rsidRDefault="00CD2A5A"/>
    <w:p w:rsidR="00CD2A5A" w:rsidRDefault="00CD2A5A">
      <w:pPr>
        <w:numPr>
          <w:ilvl w:val="0"/>
          <w:numId w:val="33"/>
        </w:numPr>
        <w:tabs>
          <w:tab w:val="clear" w:pos="567"/>
        </w:tabs>
        <w:spacing w:after="240"/>
      </w:pPr>
      <w:r>
        <w:t>Entre 1991 y 2005 la proporción de hogares sin acceso logró descender de 46,06% a 31,92%, lo que representa un decremento de 14,17 puntos porcentuales, con un promedio anual de –0,94 puntos. De continuar a este ritmo general es muy probable que el país alcance las metas 2010 y 2015.</w:t>
      </w:r>
      <w:r>
        <w:rPr>
          <w:rStyle w:val="FootnoteReference"/>
          <w:b w:val="0"/>
        </w:rPr>
        <w:footnoteReference w:id="111"/>
      </w:r>
    </w:p>
    <w:p w:rsidR="00CD2A5A" w:rsidRDefault="00CD2A5A">
      <w:pPr>
        <w:numPr>
          <w:ilvl w:val="0"/>
          <w:numId w:val="33"/>
        </w:numPr>
        <w:tabs>
          <w:tab w:val="clear" w:pos="567"/>
        </w:tabs>
        <w:spacing w:after="240"/>
      </w:pPr>
      <w:r>
        <w:t>Sin embargo, esta dinámica general no ha sido homogénea a lo largo de estos quince años. Mientras en el período 1990-1995 se logró un decremento promedio anual de – 0.95 puntos porcentuales, en el período 1995-1999 alcanzó su momento álgido con un promedio de – 1.8 puntos, pero en el período más reciente entre 1999-2005 el decremento se debilitó sustancialmente con un promedio anual de apenas – 0.34 puntos, el más bajo desde 1990. En caso de persistir el ritmo de este último período, el país podrá alcanzar la meta 2010. La meta ODM para 2015 requiere una reducción de 8 puntos en 10 años, lo cual es muy probable si se continúan los esfuerzos por brindar a la población un mayor acceso a fuentes de agua entubada.</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Proporción de hogares que </w:t>
            </w:r>
            <w:r>
              <w:rPr>
                <w:sz w:val="20"/>
                <w:szCs w:val="20"/>
                <w:u w:val="single"/>
              </w:rPr>
              <w:t>carecen de acceso a servicios higiénicos</w:t>
            </w:r>
            <w:r>
              <w:rPr>
                <w:sz w:val="20"/>
                <w:szCs w:val="20"/>
              </w:rPr>
              <w:t xml:space="preserve">, privados o públicos, de exposición de excretas por medio de </w:t>
            </w:r>
            <w:r>
              <w:rPr>
                <w:i/>
                <w:iCs/>
                <w:sz w:val="20"/>
                <w:szCs w:val="20"/>
              </w:rPr>
              <w:t>a</w:t>
            </w:r>
            <w:r>
              <w:rPr>
                <w:sz w:val="20"/>
                <w:szCs w:val="20"/>
              </w:rPr>
              <w:t xml:space="preserve">) alcantarillado, </w:t>
            </w:r>
            <w:r>
              <w:rPr>
                <w:i/>
                <w:iCs/>
                <w:sz w:val="20"/>
                <w:szCs w:val="20"/>
              </w:rPr>
              <w:t>b</w:t>
            </w:r>
            <w:r>
              <w:rPr>
                <w:sz w:val="20"/>
                <w:szCs w:val="20"/>
              </w:rPr>
              <w:t xml:space="preserve">) fosa séptica o </w:t>
            </w:r>
            <w:r>
              <w:rPr>
                <w:i/>
                <w:iCs/>
                <w:sz w:val="20"/>
                <w:szCs w:val="20"/>
              </w:rPr>
              <w:t>c</w:t>
            </w:r>
            <w:r>
              <w:rPr>
                <w:sz w:val="20"/>
                <w:szCs w:val="20"/>
              </w:rPr>
              <w:t>) letrina</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reducir en un tercio (2010) (PA-MAN A, 1, 36 (d))</w:t>
            </w:r>
          </w:p>
        </w:tc>
        <w:tc>
          <w:tcPr>
            <w:tcW w:w="948" w:type="dxa"/>
            <w:vAlign w:val="center"/>
          </w:tcPr>
          <w:p w:rsidR="00CD2A5A" w:rsidRDefault="00CD2A5A">
            <w:pPr>
              <w:autoSpaceDE w:val="0"/>
              <w:autoSpaceDN w:val="0"/>
              <w:adjustRightInd w:val="0"/>
              <w:spacing w:before="40" w:after="40"/>
              <w:rPr>
                <w:sz w:val="20"/>
                <w:szCs w:val="20"/>
              </w:rPr>
            </w:pPr>
            <w:r>
              <w:rPr>
                <w:sz w:val="20"/>
                <w:szCs w:val="20"/>
              </w:rPr>
              <w:t>16.11%</w:t>
            </w:r>
          </w:p>
        </w:tc>
      </w:tr>
    </w:tbl>
    <w:p w:rsidR="00CD2A5A" w:rsidRDefault="00CD2A5A"/>
    <w:p w:rsidR="00CD2A5A" w:rsidRDefault="00CD2A5A">
      <w:pPr>
        <w:keepNext/>
        <w:numPr>
          <w:ilvl w:val="0"/>
          <w:numId w:val="33"/>
        </w:numPr>
        <w:tabs>
          <w:tab w:val="clear" w:pos="567"/>
        </w:tabs>
        <w:spacing w:after="240"/>
      </w:pPr>
      <w:r>
        <w:t>Este indicador general tiene una limitación: da cabida a tres tipos muy heterogéneos de servicios – alcantarillado, fosa séptica y letrina – de diferente calidad en cuanto a su capacidad de impacto en la salud pública. Por ello se hace necesario diferenciar el indicador para cada uno de esos tipos de servicios.</w:t>
      </w:r>
    </w:p>
    <w:p w:rsidR="00CD2A5A" w:rsidRDefault="00CD2A5A">
      <w:pPr>
        <w:numPr>
          <w:ilvl w:val="0"/>
          <w:numId w:val="33"/>
        </w:numPr>
        <w:tabs>
          <w:tab w:val="clear" w:pos="567"/>
        </w:tabs>
        <w:spacing w:after="240"/>
      </w:pPr>
      <w:r>
        <w:t xml:space="preserve">Entre 1991 y 2005 la proporción de hogares que carecen de acceso a alguno de estos tres tipos de servicios logró descender de 24,16% a 10,12%, lo que representa un decremento de 14,04 puntos porcentuales, con un promedio anual de –0,94 puntos, lo cual muestra que la meta para el 2010 (16.11%) ya ha sido cumplida y superada a nivel nacional. </w:t>
      </w:r>
      <w:r>
        <w:rPr>
          <w:rStyle w:val="FootnoteReference"/>
          <w:b w:val="0"/>
        </w:rPr>
        <w:footnoteReference w:id="112"/>
      </w:r>
      <w:r>
        <w:t xml:space="preserve">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820"/>
        <w:gridCol w:w="11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Proporción de hogares que carecen de </w:t>
            </w:r>
            <w:r>
              <w:rPr>
                <w:sz w:val="20"/>
                <w:szCs w:val="20"/>
                <w:u w:val="single"/>
              </w:rPr>
              <w:t>acceso a servicios higiénicos</w:t>
            </w:r>
            <w:r>
              <w:rPr>
                <w:sz w:val="20"/>
                <w:szCs w:val="20"/>
              </w:rPr>
              <w:t xml:space="preserve">, privados o públicos, de exposición de excretas por medio de </w:t>
            </w:r>
            <w:r>
              <w:rPr>
                <w:sz w:val="20"/>
                <w:szCs w:val="20"/>
                <w:u w:val="single"/>
              </w:rPr>
              <w:t>alcantarillado</w:t>
            </w:r>
            <w:r>
              <w:rPr>
                <w:sz w:val="20"/>
                <w:szCs w:val="20"/>
              </w:rPr>
              <w:t>.</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557" w:type="dxa"/>
            <w:vAlign w:val="center"/>
          </w:tcPr>
          <w:p w:rsidR="00CD2A5A" w:rsidRDefault="00CD2A5A">
            <w:pPr>
              <w:keepNext/>
              <w:spacing w:before="40" w:after="40"/>
              <w:rPr>
                <w:sz w:val="20"/>
                <w:szCs w:val="20"/>
              </w:rPr>
            </w:pPr>
            <w:r>
              <w:rPr>
                <w:sz w:val="20"/>
                <w:szCs w:val="20"/>
              </w:rPr>
              <w:t>META: reducir en un tercio (2010) (PA-MAN A, 1, 36 (d))</w:t>
            </w:r>
          </w:p>
        </w:tc>
        <w:tc>
          <w:tcPr>
            <w:tcW w:w="1067" w:type="dxa"/>
            <w:vAlign w:val="center"/>
          </w:tcPr>
          <w:p w:rsidR="00CD2A5A" w:rsidRDefault="00CD2A5A">
            <w:pPr>
              <w:autoSpaceDE w:val="0"/>
              <w:autoSpaceDN w:val="0"/>
              <w:adjustRightInd w:val="0"/>
              <w:spacing w:before="40" w:after="40"/>
              <w:rPr>
                <w:sz w:val="20"/>
                <w:szCs w:val="20"/>
              </w:rPr>
            </w:pPr>
            <w:r>
              <w:rPr>
                <w:sz w:val="20"/>
                <w:szCs w:val="20"/>
              </w:rPr>
              <w:t>47.29%</w:t>
            </w:r>
          </w:p>
        </w:tc>
      </w:tr>
    </w:tbl>
    <w:p w:rsidR="00CD2A5A" w:rsidRDefault="00CD2A5A">
      <w:pPr>
        <w:spacing w:after="240"/>
      </w:pPr>
    </w:p>
    <w:p w:rsidR="00CD2A5A" w:rsidRDefault="00CD2A5A">
      <w:pPr>
        <w:numPr>
          <w:ilvl w:val="0"/>
          <w:numId w:val="33"/>
        </w:numPr>
        <w:tabs>
          <w:tab w:val="clear" w:pos="567"/>
        </w:tabs>
        <w:spacing w:after="240"/>
      </w:pPr>
      <w:r>
        <w:t>Entre 1991 y 2005 la proporción de hogares que carecen de acceso a servicios higiénicos por medio de alcantarillado logró descender de 70,93% a 59,25%, lo que representa un decremento de 11,68 puntos porcentuales, con un promedio anual de –0,78 puntos. El ritmo del decremento fue menor en el período 1997-2005, con un promedio anual de –0,42 puntos porcentuales. Si se mantiene una tendencia descendente pronunciada, es probable plantear el cumplimiento de la meta tanto para 2010 como para 2015.</w:t>
      </w:r>
      <w:r>
        <w:rPr>
          <w:rStyle w:val="FootnoteReference"/>
          <w:b w:val="0"/>
        </w:rPr>
        <w:footnoteReference w:id="113"/>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820"/>
        <w:gridCol w:w="1104"/>
      </w:tblGrid>
      <w:tr w:rsidR="00CD2A5A">
        <w:trPr>
          <w:cantSplit/>
          <w:trHeight w:val="70"/>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 xml:space="preserve">Proporción de hogares que carecen de </w:t>
            </w:r>
            <w:r>
              <w:rPr>
                <w:sz w:val="20"/>
                <w:szCs w:val="20"/>
                <w:u w:val="single"/>
              </w:rPr>
              <w:t>acceso a servicios higiénicos</w:t>
            </w:r>
            <w:r>
              <w:rPr>
                <w:sz w:val="20"/>
                <w:szCs w:val="20"/>
              </w:rPr>
              <w:t xml:space="preserve">, privados o públicos, de exposición de excretas por medio de </w:t>
            </w:r>
            <w:r>
              <w:rPr>
                <w:sz w:val="20"/>
                <w:szCs w:val="20"/>
                <w:u w:val="single"/>
              </w:rPr>
              <w:t>alcantarillado</w:t>
            </w:r>
            <w:r>
              <w:rPr>
                <w:sz w:val="20"/>
                <w:szCs w:val="20"/>
              </w:rPr>
              <w:t xml:space="preserve"> o por medio de </w:t>
            </w:r>
            <w:r>
              <w:rPr>
                <w:sz w:val="20"/>
                <w:szCs w:val="20"/>
                <w:u w:val="single"/>
              </w:rPr>
              <w:t>fosa séptica</w:t>
            </w:r>
            <w:r>
              <w:rPr>
                <w:sz w:val="20"/>
                <w:szCs w:val="20"/>
              </w:rPr>
              <w:t>.</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557" w:type="dxa"/>
            <w:vAlign w:val="center"/>
          </w:tcPr>
          <w:p w:rsidR="00CD2A5A" w:rsidRDefault="00CD2A5A">
            <w:pPr>
              <w:keepNext/>
              <w:spacing w:before="40" w:after="40"/>
              <w:rPr>
                <w:sz w:val="20"/>
                <w:szCs w:val="20"/>
              </w:rPr>
            </w:pPr>
            <w:r>
              <w:rPr>
                <w:sz w:val="20"/>
                <w:szCs w:val="20"/>
              </w:rPr>
              <w:t>META: reducir en un tercio (2010) (PA-MAN A, 1, 36 (d))</w:t>
            </w:r>
          </w:p>
        </w:tc>
        <w:tc>
          <w:tcPr>
            <w:tcW w:w="1067" w:type="dxa"/>
            <w:vAlign w:val="center"/>
          </w:tcPr>
          <w:p w:rsidR="00CD2A5A" w:rsidRDefault="00CD2A5A">
            <w:pPr>
              <w:autoSpaceDE w:val="0"/>
              <w:autoSpaceDN w:val="0"/>
              <w:adjustRightInd w:val="0"/>
              <w:spacing w:before="40" w:after="40"/>
              <w:rPr>
                <w:sz w:val="20"/>
                <w:szCs w:val="20"/>
              </w:rPr>
            </w:pPr>
            <w:r>
              <w:rPr>
                <w:sz w:val="20"/>
                <w:szCs w:val="20"/>
              </w:rPr>
              <w:t>44,99%</w:t>
            </w:r>
          </w:p>
        </w:tc>
      </w:tr>
    </w:tbl>
    <w:p w:rsidR="00CD2A5A" w:rsidRDefault="00CD2A5A"/>
    <w:p w:rsidR="00CD2A5A" w:rsidRDefault="00CD2A5A">
      <w:pPr>
        <w:numPr>
          <w:ilvl w:val="0"/>
          <w:numId w:val="33"/>
        </w:numPr>
        <w:tabs>
          <w:tab w:val="clear" w:pos="567"/>
        </w:tabs>
        <w:spacing w:after="240"/>
      </w:pPr>
      <w:r>
        <w:t>Entre 1991 y 2005 la proporción de hogares que carecen de acceso a servicios higiénicos ya sea por medio de alcantarillado o por medio de fosa séptica logró descender de 67,49% a 50,03%, lo que representa un decremento de – 17.46 puntos porcentuales, con un promedio anual de – 1.16 puntos. Además, el ritmo del decremento fue mayor en el período 1997-2005 con un promedio anual de – 1.34 puntos porcentuales; de mantenerse este ritmo más reciente, también podría proyectarse como probable el cumplimiento de la meta para 2010.</w:t>
      </w:r>
      <w:r>
        <w:rPr>
          <w:rStyle w:val="FootnoteReference"/>
          <w:b w:val="0"/>
        </w:rPr>
        <w:t xml:space="preserve"> </w:t>
      </w:r>
      <w:r>
        <w:rPr>
          <w:rStyle w:val="FootnoteReference"/>
          <w:b w:val="0"/>
        </w:rPr>
        <w:footnoteReference w:id="114"/>
      </w:r>
    </w:p>
    <w:p w:rsidR="00CD2A5A" w:rsidRDefault="00CD2A5A">
      <w:pPr>
        <w:keepNext/>
        <w:spacing w:after="240"/>
        <w:jc w:val="center"/>
        <w:rPr>
          <w:b/>
          <w:bCs/>
        </w:rPr>
      </w:pPr>
      <w:r>
        <w:rPr>
          <w:b/>
          <w:bCs/>
        </w:rPr>
        <w:br w:type="page"/>
        <w:t>TEMA II: Promoviendo una educación de calidad para todos y todas</w:t>
      </w:r>
    </w:p>
    <w:p w:rsidR="00CD2A5A" w:rsidRDefault="00CD2A5A">
      <w:pPr>
        <w:pStyle w:val="10"/>
      </w:pPr>
      <w:r>
        <w:t xml:space="preserve">6. </w:t>
      </w:r>
      <w:r>
        <w:tab/>
        <w:t>Objetivo: Lograr la enseñanza primaria universal (ODM 2); eliminar las desigualdades entre los géneros en la enseñanza (ODM 3)</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Proporción</w:t>
            </w:r>
            <w:r>
              <w:rPr>
                <w:sz w:val="20"/>
                <w:szCs w:val="20"/>
              </w:rPr>
              <w:t xml:space="preserve"> de personas entre 11 y 14 años cumplidos que </w:t>
            </w:r>
            <w:r>
              <w:rPr>
                <w:sz w:val="20"/>
                <w:szCs w:val="20"/>
                <w:u w:val="single"/>
              </w:rPr>
              <w:t>no han aprobado los cuatro primeros grados</w:t>
            </w:r>
            <w:r>
              <w:rPr>
                <w:sz w:val="20"/>
                <w:szCs w:val="20"/>
              </w:rPr>
              <w:t xml:space="preserve"> de enseñanza primaria – de 1</w:t>
            </w:r>
            <w:r>
              <w:rPr>
                <w:sz w:val="20"/>
                <w:szCs w:val="20"/>
                <w:vertAlign w:val="superscript"/>
              </w:rPr>
              <w:t>er</w:t>
            </w:r>
            <w:r>
              <w:rPr>
                <w:sz w:val="20"/>
                <w:szCs w:val="20"/>
              </w:rPr>
              <w:t xml:space="preserve"> grado a 4º grado –</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Reducir a cero (2015) (ODM 2)</w:t>
            </w:r>
          </w:p>
        </w:tc>
        <w:tc>
          <w:tcPr>
            <w:tcW w:w="948" w:type="dxa"/>
            <w:vAlign w:val="center"/>
          </w:tcPr>
          <w:p w:rsidR="00CD2A5A" w:rsidRDefault="00CD2A5A">
            <w:pPr>
              <w:autoSpaceDE w:val="0"/>
              <w:autoSpaceDN w:val="0"/>
              <w:adjustRightInd w:val="0"/>
              <w:spacing w:before="40" w:after="40"/>
              <w:rPr>
                <w:sz w:val="20"/>
                <w:szCs w:val="20"/>
                <w:lang w:val="it-IT"/>
              </w:rPr>
            </w:pPr>
            <w:r>
              <w:rPr>
                <w:sz w:val="20"/>
                <w:szCs w:val="20"/>
                <w:lang w:val="it-IT"/>
              </w:rPr>
              <w:t>0</w:t>
            </w:r>
          </w:p>
        </w:tc>
      </w:tr>
    </w:tbl>
    <w:p w:rsidR="00CD2A5A" w:rsidRDefault="00CD2A5A">
      <w:pPr>
        <w:spacing w:after="240"/>
        <w:rPr>
          <w:lang w:val="it-IT"/>
        </w:rPr>
      </w:pPr>
    </w:p>
    <w:p w:rsidR="00CD2A5A" w:rsidRDefault="00CD2A5A">
      <w:pPr>
        <w:numPr>
          <w:ilvl w:val="0"/>
          <w:numId w:val="33"/>
        </w:numPr>
        <w:tabs>
          <w:tab w:val="clear" w:pos="567"/>
        </w:tabs>
        <w:spacing w:after="240"/>
      </w:pPr>
      <w:r>
        <w:t xml:space="preserve">En 1990, el 49,82% de personas entre 10 y 14 años cumplidos no había aprobado los cuatro primeros grados; para 2005 esa proporción ha descendido a 25,34%, lo que significa un decremento general de 24,48 puntos porcentuales en 15 años, con un promedio anual de –1,63 puntos. De mantenerse este ritmo general sería poco probable proyectar el cumplimiento de la meta para el 2015. </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Tasa neta de asistencia a la enseñanza básica</w:t>
            </w:r>
            <w:r>
              <w:rPr>
                <w:sz w:val="20"/>
                <w:szCs w:val="20"/>
              </w:rPr>
              <w:t xml:space="preserve">, como la proporción de niños, niñas y adolescentes, </w:t>
            </w:r>
            <w:r>
              <w:rPr>
                <w:sz w:val="20"/>
                <w:szCs w:val="20"/>
                <w:u w:val="single"/>
              </w:rPr>
              <w:t>entre 7 y 15</w:t>
            </w:r>
            <w:r>
              <w:rPr>
                <w:sz w:val="20"/>
                <w:szCs w:val="20"/>
              </w:rPr>
              <w:t xml:space="preserve"> años cumplidos que asisten </w:t>
            </w:r>
            <w:r>
              <w:rPr>
                <w:sz w:val="20"/>
                <w:szCs w:val="20"/>
                <w:u w:val="single"/>
              </w:rPr>
              <w:t>al nivel básico</w:t>
            </w:r>
            <w:r>
              <w:rPr>
                <w:sz w:val="20"/>
                <w:szCs w:val="20"/>
              </w:rPr>
              <w:t xml:space="preserve"> – de 1º a 9º grados – del sistema escolar.</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lang w:val="it-IT"/>
              </w:rPr>
            </w:pPr>
            <w:r>
              <w:rPr>
                <w:sz w:val="20"/>
                <w:szCs w:val="20"/>
                <w:lang w:val="it-IT"/>
              </w:rPr>
              <w:t>META: 90% (2010) (PA-MAN, A, 2, 39, (b))</w:t>
            </w:r>
          </w:p>
        </w:tc>
        <w:tc>
          <w:tcPr>
            <w:tcW w:w="948" w:type="dxa"/>
            <w:vAlign w:val="center"/>
          </w:tcPr>
          <w:p w:rsidR="00CD2A5A" w:rsidRDefault="00CD2A5A">
            <w:pPr>
              <w:autoSpaceDE w:val="0"/>
              <w:autoSpaceDN w:val="0"/>
              <w:adjustRightInd w:val="0"/>
              <w:spacing w:before="40" w:after="40"/>
              <w:rPr>
                <w:sz w:val="20"/>
                <w:szCs w:val="20"/>
                <w:lang w:val="it-IT"/>
              </w:rPr>
            </w:pPr>
            <w:r>
              <w:rPr>
                <w:sz w:val="20"/>
                <w:szCs w:val="20"/>
                <w:lang w:val="it-IT"/>
              </w:rPr>
              <w:t>90</w:t>
            </w:r>
          </w:p>
        </w:tc>
      </w:tr>
      <w:tr w:rsidR="00CD2A5A">
        <w:trPr>
          <w:jc w:val="center"/>
        </w:trPr>
        <w:tc>
          <w:tcPr>
            <w:tcW w:w="471" w:type="dxa"/>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lang w:val="it-IT"/>
              </w:rPr>
            </w:pPr>
            <w:r>
              <w:rPr>
                <w:sz w:val="20"/>
                <w:szCs w:val="20"/>
                <w:lang w:val="it-IT"/>
              </w:rPr>
              <w:t>META: 100% (2015) (ODM 2)</w:t>
            </w:r>
          </w:p>
        </w:tc>
        <w:tc>
          <w:tcPr>
            <w:tcW w:w="948" w:type="dxa"/>
            <w:vAlign w:val="center"/>
          </w:tcPr>
          <w:p w:rsidR="00CD2A5A" w:rsidRDefault="00CD2A5A">
            <w:pPr>
              <w:autoSpaceDE w:val="0"/>
              <w:autoSpaceDN w:val="0"/>
              <w:adjustRightInd w:val="0"/>
              <w:spacing w:before="40" w:after="40"/>
              <w:rPr>
                <w:sz w:val="20"/>
                <w:szCs w:val="20"/>
                <w:lang w:val="it-IT"/>
              </w:rPr>
            </w:pPr>
            <w:r>
              <w:rPr>
                <w:sz w:val="20"/>
                <w:szCs w:val="20"/>
                <w:lang w:val="it-IT"/>
              </w:rPr>
              <w:t>100</w:t>
            </w:r>
          </w:p>
        </w:tc>
      </w:tr>
    </w:tbl>
    <w:p w:rsidR="00CD2A5A" w:rsidRDefault="00CD2A5A">
      <w:pPr>
        <w:spacing w:after="240"/>
        <w:rPr>
          <w:lang w:val="it-IT"/>
        </w:rPr>
      </w:pPr>
    </w:p>
    <w:p w:rsidR="00CD2A5A" w:rsidRDefault="00CD2A5A">
      <w:pPr>
        <w:numPr>
          <w:ilvl w:val="0"/>
          <w:numId w:val="33"/>
        </w:numPr>
        <w:tabs>
          <w:tab w:val="clear" w:pos="567"/>
        </w:tabs>
        <w:spacing w:after="240"/>
      </w:pPr>
      <w:r>
        <w:t>A nivel nacional, la tasa de asistencia de 75,54% en 1990 ha crecido a 89,7%</w:t>
      </w:r>
      <w:r>
        <w:rPr>
          <w:rStyle w:val="FootnoteReference"/>
        </w:rPr>
        <w:footnoteReference w:id="115"/>
      </w:r>
      <w:r>
        <w:t xml:space="preserve"> en 2006, un crecimiento absoluto de 14,16 puntos porcentuales con un promedio anual de +0,88 puntos. Este ritmo de crecimiento permitiría proyectar alcanzar tanto la meta 2010 como para el 2015, siempre y cuando se mantengan los esfuerzos nacionales por ampliar la cobertura de la educación básica.</w:t>
      </w:r>
      <w:r>
        <w:rPr>
          <w:rStyle w:val="FootnoteReference"/>
        </w:rPr>
        <w:t xml:space="preserve"> </w:t>
      </w:r>
    </w:p>
    <w:p w:rsidR="00CD2A5A" w:rsidRDefault="00CD2A5A">
      <w:pPr>
        <w:numPr>
          <w:ilvl w:val="0"/>
          <w:numId w:val="33"/>
        </w:numPr>
        <w:tabs>
          <w:tab w:val="clear" w:pos="567"/>
        </w:tabs>
        <w:spacing w:after="240"/>
      </w:pPr>
      <w:r>
        <w:t>Es importante mencionar que el ritmo de crecimiento de este indicador no ha sido homogéneo a lo largo de esos 16 años, sino que ha sido superior en el último período 2000-2006, en el que ha alcanzado un promedio anual de +1,14 puntos. Esta información sustenta la idea que si se mantiene este ritmo de crecimiento, se puede proyectar como muy probable el logro de ambas metas (tanto para 2010 como para el 2015).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8"/>
        <w:gridCol w:w="7820"/>
        <w:gridCol w:w="1104"/>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Proporción</w:t>
            </w:r>
            <w:r>
              <w:rPr>
                <w:sz w:val="20"/>
                <w:szCs w:val="20"/>
              </w:rPr>
              <w:t xml:space="preserve"> de niños, niñas y adolescentes, en edad escolar – </w:t>
            </w:r>
            <w:r>
              <w:rPr>
                <w:sz w:val="20"/>
                <w:szCs w:val="20"/>
                <w:u w:val="single"/>
              </w:rPr>
              <w:t>entre 7 y 17</w:t>
            </w:r>
            <w:r>
              <w:rPr>
                <w:sz w:val="20"/>
                <w:szCs w:val="20"/>
              </w:rPr>
              <w:t xml:space="preserve"> años cumplidos de edad – que </w:t>
            </w:r>
            <w:r>
              <w:rPr>
                <w:sz w:val="20"/>
                <w:szCs w:val="20"/>
                <w:u w:val="single"/>
              </w:rPr>
              <w:t>no asisten a los niveles primario o secundario</w:t>
            </w:r>
            <w:r>
              <w:rPr>
                <w:sz w:val="20"/>
                <w:szCs w:val="20"/>
              </w:rPr>
              <w:t xml:space="preserve"> del sistema escolar.</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557" w:type="dxa"/>
            <w:vAlign w:val="center"/>
          </w:tcPr>
          <w:p w:rsidR="00CD2A5A" w:rsidRDefault="00CD2A5A">
            <w:pPr>
              <w:keepNext/>
              <w:spacing w:before="40" w:after="40"/>
              <w:rPr>
                <w:sz w:val="20"/>
                <w:szCs w:val="20"/>
              </w:rPr>
            </w:pPr>
            <w:r>
              <w:rPr>
                <w:sz w:val="20"/>
                <w:szCs w:val="20"/>
              </w:rPr>
              <w:t>META: Reducir a la mitad (2010) (PA-MANA A, 2, 39, (b))</w:t>
            </w:r>
          </w:p>
        </w:tc>
        <w:tc>
          <w:tcPr>
            <w:tcW w:w="1067" w:type="dxa"/>
            <w:vAlign w:val="center"/>
          </w:tcPr>
          <w:p w:rsidR="00CD2A5A" w:rsidRDefault="00CD2A5A">
            <w:pPr>
              <w:autoSpaceDE w:val="0"/>
              <w:autoSpaceDN w:val="0"/>
              <w:adjustRightInd w:val="0"/>
              <w:spacing w:before="40" w:after="40"/>
              <w:rPr>
                <w:sz w:val="20"/>
                <w:szCs w:val="20"/>
              </w:rPr>
            </w:pPr>
            <w:r>
              <w:rPr>
                <w:sz w:val="20"/>
                <w:szCs w:val="20"/>
              </w:rPr>
              <w:t>14.49%</w:t>
            </w:r>
          </w:p>
        </w:tc>
      </w:tr>
    </w:tbl>
    <w:p w:rsidR="00CD2A5A" w:rsidRDefault="00CD2A5A">
      <w:pPr>
        <w:spacing w:after="240"/>
        <w:rPr>
          <w:lang w:val="it-IT"/>
        </w:rPr>
      </w:pPr>
    </w:p>
    <w:p w:rsidR="00CD2A5A" w:rsidRDefault="00CD2A5A">
      <w:pPr>
        <w:numPr>
          <w:ilvl w:val="0"/>
          <w:numId w:val="33"/>
        </w:numPr>
        <w:tabs>
          <w:tab w:val="clear" w:pos="567"/>
        </w:tabs>
        <w:spacing w:after="240"/>
      </w:pPr>
      <w:r>
        <w:t>A nivel nacional, la proporción de no asistentes de 28,97% en 1990 ha disminuido a 13,88% en 2005, un decremento general de 15,10 puntos porcentuales, con un promedio anual de – 1.01 puntos. El ritmo del decremento en el tercer quinquenio 2000-2005, con un promedio anual de – 1.26 puntos, fue superior al de los dos quinquenios anteriores. Con ello la meta 2010 ya ha sido cumplida y superada.</w:t>
      </w:r>
      <w:r>
        <w:rPr>
          <w:rStyle w:val="FootnoteReference"/>
          <w:b w:val="0"/>
        </w:rPr>
        <w:t xml:space="preserve"> </w:t>
      </w:r>
      <w:r>
        <w:rPr>
          <w:rStyle w:val="FootnoteReference"/>
          <w:b w:val="0"/>
        </w:rPr>
        <w:footnoteReference w:id="116"/>
      </w:r>
    </w:p>
    <w:p w:rsidR="00CD2A5A" w:rsidRDefault="00CD2A5A">
      <w:pPr>
        <w:spacing w:after="240"/>
      </w:pP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rPr>
              <w:t>Índice de alfabetización de adultos – como el porcentaje de personas de 15 o más años de edad capaces de leer, escribir y comprender un texto corto y sencillo sobre su vida cotidiana.</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lang w:val="it-IT"/>
              </w:rPr>
            </w:pPr>
            <w:r>
              <w:rPr>
                <w:sz w:val="20"/>
                <w:szCs w:val="20"/>
                <w:lang w:val="it-IT"/>
              </w:rPr>
              <w:t>META: Aumentar un 50% (2015) (PA-MANA A, 2, 39, (f))</w:t>
            </w:r>
          </w:p>
        </w:tc>
        <w:tc>
          <w:tcPr>
            <w:tcW w:w="948" w:type="dxa"/>
            <w:vAlign w:val="center"/>
          </w:tcPr>
          <w:p w:rsidR="00CD2A5A" w:rsidRDefault="00CD2A5A">
            <w:pPr>
              <w:autoSpaceDE w:val="0"/>
              <w:autoSpaceDN w:val="0"/>
              <w:adjustRightInd w:val="0"/>
              <w:spacing w:before="40" w:after="40"/>
              <w:rPr>
                <w:sz w:val="20"/>
                <w:szCs w:val="20"/>
                <w:lang w:val="it-IT"/>
              </w:rPr>
            </w:pPr>
            <w:r>
              <w:rPr>
                <w:sz w:val="20"/>
                <w:szCs w:val="20"/>
                <w:lang w:val="it-IT"/>
              </w:rPr>
              <w:t>100%</w:t>
            </w:r>
          </w:p>
        </w:tc>
      </w:tr>
    </w:tbl>
    <w:p w:rsidR="00CD2A5A" w:rsidRDefault="00CD2A5A">
      <w:pPr>
        <w:spacing w:after="240"/>
      </w:pPr>
    </w:p>
    <w:p w:rsidR="00CD2A5A" w:rsidRDefault="00CD2A5A">
      <w:pPr>
        <w:numPr>
          <w:ilvl w:val="0"/>
          <w:numId w:val="33"/>
        </w:numPr>
        <w:tabs>
          <w:tab w:val="clear" w:pos="567"/>
        </w:tabs>
        <w:spacing w:after="240"/>
      </w:pPr>
      <w:r>
        <w:t>La meta de aumentar en un 50% el índice de alfabetización de adultos del país en 1990 (71.50%) significaría alcanzar la alfabetización total para 2015. Entre 1991 y 2005 el índice logró ascender a 83.40%, lo que representa un incremento de + 11,90 puntos de porcentaje, con un promedio anual de + 0,79 puntos. Si se mantiene una tendencia ascendente, es probable plantear el cumplimiento de la meta para 2015.</w:t>
      </w:r>
    </w:p>
    <w:p w:rsidR="00CD2A5A" w:rsidRDefault="00CD2A5A">
      <w:pPr>
        <w:keepNext/>
        <w:spacing w:after="240"/>
        <w:jc w:val="center"/>
        <w:rPr>
          <w:b/>
          <w:bCs/>
        </w:rPr>
      </w:pPr>
      <w:r>
        <w:rPr>
          <w:b/>
          <w:bCs/>
        </w:rPr>
        <w:t>TEMA III: Combatiendo el VIH–SIDA (ODM 6)</w:t>
      </w:r>
    </w:p>
    <w:p w:rsidR="00CD2A5A" w:rsidRDefault="00CD2A5A">
      <w:pPr>
        <w:pStyle w:val="10"/>
      </w:pPr>
      <w:r>
        <w:t xml:space="preserve">7. </w:t>
      </w:r>
      <w:r>
        <w:tab/>
        <w:t>Detener y comenzar a reducir la propagación (ODM 3)</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numPr>
                <w:ilvl w:val="1"/>
                <w:numId w:val="11"/>
              </w:numPr>
              <w:tabs>
                <w:tab w:val="clear" w:pos="170"/>
              </w:tabs>
              <w:autoSpaceDE w:val="0"/>
              <w:autoSpaceDN w:val="0"/>
              <w:adjustRightInd w:val="0"/>
              <w:spacing w:before="40" w:after="40"/>
              <w:ind w:left="0" w:firstLine="0"/>
              <w:rPr>
                <w:sz w:val="20"/>
                <w:szCs w:val="20"/>
              </w:rPr>
            </w:pPr>
          </w:p>
        </w:tc>
        <w:tc>
          <w:tcPr>
            <w:tcW w:w="8624" w:type="dxa"/>
            <w:gridSpan w:val="2"/>
          </w:tcPr>
          <w:p w:rsidR="00CD2A5A" w:rsidRDefault="00CD2A5A">
            <w:pPr>
              <w:spacing w:before="40" w:after="40"/>
              <w:rPr>
                <w:sz w:val="20"/>
                <w:szCs w:val="20"/>
              </w:rPr>
            </w:pPr>
            <w:r>
              <w:rPr>
                <w:sz w:val="20"/>
                <w:szCs w:val="20"/>
                <w:u w:val="single"/>
              </w:rPr>
              <w:t>Tasa de incidencia anual</w:t>
            </w:r>
            <w:r>
              <w:rPr>
                <w:sz w:val="20"/>
                <w:szCs w:val="20"/>
              </w:rPr>
              <w:t xml:space="preserve"> del </w:t>
            </w:r>
            <w:r>
              <w:rPr>
                <w:b/>
                <w:sz w:val="20"/>
                <w:szCs w:val="20"/>
                <w:u w:val="single"/>
              </w:rPr>
              <w:t>VIH-SIDA</w:t>
            </w:r>
            <w:r>
              <w:rPr>
                <w:sz w:val="20"/>
                <w:szCs w:val="20"/>
              </w:rPr>
              <w:t xml:space="preserve"> – como la cantidad de personas que han sido reportadas cada año viviendo con VIH-SIDA por cada 100.000 habitantes.</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Detener y comenzar a reducir  (2015) (ODM 6)</w:t>
            </w:r>
          </w:p>
        </w:tc>
        <w:tc>
          <w:tcPr>
            <w:tcW w:w="948" w:type="dxa"/>
            <w:vAlign w:val="center"/>
          </w:tcPr>
          <w:p w:rsidR="00CD2A5A" w:rsidRDefault="00CD2A5A">
            <w:pPr>
              <w:autoSpaceDE w:val="0"/>
              <w:autoSpaceDN w:val="0"/>
              <w:adjustRightInd w:val="0"/>
              <w:spacing w:before="40" w:after="40"/>
              <w:rPr>
                <w:sz w:val="20"/>
                <w:szCs w:val="20"/>
              </w:rPr>
            </w:pPr>
          </w:p>
        </w:tc>
      </w:tr>
    </w:tbl>
    <w:p w:rsidR="00CD2A5A" w:rsidRDefault="00CD2A5A">
      <w:pPr>
        <w:spacing w:after="240"/>
      </w:pPr>
    </w:p>
    <w:p w:rsidR="00CD2A5A" w:rsidRDefault="00CD2A5A">
      <w:pPr>
        <w:numPr>
          <w:ilvl w:val="0"/>
          <w:numId w:val="33"/>
        </w:numPr>
        <w:tabs>
          <w:tab w:val="clear" w:pos="567"/>
        </w:tabs>
        <w:spacing w:after="240"/>
      </w:pPr>
      <w:r>
        <w:t>Según el Programa Nacional de Control y Prevención de ITS/VIH/SIDA,</w:t>
      </w:r>
      <w:r>
        <w:rPr>
          <w:vertAlign w:val="superscript"/>
        </w:rPr>
        <w:footnoteReference w:id="117"/>
      </w:r>
      <w:r>
        <w:t xml:space="preserve"> la tasa de incidencia anual había presentado un incremento progresivo hasta el año 2003, tanto en el caso del VIH positivo como en los casos de SIDA. Este crecimiento ha sido particularmente notable a partir del año 2000, con un promedio anual de 765 nuevos casos de VIH y de 779 casos de SIDA, lo cual puede ser el resultado de una mejoría en el sistema de vigilancia epidemiológica y de la mayor disponibilidad de la prueba del VIH gratuita a nivel nacional, aunque no hay razón para afirmar que este fenómeno no responda también a un incremento sostenido – y agudizado más recientemente – del nivel de riesgo en el país.</w:t>
      </w:r>
      <w:r>
        <w:rPr>
          <w:b/>
          <w:vertAlign w:val="superscript"/>
        </w:rPr>
        <w:footnoteReference w:id="118"/>
      </w:r>
    </w:p>
    <w:p w:rsidR="00CD2A5A" w:rsidRDefault="00CD2A5A">
      <w:pPr>
        <w:numPr>
          <w:ilvl w:val="0"/>
          <w:numId w:val="33"/>
        </w:numPr>
        <w:tabs>
          <w:tab w:val="clear" w:pos="567"/>
        </w:tabs>
        <w:spacing w:after="240"/>
      </w:pPr>
      <w:r>
        <w:t xml:space="preserve">Sin embargo, es importante mencionar que a partir de los años 2003 y 2004, gracias a los esfuerzos nacionales, la tasa de incidencia de VIH se ha logrado reducir en 3 puntos, pasando de 20 en 2004 a 17,3 en el año 2005, igualmente la tasa de SIDA se ha logrado reducir de 10.2 en el 2004 a 6,2 para el año 2005; en consecuencia, de continuar la misma dinámica actual, sería probable que el país pueda detener la enfermedad. </w:t>
      </w:r>
    </w:p>
    <w:p w:rsidR="00CD2A5A" w:rsidRDefault="00CD2A5A">
      <w:pPr>
        <w:numPr>
          <w:ilvl w:val="0"/>
          <w:numId w:val="33"/>
        </w:numPr>
        <w:tabs>
          <w:tab w:val="clear" w:pos="567"/>
        </w:tabs>
        <w:spacing w:after="240"/>
        <w:rPr>
          <w:b/>
          <w:u w:val="single"/>
        </w:rPr>
      </w:pPr>
      <w:r>
        <w:t>Uno de los mayores logros en la lucha contra el VIH/SIDA en el país se evidencia en la reducción de casos de VIH y SIDA en menores de un año hasta el 2005, dato que ha pasado de 92 en el año 2000 a 20 en el 2005.</w:t>
      </w:r>
      <w:r>
        <w:rPr>
          <w:rStyle w:val="FootnoteReference"/>
        </w:rPr>
        <w:footnoteReference w:id="119"/>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7"/>
        <w:gridCol w:w="7944"/>
        <w:gridCol w:w="981"/>
      </w:tblGrid>
      <w:tr w:rsidR="00CD2A5A">
        <w:trPr>
          <w:cantSplit/>
          <w:jc w:val="center"/>
        </w:trPr>
        <w:tc>
          <w:tcPr>
            <w:tcW w:w="471" w:type="dxa"/>
            <w:vMerge w:val="restart"/>
            <w:vAlign w:val="center"/>
          </w:tcPr>
          <w:p w:rsidR="00CD2A5A" w:rsidRDefault="00CD2A5A">
            <w:pPr>
              <w:autoSpaceDE w:val="0"/>
              <w:autoSpaceDN w:val="0"/>
              <w:adjustRightInd w:val="0"/>
              <w:spacing w:before="40" w:after="40"/>
              <w:rPr>
                <w:sz w:val="20"/>
                <w:szCs w:val="20"/>
              </w:rPr>
            </w:pPr>
            <w:r>
              <w:rPr>
                <w:sz w:val="20"/>
                <w:szCs w:val="20"/>
              </w:rPr>
              <w:t>34</w:t>
            </w:r>
          </w:p>
        </w:tc>
        <w:tc>
          <w:tcPr>
            <w:tcW w:w="8624" w:type="dxa"/>
            <w:gridSpan w:val="2"/>
          </w:tcPr>
          <w:p w:rsidR="00CD2A5A" w:rsidRDefault="00CD2A5A">
            <w:pPr>
              <w:spacing w:before="40" w:after="40"/>
              <w:rPr>
                <w:sz w:val="20"/>
                <w:szCs w:val="20"/>
              </w:rPr>
            </w:pPr>
            <w:r>
              <w:rPr>
                <w:sz w:val="20"/>
                <w:szCs w:val="20"/>
              </w:rPr>
              <w:t xml:space="preserve">Proporción de hombres y mujeres </w:t>
            </w:r>
            <w:r>
              <w:rPr>
                <w:sz w:val="20"/>
                <w:szCs w:val="20"/>
                <w:u w:val="single"/>
              </w:rPr>
              <w:t>de 15 a 24 años</w:t>
            </w:r>
            <w:r>
              <w:rPr>
                <w:sz w:val="20"/>
                <w:szCs w:val="20"/>
              </w:rPr>
              <w:t xml:space="preserve"> que tienen </w:t>
            </w:r>
            <w:r>
              <w:rPr>
                <w:sz w:val="20"/>
                <w:szCs w:val="20"/>
                <w:u w:val="single"/>
              </w:rPr>
              <w:t xml:space="preserve">acceso a la información </w:t>
            </w:r>
            <w:r>
              <w:rPr>
                <w:sz w:val="20"/>
                <w:szCs w:val="20"/>
              </w:rPr>
              <w:t>necesaria para reducir su vulnerabilidad a la infección de VIH.</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90% (2005) (PA-MAN A, 4, 47 (2))</w:t>
            </w:r>
          </w:p>
        </w:tc>
        <w:tc>
          <w:tcPr>
            <w:tcW w:w="948" w:type="dxa"/>
            <w:vAlign w:val="center"/>
          </w:tcPr>
          <w:p w:rsidR="00CD2A5A" w:rsidRDefault="00CD2A5A">
            <w:pPr>
              <w:autoSpaceDE w:val="0"/>
              <w:autoSpaceDN w:val="0"/>
              <w:adjustRightInd w:val="0"/>
              <w:spacing w:before="40" w:after="40"/>
              <w:rPr>
                <w:sz w:val="20"/>
                <w:szCs w:val="20"/>
              </w:rPr>
            </w:pPr>
            <w:r>
              <w:rPr>
                <w:sz w:val="20"/>
                <w:szCs w:val="20"/>
              </w:rPr>
              <w:t>90%</w:t>
            </w:r>
          </w:p>
        </w:tc>
      </w:tr>
      <w:tr w:rsidR="00CD2A5A">
        <w:trPr>
          <w:cantSplit/>
          <w:jc w:val="center"/>
        </w:trPr>
        <w:tc>
          <w:tcPr>
            <w:tcW w:w="471" w:type="dxa"/>
            <w:vMerge/>
            <w:vAlign w:val="center"/>
          </w:tcPr>
          <w:p w:rsidR="00CD2A5A" w:rsidRDefault="00CD2A5A">
            <w:pPr>
              <w:autoSpaceDE w:val="0"/>
              <w:autoSpaceDN w:val="0"/>
              <w:adjustRightInd w:val="0"/>
              <w:spacing w:before="40" w:after="40"/>
              <w:rPr>
                <w:sz w:val="20"/>
                <w:szCs w:val="20"/>
              </w:rPr>
            </w:pPr>
          </w:p>
        </w:tc>
        <w:tc>
          <w:tcPr>
            <w:tcW w:w="7676" w:type="dxa"/>
            <w:vAlign w:val="center"/>
          </w:tcPr>
          <w:p w:rsidR="00CD2A5A" w:rsidRDefault="00CD2A5A">
            <w:pPr>
              <w:keepNext/>
              <w:spacing w:before="40" w:after="40"/>
              <w:rPr>
                <w:sz w:val="20"/>
                <w:szCs w:val="20"/>
              </w:rPr>
            </w:pPr>
            <w:r>
              <w:rPr>
                <w:sz w:val="20"/>
                <w:szCs w:val="20"/>
              </w:rPr>
              <w:t>META: 95% (2010) (PA-MAN A, 4, 47 (2))</w:t>
            </w:r>
          </w:p>
        </w:tc>
        <w:tc>
          <w:tcPr>
            <w:tcW w:w="948" w:type="dxa"/>
            <w:vAlign w:val="center"/>
          </w:tcPr>
          <w:p w:rsidR="00CD2A5A" w:rsidRDefault="00CD2A5A">
            <w:pPr>
              <w:autoSpaceDE w:val="0"/>
              <w:autoSpaceDN w:val="0"/>
              <w:adjustRightInd w:val="0"/>
              <w:spacing w:before="40" w:after="40"/>
              <w:rPr>
                <w:sz w:val="20"/>
                <w:szCs w:val="20"/>
              </w:rPr>
            </w:pPr>
            <w:r>
              <w:rPr>
                <w:sz w:val="20"/>
                <w:szCs w:val="20"/>
              </w:rPr>
              <w:t>95%</w:t>
            </w:r>
          </w:p>
        </w:tc>
      </w:tr>
    </w:tbl>
    <w:p w:rsidR="00CD2A5A" w:rsidRDefault="00CD2A5A">
      <w:pPr>
        <w:numPr>
          <w:ilvl w:val="0"/>
          <w:numId w:val="33"/>
        </w:numPr>
        <w:tabs>
          <w:tab w:val="clear" w:pos="567"/>
        </w:tabs>
        <w:spacing w:after="240"/>
      </w:pPr>
      <w:r>
        <w:t xml:space="preserve">Analizando el comportamiento observado en el período 1998-2003 por el conjunto de indicadores comprendidos en el Cuadro I, adjuntado a continuación, con la excepción de uno de ellos – 34 a – que se refiere al “haber oído hablar del VIH/SIDA”, se puede mencionar que la meta 2005 no ha sido cumplida y por ende se realizan mayores esfuerzos en relación a las campañas de prevención del VIH/SIDA, con el fin de contar con las condiciones necesarias que permitan al país cumplir la meta al 2010. </w:t>
      </w:r>
    </w:p>
    <w:p w:rsidR="00CD2A5A" w:rsidRDefault="00CD2A5A" w:rsidP="00CD2A5A">
      <w:pPr>
        <w:pStyle w:val="Figure"/>
      </w:pPr>
      <w:r>
        <w:t>CUADRO I</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1"/>
        <w:gridCol w:w="259"/>
        <w:gridCol w:w="6585"/>
        <w:gridCol w:w="1100"/>
        <w:gridCol w:w="302"/>
        <w:gridCol w:w="695"/>
      </w:tblGrid>
      <w:tr w:rsidR="00CD2A5A">
        <w:trPr>
          <w:jc w:val="center"/>
        </w:trPr>
        <w:tc>
          <w:tcPr>
            <w:tcW w:w="730" w:type="dxa"/>
            <w:gridSpan w:val="2"/>
            <w:vAlign w:val="center"/>
          </w:tcPr>
          <w:p w:rsidR="00CD2A5A" w:rsidRDefault="00CD2A5A">
            <w:pPr>
              <w:spacing w:before="40" w:after="40"/>
              <w:rPr>
                <w:sz w:val="20"/>
                <w:szCs w:val="20"/>
              </w:rPr>
            </w:pPr>
          </w:p>
        </w:tc>
        <w:tc>
          <w:tcPr>
            <w:tcW w:w="6585" w:type="dxa"/>
            <w:vAlign w:val="center"/>
          </w:tcPr>
          <w:p w:rsidR="00CD2A5A" w:rsidRDefault="00CD2A5A">
            <w:pPr>
              <w:spacing w:before="40" w:after="40"/>
              <w:jc w:val="center"/>
              <w:rPr>
                <w:b/>
                <w:i/>
                <w:sz w:val="20"/>
                <w:szCs w:val="20"/>
              </w:rPr>
            </w:pPr>
            <w:r>
              <w:rPr>
                <w:b/>
                <w:i/>
                <w:sz w:val="20"/>
                <w:szCs w:val="20"/>
              </w:rPr>
              <w:t>Período 1998 – 2003</w:t>
            </w:r>
            <w:r>
              <w:rPr>
                <w:rStyle w:val="FootnoteReference"/>
                <w:b w:val="0"/>
                <w:i/>
                <w:sz w:val="20"/>
                <w:szCs w:val="20"/>
              </w:rPr>
              <w:footnoteReference w:id="120"/>
            </w:r>
          </w:p>
        </w:tc>
        <w:tc>
          <w:tcPr>
            <w:tcW w:w="1402" w:type="dxa"/>
            <w:gridSpan w:val="2"/>
            <w:vAlign w:val="center"/>
          </w:tcPr>
          <w:p w:rsidR="00CD2A5A" w:rsidRDefault="00CD2A5A">
            <w:pPr>
              <w:spacing w:before="40" w:after="40"/>
              <w:jc w:val="center"/>
              <w:rPr>
                <w:b/>
                <w:i/>
                <w:sz w:val="20"/>
                <w:szCs w:val="20"/>
              </w:rPr>
            </w:pPr>
            <w:r>
              <w:rPr>
                <w:b/>
                <w:i/>
                <w:sz w:val="20"/>
                <w:szCs w:val="20"/>
              </w:rPr>
              <w:t>Grupo</w:t>
            </w:r>
          </w:p>
        </w:tc>
        <w:tc>
          <w:tcPr>
            <w:tcW w:w="695" w:type="dxa"/>
            <w:vAlign w:val="center"/>
          </w:tcPr>
          <w:p w:rsidR="00CD2A5A" w:rsidRDefault="00CD2A5A">
            <w:pPr>
              <w:spacing w:before="40" w:after="40"/>
              <w:jc w:val="center"/>
              <w:rPr>
                <w:b/>
                <w:i/>
                <w:sz w:val="20"/>
                <w:szCs w:val="20"/>
              </w:rPr>
            </w:pPr>
            <w:r>
              <w:rPr>
                <w:b/>
                <w:i/>
                <w:sz w:val="20"/>
                <w:szCs w:val="20"/>
              </w:rPr>
              <w:t>%</w:t>
            </w:r>
          </w:p>
        </w:tc>
      </w:tr>
      <w:tr w:rsidR="00CD2A5A">
        <w:trPr>
          <w:cantSplit/>
          <w:jc w:val="center"/>
        </w:trPr>
        <w:tc>
          <w:tcPr>
            <w:tcW w:w="730" w:type="dxa"/>
            <w:gridSpan w:val="2"/>
            <w:vMerge w:val="restart"/>
            <w:vAlign w:val="center"/>
          </w:tcPr>
          <w:p w:rsidR="00CD2A5A" w:rsidRDefault="00CD2A5A">
            <w:pPr>
              <w:spacing w:before="40" w:after="40"/>
              <w:rPr>
                <w:sz w:val="20"/>
                <w:szCs w:val="20"/>
              </w:rPr>
            </w:pPr>
            <w:r>
              <w:rPr>
                <w:sz w:val="20"/>
                <w:szCs w:val="20"/>
              </w:rPr>
              <w:t>34 a</w:t>
            </w:r>
          </w:p>
        </w:tc>
        <w:tc>
          <w:tcPr>
            <w:tcW w:w="6585" w:type="dxa"/>
            <w:vMerge w:val="restart"/>
            <w:vAlign w:val="center"/>
          </w:tcPr>
          <w:p w:rsidR="00CD2A5A" w:rsidRDefault="00CD2A5A">
            <w:pPr>
              <w:spacing w:before="40" w:after="40"/>
              <w:rPr>
                <w:sz w:val="20"/>
                <w:szCs w:val="20"/>
              </w:rPr>
            </w:pPr>
            <w:r>
              <w:rPr>
                <w:sz w:val="20"/>
                <w:szCs w:val="20"/>
                <w:u w:val="single"/>
              </w:rPr>
              <w:t>Conocen</w:t>
            </w:r>
            <w:r>
              <w:rPr>
                <w:sz w:val="20"/>
                <w:szCs w:val="20"/>
              </w:rPr>
              <w:t xml:space="preserve"> – han oído hablar – del VIH/SIDA</w:t>
            </w:r>
          </w:p>
        </w:tc>
        <w:tc>
          <w:tcPr>
            <w:tcW w:w="1402" w:type="dxa"/>
            <w:gridSpan w:val="2"/>
            <w:vAlign w:val="center"/>
          </w:tcPr>
          <w:p w:rsidR="00CD2A5A" w:rsidRDefault="00CD2A5A">
            <w:pPr>
              <w:keepNext/>
              <w:spacing w:before="40" w:after="40"/>
              <w:jc w:val="center"/>
              <w:rPr>
                <w:sz w:val="20"/>
                <w:szCs w:val="20"/>
              </w:rPr>
            </w:pPr>
            <w:r>
              <w:rPr>
                <w:sz w:val="20"/>
                <w:szCs w:val="20"/>
              </w:rPr>
              <w:t>H:15-59</w:t>
            </w:r>
            <w:r>
              <w:rPr>
                <w:rStyle w:val="FootnoteReference"/>
                <w:sz w:val="20"/>
                <w:szCs w:val="20"/>
              </w:rPr>
              <w:footnoteReference w:id="121"/>
            </w:r>
          </w:p>
        </w:tc>
        <w:tc>
          <w:tcPr>
            <w:tcW w:w="695" w:type="dxa"/>
            <w:vAlign w:val="center"/>
          </w:tcPr>
          <w:p w:rsidR="00CD2A5A" w:rsidRDefault="00CD2A5A">
            <w:pPr>
              <w:spacing w:before="40" w:after="40"/>
              <w:rPr>
                <w:sz w:val="20"/>
                <w:szCs w:val="20"/>
              </w:rPr>
            </w:pPr>
            <w:r>
              <w:rPr>
                <w:sz w:val="20"/>
                <w:szCs w:val="20"/>
              </w:rPr>
              <w:t>98,0</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rPr>
            </w:pPr>
          </w:p>
        </w:tc>
        <w:tc>
          <w:tcPr>
            <w:tcW w:w="1355" w:type="dxa"/>
            <w:gridSpan w:val="2"/>
            <w:vAlign w:val="center"/>
          </w:tcPr>
          <w:p w:rsidR="00CD2A5A" w:rsidRDefault="00CD2A5A">
            <w:pPr>
              <w:keepNext/>
              <w:spacing w:before="40" w:after="40"/>
              <w:jc w:val="center"/>
              <w:rPr>
                <w:sz w:val="20"/>
                <w:szCs w:val="20"/>
              </w:rPr>
            </w:pPr>
            <w:r>
              <w:rPr>
                <w:sz w:val="20"/>
                <w:szCs w:val="20"/>
              </w:rPr>
              <w:t>M:15-49</w:t>
            </w:r>
            <w:r>
              <w:rPr>
                <w:rStyle w:val="FootnoteReference"/>
                <w:sz w:val="20"/>
                <w:szCs w:val="20"/>
              </w:rPr>
              <w:footnoteReference w:id="122"/>
            </w:r>
          </w:p>
        </w:tc>
        <w:tc>
          <w:tcPr>
            <w:tcW w:w="672" w:type="dxa"/>
            <w:vAlign w:val="center"/>
          </w:tcPr>
          <w:p w:rsidR="00CD2A5A" w:rsidRDefault="00CD2A5A">
            <w:pPr>
              <w:spacing w:before="40" w:after="40"/>
              <w:rPr>
                <w:sz w:val="20"/>
                <w:szCs w:val="20"/>
              </w:rPr>
            </w:pPr>
            <w:r>
              <w:rPr>
                <w:sz w:val="20"/>
                <w:szCs w:val="20"/>
              </w:rPr>
              <w:t>96,1</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rPr>
            </w:pPr>
          </w:p>
        </w:tc>
        <w:tc>
          <w:tcPr>
            <w:tcW w:w="1355" w:type="dxa"/>
            <w:gridSpan w:val="2"/>
            <w:vAlign w:val="center"/>
          </w:tcPr>
          <w:p w:rsidR="00CD2A5A" w:rsidRDefault="00CD2A5A">
            <w:pPr>
              <w:keepNext/>
              <w:spacing w:before="40" w:after="40"/>
              <w:jc w:val="center"/>
              <w:rPr>
                <w:sz w:val="20"/>
                <w:szCs w:val="20"/>
              </w:rPr>
            </w:pPr>
            <w:r>
              <w:rPr>
                <w:sz w:val="20"/>
                <w:szCs w:val="20"/>
              </w:rPr>
              <w:t>M:15-24</w:t>
            </w:r>
            <w:r>
              <w:rPr>
                <w:rStyle w:val="FootnoteReference"/>
                <w:sz w:val="20"/>
                <w:szCs w:val="20"/>
              </w:rPr>
              <w:footnoteReference w:id="123"/>
            </w:r>
          </w:p>
        </w:tc>
        <w:tc>
          <w:tcPr>
            <w:tcW w:w="672" w:type="dxa"/>
            <w:vAlign w:val="center"/>
          </w:tcPr>
          <w:p w:rsidR="00CD2A5A" w:rsidRDefault="00CD2A5A">
            <w:pPr>
              <w:spacing w:before="40" w:after="40"/>
              <w:rPr>
                <w:sz w:val="20"/>
                <w:szCs w:val="20"/>
              </w:rPr>
            </w:pPr>
            <w:r>
              <w:rPr>
                <w:sz w:val="20"/>
                <w:szCs w:val="20"/>
              </w:rPr>
              <w:t>94,9</w:t>
            </w:r>
          </w:p>
        </w:tc>
      </w:tr>
      <w:tr w:rsidR="00CD2A5A">
        <w:trPr>
          <w:cantSplit/>
          <w:jc w:val="center"/>
        </w:trPr>
        <w:tc>
          <w:tcPr>
            <w:tcW w:w="705" w:type="dxa"/>
            <w:gridSpan w:val="2"/>
            <w:vMerge w:val="restart"/>
            <w:vAlign w:val="center"/>
          </w:tcPr>
          <w:p w:rsidR="00CD2A5A" w:rsidRDefault="00CD2A5A">
            <w:pPr>
              <w:spacing w:before="40" w:after="40"/>
              <w:rPr>
                <w:sz w:val="20"/>
                <w:szCs w:val="20"/>
              </w:rPr>
            </w:pPr>
            <w:r>
              <w:rPr>
                <w:sz w:val="20"/>
                <w:szCs w:val="20"/>
              </w:rPr>
              <w:t>34 b</w:t>
            </w:r>
          </w:p>
        </w:tc>
        <w:tc>
          <w:tcPr>
            <w:tcW w:w="6363" w:type="dxa"/>
            <w:vMerge w:val="restart"/>
            <w:vAlign w:val="center"/>
          </w:tcPr>
          <w:p w:rsidR="00CD2A5A" w:rsidRDefault="00CD2A5A">
            <w:pPr>
              <w:spacing w:before="40" w:after="40"/>
              <w:rPr>
                <w:sz w:val="20"/>
                <w:szCs w:val="20"/>
              </w:rPr>
            </w:pPr>
            <w:r>
              <w:rPr>
                <w:sz w:val="20"/>
                <w:szCs w:val="20"/>
              </w:rPr>
              <w:t xml:space="preserve">Conocen las </w:t>
            </w:r>
            <w:r>
              <w:rPr>
                <w:sz w:val="20"/>
                <w:szCs w:val="20"/>
                <w:u w:val="single"/>
              </w:rPr>
              <w:t>tres formas de prevención primaria</w:t>
            </w:r>
            <w:r>
              <w:rPr>
                <w:sz w:val="20"/>
                <w:szCs w:val="20"/>
              </w:rPr>
              <w:t xml:space="preserve"> de la transmisión sexual del VIH/SIDA</w:t>
            </w:r>
            <w:r>
              <w:rPr>
                <w:rStyle w:val="FootnoteReference"/>
                <w:sz w:val="20"/>
                <w:szCs w:val="20"/>
              </w:rPr>
              <w:footnoteReference w:id="124"/>
            </w:r>
            <w:r>
              <w:rPr>
                <w:sz w:val="20"/>
                <w:szCs w:val="20"/>
              </w:rPr>
              <w:t xml:space="preserve"> en su conjunto</w:t>
            </w:r>
          </w:p>
        </w:tc>
        <w:tc>
          <w:tcPr>
            <w:tcW w:w="1355" w:type="dxa"/>
            <w:gridSpan w:val="2"/>
            <w:vAlign w:val="center"/>
          </w:tcPr>
          <w:p w:rsidR="00CD2A5A" w:rsidRDefault="00CD2A5A">
            <w:pPr>
              <w:keepNext/>
              <w:spacing w:before="40" w:after="40"/>
              <w:jc w:val="center"/>
              <w:rPr>
                <w:sz w:val="20"/>
                <w:szCs w:val="20"/>
              </w:rPr>
            </w:pPr>
            <w:r>
              <w:rPr>
                <w:sz w:val="20"/>
                <w:szCs w:val="20"/>
              </w:rPr>
              <w:t>H:15-59</w:t>
            </w:r>
          </w:p>
        </w:tc>
        <w:tc>
          <w:tcPr>
            <w:tcW w:w="672" w:type="dxa"/>
            <w:vAlign w:val="center"/>
          </w:tcPr>
          <w:p w:rsidR="00CD2A5A" w:rsidRDefault="00CD2A5A">
            <w:pPr>
              <w:spacing w:before="40" w:after="40"/>
              <w:rPr>
                <w:sz w:val="20"/>
                <w:szCs w:val="20"/>
              </w:rPr>
            </w:pPr>
            <w:r>
              <w:rPr>
                <w:sz w:val="20"/>
                <w:szCs w:val="20"/>
              </w:rPr>
              <w:t>46,3</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rPr>
            </w:pPr>
          </w:p>
        </w:tc>
        <w:tc>
          <w:tcPr>
            <w:tcW w:w="1355" w:type="dxa"/>
            <w:gridSpan w:val="2"/>
            <w:vAlign w:val="center"/>
          </w:tcPr>
          <w:p w:rsidR="00CD2A5A" w:rsidRDefault="00CD2A5A">
            <w:pPr>
              <w:keepNext/>
              <w:spacing w:before="40" w:after="40"/>
              <w:jc w:val="center"/>
              <w:rPr>
                <w:sz w:val="20"/>
                <w:szCs w:val="20"/>
              </w:rPr>
            </w:pPr>
            <w:r>
              <w:rPr>
                <w:sz w:val="20"/>
                <w:szCs w:val="20"/>
              </w:rPr>
              <w:t>M:15-49</w:t>
            </w:r>
          </w:p>
        </w:tc>
        <w:tc>
          <w:tcPr>
            <w:tcW w:w="672" w:type="dxa"/>
            <w:vAlign w:val="center"/>
          </w:tcPr>
          <w:p w:rsidR="00CD2A5A" w:rsidRDefault="00CD2A5A">
            <w:pPr>
              <w:spacing w:before="40" w:after="40"/>
              <w:rPr>
                <w:sz w:val="20"/>
                <w:szCs w:val="20"/>
              </w:rPr>
            </w:pPr>
            <w:r>
              <w:rPr>
                <w:sz w:val="20"/>
                <w:szCs w:val="20"/>
              </w:rPr>
              <w:t>60,2</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rPr>
            </w:pPr>
          </w:p>
        </w:tc>
        <w:tc>
          <w:tcPr>
            <w:tcW w:w="1355" w:type="dxa"/>
            <w:gridSpan w:val="2"/>
            <w:vAlign w:val="center"/>
          </w:tcPr>
          <w:p w:rsidR="00CD2A5A" w:rsidRDefault="00CD2A5A">
            <w:pPr>
              <w:keepNext/>
              <w:spacing w:before="40" w:after="40"/>
              <w:jc w:val="center"/>
              <w:rPr>
                <w:sz w:val="20"/>
                <w:szCs w:val="20"/>
              </w:rPr>
            </w:pPr>
            <w:r>
              <w:rPr>
                <w:sz w:val="20"/>
                <w:szCs w:val="20"/>
              </w:rPr>
              <w:t>M:15-24</w:t>
            </w:r>
          </w:p>
        </w:tc>
        <w:tc>
          <w:tcPr>
            <w:tcW w:w="672" w:type="dxa"/>
            <w:vAlign w:val="center"/>
          </w:tcPr>
          <w:p w:rsidR="00CD2A5A" w:rsidRDefault="00CD2A5A">
            <w:pPr>
              <w:spacing w:before="40" w:after="40"/>
              <w:rPr>
                <w:sz w:val="20"/>
                <w:szCs w:val="20"/>
              </w:rPr>
            </w:pPr>
            <w:r>
              <w:rPr>
                <w:sz w:val="20"/>
                <w:szCs w:val="20"/>
              </w:rPr>
              <w:t>57,8</w:t>
            </w:r>
          </w:p>
        </w:tc>
      </w:tr>
      <w:tr w:rsidR="00CD2A5A">
        <w:trPr>
          <w:cantSplit/>
          <w:jc w:val="center"/>
        </w:trPr>
        <w:tc>
          <w:tcPr>
            <w:tcW w:w="705" w:type="dxa"/>
            <w:gridSpan w:val="2"/>
            <w:vMerge w:val="restart"/>
            <w:vAlign w:val="center"/>
          </w:tcPr>
          <w:p w:rsidR="00CD2A5A" w:rsidRDefault="00CD2A5A">
            <w:pPr>
              <w:spacing w:before="40" w:after="40"/>
              <w:rPr>
                <w:sz w:val="20"/>
                <w:szCs w:val="20"/>
              </w:rPr>
            </w:pPr>
            <w:r>
              <w:rPr>
                <w:sz w:val="20"/>
                <w:szCs w:val="20"/>
              </w:rPr>
              <w:t>34 c</w:t>
            </w:r>
          </w:p>
        </w:tc>
        <w:tc>
          <w:tcPr>
            <w:tcW w:w="6363" w:type="dxa"/>
            <w:vMerge w:val="restart"/>
            <w:vAlign w:val="center"/>
          </w:tcPr>
          <w:p w:rsidR="00CD2A5A" w:rsidRDefault="00CD2A5A">
            <w:pPr>
              <w:spacing w:before="40" w:after="40"/>
              <w:rPr>
                <w:sz w:val="20"/>
                <w:szCs w:val="20"/>
              </w:rPr>
            </w:pPr>
            <w:r>
              <w:rPr>
                <w:sz w:val="20"/>
                <w:szCs w:val="20"/>
              </w:rPr>
              <w:t xml:space="preserve">Ausencia de los </w:t>
            </w:r>
            <w:r>
              <w:rPr>
                <w:sz w:val="20"/>
                <w:szCs w:val="20"/>
                <w:u w:val="single"/>
              </w:rPr>
              <w:t>tres conocimientos erróneos</w:t>
            </w:r>
            <w:r>
              <w:rPr>
                <w:sz w:val="20"/>
                <w:szCs w:val="20"/>
              </w:rPr>
              <w:t xml:space="preserve"> locales más comunes sobre el SIDA</w:t>
            </w:r>
            <w:r>
              <w:rPr>
                <w:rStyle w:val="FootnoteReference"/>
                <w:sz w:val="20"/>
                <w:szCs w:val="20"/>
              </w:rPr>
              <w:footnoteReference w:id="125"/>
            </w:r>
            <w:r>
              <w:rPr>
                <w:sz w:val="20"/>
                <w:szCs w:val="20"/>
              </w:rPr>
              <w:t xml:space="preserve"> en su conjunto</w:t>
            </w:r>
          </w:p>
        </w:tc>
        <w:tc>
          <w:tcPr>
            <w:tcW w:w="1355" w:type="dxa"/>
            <w:gridSpan w:val="2"/>
            <w:vAlign w:val="center"/>
          </w:tcPr>
          <w:p w:rsidR="00CD2A5A" w:rsidRDefault="00CD2A5A">
            <w:pPr>
              <w:keepNext/>
              <w:spacing w:before="40" w:after="40"/>
              <w:jc w:val="center"/>
              <w:rPr>
                <w:sz w:val="20"/>
                <w:szCs w:val="20"/>
              </w:rPr>
            </w:pPr>
            <w:r>
              <w:rPr>
                <w:sz w:val="20"/>
                <w:szCs w:val="20"/>
              </w:rPr>
              <w:t>H: 15-59</w:t>
            </w:r>
          </w:p>
        </w:tc>
        <w:tc>
          <w:tcPr>
            <w:tcW w:w="672" w:type="dxa"/>
            <w:vAlign w:val="center"/>
          </w:tcPr>
          <w:p w:rsidR="00CD2A5A" w:rsidRDefault="00CD2A5A">
            <w:pPr>
              <w:spacing w:before="40" w:after="40"/>
              <w:rPr>
                <w:sz w:val="20"/>
                <w:szCs w:val="20"/>
              </w:rPr>
            </w:pPr>
            <w:r>
              <w:rPr>
                <w:sz w:val="20"/>
                <w:szCs w:val="20"/>
              </w:rPr>
              <w:t>17,8</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rPr>
            </w:pPr>
          </w:p>
        </w:tc>
        <w:tc>
          <w:tcPr>
            <w:tcW w:w="1355" w:type="dxa"/>
            <w:gridSpan w:val="2"/>
            <w:vAlign w:val="center"/>
          </w:tcPr>
          <w:p w:rsidR="00CD2A5A" w:rsidRDefault="00CD2A5A">
            <w:pPr>
              <w:keepNext/>
              <w:spacing w:before="40" w:after="40"/>
              <w:jc w:val="center"/>
              <w:rPr>
                <w:sz w:val="20"/>
                <w:szCs w:val="20"/>
              </w:rPr>
            </w:pPr>
            <w:r>
              <w:rPr>
                <w:sz w:val="20"/>
                <w:szCs w:val="20"/>
              </w:rPr>
              <w:t>M:15-49</w:t>
            </w:r>
          </w:p>
        </w:tc>
        <w:tc>
          <w:tcPr>
            <w:tcW w:w="672" w:type="dxa"/>
            <w:vAlign w:val="center"/>
          </w:tcPr>
          <w:p w:rsidR="00CD2A5A" w:rsidRDefault="00CD2A5A">
            <w:pPr>
              <w:spacing w:before="40" w:after="40"/>
              <w:rPr>
                <w:sz w:val="20"/>
                <w:szCs w:val="20"/>
              </w:rPr>
            </w:pPr>
            <w:r>
              <w:rPr>
                <w:sz w:val="20"/>
                <w:szCs w:val="20"/>
              </w:rPr>
              <w:t>19,3</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rPr>
            </w:pPr>
          </w:p>
        </w:tc>
        <w:tc>
          <w:tcPr>
            <w:tcW w:w="1355" w:type="dxa"/>
            <w:gridSpan w:val="2"/>
            <w:vAlign w:val="center"/>
          </w:tcPr>
          <w:p w:rsidR="00CD2A5A" w:rsidRDefault="00CD2A5A">
            <w:pPr>
              <w:keepNext/>
              <w:spacing w:before="40" w:after="40"/>
              <w:jc w:val="center"/>
              <w:rPr>
                <w:sz w:val="20"/>
                <w:szCs w:val="20"/>
              </w:rPr>
            </w:pPr>
            <w:r>
              <w:rPr>
                <w:sz w:val="20"/>
                <w:szCs w:val="20"/>
              </w:rPr>
              <w:t>M:15-24</w:t>
            </w:r>
          </w:p>
        </w:tc>
        <w:tc>
          <w:tcPr>
            <w:tcW w:w="672" w:type="dxa"/>
            <w:vAlign w:val="center"/>
          </w:tcPr>
          <w:p w:rsidR="00CD2A5A" w:rsidRDefault="00CD2A5A">
            <w:pPr>
              <w:spacing w:before="40" w:after="40"/>
              <w:rPr>
                <w:sz w:val="20"/>
                <w:szCs w:val="20"/>
              </w:rPr>
            </w:pPr>
            <w:r>
              <w:rPr>
                <w:sz w:val="20"/>
                <w:szCs w:val="20"/>
              </w:rPr>
              <w:t>21,2</w:t>
            </w:r>
          </w:p>
        </w:tc>
      </w:tr>
      <w:tr w:rsidR="00CD2A5A">
        <w:trPr>
          <w:cantSplit/>
          <w:jc w:val="center"/>
        </w:trPr>
        <w:tc>
          <w:tcPr>
            <w:tcW w:w="705" w:type="dxa"/>
            <w:gridSpan w:val="2"/>
            <w:vMerge w:val="restart"/>
            <w:vAlign w:val="center"/>
          </w:tcPr>
          <w:p w:rsidR="00CD2A5A" w:rsidRDefault="00CD2A5A">
            <w:pPr>
              <w:spacing w:before="40" w:after="40"/>
              <w:rPr>
                <w:sz w:val="20"/>
                <w:szCs w:val="20"/>
              </w:rPr>
            </w:pPr>
            <w:r>
              <w:rPr>
                <w:sz w:val="20"/>
                <w:szCs w:val="20"/>
              </w:rPr>
              <w:t>34 d</w:t>
            </w:r>
          </w:p>
        </w:tc>
        <w:tc>
          <w:tcPr>
            <w:tcW w:w="6363" w:type="dxa"/>
            <w:vMerge w:val="restart"/>
            <w:vAlign w:val="center"/>
          </w:tcPr>
          <w:p w:rsidR="00CD2A5A" w:rsidRDefault="00CD2A5A">
            <w:pPr>
              <w:spacing w:before="40" w:after="40"/>
              <w:rPr>
                <w:sz w:val="20"/>
                <w:szCs w:val="20"/>
              </w:rPr>
            </w:pPr>
            <w:r>
              <w:rPr>
                <w:sz w:val="20"/>
                <w:szCs w:val="20"/>
                <w:u w:val="single"/>
              </w:rPr>
              <w:t>Saben dónde</w:t>
            </w:r>
            <w:r>
              <w:rPr>
                <w:sz w:val="20"/>
                <w:szCs w:val="20"/>
              </w:rPr>
              <w:t xml:space="preserve"> hacen la prueba del VIH</w:t>
            </w:r>
          </w:p>
        </w:tc>
        <w:tc>
          <w:tcPr>
            <w:tcW w:w="1355" w:type="dxa"/>
            <w:gridSpan w:val="2"/>
            <w:vAlign w:val="center"/>
          </w:tcPr>
          <w:p w:rsidR="00CD2A5A" w:rsidRDefault="00CD2A5A">
            <w:pPr>
              <w:keepNext/>
              <w:spacing w:before="40" w:after="40"/>
              <w:jc w:val="center"/>
              <w:rPr>
                <w:sz w:val="20"/>
                <w:szCs w:val="20"/>
              </w:rPr>
            </w:pPr>
            <w:r>
              <w:rPr>
                <w:sz w:val="20"/>
                <w:szCs w:val="20"/>
              </w:rPr>
              <w:t>H: 15-59</w:t>
            </w:r>
          </w:p>
        </w:tc>
        <w:tc>
          <w:tcPr>
            <w:tcW w:w="672" w:type="dxa"/>
            <w:vAlign w:val="center"/>
          </w:tcPr>
          <w:p w:rsidR="00CD2A5A" w:rsidRDefault="00CD2A5A">
            <w:pPr>
              <w:spacing w:before="40" w:after="40"/>
              <w:rPr>
                <w:sz w:val="20"/>
                <w:szCs w:val="20"/>
              </w:rPr>
            </w:pPr>
            <w:r>
              <w:rPr>
                <w:sz w:val="20"/>
                <w:szCs w:val="20"/>
              </w:rPr>
              <w:t>41,4</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u w:val="single"/>
              </w:rPr>
            </w:pPr>
          </w:p>
        </w:tc>
        <w:tc>
          <w:tcPr>
            <w:tcW w:w="1355" w:type="dxa"/>
            <w:gridSpan w:val="2"/>
            <w:vAlign w:val="center"/>
          </w:tcPr>
          <w:p w:rsidR="00CD2A5A" w:rsidRDefault="00CD2A5A">
            <w:pPr>
              <w:keepNext/>
              <w:spacing w:before="40" w:after="40"/>
              <w:jc w:val="center"/>
              <w:rPr>
                <w:sz w:val="20"/>
                <w:szCs w:val="20"/>
              </w:rPr>
            </w:pPr>
            <w:r>
              <w:rPr>
                <w:sz w:val="20"/>
                <w:szCs w:val="20"/>
              </w:rPr>
              <w:t>M:15-49</w:t>
            </w:r>
          </w:p>
        </w:tc>
        <w:tc>
          <w:tcPr>
            <w:tcW w:w="672" w:type="dxa"/>
            <w:vAlign w:val="center"/>
          </w:tcPr>
          <w:p w:rsidR="00CD2A5A" w:rsidRDefault="00CD2A5A">
            <w:pPr>
              <w:spacing w:before="40" w:after="40"/>
              <w:rPr>
                <w:sz w:val="20"/>
                <w:szCs w:val="20"/>
              </w:rPr>
            </w:pPr>
            <w:r>
              <w:rPr>
                <w:sz w:val="20"/>
                <w:szCs w:val="20"/>
              </w:rPr>
              <w:t>41,4</w:t>
            </w:r>
          </w:p>
        </w:tc>
      </w:tr>
      <w:tr w:rsidR="00CD2A5A">
        <w:trPr>
          <w:cantSplit/>
          <w:jc w:val="center"/>
        </w:trPr>
        <w:tc>
          <w:tcPr>
            <w:tcW w:w="705" w:type="dxa"/>
            <w:gridSpan w:val="2"/>
            <w:vMerge/>
            <w:vAlign w:val="center"/>
          </w:tcPr>
          <w:p w:rsidR="00CD2A5A" w:rsidRDefault="00CD2A5A">
            <w:pPr>
              <w:spacing w:before="40" w:after="40"/>
              <w:rPr>
                <w:sz w:val="20"/>
                <w:szCs w:val="20"/>
              </w:rPr>
            </w:pPr>
          </w:p>
        </w:tc>
        <w:tc>
          <w:tcPr>
            <w:tcW w:w="6363" w:type="dxa"/>
            <w:vMerge/>
            <w:vAlign w:val="center"/>
          </w:tcPr>
          <w:p w:rsidR="00CD2A5A" w:rsidRDefault="00CD2A5A">
            <w:pPr>
              <w:spacing w:before="40" w:after="40"/>
              <w:rPr>
                <w:sz w:val="20"/>
                <w:szCs w:val="20"/>
                <w:u w:val="single"/>
              </w:rPr>
            </w:pPr>
          </w:p>
        </w:tc>
        <w:tc>
          <w:tcPr>
            <w:tcW w:w="1355" w:type="dxa"/>
            <w:gridSpan w:val="2"/>
            <w:vAlign w:val="center"/>
          </w:tcPr>
          <w:p w:rsidR="00CD2A5A" w:rsidRDefault="00CD2A5A">
            <w:pPr>
              <w:keepNext/>
              <w:spacing w:before="40" w:after="40"/>
              <w:jc w:val="center"/>
              <w:rPr>
                <w:sz w:val="20"/>
                <w:szCs w:val="20"/>
              </w:rPr>
            </w:pPr>
            <w:r>
              <w:rPr>
                <w:sz w:val="20"/>
                <w:szCs w:val="20"/>
              </w:rPr>
              <w:t>M:15-24</w:t>
            </w:r>
          </w:p>
        </w:tc>
        <w:tc>
          <w:tcPr>
            <w:tcW w:w="672" w:type="dxa"/>
            <w:vAlign w:val="center"/>
          </w:tcPr>
          <w:p w:rsidR="00CD2A5A" w:rsidRDefault="00CD2A5A">
            <w:pPr>
              <w:spacing w:before="40" w:after="40"/>
              <w:rPr>
                <w:sz w:val="20"/>
                <w:szCs w:val="20"/>
              </w:rPr>
            </w:pPr>
            <w:r>
              <w:rPr>
                <w:sz w:val="20"/>
                <w:szCs w:val="20"/>
              </w:rPr>
              <w:t>41,9</w:t>
            </w:r>
          </w:p>
        </w:tc>
      </w:tr>
      <w:tr w:rsidR="00CD2A5A">
        <w:trPr>
          <w:cantSplit/>
          <w:jc w:val="center"/>
        </w:trPr>
        <w:tc>
          <w:tcPr>
            <w:tcW w:w="705" w:type="dxa"/>
            <w:gridSpan w:val="2"/>
            <w:vMerge w:val="restart"/>
            <w:vAlign w:val="center"/>
          </w:tcPr>
          <w:p w:rsidR="00CD2A5A" w:rsidRDefault="00CD2A5A">
            <w:pPr>
              <w:spacing w:before="40" w:after="40"/>
              <w:rPr>
                <w:sz w:val="20"/>
                <w:szCs w:val="20"/>
              </w:rPr>
            </w:pPr>
            <w:r>
              <w:rPr>
                <w:sz w:val="20"/>
                <w:szCs w:val="20"/>
              </w:rPr>
              <w:t>34 e</w:t>
            </w:r>
          </w:p>
        </w:tc>
        <w:tc>
          <w:tcPr>
            <w:tcW w:w="6363" w:type="dxa"/>
            <w:vMerge w:val="restart"/>
            <w:vAlign w:val="center"/>
          </w:tcPr>
          <w:p w:rsidR="00CD2A5A" w:rsidRDefault="00CD2A5A">
            <w:pPr>
              <w:spacing w:before="40" w:after="40"/>
              <w:rPr>
                <w:sz w:val="20"/>
                <w:szCs w:val="20"/>
              </w:rPr>
            </w:pPr>
            <w:r>
              <w:rPr>
                <w:sz w:val="20"/>
                <w:szCs w:val="20"/>
              </w:rPr>
              <w:t>Perciben algún riesgo de infectarse del VIH</w:t>
            </w:r>
          </w:p>
        </w:tc>
        <w:tc>
          <w:tcPr>
            <w:tcW w:w="1355" w:type="dxa"/>
            <w:gridSpan w:val="2"/>
            <w:vAlign w:val="center"/>
          </w:tcPr>
          <w:p w:rsidR="00CD2A5A" w:rsidRDefault="00CD2A5A">
            <w:pPr>
              <w:keepNext/>
              <w:spacing w:before="40" w:after="40"/>
              <w:jc w:val="center"/>
              <w:rPr>
                <w:sz w:val="20"/>
                <w:szCs w:val="20"/>
              </w:rPr>
            </w:pPr>
            <w:r>
              <w:rPr>
                <w:sz w:val="20"/>
                <w:szCs w:val="20"/>
              </w:rPr>
              <w:t>H: 15-59</w:t>
            </w:r>
          </w:p>
        </w:tc>
        <w:tc>
          <w:tcPr>
            <w:tcW w:w="672" w:type="dxa"/>
            <w:vAlign w:val="center"/>
          </w:tcPr>
          <w:p w:rsidR="00CD2A5A" w:rsidRDefault="00CD2A5A">
            <w:pPr>
              <w:spacing w:before="40" w:after="40"/>
              <w:rPr>
                <w:sz w:val="20"/>
                <w:szCs w:val="20"/>
              </w:rPr>
            </w:pPr>
            <w:r>
              <w:rPr>
                <w:sz w:val="20"/>
                <w:szCs w:val="20"/>
              </w:rPr>
              <w:t>27,2</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u w:val="single"/>
              </w:rPr>
            </w:pPr>
          </w:p>
        </w:tc>
        <w:tc>
          <w:tcPr>
            <w:tcW w:w="1402" w:type="dxa"/>
            <w:gridSpan w:val="2"/>
            <w:vAlign w:val="center"/>
          </w:tcPr>
          <w:p w:rsidR="00CD2A5A" w:rsidRDefault="00CD2A5A">
            <w:pPr>
              <w:keepNext/>
              <w:spacing w:before="40" w:after="40"/>
              <w:jc w:val="center"/>
              <w:rPr>
                <w:sz w:val="20"/>
                <w:szCs w:val="20"/>
              </w:rPr>
            </w:pPr>
            <w:r>
              <w:rPr>
                <w:sz w:val="20"/>
                <w:szCs w:val="20"/>
              </w:rPr>
              <w:t>M:15-49</w:t>
            </w:r>
          </w:p>
        </w:tc>
        <w:tc>
          <w:tcPr>
            <w:tcW w:w="695" w:type="dxa"/>
            <w:vAlign w:val="center"/>
          </w:tcPr>
          <w:p w:rsidR="00CD2A5A" w:rsidRDefault="00CD2A5A">
            <w:pPr>
              <w:spacing w:before="40" w:after="40"/>
              <w:rPr>
                <w:sz w:val="20"/>
                <w:szCs w:val="20"/>
              </w:rPr>
            </w:pPr>
            <w:r>
              <w:rPr>
                <w:sz w:val="20"/>
                <w:szCs w:val="20"/>
              </w:rPr>
              <w:t>26,3</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u w:val="single"/>
              </w:rPr>
            </w:pPr>
          </w:p>
        </w:tc>
        <w:tc>
          <w:tcPr>
            <w:tcW w:w="1402" w:type="dxa"/>
            <w:gridSpan w:val="2"/>
            <w:vAlign w:val="center"/>
          </w:tcPr>
          <w:p w:rsidR="00CD2A5A" w:rsidRDefault="00CD2A5A">
            <w:pPr>
              <w:keepNext/>
              <w:spacing w:before="40" w:after="40"/>
              <w:jc w:val="center"/>
              <w:rPr>
                <w:sz w:val="20"/>
                <w:szCs w:val="20"/>
              </w:rPr>
            </w:pPr>
            <w:r>
              <w:rPr>
                <w:sz w:val="20"/>
                <w:szCs w:val="20"/>
              </w:rPr>
              <w:t>M:15-24</w:t>
            </w:r>
          </w:p>
        </w:tc>
        <w:tc>
          <w:tcPr>
            <w:tcW w:w="695" w:type="dxa"/>
            <w:vAlign w:val="center"/>
          </w:tcPr>
          <w:p w:rsidR="00CD2A5A" w:rsidRDefault="00CD2A5A">
            <w:pPr>
              <w:spacing w:before="40" w:after="40"/>
              <w:rPr>
                <w:sz w:val="20"/>
                <w:szCs w:val="20"/>
              </w:rPr>
            </w:pPr>
            <w:r>
              <w:rPr>
                <w:sz w:val="20"/>
                <w:szCs w:val="20"/>
              </w:rPr>
              <w:t>25,8</w:t>
            </w:r>
          </w:p>
        </w:tc>
      </w:tr>
      <w:tr w:rsidR="00CD2A5A">
        <w:trPr>
          <w:cantSplit/>
          <w:jc w:val="center"/>
        </w:trPr>
        <w:tc>
          <w:tcPr>
            <w:tcW w:w="730" w:type="dxa"/>
            <w:gridSpan w:val="2"/>
            <w:vMerge w:val="restart"/>
            <w:vAlign w:val="center"/>
          </w:tcPr>
          <w:p w:rsidR="00CD2A5A" w:rsidRDefault="00CD2A5A">
            <w:pPr>
              <w:spacing w:before="40" w:after="40"/>
              <w:rPr>
                <w:sz w:val="20"/>
                <w:szCs w:val="20"/>
              </w:rPr>
            </w:pPr>
            <w:r>
              <w:rPr>
                <w:sz w:val="20"/>
                <w:szCs w:val="20"/>
              </w:rPr>
              <w:t>34 f</w:t>
            </w:r>
          </w:p>
        </w:tc>
        <w:tc>
          <w:tcPr>
            <w:tcW w:w="6585" w:type="dxa"/>
            <w:vMerge w:val="restart"/>
            <w:vAlign w:val="center"/>
          </w:tcPr>
          <w:p w:rsidR="00CD2A5A" w:rsidRDefault="00CD2A5A">
            <w:pPr>
              <w:spacing w:before="40" w:after="40"/>
              <w:rPr>
                <w:sz w:val="20"/>
                <w:szCs w:val="20"/>
              </w:rPr>
            </w:pPr>
            <w:r>
              <w:rPr>
                <w:sz w:val="20"/>
                <w:szCs w:val="20"/>
                <w:u w:val="single"/>
              </w:rPr>
              <w:t>Se hicieron</w:t>
            </w:r>
            <w:r>
              <w:rPr>
                <w:sz w:val="20"/>
                <w:szCs w:val="20"/>
              </w:rPr>
              <w:t xml:space="preserve"> la prueba del VIH</w:t>
            </w:r>
          </w:p>
        </w:tc>
        <w:tc>
          <w:tcPr>
            <w:tcW w:w="1402" w:type="dxa"/>
            <w:gridSpan w:val="2"/>
            <w:vAlign w:val="center"/>
          </w:tcPr>
          <w:p w:rsidR="00CD2A5A" w:rsidRDefault="00CD2A5A">
            <w:pPr>
              <w:keepNext/>
              <w:spacing w:before="40" w:after="40"/>
              <w:jc w:val="center"/>
              <w:rPr>
                <w:sz w:val="20"/>
                <w:szCs w:val="20"/>
              </w:rPr>
            </w:pPr>
            <w:r>
              <w:rPr>
                <w:sz w:val="20"/>
                <w:szCs w:val="20"/>
              </w:rPr>
              <w:t>H: 15-59</w:t>
            </w:r>
          </w:p>
        </w:tc>
        <w:tc>
          <w:tcPr>
            <w:tcW w:w="695" w:type="dxa"/>
            <w:vAlign w:val="center"/>
          </w:tcPr>
          <w:p w:rsidR="00CD2A5A" w:rsidRDefault="00CD2A5A">
            <w:pPr>
              <w:spacing w:before="40" w:after="40"/>
              <w:rPr>
                <w:sz w:val="20"/>
                <w:szCs w:val="20"/>
              </w:rPr>
            </w:pPr>
            <w:r>
              <w:rPr>
                <w:sz w:val="20"/>
                <w:szCs w:val="20"/>
              </w:rPr>
              <w:t>13,1</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u w:val="single"/>
              </w:rPr>
            </w:pPr>
          </w:p>
        </w:tc>
        <w:tc>
          <w:tcPr>
            <w:tcW w:w="1402" w:type="dxa"/>
            <w:gridSpan w:val="2"/>
            <w:vAlign w:val="center"/>
          </w:tcPr>
          <w:p w:rsidR="00CD2A5A" w:rsidRDefault="00CD2A5A">
            <w:pPr>
              <w:keepNext/>
              <w:spacing w:before="40" w:after="40"/>
              <w:jc w:val="center"/>
              <w:rPr>
                <w:sz w:val="20"/>
                <w:szCs w:val="20"/>
              </w:rPr>
            </w:pPr>
            <w:r>
              <w:rPr>
                <w:sz w:val="20"/>
                <w:szCs w:val="20"/>
              </w:rPr>
              <w:t>M:15-49</w:t>
            </w:r>
          </w:p>
        </w:tc>
        <w:tc>
          <w:tcPr>
            <w:tcW w:w="695" w:type="dxa"/>
            <w:vAlign w:val="center"/>
          </w:tcPr>
          <w:p w:rsidR="00CD2A5A" w:rsidRDefault="00CD2A5A">
            <w:pPr>
              <w:spacing w:before="40" w:after="40"/>
              <w:rPr>
                <w:sz w:val="20"/>
                <w:szCs w:val="20"/>
              </w:rPr>
            </w:pPr>
            <w:r>
              <w:rPr>
                <w:sz w:val="20"/>
                <w:szCs w:val="20"/>
              </w:rPr>
              <w:t>11,9</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u w:val="single"/>
              </w:rPr>
            </w:pPr>
          </w:p>
        </w:tc>
        <w:tc>
          <w:tcPr>
            <w:tcW w:w="1402" w:type="dxa"/>
            <w:gridSpan w:val="2"/>
            <w:vAlign w:val="center"/>
          </w:tcPr>
          <w:p w:rsidR="00CD2A5A" w:rsidRDefault="00CD2A5A">
            <w:pPr>
              <w:keepNext/>
              <w:spacing w:before="40" w:after="40"/>
              <w:jc w:val="center"/>
              <w:rPr>
                <w:sz w:val="20"/>
                <w:szCs w:val="20"/>
              </w:rPr>
            </w:pPr>
            <w:r>
              <w:rPr>
                <w:sz w:val="20"/>
                <w:szCs w:val="20"/>
              </w:rPr>
              <w:t>M:15-24</w:t>
            </w:r>
          </w:p>
        </w:tc>
        <w:tc>
          <w:tcPr>
            <w:tcW w:w="695" w:type="dxa"/>
            <w:vAlign w:val="center"/>
          </w:tcPr>
          <w:p w:rsidR="00CD2A5A" w:rsidRDefault="00CD2A5A">
            <w:pPr>
              <w:spacing w:before="40" w:after="40"/>
              <w:rPr>
                <w:sz w:val="20"/>
                <w:szCs w:val="20"/>
              </w:rPr>
            </w:pPr>
            <w:r>
              <w:rPr>
                <w:sz w:val="20"/>
                <w:szCs w:val="20"/>
              </w:rPr>
              <w:t>7,5</w:t>
            </w:r>
          </w:p>
        </w:tc>
      </w:tr>
      <w:tr w:rsidR="00CD2A5A">
        <w:trPr>
          <w:cantSplit/>
          <w:jc w:val="center"/>
        </w:trPr>
        <w:tc>
          <w:tcPr>
            <w:tcW w:w="730" w:type="dxa"/>
            <w:gridSpan w:val="2"/>
            <w:vMerge w:val="restart"/>
            <w:vAlign w:val="center"/>
          </w:tcPr>
          <w:p w:rsidR="00CD2A5A" w:rsidRDefault="00CD2A5A">
            <w:pPr>
              <w:spacing w:before="40" w:after="40"/>
              <w:rPr>
                <w:sz w:val="20"/>
                <w:szCs w:val="20"/>
              </w:rPr>
            </w:pPr>
            <w:r>
              <w:rPr>
                <w:sz w:val="20"/>
                <w:szCs w:val="20"/>
              </w:rPr>
              <w:t>34 g</w:t>
            </w:r>
          </w:p>
        </w:tc>
        <w:tc>
          <w:tcPr>
            <w:tcW w:w="6585" w:type="dxa"/>
            <w:vMerge w:val="restart"/>
            <w:vAlign w:val="center"/>
          </w:tcPr>
          <w:p w:rsidR="00CD2A5A" w:rsidRDefault="00CD2A5A">
            <w:pPr>
              <w:spacing w:before="40" w:after="40"/>
              <w:rPr>
                <w:sz w:val="20"/>
                <w:szCs w:val="20"/>
              </w:rPr>
            </w:pPr>
            <w:r>
              <w:rPr>
                <w:sz w:val="20"/>
                <w:szCs w:val="20"/>
              </w:rPr>
              <w:t xml:space="preserve">Se hicieron </w:t>
            </w:r>
            <w:r>
              <w:rPr>
                <w:sz w:val="20"/>
                <w:szCs w:val="20"/>
                <w:u w:val="single"/>
              </w:rPr>
              <w:t>voluntariamente</w:t>
            </w:r>
            <w:r>
              <w:rPr>
                <w:sz w:val="20"/>
                <w:szCs w:val="20"/>
              </w:rPr>
              <w:t xml:space="preserve"> la prueba del VIH</w:t>
            </w:r>
          </w:p>
        </w:tc>
        <w:tc>
          <w:tcPr>
            <w:tcW w:w="1402" w:type="dxa"/>
            <w:gridSpan w:val="2"/>
            <w:vAlign w:val="center"/>
          </w:tcPr>
          <w:p w:rsidR="00CD2A5A" w:rsidRDefault="00CD2A5A">
            <w:pPr>
              <w:keepNext/>
              <w:spacing w:before="40" w:after="40"/>
              <w:jc w:val="center"/>
              <w:rPr>
                <w:sz w:val="20"/>
                <w:szCs w:val="20"/>
              </w:rPr>
            </w:pPr>
            <w:r>
              <w:rPr>
                <w:sz w:val="20"/>
                <w:szCs w:val="20"/>
              </w:rPr>
              <w:t>H: 15-59</w:t>
            </w:r>
          </w:p>
        </w:tc>
        <w:tc>
          <w:tcPr>
            <w:tcW w:w="695" w:type="dxa"/>
            <w:vAlign w:val="center"/>
          </w:tcPr>
          <w:p w:rsidR="00CD2A5A" w:rsidRDefault="00CD2A5A">
            <w:pPr>
              <w:spacing w:before="40" w:after="40"/>
              <w:rPr>
                <w:sz w:val="20"/>
                <w:szCs w:val="20"/>
              </w:rPr>
            </w:pPr>
            <w:r>
              <w:rPr>
                <w:sz w:val="20"/>
                <w:szCs w:val="20"/>
              </w:rPr>
              <w:t>5,3</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rPr>
            </w:pPr>
          </w:p>
        </w:tc>
        <w:tc>
          <w:tcPr>
            <w:tcW w:w="1402" w:type="dxa"/>
            <w:gridSpan w:val="2"/>
            <w:vAlign w:val="center"/>
          </w:tcPr>
          <w:p w:rsidR="00CD2A5A" w:rsidRDefault="00CD2A5A">
            <w:pPr>
              <w:keepNext/>
              <w:spacing w:before="40" w:after="40"/>
              <w:jc w:val="center"/>
              <w:rPr>
                <w:sz w:val="20"/>
                <w:szCs w:val="20"/>
              </w:rPr>
            </w:pPr>
            <w:r>
              <w:rPr>
                <w:sz w:val="20"/>
                <w:szCs w:val="20"/>
              </w:rPr>
              <w:t>M:15-49</w:t>
            </w:r>
          </w:p>
        </w:tc>
        <w:tc>
          <w:tcPr>
            <w:tcW w:w="695" w:type="dxa"/>
            <w:vAlign w:val="center"/>
          </w:tcPr>
          <w:p w:rsidR="00CD2A5A" w:rsidRDefault="00CD2A5A">
            <w:pPr>
              <w:spacing w:before="40" w:after="40"/>
              <w:rPr>
                <w:sz w:val="20"/>
                <w:szCs w:val="20"/>
              </w:rPr>
            </w:pPr>
            <w:r>
              <w:rPr>
                <w:sz w:val="20"/>
                <w:szCs w:val="20"/>
              </w:rPr>
              <w:t>6,3</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rPr>
            </w:pPr>
          </w:p>
        </w:tc>
        <w:tc>
          <w:tcPr>
            <w:tcW w:w="1402" w:type="dxa"/>
            <w:gridSpan w:val="2"/>
            <w:vAlign w:val="center"/>
          </w:tcPr>
          <w:p w:rsidR="00CD2A5A" w:rsidRDefault="00CD2A5A">
            <w:pPr>
              <w:keepNext/>
              <w:spacing w:before="40" w:after="40"/>
              <w:jc w:val="center"/>
              <w:rPr>
                <w:sz w:val="20"/>
                <w:szCs w:val="20"/>
              </w:rPr>
            </w:pPr>
            <w:r>
              <w:rPr>
                <w:sz w:val="20"/>
                <w:szCs w:val="20"/>
              </w:rPr>
              <w:t>M:15-24</w:t>
            </w:r>
          </w:p>
        </w:tc>
        <w:tc>
          <w:tcPr>
            <w:tcW w:w="695" w:type="dxa"/>
            <w:vAlign w:val="center"/>
          </w:tcPr>
          <w:p w:rsidR="00CD2A5A" w:rsidRDefault="00CD2A5A">
            <w:pPr>
              <w:spacing w:before="40" w:after="40"/>
              <w:rPr>
                <w:sz w:val="20"/>
                <w:szCs w:val="20"/>
              </w:rPr>
            </w:pPr>
            <w:r>
              <w:rPr>
                <w:sz w:val="20"/>
                <w:szCs w:val="20"/>
              </w:rPr>
              <w:t>4,8</w:t>
            </w:r>
          </w:p>
        </w:tc>
      </w:tr>
      <w:tr w:rsidR="00CD2A5A">
        <w:trPr>
          <w:cantSplit/>
          <w:jc w:val="center"/>
        </w:trPr>
        <w:tc>
          <w:tcPr>
            <w:tcW w:w="730" w:type="dxa"/>
            <w:gridSpan w:val="2"/>
            <w:vMerge w:val="restart"/>
            <w:vAlign w:val="center"/>
          </w:tcPr>
          <w:p w:rsidR="00CD2A5A" w:rsidRDefault="00CD2A5A">
            <w:pPr>
              <w:spacing w:before="40" w:after="40"/>
              <w:rPr>
                <w:sz w:val="20"/>
                <w:szCs w:val="20"/>
              </w:rPr>
            </w:pPr>
            <w:r>
              <w:rPr>
                <w:sz w:val="20"/>
                <w:szCs w:val="20"/>
              </w:rPr>
              <w:t>34 h</w:t>
            </w:r>
          </w:p>
        </w:tc>
        <w:tc>
          <w:tcPr>
            <w:tcW w:w="6585" w:type="dxa"/>
            <w:vMerge w:val="restart"/>
            <w:vAlign w:val="center"/>
          </w:tcPr>
          <w:p w:rsidR="00CD2A5A" w:rsidRDefault="00CD2A5A">
            <w:pPr>
              <w:spacing w:before="40" w:after="40"/>
              <w:rPr>
                <w:sz w:val="20"/>
                <w:szCs w:val="20"/>
              </w:rPr>
            </w:pPr>
            <w:r>
              <w:rPr>
                <w:sz w:val="20"/>
                <w:szCs w:val="20"/>
              </w:rPr>
              <w:t xml:space="preserve">Se hicieron voluntariamente la prueba del VIH y </w:t>
            </w:r>
            <w:r>
              <w:rPr>
                <w:sz w:val="20"/>
                <w:szCs w:val="20"/>
                <w:u w:val="single"/>
              </w:rPr>
              <w:t>recibieron los resultados</w:t>
            </w:r>
            <w:r>
              <w:rPr>
                <w:sz w:val="20"/>
                <w:szCs w:val="20"/>
              </w:rPr>
              <w:t xml:space="preserve"> de la prueba</w:t>
            </w:r>
          </w:p>
        </w:tc>
        <w:tc>
          <w:tcPr>
            <w:tcW w:w="1402" w:type="dxa"/>
            <w:gridSpan w:val="2"/>
            <w:vAlign w:val="center"/>
          </w:tcPr>
          <w:p w:rsidR="00CD2A5A" w:rsidRDefault="00CD2A5A">
            <w:pPr>
              <w:keepNext/>
              <w:spacing w:before="40" w:after="40"/>
              <w:jc w:val="center"/>
              <w:rPr>
                <w:sz w:val="20"/>
                <w:szCs w:val="20"/>
              </w:rPr>
            </w:pPr>
            <w:r>
              <w:rPr>
                <w:sz w:val="20"/>
                <w:szCs w:val="20"/>
              </w:rPr>
              <w:t>H: 15-59</w:t>
            </w:r>
          </w:p>
        </w:tc>
        <w:tc>
          <w:tcPr>
            <w:tcW w:w="695" w:type="dxa"/>
            <w:vAlign w:val="center"/>
          </w:tcPr>
          <w:p w:rsidR="00CD2A5A" w:rsidRDefault="00CD2A5A">
            <w:pPr>
              <w:spacing w:before="40" w:after="40"/>
              <w:rPr>
                <w:sz w:val="20"/>
                <w:szCs w:val="20"/>
              </w:rPr>
            </w:pPr>
            <w:r>
              <w:rPr>
                <w:sz w:val="20"/>
                <w:szCs w:val="20"/>
              </w:rPr>
              <w:t>4,9</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rPr>
            </w:pPr>
          </w:p>
        </w:tc>
        <w:tc>
          <w:tcPr>
            <w:tcW w:w="1402" w:type="dxa"/>
            <w:gridSpan w:val="2"/>
            <w:vAlign w:val="center"/>
          </w:tcPr>
          <w:p w:rsidR="00CD2A5A" w:rsidRDefault="00CD2A5A">
            <w:pPr>
              <w:keepNext/>
              <w:spacing w:before="40" w:after="40"/>
              <w:jc w:val="center"/>
              <w:rPr>
                <w:sz w:val="20"/>
                <w:szCs w:val="20"/>
              </w:rPr>
            </w:pPr>
            <w:r>
              <w:rPr>
                <w:sz w:val="20"/>
                <w:szCs w:val="20"/>
              </w:rPr>
              <w:t>M:15-49</w:t>
            </w:r>
          </w:p>
        </w:tc>
        <w:tc>
          <w:tcPr>
            <w:tcW w:w="695" w:type="dxa"/>
            <w:vAlign w:val="center"/>
          </w:tcPr>
          <w:p w:rsidR="00CD2A5A" w:rsidRDefault="00CD2A5A">
            <w:pPr>
              <w:spacing w:before="40" w:after="40"/>
              <w:rPr>
                <w:sz w:val="20"/>
                <w:szCs w:val="20"/>
              </w:rPr>
            </w:pPr>
            <w:r>
              <w:rPr>
                <w:sz w:val="20"/>
                <w:szCs w:val="20"/>
              </w:rPr>
              <w:t>5,9</w:t>
            </w:r>
          </w:p>
        </w:tc>
      </w:tr>
      <w:tr w:rsidR="00CD2A5A">
        <w:trPr>
          <w:cantSplit/>
          <w:jc w:val="center"/>
        </w:trPr>
        <w:tc>
          <w:tcPr>
            <w:tcW w:w="730" w:type="dxa"/>
            <w:gridSpan w:val="2"/>
            <w:vMerge/>
            <w:vAlign w:val="center"/>
          </w:tcPr>
          <w:p w:rsidR="00CD2A5A" w:rsidRDefault="00CD2A5A">
            <w:pPr>
              <w:spacing w:before="40" w:after="40"/>
              <w:rPr>
                <w:sz w:val="20"/>
                <w:szCs w:val="20"/>
              </w:rPr>
            </w:pPr>
          </w:p>
        </w:tc>
        <w:tc>
          <w:tcPr>
            <w:tcW w:w="6585" w:type="dxa"/>
            <w:vMerge/>
            <w:vAlign w:val="center"/>
          </w:tcPr>
          <w:p w:rsidR="00CD2A5A" w:rsidRDefault="00CD2A5A">
            <w:pPr>
              <w:spacing w:before="40" w:after="40"/>
              <w:rPr>
                <w:sz w:val="20"/>
                <w:szCs w:val="20"/>
              </w:rPr>
            </w:pPr>
          </w:p>
        </w:tc>
        <w:tc>
          <w:tcPr>
            <w:tcW w:w="1402" w:type="dxa"/>
            <w:gridSpan w:val="2"/>
            <w:vAlign w:val="center"/>
          </w:tcPr>
          <w:p w:rsidR="00CD2A5A" w:rsidRDefault="00CD2A5A">
            <w:pPr>
              <w:keepNext/>
              <w:spacing w:before="40" w:after="40"/>
              <w:jc w:val="center"/>
              <w:rPr>
                <w:sz w:val="20"/>
                <w:szCs w:val="20"/>
              </w:rPr>
            </w:pPr>
            <w:r>
              <w:rPr>
                <w:sz w:val="20"/>
                <w:szCs w:val="20"/>
              </w:rPr>
              <w:t>M:15-24</w:t>
            </w:r>
          </w:p>
        </w:tc>
        <w:tc>
          <w:tcPr>
            <w:tcW w:w="695" w:type="dxa"/>
            <w:vAlign w:val="center"/>
          </w:tcPr>
          <w:p w:rsidR="00CD2A5A" w:rsidRDefault="00CD2A5A">
            <w:pPr>
              <w:spacing w:before="40" w:after="40"/>
              <w:rPr>
                <w:sz w:val="20"/>
                <w:szCs w:val="20"/>
              </w:rPr>
            </w:pPr>
            <w:r>
              <w:rPr>
                <w:sz w:val="20"/>
                <w:szCs w:val="20"/>
              </w:rPr>
              <w:t>4,4</w:t>
            </w:r>
          </w:p>
        </w:tc>
      </w:tr>
      <w:tr w:rsidR="00CD2A5A">
        <w:trPr>
          <w:cantSplit/>
          <w:jc w:val="center"/>
        </w:trPr>
        <w:tc>
          <w:tcPr>
            <w:tcW w:w="471" w:type="dxa"/>
            <w:vMerge w:val="restart"/>
            <w:vAlign w:val="center"/>
          </w:tcPr>
          <w:p w:rsidR="00CD2A5A" w:rsidRDefault="00CD2A5A">
            <w:pPr>
              <w:autoSpaceDE w:val="0"/>
              <w:autoSpaceDN w:val="0"/>
              <w:adjustRightInd w:val="0"/>
              <w:spacing w:before="40" w:after="40"/>
              <w:rPr>
                <w:sz w:val="20"/>
                <w:szCs w:val="20"/>
              </w:rPr>
            </w:pPr>
            <w:r>
              <w:rPr>
                <w:sz w:val="20"/>
                <w:szCs w:val="20"/>
              </w:rPr>
              <w:t>35</w:t>
            </w:r>
          </w:p>
        </w:tc>
        <w:tc>
          <w:tcPr>
            <w:tcW w:w="8624" w:type="dxa"/>
            <w:gridSpan w:val="5"/>
          </w:tcPr>
          <w:p w:rsidR="00CD2A5A" w:rsidRDefault="00CD2A5A">
            <w:pPr>
              <w:spacing w:before="40" w:after="40"/>
              <w:rPr>
                <w:sz w:val="20"/>
                <w:szCs w:val="20"/>
              </w:rPr>
            </w:pPr>
            <w:r>
              <w:rPr>
                <w:sz w:val="20"/>
                <w:szCs w:val="20"/>
              </w:rPr>
              <w:t xml:space="preserve">Proporción de </w:t>
            </w:r>
            <w:r>
              <w:rPr>
                <w:sz w:val="20"/>
                <w:szCs w:val="20"/>
                <w:u w:val="single"/>
              </w:rPr>
              <w:t>mujeres embarazadas</w:t>
            </w:r>
            <w:r>
              <w:rPr>
                <w:sz w:val="20"/>
                <w:szCs w:val="20"/>
              </w:rPr>
              <w:t xml:space="preserve"> con acceso a atención antes del parto que reciben </w:t>
            </w:r>
            <w:r>
              <w:rPr>
                <w:sz w:val="20"/>
                <w:szCs w:val="20"/>
                <w:u w:val="single"/>
              </w:rPr>
              <w:t>información, asesoramiento y otros servicios de prevención del VIH</w:t>
            </w:r>
            <w:r>
              <w:rPr>
                <w:sz w:val="20"/>
                <w:szCs w:val="20"/>
              </w:rPr>
              <w:t xml:space="preserve"> disponibles para ellas.</w:t>
            </w:r>
          </w:p>
        </w:tc>
      </w:tr>
      <w:tr w:rsidR="00CD2A5A">
        <w:trPr>
          <w:cantSplit/>
          <w:jc w:val="center"/>
        </w:trPr>
        <w:tc>
          <w:tcPr>
            <w:tcW w:w="487" w:type="dxa"/>
            <w:vMerge/>
            <w:vAlign w:val="center"/>
          </w:tcPr>
          <w:p w:rsidR="00CD2A5A" w:rsidRDefault="00CD2A5A">
            <w:pPr>
              <w:autoSpaceDE w:val="0"/>
              <w:autoSpaceDN w:val="0"/>
              <w:adjustRightInd w:val="0"/>
              <w:spacing w:before="40" w:after="40"/>
              <w:rPr>
                <w:sz w:val="20"/>
                <w:szCs w:val="20"/>
              </w:rPr>
            </w:pPr>
          </w:p>
        </w:tc>
        <w:tc>
          <w:tcPr>
            <w:tcW w:w="7944" w:type="dxa"/>
            <w:gridSpan w:val="3"/>
            <w:vAlign w:val="center"/>
          </w:tcPr>
          <w:p w:rsidR="00CD2A5A" w:rsidRDefault="00CD2A5A">
            <w:pPr>
              <w:keepNext/>
              <w:spacing w:before="40" w:after="40"/>
              <w:rPr>
                <w:sz w:val="20"/>
                <w:szCs w:val="20"/>
                <w:lang w:val="it-IT"/>
              </w:rPr>
            </w:pPr>
            <w:r>
              <w:rPr>
                <w:sz w:val="20"/>
                <w:szCs w:val="20"/>
                <w:lang w:val="it-IT"/>
              </w:rPr>
              <w:t>META: 80% (2010) (PA-MAN A, 4, 46 (b))</w:t>
            </w:r>
          </w:p>
        </w:tc>
        <w:tc>
          <w:tcPr>
            <w:tcW w:w="981" w:type="dxa"/>
            <w:gridSpan w:val="2"/>
            <w:vAlign w:val="center"/>
          </w:tcPr>
          <w:p w:rsidR="00CD2A5A" w:rsidRDefault="00CD2A5A">
            <w:pPr>
              <w:autoSpaceDE w:val="0"/>
              <w:autoSpaceDN w:val="0"/>
              <w:adjustRightInd w:val="0"/>
              <w:spacing w:before="40" w:after="40"/>
              <w:rPr>
                <w:sz w:val="20"/>
                <w:szCs w:val="20"/>
                <w:lang w:val="it-IT"/>
              </w:rPr>
            </w:pPr>
            <w:r>
              <w:rPr>
                <w:sz w:val="20"/>
                <w:szCs w:val="20"/>
                <w:lang w:val="it-IT"/>
              </w:rPr>
              <w:t>80%</w:t>
            </w:r>
          </w:p>
        </w:tc>
      </w:tr>
    </w:tbl>
    <w:p w:rsidR="00CD2A5A" w:rsidRDefault="00CD2A5A">
      <w:pPr>
        <w:spacing w:after="240"/>
        <w:rPr>
          <w:b/>
          <w:bCs/>
          <w:lang w:val="it-IT"/>
        </w:rPr>
      </w:pPr>
    </w:p>
    <w:p w:rsidR="00CD2A5A" w:rsidRDefault="00CD2A5A">
      <w:pPr>
        <w:numPr>
          <w:ilvl w:val="0"/>
          <w:numId w:val="33"/>
        </w:numPr>
        <w:tabs>
          <w:tab w:val="clear" w:pos="567"/>
        </w:tabs>
        <w:spacing w:after="240"/>
      </w:pPr>
      <w:r>
        <w:t>El Salvador ha realizado grandes esfuerzos para reducir el contagio vertical del virus, lo cual se demuestra en el índice de positividad de las mujeres embarazadas que se redujo de 0.22 a 0.14 para el año 2005</w:t>
      </w:r>
      <w:r>
        <w:rPr>
          <w:rStyle w:val="FootnoteReference"/>
        </w:rPr>
        <w:footnoteReference w:id="126"/>
      </w:r>
      <w:r>
        <w:t xml:space="preserve">. Con relación al año 2004 se registró una disminución de 23.8% en el número total de mujeres embarazadas con VIH y una reducción de 0.08% en la prevalencia de VIH en este grupo. </w:t>
      </w:r>
    </w:p>
    <w:p w:rsidR="00CD2A5A" w:rsidRDefault="00CD2A5A">
      <w:pPr>
        <w:numPr>
          <w:ilvl w:val="0"/>
          <w:numId w:val="33"/>
        </w:numPr>
        <w:tabs>
          <w:tab w:val="clear" w:pos="567"/>
        </w:tabs>
        <w:spacing w:after="240"/>
      </w:pPr>
      <w:r>
        <w:t>Sin embargo, existe aún retos pendientes en el conjunto de indicadores comprendidos en el Cuadro II, (adjuntado a continuación) que están íntimamente relacionados con el logro de esta meta, lo cual permite visualizar como probable el cumplimiento de la meta 2010 de incrementar esfuerzos en la dinámica actual de los mismos.</w:t>
      </w:r>
    </w:p>
    <w:p w:rsidR="00CD2A5A" w:rsidRDefault="00CD2A5A" w:rsidP="00CD2A5A">
      <w:pPr>
        <w:pStyle w:val="Figure"/>
        <w:rPr>
          <w:lang w:val="it-IT"/>
        </w:rPr>
      </w:pPr>
      <w:r>
        <w:t>CUADRO II</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23"/>
        <w:gridCol w:w="7151"/>
        <w:gridCol w:w="865"/>
        <w:gridCol w:w="673"/>
      </w:tblGrid>
      <w:tr w:rsidR="00CD2A5A">
        <w:trPr>
          <w:jc w:val="center"/>
        </w:trPr>
        <w:tc>
          <w:tcPr>
            <w:tcW w:w="705" w:type="dxa"/>
            <w:vAlign w:val="center"/>
          </w:tcPr>
          <w:p w:rsidR="00CD2A5A" w:rsidRDefault="00CD2A5A">
            <w:pPr>
              <w:spacing w:before="40" w:after="40"/>
              <w:rPr>
                <w:sz w:val="20"/>
                <w:szCs w:val="20"/>
              </w:rPr>
            </w:pPr>
          </w:p>
        </w:tc>
        <w:tc>
          <w:tcPr>
            <w:tcW w:w="6971" w:type="dxa"/>
            <w:vAlign w:val="center"/>
          </w:tcPr>
          <w:p w:rsidR="00CD2A5A" w:rsidRDefault="00CD2A5A">
            <w:pPr>
              <w:spacing w:before="40" w:after="40"/>
              <w:rPr>
                <w:b/>
                <w:i/>
                <w:sz w:val="20"/>
                <w:szCs w:val="20"/>
              </w:rPr>
            </w:pPr>
            <w:r>
              <w:rPr>
                <w:b/>
                <w:i/>
                <w:sz w:val="20"/>
                <w:szCs w:val="20"/>
              </w:rPr>
              <w:t xml:space="preserve">2000 – 2003  Mujeres </w:t>
            </w:r>
            <w:r>
              <w:rPr>
                <w:b/>
                <w:i/>
                <w:sz w:val="20"/>
                <w:szCs w:val="20"/>
                <w:u w:val="single"/>
              </w:rPr>
              <w:t>de 15 a 24 años</w:t>
            </w:r>
            <w:r>
              <w:rPr>
                <w:rStyle w:val="FootnoteReference"/>
                <w:b w:val="0"/>
                <w:i/>
                <w:sz w:val="20"/>
                <w:szCs w:val="20"/>
                <w:u w:val="single"/>
              </w:rPr>
              <w:footnoteReference w:id="127"/>
            </w:r>
          </w:p>
        </w:tc>
        <w:tc>
          <w:tcPr>
            <w:tcW w:w="843" w:type="dxa"/>
            <w:vAlign w:val="center"/>
          </w:tcPr>
          <w:p w:rsidR="00CD2A5A" w:rsidRDefault="00CD2A5A">
            <w:pPr>
              <w:spacing w:before="40" w:after="40"/>
              <w:rPr>
                <w:b/>
                <w:i/>
                <w:sz w:val="20"/>
                <w:szCs w:val="20"/>
              </w:rPr>
            </w:pPr>
            <w:r>
              <w:rPr>
                <w:b/>
                <w:i/>
                <w:sz w:val="20"/>
                <w:szCs w:val="20"/>
              </w:rPr>
              <w:t>Sexo</w:t>
            </w:r>
          </w:p>
        </w:tc>
        <w:tc>
          <w:tcPr>
            <w:tcW w:w="656" w:type="dxa"/>
            <w:vAlign w:val="center"/>
          </w:tcPr>
          <w:p w:rsidR="00CD2A5A" w:rsidRDefault="00CD2A5A">
            <w:pPr>
              <w:spacing w:before="40" w:after="40"/>
              <w:rPr>
                <w:b/>
                <w:i/>
                <w:sz w:val="20"/>
                <w:szCs w:val="20"/>
              </w:rPr>
            </w:pPr>
            <w:r>
              <w:rPr>
                <w:b/>
                <w:i/>
                <w:sz w:val="20"/>
                <w:szCs w:val="20"/>
              </w:rPr>
              <w:t>%</w:t>
            </w:r>
          </w:p>
        </w:tc>
      </w:tr>
      <w:tr w:rsidR="00CD2A5A">
        <w:trPr>
          <w:jc w:val="center"/>
        </w:trPr>
        <w:tc>
          <w:tcPr>
            <w:tcW w:w="705" w:type="dxa"/>
            <w:vAlign w:val="center"/>
          </w:tcPr>
          <w:p w:rsidR="00CD2A5A" w:rsidRDefault="00CD2A5A">
            <w:pPr>
              <w:spacing w:before="40" w:after="40"/>
              <w:rPr>
                <w:sz w:val="20"/>
                <w:szCs w:val="20"/>
              </w:rPr>
            </w:pPr>
            <w:r>
              <w:rPr>
                <w:sz w:val="20"/>
                <w:szCs w:val="20"/>
              </w:rPr>
              <w:t>35 a</w:t>
            </w:r>
          </w:p>
        </w:tc>
        <w:tc>
          <w:tcPr>
            <w:tcW w:w="6971" w:type="dxa"/>
            <w:vAlign w:val="center"/>
          </w:tcPr>
          <w:p w:rsidR="00CD2A5A" w:rsidRDefault="00CD2A5A">
            <w:pPr>
              <w:spacing w:before="40" w:after="40"/>
              <w:rPr>
                <w:sz w:val="20"/>
                <w:szCs w:val="20"/>
              </w:rPr>
            </w:pPr>
            <w:r>
              <w:rPr>
                <w:sz w:val="20"/>
                <w:szCs w:val="20"/>
              </w:rPr>
              <w:t xml:space="preserve">Recibieron </w:t>
            </w:r>
            <w:r>
              <w:rPr>
                <w:sz w:val="20"/>
                <w:szCs w:val="20"/>
                <w:u w:val="single"/>
              </w:rPr>
              <w:t>orientación</w:t>
            </w:r>
            <w:r>
              <w:rPr>
                <w:sz w:val="20"/>
                <w:szCs w:val="20"/>
              </w:rPr>
              <w:t xml:space="preserve"> sobre la prueba del VIH durante el control prenatal de su último embarazo terminado a partir de enero 2000.</w:t>
            </w:r>
          </w:p>
        </w:tc>
        <w:tc>
          <w:tcPr>
            <w:tcW w:w="843" w:type="dxa"/>
            <w:vAlign w:val="center"/>
          </w:tcPr>
          <w:p w:rsidR="00CD2A5A" w:rsidRDefault="00CD2A5A">
            <w:pPr>
              <w:spacing w:before="40" w:after="40"/>
              <w:jc w:val="center"/>
              <w:rPr>
                <w:sz w:val="20"/>
                <w:szCs w:val="20"/>
              </w:rPr>
            </w:pPr>
            <w:r>
              <w:rPr>
                <w:sz w:val="20"/>
                <w:szCs w:val="20"/>
              </w:rPr>
              <w:t>F</w:t>
            </w:r>
          </w:p>
        </w:tc>
        <w:tc>
          <w:tcPr>
            <w:tcW w:w="656" w:type="dxa"/>
            <w:vAlign w:val="center"/>
          </w:tcPr>
          <w:p w:rsidR="00CD2A5A" w:rsidRDefault="00CD2A5A">
            <w:pPr>
              <w:spacing w:before="40" w:after="40"/>
              <w:rPr>
                <w:sz w:val="20"/>
                <w:szCs w:val="20"/>
              </w:rPr>
            </w:pPr>
            <w:r>
              <w:rPr>
                <w:sz w:val="20"/>
                <w:szCs w:val="20"/>
              </w:rPr>
              <w:t>27.8</w:t>
            </w:r>
          </w:p>
        </w:tc>
      </w:tr>
      <w:tr w:rsidR="00CD2A5A">
        <w:trPr>
          <w:jc w:val="center"/>
        </w:trPr>
        <w:tc>
          <w:tcPr>
            <w:tcW w:w="705" w:type="dxa"/>
            <w:vAlign w:val="center"/>
          </w:tcPr>
          <w:p w:rsidR="00CD2A5A" w:rsidRDefault="00CD2A5A">
            <w:pPr>
              <w:spacing w:before="40" w:after="40"/>
              <w:rPr>
                <w:sz w:val="20"/>
                <w:szCs w:val="20"/>
              </w:rPr>
            </w:pPr>
            <w:r>
              <w:rPr>
                <w:sz w:val="20"/>
                <w:szCs w:val="20"/>
              </w:rPr>
              <w:t>35 b</w:t>
            </w:r>
          </w:p>
        </w:tc>
        <w:tc>
          <w:tcPr>
            <w:tcW w:w="6971" w:type="dxa"/>
            <w:vAlign w:val="center"/>
          </w:tcPr>
          <w:p w:rsidR="00CD2A5A" w:rsidRDefault="00CD2A5A">
            <w:pPr>
              <w:spacing w:before="40" w:after="40"/>
              <w:rPr>
                <w:sz w:val="20"/>
                <w:szCs w:val="20"/>
              </w:rPr>
            </w:pPr>
            <w:r>
              <w:rPr>
                <w:sz w:val="20"/>
                <w:szCs w:val="20"/>
              </w:rPr>
              <w:t xml:space="preserve">Les ofrecieron la </w:t>
            </w:r>
            <w:r>
              <w:rPr>
                <w:sz w:val="20"/>
                <w:szCs w:val="20"/>
                <w:u w:val="single"/>
              </w:rPr>
              <w:t>oportunidad de hacerse</w:t>
            </w:r>
            <w:r>
              <w:rPr>
                <w:sz w:val="20"/>
                <w:szCs w:val="20"/>
              </w:rPr>
              <w:t xml:space="preserve"> la prueba del VIH durante el control prenatal de su último embarazo terminado a partir de enero 2000</w:t>
            </w:r>
          </w:p>
        </w:tc>
        <w:tc>
          <w:tcPr>
            <w:tcW w:w="843" w:type="dxa"/>
            <w:vAlign w:val="center"/>
          </w:tcPr>
          <w:p w:rsidR="00CD2A5A" w:rsidRDefault="00CD2A5A">
            <w:pPr>
              <w:spacing w:before="40" w:after="40"/>
              <w:jc w:val="center"/>
              <w:rPr>
                <w:sz w:val="20"/>
                <w:szCs w:val="20"/>
              </w:rPr>
            </w:pPr>
            <w:r>
              <w:rPr>
                <w:sz w:val="20"/>
                <w:szCs w:val="20"/>
              </w:rPr>
              <w:t>F</w:t>
            </w:r>
          </w:p>
        </w:tc>
        <w:tc>
          <w:tcPr>
            <w:tcW w:w="656" w:type="dxa"/>
            <w:vAlign w:val="center"/>
          </w:tcPr>
          <w:p w:rsidR="00CD2A5A" w:rsidRDefault="00CD2A5A">
            <w:pPr>
              <w:spacing w:before="40" w:after="40"/>
              <w:rPr>
                <w:sz w:val="20"/>
                <w:szCs w:val="20"/>
              </w:rPr>
            </w:pPr>
            <w:r>
              <w:rPr>
                <w:sz w:val="20"/>
                <w:szCs w:val="20"/>
              </w:rPr>
              <w:t>15.4</w:t>
            </w:r>
          </w:p>
        </w:tc>
      </w:tr>
      <w:tr w:rsidR="00CD2A5A">
        <w:trPr>
          <w:jc w:val="center"/>
        </w:trPr>
        <w:tc>
          <w:tcPr>
            <w:tcW w:w="705" w:type="dxa"/>
            <w:vAlign w:val="center"/>
          </w:tcPr>
          <w:p w:rsidR="00CD2A5A" w:rsidRDefault="00CD2A5A">
            <w:pPr>
              <w:spacing w:before="40" w:after="40"/>
              <w:rPr>
                <w:sz w:val="20"/>
                <w:szCs w:val="20"/>
              </w:rPr>
            </w:pPr>
            <w:r>
              <w:rPr>
                <w:sz w:val="20"/>
                <w:szCs w:val="20"/>
              </w:rPr>
              <w:t>35 c</w:t>
            </w:r>
          </w:p>
        </w:tc>
        <w:tc>
          <w:tcPr>
            <w:tcW w:w="6971" w:type="dxa"/>
            <w:vAlign w:val="center"/>
          </w:tcPr>
          <w:p w:rsidR="00CD2A5A" w:rsidRDefault="00CD2A5A">
            <w:pPr>
              <w:spacing w:before="40" w:after="40"/>
              <w:rPr>
                <w:sz w:val="20"/>
                <w:szCs w:val="20"/>
              </w:rPr>
            </w:pPr>
            <w:r>
              <w:rPr>
                <w:sz w:val="20"/>
                <w:szCs w:val="20"/>
                <w:u w:val="single"/>
              </w:rPr>
              <w:t>Se hicieron voluntariamente</w:t>
            </w:r>
            <w:r>
              <w:rPr>
                <w:sz w:val="20"/>
                <w:szCs w:val="20"/>
              </w:rPr>
              <w:t xml:space="preserve"> la prueba del VIH durante el control prenatal de su último embarazo terminado a partir de enero 2000</w:t>
            </w:r>
          </w:p>
        </w:tc>
        <w:tc>
          <w:tcPr>
            <w:tcW w:w="843" w:type="dxa"/>
            <w:vAlign w:val="center"/>
          </w:tcPr>
          <w:p w:rsidR="00CD2A5A" w:rsidRDefault="00CD2A5A">
            <w:pPr>
              <w:spacing w:before="40" w:after="40"/>
              <w:jc w:val="center"/>
              <w:rPr>
                <w:sz w:val="20"/>
                <w:szCs w:val="20"/>
              </w:rPr>
            </w:pPr>
            <w:r>
              <w:rPr>
                <w:sz w:val="20"/>
                <w:szCs w:val="20"/>
              </w:rPr>
              <w:t>F</w:t>
            </w:r>
          </w:p>
        </w:tc>
        <w:tc>
          <w:tcPr>
            <w:tcW w:w="656" w:type="dxa"/>
            <w:vAlign w:val="center"/>
          </w:tcPr>
          <w:p w:rsidR="00CD2A5A" w:rsidRDefault="00CD2A5A">
            <w:pPr>
              <w:spacing w:before="40" w:after="40"/>
              <w:rPr>
                <w:sz w:val="20"/>
                <w:szCs w:val="20"/>
              </w:rPr>
            </w:pPr>
            <w:r>
              <w:rPr>
                <w:sz w:val="20"/>
                <w:szCs w:val="20"/>
              </w:rPr>
              <w:t>11.5</w:t>
            </w:r>
          </w:p>
        </w:tc>
      </w:tr>
      <w:tr w:rsidR="00CD2A5A">
        <w:trPr>
          <w:jc w:val="center"/>
        </w:trPr>
        <w:tc>
          <w:tcPr>
            <w:tcW w:w="705" w:type="dxa"/>
            <w:vAlign w:val="center"/>
          </w:tcPr>
          <w:p w:rsidR="00CD2A5A" w:rsidRDefault="00CD2A5A">
            <w:pPr>
              <w:spacing w:before="40" w:after="40"/>
              <w:rPr>
                <w:sz w:val="20"/>
                <w:szCs w:val="20"/>
              </w:rPr>
            </w:pPr>
            <w:r>
              <w:rPr>
                <w:sz w:val="20"/>
                <w:szCs w:val="20"/>
              </w:rPr>
              <w:t>35 d</w:t>
            </w:r>
          </w:p>
        </w:tc>
        <w:tc>
          <w:tcPr>
            <w:tcW w:w="6971" w:type="dxa"/>
            <w:vAlign w:val="center"/>
          </w:tcPr>
          <w:p w:rsidR="00CD2A5A" w:rsidRDefault="00CD2A5A">
            <w:pPr>
              <w:spacing w:before="40" w:after="40"/>
              <w:rPr>
                <w:sz w:val="20"/>
                <w:szCs w:val="20"/>
              </w:rPr>
            </w:pPr>
            <w:r>
              <w:rPr>
                <w:sz w:val="20"/>
                <w:szCs w:val="20"/>
              </w:rPr>
              <w:t xml:space="preserve">Se hicieron voluntariamente la prueba del VIH </w:t>
            </w:r>
            <w:r>
              <w:rPr>
                <w:sz w:val="20"/>
                <w:szCs w:val="20"/>
                <w:u w:val="single"/>
              </w:rPr>
              <w:t>y recibieron los resultados</w:t>
            </w:r>
            <w:r>
              <w:rPr>
                <w:sz w:val="20"/>
                <w:szCs w:val="20"/>
              </w:rPr>
              <w:t xml:space="preserve"> de la prueba durante el control prenatal de su último embrazo terminado a partir de enero 2000</w:t>
            </w:r>
          </w:p>
        </w:tc>
        <w:tc>
          <w:tcPr>
            <w:tcW w:w="843" w:type="dxa"/>
            <w:vAlign w:val="center"/>
          </w:tcPr>
          <w:p w:rsidR="00CD2A5A" w:rsidRDefault="00CD2A5A">
            <w:pPr>
              <w:spacing w:before="40" w:after="40"/>
              <w:jc w:val="center"/>
              <w:rPr>
                <w:sz w:val="20"/>
                <w:szCs w:val="20"/>
              </w:rPr>
            </w:pPr>
            <w:r>
              <w:rPr>
                <w:sz w:val="20"/>
                <w:szCs w:val="20"/>
              </w:rPr>
              <w:t>F</w:t>
            </w:r>
          </w:p>
        </w:tc>
        <w:tc>
          <w:tcPr>
            <w:tcW w:w="656" w:type="dxa"/>
            <w:vAlign w:val="center"/>
          </w:tcPr>
          <w:p w:rsidR="00CD2A5A" w:rsidRDefault="00CD2A5A">
            <w:pPr>
              <w:spacing w:before="40" w:after="40"/>
              <w:rPr>
                <w:sz w:val="20"/>
                <w:szCs w:val="20"/>
              </w:rPr>
            </w:pPr>
            <w:r>
              <w:rPr>
                <w:sz w:val="20"/>
                <w:szCs w:val="20"/>
              </w:rPr>
              <w:t>10.2</w:t>
            </w:r>
          </w:p>
        </w:tc>
      </w:tr>
    </w:tbl>
    <w:p w:rsidR="00CD2A5A" w:rsidRDefault="00CD2A5A">
      <w:pPr>
        <w:spacing w:after="240"/>
      </w:pPr>
    </w:p>
    <w:p w:rsidR="00CD2A5A" w:rsidRDefault="00CD2A5A" w:rsidP="006228EF">
      <w:pPr>
        <w:pStyle w:val="A0"/>
      </w:pPr>
      <w:r>
        <w:t>G.  Conclusiones</w:t>
      </w:r>
    </w:p>
    <w:p w:rsidR="00CD2A5A" w:rsidRDefault="00CD2A5A">
      <w:pPr>
        <w:numPr>
          <w:ilvl w:val="0"/>
          <w:numId w:val="33"/>
        </w:numPr>
        <w:tabs>
          <w:tab w:val="clear" w:pos="567"/>
        </w:tabs>
        <w:spacing w:after="240"/>
        <w:rPr>
          <w:bCs/>
        </w:rPr>
      </w:pPr>
      <w:r>
        <w:rPr>
          <w:bCs/>
        </w:rPr>
        <w:t xml:space="preserve">El país ha logrado superar objetivos del 2010-2015 según los datos que presentan las diferentes instituciones hasta el año 2005 – 2006. De las 35 metas que presenta el Plan de Acción, el país ha logrado cumplir 16 de ellas, mayormente en las áreas de reducción de la pobreza </w:t>
      </w:r>
      <w:r>
        <w:t>extrema</w:t>
      </w:r>
      <w:r>
        <w:rPr>
          <w:bCs/>
        </w:rPr>
        <w:t>, inmunizaciones, mortalidad infantil y en la niñez, mortalidad materna, educación de niños, niñas y adolescentes, entre otros.</w:t>
      </w:r>
    </w:p>
    <w:p w:rsidR="00CD2A5A" w:rsidRDefault="00CD2A5A">
      <w:pPr>
        <w:numPr>
          <w:ilvl w:val="0"/>
          <w:numId w:val="33"/>
        </w:numPr>
        <w:tabs>
          <w:tab w:val="clear" w:pos="567"/>
        </w:tabs>
        <w:spacing w:after="240"/>
        <w:rPr>
          <w:bCs/>
        </w:rPr>
      </w:pPr>
      <w:r>
        <w:rPr>
          <w:bCs/>
        </w:rPr>
        <w:t>Las metas relacionadas con la educación básica, reducción del VIH y reducción de la desnutrición</w:t>
      </w:r>
      <w:r>
        <w:t xml:space="preserve"> </w:t>
      </w:r>
      <w:r>
        <w:rPr>
          <w:bCs/>
        </w:rPr>
        <w:t>presentan un panorama bastante alentador en cuando a su cumplimiento, ya que el país está realizando grandes esfuerzos para mejorar los indicadores en estas áreas.</w:t>
      </w:r>
    </w:p>
    <w:p w:rsidR="00CD2A5A" w:rsidRDefault="00CD2A5A">
      <w:pPr>
        <w:numPr>
          <w:ilvl w:val="0"/>
          <w:numId w:val="33"/>
        </w:numPr>
        <w:tabs>
          <w:tab w:val="clear" w:pos="567"/>
        </w:tabs>
        <w:spacing w:after="240"/>
        <w:rPr>
          <w:bCs/>
        </w:rPr>
      </w:pPr>
      <w:r>
        <w:rPr>
          <w:bCs/>
        </w:rPr>
        <w:t>Aquellas que requieren que el país realice mayores esfuerzos para mejorar el comportamiento de los indicadores están ubicadas en áreas como reducción de la pobreza relativa, sostenibilidad del medio ambiente, acceso a servicios higiénicos, alfabetización de adultos, entre otros.</w:t>
      </w:r>
    </w:p>
    <w:p w:rsidR="00CD2A5A" w:rsidRDefault="00CD2A5A">
      <w:pPr>
        <w:numPr>
          <w:ilvl w:val="0"/>
          <w:numId w:val="33"/>
        </w:numPr>
        <w:tabs>
          <w:tab w:val="clear" w:pos="567"/>
        </w:tabs>
        <w:spacing w:after="240"/>
        <w:rPr>
          <w:bCs/>
        </w:rPr>
      </w:pPr>
      <w:r>
        <w:rPr>
          <w:bCs/>
        </w:rPr>
        <w:t xml:space="preserve">En múltiples casos, el factor decisivo para posibilitar una proyección de cumplimiento de metas 2010 y 2015 es precisamente la dinámica impulsada en el último quinquenio 2000-2005. </w:t>
      </w:r>
    </w:p>
    <w:p w:rsidR="00CD2A5A" w:rsidRDefault="00CD2A5A">
      <w:pPr>
        <w:numPr>
          <w:ilvl w:val="0"/>
          <w:numId w:val="33"/>
        </w:numPr>
        <w:tabs>
          <w:tab w:val="clear" w:pos="567"/>
        </w:tabs>
        <w:spacing w:after="240"/>
        <w:rPr>
          <w:bCs/>
        </w:rPr>
      </w:pPr>
      <w:r>
        <w:rPr>
          <w:bCs/>
        </w:rPr>
        <w:t>Algunas metas son difíciles de evaluar debido a que los sistemas estadísticos no desagregan sus datos por edades.</w:t>
      </w:r>
    </w:p>
    <w:p w:rsidR="00CD2A5A" w:rsidRDefault="00CD2A5A">
      <w:pPr>
        <w:numPr>
          <w:ilvl w:val="0"/>
          <w:numId w:val="33"/>
        </w:numPr>
        <w:tabs>
          <w:tab w:val="clear" w:pos="567"/>
        </w:tabs>
        <w:spacing w:after="240"/>
        <w:rPr>
          <w:lang w:val="es-MX"/>
        </w:rPr>
      </w:pPr>
      <w:r>
        <w:rPr>
          <w:bCs/>
        </w:rPr>
        <w:t xml:space="preserve">A continuación se presenta un cuadro consolidado sobre el nivel de cumplimiento de las metas del Programa de Acción del Documento "Un mundo apropiado para los niños". </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7"/>
        <w:gridCol w:w="2023"/>
        <w:gridCol w:w="4112"/>
      </w:tblGrid>
      <w:tr w:rsidR="00CD2A5A">
        <w:trPr>
          <w:jc w:val="center"/>
        </w:trPr>
        <w:tc>
          <w:tcPr>
            <w:tcW w:w="4428" w:type="dxa"/>
            <w:vAlign w:val="center"/>
          </w:tcPr>
          <w:p w:rsidR="00CD2A5A" w:rsidRDefault="00CD2A5A">
            <w:pPr>
              <w:spacing w:before="40" w:after="40"/>
              <w:jc w:val="center"/>
              <w:rPr>
                <w:b/>
                <w:i/>
                <w:sz w:val="20"/>
                <w:szCs w:val="20"/>
              </w:rPr>
            </w:pPr>
            <w:r>
              <w:rPr>
                <w:b/>
                <w:i/>
                <w:sz w:val="20"/>
                <w:szCs w:val="20"/>
              </w:rPr>
              <w:t>Categoría de cumplimiento</w:t>
            </w:r>
          </w:p>
        </w:tc>
        <w:tc>
          <w:tcPr>
            <w:tcW w:w="2700" w:type="dxa"/>
            <w:vAlign w:val="center"/>
          </w:tcPr>
          <w:p w:rsidR="00CD2A5A" w:rsidRDefault="00CD2A5A">
            <w:pPr>
              <w:spacing w:before="40" w:after="40"/>
              <w:jc w:val="center"/>
              <w:rPr>
                <w:b/>
                <w:i/>
                <w:sz w:val="20"/>
                <w:szCs w:val="20"/>
              </w:rPr>
            </w:pPr>
            <w:r>
              <w:rPr>
                <w:b/>
                <w:i/>
                <w:sz w:val="20"/>
                <w:szCs w:val="20"/>
              </w:rPr>
              <w:t>Número de metas</w:t>
            </w:r>
          </w:p>
        </w:tc>
        <w:tc>
          <w:tcPr>
            <w:tcW w:w="5580" w:type="dxa"/>
            <w:vAlign w:val="center"/>
          </w:tcPr>
          <w:p w:rsidR="00CD2A5A" w:rsidRDefault="00CD2A5A">
            <w:pPr>
              <w:spacing w:before="40" w:after="40"/>
              <w:jc w:val="center"/>
              <w:rPr>
                <w:b/>
                <w:i/>
                <w:sz w:val="20"/>
                <w:szCs w:val="20"/>
              </w:rPr>
            </w:pPr>
            <w:r>
              <w:rPr>
                <w:b/>
                <w:i/>
                <w:sz w:val="20"/>
                <w:szCs w:val="20"/>
              </w:rPr>
              <w:t xml:space="preserve">Porcentaje de cumplimiento respecto </w:t>
            </w:r>
            <w:r>
              <w:rPr>
                <w:b/>
                <w:i/>
                <w:sz w:val="20"/>
                <w:szCs w:val="20"/>
              </w:rPr>
              <w:br/>
              <w:t>del total de metas</w:t>
            </w:r>
          </w:p>
        </w:tc>
      </w:tr>
      <w:tr w:rsidR="00CD2A5A">
        <w:trPr>
          <w:jc w:val="center"/>
        </w:trPr>
        <w:tc>
          <w:tcPr>
            <w:tcW w:w="4428" w:type="dxa"/>
          </w:tcPr>
          <w:p w:rsidR="00CD2A5A" w:rsidRDefault="00CD2A5A">
            <w:pPr>
              <w:spacing w:before="40" w:after="40"/>
              <w:rPr>
                <w:sz w:val="20"/>
                <w:szCs w:val="20"/>
              </w:rPr>
            </w:pPr>
            <w:r>
              <w:rPr>
                <w:sz w:val="20"/>
                <w:szCs w:val="20"/>
              </w:rPr>
              <w:t>METAS CUMPLIDAS</w:t>
            </w:r>
          </w:p>
        </w:tc>
        <w:tc>
          <w:tcPr>
            <w:tcW w:w="2700" w:type="dxa"/>
          </w:tcPr>
          <w:p w:rsidR="00CD2A5A" w:rsidRDefault="00CD2A5A">
            <w:pPr>
              <w:spacing w:before="40" w:after="40"/>
              <w:ind w:right="689"/>
              <w:jc w:val="right"/>
              <w:rPr>
                <w:sz w:val="20"/>
                <w:szCs w:val="20"/>
              </w:rPr>
            </w:pPr>
            <w:r>
              <w:rPr>
                <w:sz w:val="20"/>
                <w:szCs w:val="20"/>
              </w:rPr>
              <w:t>15</w:t>
            </w:r>
          </w:p>
        </w:tc>
        <w:tc>
          <w:tcPr>
            <w:tcW w:w="5580" w:type="dxa"/>
          </w:tcPr>
          <w:p w:rsidR="00CD2A5A" w:rsidRDefault="00CD2A5A">
            <w:pPr>
              <w:spacing w:before="40" w:after="40"/>
              <w:ind w:right="1825"/>
              <w:jc w:val="right"/>
              <w:rPr>
                <w:sz w:val="20"/>
                <w:szCs w:val="20"/>
              </w:rPr>
            </w:pPr>
            <w:r>
              <w:rPr>
                <w:sz w:val="20"/>
                <w:szCs w:val="20"/>
              </w:rPr>
              <w:t>42,9%</w:t>
            </w:r>
          </w:p>
        </w:tc>
      </w:tr>
      <w:tr w:rsidR="00CD2A5A">
        <w:trPr>
          <w:jc w:val="center"/>
        </w:trPr>
        <w:tc>
          <w:tcPr>
            <w:tcW w:w="4428" w:type="dxa"/>
          </w:tcPr>
          <w:p w:rsidR="00CD2A5A" w:rsidRDefault="00CD2A5A">
            <w:pPr>
              <w:spacing w:before="40" w:after="40"/>
              <w:rPr>
                <w:sz w:val="20"/>
                <w:szCs w:val="20"/>
              </w:rPr>
            </w:pPr>
            <w:r>
              <w:rPr>
                <w:sz w:val="20"/>
                <w:szCs w:val="20"/>
              </w:rPr>
              <w:t>MUY PROBABLE</w:t>
            </w:r>
          </w:p>
        </w:tc>
        <w:tc>
          <w:tcPr>
            <w:tcW w:w="2700" w:type="dxa"/>
          </w:tcPr>
          <w:p w:rsidR="00CD2A5A" w:rsidRDefault="00CD2A5A">
            <w:pPr>
              <w:spacing w:before="40" w:after="40"/>
              <w:ind w:right="689"/>
              <w:jc w:val="right"/>
              <w:rPr>
                <w:sz w:val="20"/>
                <w:szCs w:val="20"/>
              </w:rPr>
            </w:pPr>
            <w:r>
              <w:rPr>
                <w:sz w:val="20"/>
                <w:szCs w:val="20"/>
              </w:rPr>
              <w:t>4</w:t>
            </w:r>
          </w:p>
        </w:tc>
        <w:tc>
          <w:tcPr>
            <w:tcW w:w="5580" w:type="dxa"/>
          </w:tcPr>
          <w:p w:rsidR="00CD2A5A" w:rsidRDefault="00CD2A5A">
            <w:pPr>
              <w:spacing w:before="40" w:after="40"/>
              <w:ind w:right="1825"/>
              <w:jc w:val="right"/>
              <w:rPr>
                <w:sz w:val="20"/>
                <w:szCs w:val="20"/>
              </w:rPr>
            </w:pPr>
            <w:r>
              <w:rPr>
                <w:sz w:val="20"/>
                <w:szCs w:val="20"/>
              </w:rPr>
              <w:t>11,4%</w:t>
            </w:r>
          </w:p>
        </w:tc>
      </w:tr>
      <w:tr w:rsidR="00CD2A5A">
        <w:trPr>
          <w:jc w:val="center"/>
        </w:trPr>
        <w:tc>
          <w:tcPr>
            <w:tcW w:w="4428" w:type="dxa"/>
          </w:tcPr>
          <w:p w:rsidR="00CD2A5A" w:rsidRDefault="00CD2A5A">
            <w:pPr>
              <w:spacing w:before="40" w:after="40"/>
              <w:rPr>
                <w:sz w:val="20"/>
                <w:szCs w:val="20"/>
              </w:rPr>
            </w:pPr>
            <w:r>
              <w:rPr>
                <w:sz w:val="20"/>
                <w:szCs w:val="20"/>
              </w:rPr>
              <w:t>PROBABLE</w:t>
            </w:r>
          </w:p>
        </w:tc>
        <w:tc>
          <w:tcPr>
            <w:tcW w:w="2700" w:type="dxa"/>
          </w:tcPr>
          <w:p w:rsidR="00CD2A5A" w:rsidRDefault="00CD2A5A">
            <w:pPr>
              <w:spacing w:before="40" w:after="40"/>
              <w:ind w:right="689"/>
              <w:jc w:val="right"/>
              <w:rPr>
                <w:sz w:val="20"/>
                <w:szCs w:val="20"/>
              </w:rPr>
            </w:pPr>
            <w:r>
              <w:rPr>
                <w:sz w:val="20"/>
                <w:szCs w:val="20"/>
              </w:rPr>
              <w:t>11</w:t>
            </w:r>
          </w:p>
        </w:tc>
        <w:tc>
          <w:tcPr>
            <w:tcW w:w="5580" w:type="dxa"/>
          </w:tcPr>
          <w:p w:rsidR="00CD2A5A" w:rsidRDefault="00CD2A5A">
            <w:pPr>
              <w:spacing w:before="40" w:after="40"/>
              <w:ind w:right="1825"/>
              <w:jc w:val="right"/>
              <w:rPr>
                <w:sz w:val="20"/>
                <w:szCs w:val="20"/>
              </w:rPr>
            </w:pPr>
            <w:r>
              <w:rPr>
                <w:sz w:val="20"/>
                <w:szCs w:val="20"/>
              </w:rPr>
              <w:t>31,4%</w:t>
            </w:r>
          </w:p>
        </w:tc>
      </w:tr>
      <w:tr w:rsidR="00CD2A5A">
        <w:trPr>
          <w:jc w:val="center"/>
        </w:trPr>
        <w:tc>
          <w:tcPr>
            <w:tcW w:w="4428" w:type="dxa"/>
          </w:tcPr>
          <w:p w:rsidR="00CD2A5A" w:rsidRDefault="00CD2A5A">
            <w:pPr>
              <w:spacing w:before="40" w:after="40"/>
              <w:rPr>
                <w:sz w:val="20"/>
                <w:szCs w:val="20"/>
              </w:rPr>
            </w:pPr>
            <w:r>
              <w:rPr>
                <w:sz w:val="20"/>
                <w:szCs w:val="20"/>
              </w:rPr>
              <w:t>POCO PROBABLE</w:t>
            </w:r>
          </w:p>
        </w:tc>
        <w:tc>
          <w:tcPr>
            <w:tcW w:w="2700" w:type="dxa"/>
          </w:tcPr>
          <w:p w:rsidR="00CD2A5A" w:rsidRDefault="00CD2A5A">
            <w:pPr>
              <w:spacing w:before="40" w:after="40"/>
              <w:ind w:right="689"/>
              <w:jc w:val="right"/>
              <w:rPr>
                <w:sz w:val="20"/>
                <w:szCs w:val="20"/>
              </w:rPr>
            </w:pPr>
            <w:r>
              <w:rPr>
                <w:sz w:val="20"/>
                <w:szCs w:val="20"/>
              </w:rPr>
              <w:t>3</w:t>
            </w:r>
          </w:p>
        </w:tc>
        <w:tc>
          <w:tcPr>
            <w:tcW w:w="5580" w:type="dxa"/>
          </w:tcPr>
          <w:p w:rsidR="00CD2A5A" w:rsidRDefault="00CD2A5A">
            <w:pPr>
              <w:spacing w:before="40" w:after="40"/>
              <w:ind w:right="1825"/>
              <w:jc w:val="right"/>
              <w:rPr>
                <w:sz w:val="20"/>
                <w:szCs w:val="20"/>
              </w:rPr>
            </w:pPr>
            <w:r>
              <w:rPr>
                <w:sz w:val="20"/>
                <w:szCs w:val="20"/>
              </w:rPr>
              <w:t>8,6%</w:t>
            </w:r>
          </w:p>
        </w:tc>
      </w:tr>
      <w:tr w:rsidR="00CD2A5A">
        <w:trPr>
          <w:jc w:val="center"/>
        </w:trPr>
        <w:tc>
          <w:tcPr>
            <w:tcW w:w="4428" w:type="dxa"/>
          </w:tcPr>
          <w:p w:rsidR="00CD2A5A" w:rsidRDefault="00CD2A5A">
            <w:pPr>
              <w:spacing w:before="40" w:after="40"/>
              <w:rPr>
                <w:sz w:val="20"/>
                <w:szCs w:val="20"/>
              </w:rPr>
            </w:pPr>
            <w:r>
              <w:rPr>
                <w:sz w:val="20"/>
                <w:szCs w:val="20"/>
              </w:rPr>
              <w:t>NO CUMPLIDA</w:t>
            </w:r>
          </w:p>
        </w:tc>
        <w:tc>
          <w:tcPr>
            <w:tcW w:w="2700" w:type="dxa"/>
          </w:tcPr>
          <w:p w:rsidR="00CD2A5A" w:rsidRDefault="00CD2A5A">
            <w:pPr>
              <w:spacing w:before="40" w:after="40"/>
              <w:ind w:right="689"/>
              <w:jc w:val="right"/>
              <w:rPr>
                <w:sz w:val="20"/>
                <w:szCs w:val="20"/>
              </w:rPr>
            </w:pPr>
            <w:r>
              <w:rPr>
                <w:sz w:val="20"/>
                <w:szCs w:val="20"/>
              </w:rPr>
              <w:t>2</w:t>
            </w:r>
          </w:p>
        </w:tc>
        <w:tc>
          <w:tcPr>
            <w:tcW w:w="5580" w:type="dxa"/>
          </w:tcPr>
          <w:p w:rsidR="00CD2A5A" w:rsidRDefault="00CD2A5A">
            <w:pPr>
              <w:spacing w:before="40" w:after="40"/>
              <w:ind w:right="1825"/>
              <w:jc w:val="right"/>
              <w:rPr>
                <w:sz w:val="20"/>
                <w:szCs w:val="20"/>
              </w:rPr>
            </w:pPr>
            <w:r>
              <w:rPr>
                <w:sz w:val="20"/>
                <w:szCs w:val="20"/>
              </w:rPr>
              <w:t>5,7%</w:t>
            </w:r>
          </w:p>
        </w:tc>
      </w:tr>
      <w:tr w:rsidR="00CD2A5A">
        <w:trPr>
          <w:jc w:val="center"/>
        </w:trPr>
        <w:tc>
          <w:tcPr>
            <w:tcW w:w="4428" w:type="dxa"/>
          </w:tcPr>
          <w:p w:rsidR="00CD2A5A" w:rsidRDefault="00CD2A5A">
            <w:pPr>
              <w:spacing w:before="40" w:after="40"/>
              <w:rPr>
                <w:b/>
                <w:sz w:val="20"/>
                <w:szCs w:val="20"/>
              </w:rPr>
            </w:pPr>
            <w:r>
              <w:rPr>
                <w:b/>
                <w:sz w:val="20"/>
                <w:szCs w:val="20"/>
              </w:rPr>
              <w:t>TOTAL DE METAS</w:t>
            </w:r>
          </w:p>
        </w:tc>
        <w:tc>
          <w:tcPr>
            <w:tcW w:w="2700" w:type="dxa"/>
          </w:tcPr>
          <w:p w:rsidR="00CD2A5A" w:rsidRDefault="00CD2A5A">
            <w:pPr>
              <w:spacing w:before="40" w:after="40"/>
              <w:ind w:right="689"/>
              <w:jc w:val="right"/>
              <w:rPr>
                <w:b/>
                <w:sz w:val="20"/>
                <w:szCs w:val="20"/>
              </w:rPr>
            </w:pPr>
            <w:r>
              <w:rPr>
                <w:b/>
                <w:sz w:val="20"/>
                <w:szCs w:val="20"/>
              </w:rPr>
              <w:t>35</w:t>
            </w:r>
          </w:p>
        </w:tc>
        <w:tc>
          <w:tcPr>
            <w:tcW w:w="5580" w:type="dxa"/>
          </w:tcPr>
          <w:p w:rsidR="00CD2A5A" w:rsidRDefault="00CD2A5A">
            <w:pPr>
              <w:spacing w:before="40" w:after="40"/>
              <w:ind w:right="1825"/>
              <w:jc w:val="right"/>
              <w:rPr>
                <w:b/>
                <w:sz w:val="20"/>
                <w:szCs w:val="20"/>
              </w:rPr>
            </w:pPr>
            <w:r>
              <w:rPr>
                <w:b/>
                <w:sz w:val="20"/>
                <w:szCs w:val="20"/>
              </w:rPr>
              <w:t>100%</w:t>
            </w:r>
          </w:p>
        </w:tc>
      </w:tr>
    </w:tbl>
    <w:p w:rsidR="00CD2A5A" w:rsidRDefault="00CD2A5A">
      <w:pPr>
        <w:spacing w:after="240"/>
        <w:rPr>
          <w:b/>
        </w:rPr>
      </w:pPr>
    </w:p>
    <w:p w:rsidR="00CD2A5A" w:rsidRDefault="00CD2A5A">
      <w:pPr>
        <w:pStyle w:val="I"/>
        <w:rPr>
          <w:bCs w:val="0"/>
        </w:rPr>
      </w:pPr>
      <w:r>
        <w:rPr>
          <w:bCs w:val="0"/>
        </w:rPr>
        <w:br w:type="page"/>
        <w:t>ANEXO XI</w:t>
      </w:r>
    </w:p>
    <w:p w:rsidR="00CD2A5A" w:rsidRDefault="00CD2A5A">
      <w:pPr>
        <w:pStyle w:val="Heading6"/>
        <w:spacing w:after="240"/>
        <w:jc w:val="left"/>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185" type="#_x0000_t202" style="position:absolute;margin-left:54pt;margin-top:8.4pt;width:286.8pt;height:24.05pt;z-index:10;v-text-anchor:top-baseline" filled="f" fillcolor="#e8f0f4" stroked="f">
            <v:fill color2="#ccecff"/>
            <v:shadow color="#d6edee"/>
            <v:textbox style="mso-next-textbox:#_x0000_s1185">
              <w:txbxContent>
                <w:p w:rsidR="008A5877" w:rsidRDefault="008A5877">
                  <w:pPr>
                    <w:rPr>
                      <w:b/>
                      <w:snapToGrid w:val="0"/>
                      <w:color w:val="000080"/>
                      <w:lang w:val="es-ES_tradnl"/>
                    </w:rPr>
                  </w:pPr>
                  <w:r>
                    <w:rPr>
                      <w:b/>
                      <w:snapToGrid w:val="0"/>
                      <w:color w:val="000080"/>
                      <w:lang w:val="es-ES_tradnl"/>
                    </w:rPr>
                    <w:t>MAPA DE VULNERABILIDAD NUTRICIONAL</w:t>
                  </w:r>
                </w:p>
              </w:txbxContent>
            </v:textbox>
          </v:shape>
        </w:pict>
      </w:r>
      <w:r>
        <w:rPr>
          <w:rFonts w:ascii="Times New Roman" w:hAnsi="Times New Roman" w:cs="Times New Roman"/>
          <w:noProof/>
        </w:rPr>
        <w:pict>
          <v:shape id="_x0000_s1183" type="#_x0000_t75" style="position:absolute;margin-left:66.25pt;margin-top:29.8pt;width:317.75pt;height:238.3pt;z-index:9" o:allowincell="f">
            <v:imagedata r:id="rId25" o:title=""/>
            <w10:wrap type="topAndBottom"/>
          </v:shape>
          <o:OLEObject Type="Embed" ProgID="PowerPoint.Slide.8" ShapeID="_x0000_s1183" DrawAspect="Content" ObjectID="_1395858678" r:id="rId26"/>
        </w:pict>
      </w:r>
    </w:p>
    <w:p w:rsidR="00CD2A5A" w:rsidRDefault="00CD2A5A">
      <w:pPr>
        <w:spacing w:after="240"/>
      </w:pPr>
      <w:r>
        <w:pict>
          <v:shape id="_x0000_i1039" type="#_x0000_t75" style="width:276pt;height:228.75pt" o:allowoverlap="f">
            <v:imagedata r:id="rId27" o:title="pais muni"/>
          </v:shape>
        </w:pict>
      </w:r>
    </w:p>
    <w:p w:rsidR="00CD2A5A" w:rsidRDefault="00CD2A5A">
      <w:pPr>
        <w:pStyle w:val="Source"/>
      </w:pPr>
      <w:r>
        <w:rPr>
          <w:i/>
        </w:rPr>
        <w:t xml:space="preserve">Fuente: </w:t>
      </w:r>
      <w:r>
        <w:t xml:space="preserve"> Segundo Censo Nacional de talla en escolares de 1º grado en El Salvador.  Septiembre de 2000.</w:t>
      </w:r>
    </w:p>
    <w:p w:rsidR="00CD2A5A" w:rsidRDefault="00CD2A5A">
      <w:pPr>
        <w:pStyle w:val="I"/>
      </w:pPr>
      <w:r>
        <w:br w:type="page"/>
        <w:t>ANEXO XII</w:t>
      </w:r>
    </w:p>
    <w:p w:rsidR="00CD2A5A" w:rsidRDefault="00CD2A5A" w:rsidP="00CD2A5A">
      <w:pPr>
        <w:pStyle w:val="Figure"/>
        <w:rPr>
          <w:caps/>
        </w:rPr>
      </w:pPr>
      <w:r>
        <w:t>Práctica de la lactancia materna en El Salvador</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008"/>
        <w:gridCol w:w="2101"/>
        <w:gridCol w:w="2101"/>
        <w:gridCol w:w="2101"/>
        <w:gridCol w:w="2101"/>
      </w:tblGrid>
      <w:tr w:rsidR="00CD2A5A">
        <w:tblPrEx>
          <w:tblCellMar>
            <w:top w:w="0" w:type="dxa"/>
            <w:bottom w:w="0" w:type="dxa"/>
          </w:tblCellMar>
        </w:tblPrEx>
        <w:trPr>
          <w:jc w:val="center"/>
        </w:trPr>
        <w:tc>
          <w:tcPr>
            <w:tcW w:w="535" w:type="pct"/>
            <w:vAlign w:val="center"/>
          </w:tcPr>
          <w:p w:rsidR="00CD2A5A" w:rsidRDefault="00CD2A5A">
            <w:pPr>
              <w:pStyle w:val="Title"/>
              <w:spacing w:before="40" w:after="40"/>
              <w:rPr>
                <w:rFonts w:ascii="Times New Roman" w:hAnsi="Times New Roman" w:cs="Times New Roman"/>
                <w:i/>
                <w:sz w:val="20"/>
                <w:szCs w:val="20"/>
                <w:lang w:val="es-SV"/>
              </w:rPr>
            </w:pPr>
            <w:r>
              <w:rPr>
                <w:rFonts w:ascii="Times New Roman" w:hAnsi="Times New Roman" w:cs="Times New Roman"/>
                <w:i/>
                <w:sz w:val="20"/>
                <w:szCs w:val="20"/>
                <w:lang w:val="es-SV"/>
              </w:rPr>
              <w:t>Año</w:t>
            </w:r>
          </w:p>
        </w:tc>
        <w:tc>
          <w:tcPr>
            <w:tcW w:w="1116" w:type="pct"/>
            <w:vAlign w:val="center"/>
          </w:tcPr>
          <w:p w:rsidR="00CD2A5A" w:rsidRDefault="00CD2A5A">
            <w:pPr>
              <w:pStyle w:val="Title"/>
              <w:spacing w:before="40" w:after="40"/>
              <w:rPr>
                <w:rFonts w:ascii="Times New Roman" w:hAnsi="Times New Roman" w:cs="Times New Roman"/>
                <w:i/>
                <w:sz w:val="20"/>
                <w:szCs w:val="20"/>
                <w:lang w:val="es-SV"/>
              </w:rPr>
            </w:pPr>
            <w:r>
              <w:rPr>
                <w:rFonts w:ascii="Times New Roman" w:hAnsi="Times New Roman" w:cs="Times New Roman"/>
                <w:i/>
                <w:sz w:val="20"/>
                <w:szCs w:val="20"/>
                <w:lang w:val="es-SV"/>
              </w:rPr>
              <w:t>Porcentaje de inicio de lactancia materna en recién nacidos</w:t>
            </w:r>
          </w:p>
        </w:tc>
        <w:tc>
          <w:tcPr>
            <w:tcW w:w="1116" w:type="pct"/>
            <w:vAlign w:val="center"/>
          </w:tcPr>
          <w:p w:rsidR="00CD2A5A" w:rsidRDefault="00CD2A5A">
            <w:pPr>
              <w:pStyle w:val="Title"/>
              <w:spacing w:before="40" w:after="40"/>
              <w:rPr>
                <w:rFonts w:ascii="Times New Roman" w:hAnsi="Times New Roman" w:cs="Times New Roman"/>
                <w:i/>
                <w:sz w:val="20"/>
                <w:szCs w:val="20"/>
                <w:lang w:val="es-SV"/>
              </w:rPr>
            </w:pPr>
            <w:r>
              <w:rPr>
                <w:rFonts w:ascii="Times New Roman" w:hAnsi="Times New Roman" w:cs="Times New Roman"/>
                <w:i/>
                <w:sz w:val="20"/>
                <w:szCs w:val="20"/>
                <w:lang w:val="es-SV"/>
              </w:rPr>
              <w:t>Porcentaje de niños menores de 6 meses que reciben lactancia materna exclusiva</w:t>
            </w:r>
          </w:p>
        </w:tc>
        <w:tc>
          <w:tcPr>
            <w:tcW w:w="1116" w:type="pct"/>
            <w:vAlign w:val="center"/>
          </w:tcPr>
          <w:p w:rsidR="00CD2A5A" w:rsidRDefault="00CD2A5A">
            <w:pPr>
              <w:pStyle w:val="Title"/>
              <w:spacing w:before="40" w:after="40"/>
              <w:rPr>
                <w:rFonts w:ascii="Times New Roman" w:hAnsi="Times New Roman" w:cs="Times New Roman"/>
                <w:i/>
                <w:sz w:val="20"/>
                <w:szCs w:val="20"/>
                <w:lang w:val="es-SV"/>
              </w:rPr>
            </w:pPr>
            <w:r>
              <w:rPr>
                <w:rFonts w:ascii="Times New Roman" w:hAnsi="Times New Roman" w:cs="Times New Roman"/>
                <w:i/>
                <w:sz w:val="20"/>
                <w:szCs w:val="20"/>
                <w:lang w:val="es-SV"/>
              </w:rPr>
              <w:t>Duración promedio de lactancia materna en cualquiera de sus modalidades (Exclusiva, predominante o complementaria)</w:t>
            </w:r>
          </w:p>
        </w:tc>
        <w:tc>
          <w:tcPr>
            <w:tcW w:w="1116" w:type="pct"/>
            <w:vAlign w:val="center"/>
          </w:tcPr>
          <w:p w:rsidR="00CD2A5A" w:rsidRDefault="00CD2A5A">
            <w:pPr>
              <w:pStyle w:val="Title"/>
              <w:spacing w:before="40" w:after="40"/>
              <w:rPr>
                <w:rFonts w:ascii="Times New Roman" w:hAnsi="Times New Roman" w:cs="Times New Roman"/>
                <w:i/>
                <w:sz w:val="20"/>
                <w:szCs w:val="20"/>
                <w:lang w:val="es-SV"/>
              </w:rPr>
            </w:pPr>
            <w:r>
              <w:rPr>
                <w:rFonts w:ascii="Times New Roman" w:hAnsi="Times New Roman" w:cs="Times New Roman"/>
                <w:i/>
                <w:sz w:val="20"/>
                <w:szCs w:val="20"/>
                <w:lang w:val="es-SV"/>
              </w:rPr>
              <w:t>Duración promedio de lactancia materna exclusiva en menores de 6 meses</w:t>
            </w:r>
          </w:p>
        </w:tc>
      </w:tr>
      <w:tr w:rsidR="00CD2A5A">
        <w:tblPrEx>
          <w:tblCellMar>
            <w:top w:w="0" w:type="dxa"/>
            <w:bottom w:w="0" w:type="dxa"/>
          </w:tblCellMar>
        </w:tblPrEx>
        <w:trPr>
          <w:jc w:val="center"/>
        </w:trPr>
        <w:tc>
          <w:tcPr>
            <w:tcW w:w="535" w:type="pct"/>
          </w:tcPr>
          <w:p w:rsidR="00CD2A5A" w:rsidRDefault="00CD2A5A">
            <w:pPr>
              <w:pStyle w:val="Title"/>
              <w:spacing w:before="40" w:after="40"/>
              <w:jc w:val="left"/>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2002/03</w:t>
            </w:r>
          </w:p>
        </w:tc>
        <w:tc>
          <w:tcPr>
            <w:tcW w:w="1116" w:type="pct"/>
          </w:tcPr>
          <w:p w:rsidR="00CD2A5A" w:rsidRDefault="00CD2A5A">
            <w:pPr>
              <w:pStyle w:val="Title"/>
              <w:spacing w:before="40" w:after="40"/>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94%</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24%</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19,2 meses</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1,4 meses</w:t>
            </w:r>
          </w:p>
        </w:tc>
      </w:tr>
      <w:tr w:rsidR="00CD2A5A">
        <w:tblPrEx>
          <w:tblCellMar>
            <w:top w:w="0" w:type="dxa"/>
            <w:bottom w:w="0" w:type="dxa"/>
          </w:tblCellMar>
        </w:tblPrEx>
        <w:trPr>
          <w:jc w:val="center"/>
        </w:trPr>
        <w:tc>
          <w:tcPr>
            <w:tcW w:w="535" w:type="pct"/>
          </w:tcPr>
          <w:p w:rsidR="00CD2A5A" w:rsidRDefault="00CD2A5A">
            <w:pPr>
              <w:pStyle w:val="Title"/>
              <w:spacing w:before="40" w:after="40"/>
              <w:jc w:val="left"/>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1998</w:t>
            </w:r>
          </w:p>
        </w:tc>
        <w:tc>
          <w:tcPr>
            <w:tcW w:w="1116" w:type="pct"/>
          </w:tcPr>
          <w:p w:rsidR="00CD2A5A" w:rsidRDefault="00CD2A5A">
            <w:pPr>
              <w:pStyle w:val="Title"/>
              <w:spacing w:before="40" w:after="40"/>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94%</w:t>
            </w:r>
          </w:p>
        </w:tc>
        <w:tc>
          <w:tcPr>
            <w:tcW w:w="1116" w:type="pct"/>
          </w:tcPr>
          <w:p w:rsidR="00CD2A5A" w:rsidRDefault="00CD2A5A">
            <w:pPr>
              <w:pStyle w:val="Title"/>
              <w:spacing w:before="40" w:after="40"/>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16%</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17,7 meses</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0,9 meses</w:t>
            </w:r>
          </w:p>
        </w:tc>
      </w:tr>
      <w:tr w:rsidR="00CD2A5A">
        <w:tblPrEx>
          <w:tblCellMar>
            <w:top w:w="0" w:type="dxa"/>
            <w:bottom w:w="0" w:type="dxa"/>
          </w:tblCellMar>
        </w:tblPrEx>
        <w:trPr>
          <w:jc w:val="center"/>
        </w:trPr>
        <w:tc>
          <w:tcPr>
            <w:tcW w:w="535" w:type="pct"/>
          </w:tcPr>
          <w:p w:rsidR="00CD2A5A" w:rsidRDefault="00CD2A5A">
            <w:pPr>
              <w:pStyle w:val="Title"/>
              <w:spacing w:before="40" w:after="40"/>
              <w:jc w:val="left"/>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1993</w:t>
            </w:r>
          </w:p>
        </w:tc>
        <w:tc>
          <w:tcPr>
            <w:tcW w:w="1116" w:type="pct"/>
          </w:tcPr>
          <w:p w:rsidR="00CD2A5A" w:rsidRDefault="00CD2A5A">
            <w:pPr>
              <w:pStyle w:val="Title"/>
              <w:spacing w:before="40" w:after="40"/>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93%</w:t>
            </w:r>
          </w:p>
        </w:tc>
        <w:tc>
          <w:tcPr>
            <w:tcW w:w="1116" w:type="pct"/>
          </w:tcPr>
          <w:p w:rsidR="00CD2A5A" w:rsidRDefault="00CD2A5A">
            <w:pPr>
              <w:pStyle w:val="Title"/>
              <w:spacing w:before="40" w:after="40"/>
              <w:rPr>
                <w:rFonts w:ascii="Times New Roman" w:hAnsi="Times New Roman" w:cs="Times New Roman"/>
                <w:b w:val="0"/>
                <w:caps/>
                <w:sz w:val="20"/>
                <w:szCs w:val="20"/>
                <w:lang w:val="es-SV"/>
              </w:rPr>
            </w:pPr>
            <w:r>
              <w:rPr>
                <w:rFonts w:ascii="Times New Roman" w:hAnsi="Times New Roman" w:cs="Times New Roman"/>
                <w:b w:val="0"/>
                <w:caps/>
                <w:sz w:val="20"/>
                <w:szCs w:val="20"/>
                <w:lang w:val="es-SV"/>
              </w:rPr>
              <w:t>20%</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15,5 meses</w:t>
            </w:r>
          </w:p>
        </w:tc>
        <w:tc>
          <w:tcPr>
            <w:tcW w:w="1116" w:type="pct"/>
          </w:tcPr>
          <w:p w:rsidR="00CD2A5A" w:rsidRDefault="00CD2A5A">
            <w:pPr>
              <w:pStyle w:val="Title"/>
              <w:spacing w:before="40" w:after="40"/>
              <w:rPr>
                <w:rFonts w:ascii="Times New Roman" w:hAnsi="Times New Roman" w:cs="Times New Roman"/>
                <w:b w:val="0"/>
                <w:sz w:val="20"/>
                <w:szCs w:val="20"/>
                <w:lang w:val="es-SV"/>
              </w:rPr>
            </w:pPr>
            <w:r>
              <w:rPr>
                <w:rFonts w:ascii="Times New Roman" w:hAnsi="Times New Roman" w:cs="Times New Roman"/>
                <w:b w:val="0"/>
                <w:sz w:val="20"/>
                <w:szCs w:val="20"/>
                <w:lang w:val="es-SV"/>
              </w:rPr>
              <w:t>0,8 meses</w:t>
            </w:r>
          </w:p>
        </w:tc>
      </w:tr>
    </w:tbl>
    <w:p w:rsidR="00CD2A5A" w:rsidRDefault="00CD2A5A">
      <w:pPr>
        <w:spacing w:after="240"/>
        <w:rPr>
          <w:lang w:val="es-SV"/>
        </w:rPr>
      </w:pPr>
    </w:p>
    <w:p w:rsidR="00CD2A5A" w:rsidRDefault="00CD2A5A" w:rsidP="00CD2A5A">
      <w:pPr>
        <w:pStyle w:val="Figure"/>
      </w:pPr>
      <w:r>
        <w:t>Práctica de la lactancia materna en El Salvador</w:t>
      </w:r>
    </w:p>
    <w:p w:rsidR="00CD2A5A" w:rsidRDefault="00CD2A5A">
      <w:pPr>
        <w:spacing w:after="240"/>
        <w:rPr>
          <w:lang w:val="es-SV"/>
        </w:rPr>
      </w:pPr>
      <w:r>
        <w:rPr>
          <w:sz w:val="20"/>
          <w:szCs w:val="20"/>
          <w:lang w:val="es-SV"/>
        </w:rPr>
        <w:t>(2002/2003)</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242"/>
        <w:gridCol w:w="2170"/>
      </w:tblGrid>
      <w:tr w:rsidR="00CD2A5A">
        <w:tblPrEx>
          <w:tblCellMar>
            <w:top w:w="0" w:type="dxa"/>
            <w:bottom w:w="0" w:type="dxa"/>
          </w:tblCellMar>
        </w:tblPrEx>
        <w:trPr>
          <w:jc w:val="center"/>
        </w:trPr>
        <w:tc>
          <w:tcPr>
            <w:tcW w:w="3847" w:type="pct"/>
            <w:vAlign w:val="center"/>
          </w:tcPr>
          <w:p w:rsidR="00CD2A5A" w:rsidRDefault="00CD2A5A" w:rsidP="00A32998">
            <w:pPr>
              <w:pStyle w:val="TOC1"/>
            </w:pPr>
            <w:r>
              <w:t>Lactancia materna exclusiva en niños menores de 6 meses</w:t>
            </w:r>
          </w:p>
        </w:tc>
        <w:tc>
          <w:tcPr>
            <w:tcW w:w="1153" w:type="pct"/>
          </w:tcPr>
          <w:p w:rsidR="00CD2A5A" w:rsidRDefault="00CD2A5A">
            <w:pPr>
              <w:spacing w:before="40" w:after="40"/>
              <w:jc w:val="center"/>
              <w:rPr>
                <w:b/>
                <w:sz w:val="20"/>
                <w:szCs w:val="20"/>
                <w:lang w:val="en-US"/>
              </w:rPr>
            </w:pPr>
            <w:r>
              <w:rPr>
                <w:b/>
                <w:sz w:val="20"/>
                <w:szCs w:val="20"/>
                <w:lang w:val="en-US"/>
              </w:rPr>
              <w:t>Total 24%</w:t>
            </w:r>
          </w:p>
          <w:p w:rsidR="00CD2A5A" w:rsidRDefault="00CD2A5A">
            <w:pPr>
              <w:spacing w:before="40" w:after="40"/>
              <w:jc w:val="center"/>
              <w:rPr>
                <w:b/>
                <w:sz w:val="20"/>
                <w:szCs w:val="20"/>
                <w:lang w:val="en-US"/>
              </w:rPr>
            </w:pPr>
            <w:r>
              <w:rPr>
                <w:b/>
                <w:sz w:val="20"/>
                <w:szCs w:val="20"/>
                <w:lang w:val="en-US"/>
              </w:rPr>
              <w:t>Urbana 18.7%</w:t>
            </w:r>
          </w:p>
          <w:p w:rsidR="00CD2A5A" w:rsidRDefault="00CD2A5A">
            <w:pPr>
              <w:spacing w:before="40" w:after="40"/>
              <w:jc w:val="center"/>
              <w:rPr>
                <w:b/>
                <w:sz w:val="20"/>
                <w:szCs w:val="20"/>
                <w:lang w:val="en-US"/>
              </w:rPr>
            </w:pPr>
            <w:r>
              <w:rPr>
                <w:b/>
                <w:sz w:val="20"/>
                <w:szCs w:val="20"/>
                <w:lang w:val="en-US"/>
              </w:rPr>
              <w:t>Rural 29.8%</w:t>
            </w:r>
          </w:p>
        </w:tc>
      </w:tr>
      <w:tr w:rsidR="00CD2A5A">
        <w:tblPrEx>
          <w:tblCellMar>
            <w:top w:w="0" w:type="dxa"/>
            <w:bottom w:w="0" w:type="dxa"/>
          </w:tblCellMar>
        </w:tblPrEx>
        <w:trPr>
          <w:jc w:val="center"/>
        </w:trPr>
        <w:tc>
          <w:tcPr>
            <w:tcW w:w="3847" w:type="pct"/>
          </w:tcPr>
          <w:p w:rsidR="00CD2A5A" w:rsidRDefault="00CD2A5A">
            <w:pPr>
              <w:spacing w:before="40" w:after="40"/>
              <w:rPr>
                <w:sz w:val="20"/>
                <w:szCs w:val="20"/>
                <w:lang w:val="es-SV"/>
              </w:rPr>
            </w:pPr>
            <w:r>
              <w:rPr>
                <w:sz w:val="20"/>
                <w:szCs w:val="20"/>
                <w:lang w:val="es-SV"/>
              </w:rPr>
              <w:t>Lactancia materna exclusiva en niños menores de 2 meses</w:t>
            </w:r>
          </w:p>
        </w:tc>
        <w:tc>
          <w:tcPr>
            <w:tcW w:w="1153" w:type="pct"/>
          </w:tcPr>
          <w:p w:rsidR="00CD2A5A" w:rsidRDefault="00CD2A5A">
            <w:pPr>
              <w:spacing w:before="40" w:after="40"/>
              <w:ind w:right="767"/>
              <w:jc w:val="right"/>
              <w:rPr>
                <w:sz w:val="20"/>
                <w:szCs w:val="20"/>
                <w:lang w:val="es-SV"/>
              </w:rPr>
            </w:pPr>
            <w:r>
              <w:rPr>
                <w:sz w:val="20"/>
                <w:szCs w:val="20"/>
                <w:lang w:val="es-SV"/>
              </w:rPr>
              <w:t>36.8%</w:t>
            </w:r>
          </w:p>
        </w:tc>
      </w:tr>
      <w:tr w:rsidR="00CD2A5A">
        <w:tblPrEx>
          <w:tblCellMar>
            <w:top w:w="0" w:type="dxa"/>
            <w:bottom w:w="0" w:type="dxa"/>
          </w:tblCellMar>
        </w:tblPrEx>
        <w:trPr>
          <w:jc w:val="center"/>
        </w:trPr>
        <w:tc>
          <w:tcPr>
            <w:tcW w:w="3847" w:type="pct"/>
          </w:tcPr>
          <w:p w:rsidR="00CD2A5A" w:rsidRDefault="00CD2A5A">
            <w:pPr>
              <w:spacing w:before="40" w:after="40"/>
              <w:rPr>
                <w:sz w:val="20"/>
                <w:szCs w:val="20"/>
                <w:lang w:val="es-SV"/>
              </w:rPr>
            </w:pPr>
            <w:r>
              <w:rPr>
                <w:sz w:val="20"/>
                <w:szCs w:val="20"/>
                <w:lang w:val="es-SV"/>
              </w:rPr>
              <w:t>Lactancia materna exclusiva en niños  de 2 a 3 meses</w:t>
            </w:r>
          </w:p>
        </w:tc>
        <w:tc>
          <w:tcPr>
            <w:tcW w:w="1153" w:type="pct"/>
          </w:tcPr>
          <w:p w:rsidR="00CD2A5A" w:rsidRDefault="00CD2A5A">
            <w:pPr>
              <w:spacing w:before="40" w:after="40"/>
              <w:ind w:right="767"/>
              <w:jc w:val="right"/>
              <w:rPr>
                <w:sz w:val="20"/>
                <w:szCs w:val="20"/>
                <w:lang w:val="es-SV"/>
              </w:rPr>
            </w:pPr>
            <w:r>
              <w:rPr>
                <w:sz w:val="20"/>
                <w:szCs w:val="20"/>
                <w:lang w:val="es-SV"/>
              </w:rPr>
              <w:t>22.1%</w:t>
            </w:r>
          </w:p>
        </w:tc>
      </w:tr>
      <w:tr w:rsidR="00CD2A5A">
        <w:tblPrEx>
          <w:tblCellMar>
            <w:top w:w="0" w:type="dxa"/>
            <w:bottom w:w="0" w:type="dxa"/>
          </w:tblCellMar>
        </w:tblPrEx>
        <w:trPr>
          <w:jc w:val="center"/>
        </w:trPr>
        <w:tc>
          <w:tcPr>
            <w:tcW w:w="3847" w:type="pct"/>
          </w:tcPr>
          <w:p w:rsidR="00CD2A5A" w:rsidRDefault="00CD2A5A">
            <w:pPr>
              <w:spacing w:before="40" w:after="40"/>
              <w:rPr>
                <w:sz w:val="20"/>
                <w:szCs w:val="20"/>
                <w:lang w:val="es-SV"/>
              </w:rPr>
            </w:pPr>
            <w:r>
              <w:rPr>
                <w:sz w:val="20"/>
                <w:szCs w:val="20"/>
                <w:lang w:val="es-SV"/>
              </w:rPr>
              <w:t>Lactancia materna exclusiva en niños  de 4 a 5 meses</w:t>
            </w:r>
          </w:p>
        </w:tc>
        <w:tc>
          <w:tcPr>
            <w:tcW w:w="1153" w:type="pct"/>
          </w:tcPr>
          <w:p w:rsidR="00CD2A5A" w:rsidRDefault="00CD2A5A">
            <w:pPr>
              <w:spacing w:before="40" w:after="40"/>
              <w:ind w:right="767"/>
              <w:jc w:val="right"/>
              <w:rPr>
                <w:sz w:val="20"/>
                <w:szCs w:val="20"/>
                <w:lang w:val="es-SV"/>
              </w:rPr>
            </w:pPr>
            <w:r>
              <w:rPr>
                <w:sz w:val="20"/>
                <w:szCs w:val="20"/>
                <w:lang w:val="es-SV"/>
              </w:rPr>
              <w:t>8.1%</w:t>
            </w:r>
          </w:p>
        </w:tc>
      </w:tr>
    </w:tbl>
    <w:p w:rsidR="00CD2A5A" w:rsidRDefault="00CD2A5A">
      <w:pPr>
        <w:spacing w:after="240"/>
        <w:rPr>
          <w:lang w:val="es-SV"/>
        </w:rPr>
      </w:pPr>
    </w:p>
    <w:p w:rsidR="00CD2A5A" w:rsidRDefault="00CD2A5A" w:rsidP="00CD2A5A">
      <w:pPr>
        <w:pStyle w:val="Figure"/>
        <w:rPr>
          <w:lang w:val="es-ES_tradnl"/>
        </w:rPr>
      </w:pPr>
      <w:r>
        <w:t>Razones por abandono de lactancia materna en menores de 6 meses dadas por las madres</w:t>
      </w:r>
    </w:p>
    <w:tbl>
      <w:tblPr>
        <w:tblpPr w:tblpXSpec="cente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78"/>
        <w:gridCol w:w="4034"/>
      </w:tblGrid>
      <w:tr w:rsidR="00CD2A5A">
        <w:tblPrEx>
          <w:tblCellMar>
            <w:top w:w="0" w:type="dxa"/>
            <w:bottom w:w="0" w:type="dxa"/>
          </w:tblCellMar>
        </w:tblPrEx>
        <w:trPr>
          <w:jc w:val="center"/>
        </w:trPr>
        <w:tc>
          <w:tcPr>
            <w:tcW w:w="2857" w:type="pct"/>
          </w:tcPr>
          <w:p w:rsidR="00CD2A5A" w:rsidRDefault="00CD2A5A">
            <w:pPr>
              <w:spacing w:before="40" w:after="40"/>
              <w:rPr>
                <w:sz w:val="20"/>
                <w:szCs w:val="20"/>
                <w:lang w:val="es-SV"/>
              </w:rPr>
            </w:pPr>
            <w:r>
              <w:rPr>
                <w:sz w:val="20"/>
                <w:szCs w:val="20"/>
                <w:lang w:val="es-SV"/>
              </w:rPr>
              <w:t>No tengo suficiente leche</w:t>
            </w:r>
          </w:p>
        </w:tc>
        <w:tc>
          <w:tcPr>
            <w:tcW w:w="2143" w:type="pct"/>
          </w:tcPr>
          <w:p w:rsidR="00CD2A5A" w:rsidRDefault="00CD2A5A">
            <w:pPr>
              <w:spacing w:before="40" w:after="40"/>
              <w:rPr>
                <w:sz w:val="20"/>
                <w:szCs w:val="20"/>
                <w:lang w:val="es-SV"/>
              </w:rPr>
            </w:pPr>
            <w:r>
              <w:rPr>
                <w:sz w:val="20"/>
                <w:szCs w:val="20"/>
                <w:lang w:val="es-SV"/>
              </w:rPr>
              <w:t>41.9% de madres de niños menores de 1 mes</w:t>
            </w:r>
          </w:p>
        </w:tc>
      </w:tr>
      <w:tr w:rsidR="00CD2A5A">
        <w:tblPrEx>
          <w:tblCellMar>
            <w:top w:w="0" w:type="dxa"/>
            <w:bottom w:w="0" w:type="dxa"/>
          </w:tblCellMar>
        </w:tblPrEx>
        <w:trPr>
          <w:jc w:val="center"/>
        </w:trPr>
        <w:tc>
          <w:tcPr>
            <w:tcW w:w="2857" w:type="pct"/>
          </w:tcPr>
          <w:p w:rsidR="00CD2A5A" w:rsidRDefault="00CD2A5A">
            <w:pPr>
              <w:spacing w:before="40" w:after="40"/>
              <w:rPr>
                <w:sz w:val="20"/>
                <w:szCs w:val="20"/>
                <w:lang w:val="es-SV"/>
              </w:rPr>
            </w:pPr>
            <w:r>
              <w:rPr>
                <w:sz w:val="20"/>
                <w:szCs w:val="20"/>
                <w:lang w:val="es-SV"/>
              </w:rPr>
              <w:t>El niño no quiere</w:t>
            </w:r>
          </w:p>
        </w:tc>
        <w:tc>
          <w:tcPr>
            <w:tcW w:w="2143" w:type="pct"/>
          </w:tcPr>
          <w:p w:rsidR="00CD2A5A" w:rsidRDefault="00CD2A5A">
            <w:pPr>
              <w:spacing w:before="40" w:after="40"/>
              <w:rPr>
                <w:sz w:val="20"/>
                <w:szCs w:val="20"/>
                <w:lang w:val="es-SV"/>
              </w:rPr>
            </w:pPr>
            <w:r>
              <w:rPr>
                <w:sz w:val="20"/>
                <w:szCs w:val="20"/>
                <w:lang w:val="es-SV"/>
              </w:rPr>
              <w:t>39.8% de madres de niños de 2 a 4 meses</w:t>
            </w:r>
          </w:p>
        </w:tc>
      </w:tr>
      <w:tr w:rsidR="00CD2A5A">
        <w:tblPrEx>
          <w:tblCellMar>
            <w:top w:w="0" w:type="dxa"/>
            <w:bottom w:w="0" w:type="dxa"/>
          </w:tblCellMar>
        </w:tblPrEx>
        <w:trPr>
          <w:jc w:val="center"/>
        </w:trPr>
        <w:tc>
          <w:tcPr>
            <w:tcW w:w="2857" w:type="pct"/>
          </w:tcPr>
          <w:p w:rsidR="00CD2A5A" w:rsidRDefault="00CD2A5A">
            <w:pPr>
              <w:spacing w:before="40" w:after="40"/>
              <w:rPr>
                <w:sz w:val="20"/>
                <w:szCs w:val="20"/>
                <w:lang w:val="es-SV"/>
              </w:rPr>
            </w:pPr>
            <w:r>
              <w:rPr>
                <w:sz w:val="20"/>
                <w:szCs w:val="20"/>
                <w:lang w:val="es-SV"/>
              </w:rPr>
              <w:t>Trabajo o estudio</w:t>
            </w:r>
          </w:p>
        </w:tc>
        <w:tc>
          <w:tcPr>
            <w:tcW w:w="2143" w:type="pct"/>
          </w:tcPr>
          <w:p w:rsidR="00CD2A5A" w:rsidRDefault="00CD2A5A">
            <w:pPr>
              <w:spacing w:before="40" w:after="40"/>
              <w:rPr>
                <w:sz w:val="20"/>
                <w:szCs w:val="20"/>
                <w:lang w:val="es-SV"/>
              </w:rPr>
            </w:pPr>
            <w:r>
              <w:rPr>
                <w:sz w:val="20"/>
                <w:szCs w:val="20"/>
                <w:lang w:val="es-SV"/>
              </w:rPr>
              <w:t>Menos del 15% de madres</w:t>
            </w:r>
          </w:p>
        </w:tc>
      </w:tr>
      <w:tr w:rsidR="00CD2A5A">
        <w:tblPrEx>
          <w:tblCellMar>
            <w:top w:w="0" w:type="dxa"/>
            <w:bottom w:w="0" w:type="dxa"/>
          </w:tblCellMar>
        </w:tblPrEx>
        <w:trPr>
          <w:jc w:val="center"/>
        </w:trPr>
        <w:tc>
          <w:tcPr>
            <w:tcW w:w="2857" w:type="pct"/>
          </w:tcPr>
          <w:p w:rsidR="00CD2A5A" w:rsidRDefault="00CD2A5A">
            <w:pPr>
              <w:spacing w:before="40" w:after="40"/>
              <w:rPr>
                <w:sz w:val="20"/>
                <w:szCs w:val="20"/>
                <w:lang w:val="es-SV"/>
              </w:rPr>
            </w:pPr>
            <w:r>
              <w:rPr>
                <w:sz w:val="20"/>
                <w:szCs w:val="20"/>
                <w:lang w:val="es-SV"/>
              </w:rPr>
              <w:t>Infantes reciben agua antes de cumplir el primer mes de vida</w:t>
            </w:r>
          </w:p>
        </w:tc>
        <w:tc>
          <w:tcPr>
            <w:tcW w:w="2143" w:type="pct"/>
          </w:tcPr>
          <w:p w:rsidR="00CD2A5A" w:rsidRDefault="00CD2A5A">
            <w:pPr>
              <w:spacing w:before="40" w:after="40"/>
              <w:rPr>
                <w:sz w:val="20"/>
                <w:szCs w:val="20"/>
                <w:lang w:val="es-SV"/>
              </w:rPr>
            </w:pPr>
            <w:r>
              <w:rPr>
                <w:sz w:val="20"/>
                <w:szCs w:val="20"/>
                <w:lang w:val="es-SV"/>
              </w:rPr>
              <w:t xml:space="preserve">21% </w:t>
            </w:r>
          </w:p>
        </w:tc>
      </w:tr>
    </w:tbl>
    <w:p w:rsidR="00CD2A5A" w:rsidRDefault="00CD2A5A">
      <w:pPr>
        <w:spacing w:after="240"/>
        <w:rPr>
          <w:lang w:val="es-SV"/>
        </w:rPr>
      </w:pPr>
    </w:p>
    <w:p w:rsidR="00CD2A5A" w:rsidRDefault="00CD2A5A">
      <w:pPr>
        <w:pStyle w:val="I"/>
      </w:pPr>
      <w:r>
        <w:br w:type="page"/>
        <w:t>ANEXO XIII</w:t>
      </w:r>
    </w:p>
    <w:p w:rsidR="00CD2A5A" w:rsidRDefault="00CD2A5A" w:rsidP="00CD2A5A">
      <w:pPr>
        <w:pStyle w:val="Figure"/>
      </w:pPr>
      <w:r>
        <w:t>Instituto Salvadoreño de Rehabilitación de Inválidos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5"/>
        <w:gridCol w:w="1392"/>
        <w:gridCol w:w="1394"/>
        <w:gridCol w:w="1393"/>
        <w:gridCol w:w="1394"/>
        <w:gridCol w:w="1394"/>
      </w:tblGrid>
      <w:tr w:rsidR="00CD2A5A">
        <w:trPr>
          <w:jc w:val="center"/>
        </w:trPr>
        <w:tc>
          <w:tcPr>
            <w:tcW w:w="2468" w:type="dxa"/>
            <w:vAlign w:val="center"/>
          </w:tcPr>
          <w:p w:rsidR="00CD2A5A" w:rsidRDefault="00CD2A5A">
            <w:pPr>
              <w:spacing w:before="40" w:after="40"/>
              <w:jc w:val="center"/>
              <w:rPr>
                <w:b/>
                <w:i/>
                <w:sz w:val="20"/>
                <w:szCs w:val="20"/>
                <w:lang w:val="es-ES_tradnl"/>
              </w:rPr>
            </w:pPr>
            <w:r>
              <w:rPr>
                <w:b/>
                <w:i/>
                <w:sz w:val="20"/>
                <w:szCs w:val="20"/>
                <w:lang w:val="es-ES_tradnl"/>
              </w:rPr>
              <w:t>Centro de atención</w:t>
            </w:r>
          </w:p>
        </w:tc>
        <w:tc>
          <w:tcPr>
            <w:tcW w:w="1404" w:type="dxa"/>
            <w:vAlign w:val="center"/>
          </w:tcPr>
          <w:p w:rsidR="00CD2A5A" w:rsidRDefault="00CD2A5A">
            <w:pPr>
              <w:spacing w:before="40" w:after="40"/>
              <w:jc w:val="center"/>
              <w:rPr>
                <w:b/>
                <w:i/>
                <w:sz w:val="20"/>
                <w:szCs w:val="20"/>
                <w:lang w:val="es-ES_tradnl"/>
              </w:rPr>
            </w:pPr>
            <w:r>
              <w:rPr>
                <w:b/>
                <w:i/>
                <w:sz w:val="20"/>
                <w:szCs w:val="20"/>
                <w:lang w:val="es-ES_tradnl"/>
              </w:rPr>
              <w:t>Bienes</w:t>
            </w:r>
          </w:p>
        </w:tc>
        <w:tc>
          <w:tcPr>
            <w:tcW w:w="1405" w:type="dxa"/>
            <w:vAlign w:val="center"/>
          </w:tcPr>
          <w:p w:rsidR="00CD2A5A" w:rsidRDefault="00CD2A5A">
            <w:pPr>
              <w:spacing w:before="40" w:after="40"/>
              <w:jc w:val="center"/>
              <w:rPr>
                <w:b/>
                <w:i/>
                <w:sz w:val="20"/>
                <w:szCs w:val="20"/>
                <w:lang w:val="es-ES_tradnl"/>
              </w:rPr>
            </w:pPr>
            <w:r>
              <w:rPr>
                <w:b/>
                <w:i/>
                <w:sz w:val="20"/>
                <w:szCs w:val="20"/>
                <w:lang w:val="es-ES_tradnl"/>
              </w:rPr>
              <w:t>Salarios</w:t>
            </w:r>
          </w:p>
        </w:tc>
        <w:tc>
          <w:tcPr>
            <w:tcW w:w="1404" w:type="dxa"/>
            <w:vAlign w:val="center"/>
          </w:tcPr>
          <w:p w:rsidR="00CD2A5A" w:rsidRDefault="00CD2A5A">
            <w:pPr>
              <w:spacing w:before="40" w:after="40"/>
              <w:jc w:val="center"/>
              <w:rPr>
                <w:b/>
                <w:i/>
                <w:sz w:val="20"/>
                <w:szCs w:val="20"/>
                <w:lang w:val="es-ES_tradnl"/>
              </w:rPr>
            </w:pPr>
            <w:r>
              <w:rPr>
                <w:b/>
                <w:i/>
                <w:sz w:val="20"/>
                <w:szCs w:val="20"/>
                <w:lang w:val="es-ES_tradnl"/>
              </w:rPr>
              <w:t>Total fondo general</w:t>
            </w:r>
          </w:p>
        </w:tc>
        <w:tc>
          <w:tcPr>
            <w:tcW w:w="1405" w:type="dxa"/>
            <w:vAlign w:val="center"/>
          </w:tcPr>
          <w:p w:rsidR="00CD2A5A" w:rsidRDefault="00CD2A5A">
            <w:pPr>
              <w:spacing w:before="40" w:after="40"/>
              <w:jc w:val="center"/>
              <w:rPr>
                <w:b/>
                <w:i/>
                <w:sz w:val="20"/>
                <w:szCs w:val="20"/>
                <w:lang w:val="es-ES_tradnl"/>
              </w:rPr>
            </w:pPr>
            <w:r>
              <w:rPr>
                <w:b/>
                <w:i/>
                <w:sz w:val="20"/>
                <w:szCs w:val="20"/>
                <w:lang w:val="es-ES_tradnl"/>
              </w:rPr>
              <w:t>Recursos propios</w:t>
            </w:r>
          </w:p>
        </w:tc>
        <w:tc>
          <w:tcPr>
            <w:tcW w:w="1405" w:type="dxa"/>
            <w:vAlign w:val="center"/>
          </w:tcPr>
          <w:p w:rsidR="00CD2A5A" w:rsidRDefault="00CD2A5A">
            <w:pPr>
              <w:spacing w:before="40" w:after="40"/>
              <w:jc w:val="center"/>
              <w:rPr>
                <w:b/>
                <w:i/>
                <w:sz w:val="20"/>
                <w:szCs w:val="20"/>
                <w:lang w:val="es-ES_tradnl"/>
              </w:rPr>
            </w:pPr>
            <w:r>
              <w:rPr>
                <w:b/>
                <w:i/>
                <w:sz w:val="20"/>
                <w:szCs w:val="20"/>
                <w:lang w:val="es-ES_tradnl"/>
              </w:rPr>
              <w:t>2006</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para ciegos</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40.000,00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39.286,00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437.286,00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9.145,00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446.431,00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del aparato locomotor</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28.000,00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828.250,00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144.595,00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144.595,00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1.000.845,00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audición y lenguaje</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2.903,00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462.005,00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464.908,00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60.345,00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525.253,00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para la niñez y la adolescencia</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22.199,00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864.672,00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886.871,00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35.930,00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922.801,00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integral de occidente</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10.315,00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461.915,00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472.230,00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50.755,00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522.985,00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integral de oriente</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15.562,00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454.190,00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469.752,00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53.440,00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523.192,00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profesional</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18.567,00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275.118,00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293.685,00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14.200,00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307.885,00</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Unidad de consultoría externa</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5.884,00</w:t>
            </w:r>
          </w:p>
        </w:tc>
        <w:tc>
          <w:tcPr>
            <w:tcW w:w="1405" w:type="dxa"/>
            <w:vAlign w:val="bottom"/>
          </w:tcPr>
          <w:p w:rsidR="00CD2A5A" w:rsidRDefault="00CD2A5A">
            <w:pPr>
              <w:tabs>
                <w:tab w:val="decimal" w:pos="1042"/>
              </w:tabs>
              <w:spacing w:before="40" w:after="40"/>
              <w:jc w:val="right"/>
              <w:rPr>
                <w:sz w:val="20"/>
                <w:szCs w:val="20"/>
                <w:lang w:val="es-ES_tradnl"/>
              </w:rPr>
            </w:pPr>
            <w:r>
              <w:rPr>
                <w:sz w:val="20"/>
                <w:szCs w:val="20"/>
                <w:lang w:val="es-ES_tradnl"/>
              </w:rPr>
              <w:t>291.347,00</w:t>
            </w:r>
          </w:p>
        </w:tc>
        <w:tc>
          <w:tcPr>
            <w:tcW w:w="1404" w:type="dxa"/>
            <w:vAlign w:val="bottom"/>
          </w:tcPr>
          <w:p w:rsidR="00CD2A5A" w:rsidRDefault="00CD2A5A">
            <w:pPr>
              <w:tabs>
                <w:tab w:val="decimal" w:pos="1008"/>
              </w:tabs>
              <w:spacing w:before="40" w:after="40"/>
              <w:jc w:val="right"/>
              <w:rPr>
                <w:b/>
                <w:sz w:val="20"/>
                <w:szCs w:val="20"/>
                <w:lang w:val="es-ES_tradnl"/>
              </w:rPr>
            </w:pPr>
            <w:r>
              <w:rPr>
                <w:b/>
                <w:sz w:val="20"/>
                <w:szCs w:val="20"/>
                <w:lang w:val="es-ES_tradnl"/>
              </w:rPr>
              <w:t>297.231,00</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46.640,00</w:t>
            </w:r>
          </w:p>
        </w:tc>
        <w:tc>
          <w:tcPr>
            <w:tcW w:w="1405" w:type="dxa"/>
            <w:vAlign w:val="bottom"/>
          </w:tcPr>
          <w:p w:rsidR="00CD2A5A" w:rsidRDefault="00CD2A5A">
            <w:pPr>
              <w:tabs>
                <w:tab w:val="decimal" w:pos="999"/>
              </w:tabs>
              <w:spacing w:before="40" w:after="40"/>
              <w:jc w:val="right"/>
              <w:rPr>
                <w:sz w:val="20"/>
                <w:szCs w:val="20"/>
                <w:lang w:val="es-ES_tradnl"/>
              </w:rPr>
            </w:pPr>
            <w:r>
              <w:rPr>
                <w:sz w:val="20"/>
                <w:szCs w:val="20"/>
                <w:lang w:val="es-ES_tradnl"/>
              </w:rPr>
              <w:t>343.871,00</w:t>
            </w:r>
          </w:p>
        </w:tc>
      </w:tr>
      <w:tr w:rsidR="00CD2A5A">
        <w:trPr>
          <w:jc w:val="center"/>
        </w:trPr>
        <w:tc>
          <w:tcPr>
            <w:tcW w:w="2468" w:type="dxa"/>
          </w:tcPr>
          <w:p w:rsidR="00CD2A5A" w:rsidRDefault="00CD2A5A">
            <w:pPr>
              <w:spacing w:before="40" w:after="40"/>
              <w:ind w:left="284" w:hanging="284"/>
              <w:rPr>
                <w:b/>
                <w:sz w:val="20"/>
                <w:szCs w:val="20"/>
                <w:lang w:val="es-ES_tradnl"/>
              </w:rPr>
            </w:pPr>
            <w:r>
              <w:rPr>
                <w:b/>
                <w:sz w:val="20"/>
                <w:szCs w:val="20"/>
                <w:lang w:val="es-ES_tradnl"/>
              </w:rPr>
              <w:tab/>
              <w:t>Total centros</w:t>
            </w:r>
          </w:p>
        </w:tc>
        <w:tc>
          <w:tcPr>
            <w:tcW w:w="1404" w:type="dxa"/>
          </w:tcPr>
          <w:p w:rsidR="00CD2A5A" w:rsidRDefault="00CD2A5A">
            <w:pPr>
              <w:tabs>
                <w:tab w:val="decimal" w:pos="772"/>
              </w:tabs>
              <w:spacing w:before="40" w:after="40"/>
              <w:jc w:val="right"/>
              <w:rPr>
                <w:b/>
                <w:sz w:val="20"/>
                <w:szCs w:val="20"/>
                <w:lang w:val="es-ES_tradnl"/>
              </w:rPr>
            </w:pPr>
            <w:r>
              <w:rPr>
                <w:b/>
                <w:sz w:val="20"/>
                <w:szCs w:val="20"/>
                <w:lang w:val="es-ES_tradnl"/>
              </w:rPr>
              <w:t>143.430,00</w:t>
            </w:r>
          </w:p>
        </w:tc>
        <w:tc>
          <w:tcPr>
            <w:tcW w:w="1405" w:type="dxa"/>
          </w:tcPr>
          <w:p w:rsidR="00CD2A5A" w:rsidRDefault="00CD2A5A">
            <w:pPr>
              <w:tabs>
                <w:tab w:val="decimal" w:pos="1042"/>
              </w:tabs>
              <w:spacing w:before="40" w:after="40"/>
              <w:jc w:val="right"/>
              <w:rPr>
                <w:b/>
                <w:sz w:val="20"/>
                <w:szCs w:val="20"/>
                <w:lang w:val="es-ES_tradnl"/>
              </w:rPr>
            </w:pPr>
            <w:r>
              <w:rPr>
                <w:b/>
                <w:sz w:val="20"/>
                <w:szCs w:val="20"/>
                <w:lang w:val="es-ES_tradnl"/>
              </w:rPr>
              <w:t>4.034.783,00</w:t>
            </w:r>
          </w:p>
        </w:tc>
        <w:tc>
          <w:tcPr>
            <w:tcW w:w="1404" w:type="dxa"/>
          </w:tcPr>
          <w:p w:rsidR="00CD2A5A" w:rsidRDefault="00CD2A5A">
            <w:pPr>
              <w:tabs>
                <w:tab w:val="decimal" w:pos="1008"/>
              </w:tabs>
              <w:spacing w:before="40" w:after="40"/>
              <w:jc w:val="right"/>
              <w:rPr>
                <w:b/>
                <w:sz w:val="20"/>
                <w:szCs w:val="20"/>
                <w:lang w:val="es-ES_tradnl"/>
              </w:rPr>
            </w:pPr>
            <w:r>
              <w:rPr>
                <w:b/>
                <w:sz w:val="20"/>
                <w:szCs w:val="20"/>
                <w:lang w:val="es-ES_tradnl"/>
              </w:rPr>
              <w:t>4.178.213,00</w:t>
            </w:r>
          </w:p>
        </w:tc>
        <w:tc>
          <w:tcPr>
            <w:tcW w:w="1405" w:type="dxa"/>
          </w:tcPr>
          <w:p w:rsidR="00CD2A5A" w:rsidRDefault="00CD2A5A">
            <w:pPr>
              <w:tabs>
                <w:tab w:val="decimal" w:pos="879"/>
              </w:tabs>
              <w:spacing w:before="40" w:after="40"/>
              <w:jc w:val="right"/>
              <w:rPr>
                <w:b/>
                <w:sz w:val="20"/>
                <w:szCs w:val="20"/>
                <w:lang w:val="es-ES_tradnl"/>
              </w:rPr>
            </w:pPr>
            <w:r>
              <w:rPr>
                <w:b/>
                <w:sz w:val="20"/>
                <w:szCs w:val="20"/>
                <w:lang w:val="es-ES_tradnl"/>
              </w:rPr>
              <w:t>415.050,00</w:t>
            </w:r>
          </w:p>
        </w:tc>
        <w:tc>
          <w:tcPr>
            <w:tcW w:w="1405" w:type="dxa"/>
          </w:tcPr>
          <w:p w:rsidR="00CD2A5A" w:rsidRDefault="00CD2A5A">
            <w:pPr>
              <w:tabs>
                <w:tab w:val="decimal" w:pos="999"/>
              </w:tabs>
              <w:spacing w:before="40" w:after="40"/>
              <w:jc w:val="right"/>
              <w:rPr>
                <w:b/>
                <w:sz w:val="20"/>
                <w:szCs w:val="20"/>
                <w:lang w:val="es-ES_tradnl"/>
              </w:rPr>
            </w:pPr>
            <w:r>
              <w:rPr>
                <w:b/>
                <w:sz w:val="20"/>
                <w:szCs w:val="20"/>
                <w:lang w:val="es-ES_tradnl"/>
              </w:rPr>
              <w:t>4.593.263,00</w:t>
            </w:r>
          </w:p>
        </w:tc>
      </w:tr>
    </w:tbl>
    <w:p w:rsidR="00CD2A5A" w:rsidRDefault="00CD2A5A" w:rsidP="00CD2A5A">
      <w:pPr>
        <w:pStyle w:val="Figure"/>
      </w:pPr>
    </w:p>
    <w:p w:rsidR="00CD2A5A" w:rsidRDefault="00CD2A5A" w:rsidP="00CD2A5A">
      <w:pPr>
        <w:pStyle w:val="Figure"/>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5"/>
        <w:gridCol w:w="1392"/>
        <w:gridCol w:w="1394"/>
        <w:gridCol w:w="1393"/>
        <w:gridCol w:w="1394"/>
        <w:gridCol w:w="1394"/>
      </w:tblGrid>
      <w:tr w:rsidR="00CD2A5A">
        <w:trPr>
          <w:tblHeader/>
          <w:jc w:val="center"/>
        </w:trPr>
        <w:tc>
          <w:tcPr>
            <w:tcW w:w="2468" w:type="dxa"/>
            <w:vAlign w:val="center"/>
          </w:tcPr>
          <w:p w:rsidR="00CD2A5A" w:rsidRDefault="00CD2A5A">
            <w:pPr>
              <w:spacing w:before="40" w:after="40"/>
              <w:jc w:val="center"/>
              <w:rPr>
                <w:b/>
                <w:i/>
                <w:sz w:val="20"/>
                <w:szCs w:val="20"/>
                <w:lang w:val="es-ES_tradnl"/>
              </w:rPr>
            </w:pPr>
            <w:r>
              <w:rPr>
                <w:b/>
                <w:i/>
                <w:sz w:val="20"/>
                <w:szCs w:val="20"/>
                <w:lang w:val="es-ES_tradnl"/>
              </w:rPr>
              <w:t>Centro de atención</w:t>
            </w:r>
          </w:p>
        </w:tc>
        <w:tc>
          <w:tcPr>
            <w:tcW w:w="1404" w:type="dxa"/>
            <w:vAlign w:val="center"/>
          </w:tcPr>
          <w:p w:rsidR="00CD2A5A" w:rsidRDefault="00CD2A5A">
            <w:pPr>
              <w:spacing w:before="40" w:after="40"/>
              <w:jc w:val="center"/>
              <w:rPr>
                <w:b/>
                <w:i/>
                <w:sz w:val="20"/>
                <w:szCs w:val="20"/>
                <w:lang w:val="es-ES_tradnl"/>
              </w:rPr>
            </w:pPr>
            <w:r>
              <w:rPr>
                <w:b/>
                <w:i/>
                <w:sz w:val="20"/>
                <w:szCs w:val="20"/>
                <w:lang w:val="es-ES_tradnl"/>
              </w:rPr>
              <w:t>Bienes</w:t>
            </w:r>
          </w:p>
        </w:tc>
        <w:tc>
          <w:tcPr>
            <w:tcW w:w="1405" w:type="dxa"/>
            <w:vAlign w:val="center"/>
          </w:tcPr>
          <w:p w:rsidR="00CD2A5A" w:rsidRDefault="00CD2A5A">
            <w:pPr>
              <w:spacing w:before="40" w:after="40"/>
              <w:jc w:val="center"/>
              <w:rPr>
                <w:b/>
                <w:i/>
                <w:sz w:val="20"/>
                <w:szCs w:val="20"/>
                <w:lang w:val="es-ES_tradnl"/>
              </w:rPr>
            </w:pPr>
            <w:r>
              <w:rPr>
                <w:b/>
                <w:i/>
                <w:sz w:val="20"/>
                <w:szCs w:val="20"/>
                <w:lang w:val="es-ES_tradnl"/>
              </w:rPr>
              <w:t>Salarios</w:t>
            </w:r>
          </w:p>
        </w:tc>
        <w:tc>
          <w:tcPr>
            <w:tcW w:w="1404" w:type="dxa"/>
            <w:vAlign w:val="center"/>
          </w:tcPr>
          <w:p w:rsidR="00CD2A5A" w:rsidRDefault="00CD2A5A">
            <w:pPr>
              <w:spacing w:before="40" w:after="40"/>
              <w:jc w:val="center"/>
              <w:rPr>
                <w:b/>
                <w:i/>
                <w:sz w:val="20"/>
                <w:szCs w:val="20"/>
                <w:lang w:val="es-ES_tradnl"/>
              </w:rPr>
            </w:pPr>
            <w:r>
              <w:rPr>
                <w:b/>
                <w:i/>
                <w:sz w:val="20"/>
                <w:szCs w:val="20"/>
                <w:lang w:val="es-ES_tradnl"/>
              </w:rPr>
              <w:t>Total fondo general</w:t>
            </w:r>
          </w:p>
        </w:tc>
        <w:tc>
          <w:tcPr>
            <w:tcW w:w="1405" w:type="dxa"/>
            <w:vAlign w:val="center"/>
          </w:tcPr>
          <w:p w:rsidR="00CD2A5A" w:rsidRDefault="00CD2A5A">
            <w:pPr>
              <w:spacing w:before="40" w:after="40"/>
              <w:jc w:val="center"/>
              <w:rPr>
                <w:b/>
                <w:i/>
                <w:sz w:val="20"/>
                <w:szCs w:val="20"/>
                <w:lang w:val="es-ES_tradnl"/>
              </w:rPr>
            </w:pPr>
            <w:r>
              <w:rPr>
                <w:b/>
                <w:i/>
                <w:sz w:val="20"/>
                <w:szCs w:val="20"/>
                <w:lang w:val="es-ES_tradnl"/>
              </w:rPr>
              <w:t>Recursos propios</w:t>
            </w:r>
          </w:p>
        </w:tc>
        <w:tc>
          <w:tcPr>
            <w:tcW w:w="1405" w:type="dxa"/>
            <w:vAlign w:val="center"/>
          </w:tcPr>
          <w:p w:rsidR="00CD2A5A" w:rsidRDefault="00CD2A5A">
            <w:pPr>
              <w:spacing w:before="40" w:after="40"/>
              <w:jc w:val="center"/>
              <w:rPr>
                <w:b/>
                <w:i/>
                <w:sz w:val="20"/>
                <w:szCs w:val="20"/>
                <w:lang w:val="es-ES_tradnl"/>
              </w:rPr>
            </w:pPr>
            <w:r>
              <w:rPr>
                <w:b/>
                <w:i/>
                <w:sz w:val="20"/>
                <w:szCs w:val="20"/>
                <w:lang w:val="es-ES_tradnl"/>
              </w:rPr>
              <w:t>2005</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para ciegos</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12.161,88</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353.315,08</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369.476,96</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5.780,00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375.256,96</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del aparato locomotor</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27.662,18</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791.403,14</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819.065,32</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115.930,00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934.995,32</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audición y lenguaje</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3.110,65</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445.538,41</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448.649,06</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55.305,00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503.954,06</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para la niñez y adolescencia</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21.992,49</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998.430,77</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1.020.423,26</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53.305,00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1.073.728,26</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integral de occidente</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10.316,94</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432.517,24</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441.834,18</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49.908,00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491.814,18</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Centro de rehabilitación integral de oriente</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15.562,32</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427.683,24</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443.245,56</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53.440,00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496.685,56</w:t>
            </w:r>
          </w:p>
        </w:tc>
      </w:tr>
      <w:tr w:rsidR="00CD2A5A">
        <w:trPr>
          <w:jc w:val="center"/>
        </w:trPr>
        <w:tc>
          <w:tcPr>
            <w:tcW w:w="2468" w:type="dxa"/>
          </w:tcPr>
          <w:p w:rsidR="00CD2A5A" w:rsidRDefault="00CD2A5A">
            <w:pPr>
              <w:keepNext/>
              <w:spacing w:before="40" w:after="40"/>
              <w:rPr>
                <w:sz w:val="20"/>
                <w:szCs w:val="20"/>
                <w:lang w:val="es-ES_tradnl"/>
              </w:rPr>
            </w:pPr>
            <w:r>
              <w:rPr>
                <w:sz w:val="20"/>
                <w:szCs w:val="20"/>
                <w:lang w:val="es-ES_tradnl"/>
              </w:rPr>
              <w:t>Centro de rehabilitación profesional</w:t>
            </w:r>
          </w:p>
        </w:tc>
        <w:tc>
          <w:tcPr>
            <w:tcW w:w="1404" w:type="dxa"/>
            <w:vAlign w:val="bottom"/>
          </w:tcPr>
          <w:p w:rsidR="00CD2A5A" w:rsidRDefault="00CD2A5A">
            <w:pPr>
              <w:keepNext/>
              <w:tabs>
                <w:tab w:val="decimal" w:pos="772"/>
              </w:tabs>
              <w:spacing w:before="40" w:after="40"/>
              <w:jc w:val="right"/>
              <w:rPr>
                <w:sz w:val="20"/>
                <w:szCs w:val="20"/>
                <w:lang w:val="es-ES_tradnl"/>
              </w:rPr>
            </w:pPr>
            <w:r>
              <w:rPr>
                <w:sz w:val="20"/>
                <w:szCs w:val="20"/>
                <w:lang w:val="es-ES_tradnl"/>
              </w:rPr>
              <w:t>14.566,92</w:t>
            </w:r>
          </w:p>
        </w:tc>
        <w:tc>
          <w:tcPr>
            <w:tcW w:w="1405" w:type="dxa"/>
            <w:vAlign w:val="bottom"/>
          </w:tcPr>
          <w:p w:rsidR="00CD2A5A" w:rsidRDefault="00CD2A5A">
            <w:pPr>
              <w:keepNext/>
              <w:tabs>
                <w:tab w:val="decimal" w:pos="928"/>
              </w:tabs>
              <w:spacing w:before="40" w:after="40"/>
              <w:jc w:val="right"/>
              <w:rPr>
                <w:sz w:val="20"/>
                <w:szCs w:val="20"/>
                <w:lang w:val="es-ES_tradnl"/>
              </w:rPr>
            </w:pPr>
            <w:r>
              <w:rPr>
                <w:sz w:val="20"/>
                <w:szCs w:val="20"/>
                <w:lang w:val="es-ES_tradnl"/>
              </w:rPr>
              <w:t>240.740,76</w:t>
            </w:r>
          </w:p>
        </w:tc>
        <w:tc>
          <w:tcPr>
            <w:tcW w:w="1404" w:type="dxa"/>
            <w:vAlign w:val="bottom"/>
          </w:tcPr>
          <w:p w:rsidR="00CD2A5A" w:rsidRDefault="00CD2A5A">
            <w:pPr>
              <w:keepNext/>
              <w:tabs>
                <w:tab w:val="decimal" w:pos="966"/>
              </w:tabs>
              <w:spacing w:before="40" w:after="40"/>
              <w:jc w:val="right"/>
              <w:rPr>
                <w:b/>
                <w:sz w:val="20"/>
                <w:szCs w:val="20"/>
                <w:lang w:val="es-ES_tradnl"/>
              </w:rPr>
            </w:pPr>
            <w:r>
              <w:rPr>
                <w:b/>
                <w:sz w:val="20"/>
                <w:szCs w:val="20"/>
                <w:lang w:val="es-ES_tradnl"/>
              </w:rPr>
              <w:t>255.307,68</w:t>
            </w:r>
          </w:p>
        </w:tc>
        <w:tc>
          <w:tcPr>
            <w:tcW w:w="1405" w:type="dxa"/>
            <w:vAlign w:val="bottom"/>
          </w:tcPr>
          <w:p w:rsidR="00CD2A5A" w:rsidRDefault="00CD2A5A">
            <w:pPr>
              <w:keepNext/>
              <w:tabs>
                <w:tab w:val="decimal" w:pos="879"/>
              </w:tabs>
              <w:spacing w:before="40" w:after="40"/>
              <w:jc w:val="right"/>
              <w:rPr>
                <w:sz w:val="20"/>
                <w:szCs w:val="20"/>
                <w:lang w:val="es-ES_tradnl"/>
              </w:rPr>
            </w:pPr>
            <w:r>
              <w:rPr>
                <w:sz w:val="20"/>
                <w:szCs w:val="20"/>
                <w:lang w:val="es-ES_tradnl"/>
              </w:rPr>
              <w:t>12.000,00</w:t>
            </w:r>
          </w:p>
        </w:tc>
        <w:tc>
          <w:tcPr>
            <w:tcW w:w="1405" w:type="dxa"/>
            <w:vAlign w:val="bottom"/>
          </w:tcPr>
          <w:p w:rsidR="00CD2A5A" w:rsidRDefault="00CD2A5A">
            <w:pPr>
              <w:keepNext/>
              <w:tabs>
                <w:tab w:val="decimal" w:pos="1055"/>
              </w:tabs>
              <w:spacing w:before="40" w:after="40"/>
              <w:jc w:val="right"/>
              <w:rPr>
                <w:sz w:val="20"/>
                <w:szCs w:val="20"/>
                <w:lang w:val="es-ES_tradnl"/>
              </w:rPr>
            </w:pPr>
            <w:r>
              <w:rPr>
                <w:sz w:val="20"/>
                <w:szCs w:val="20"/>
                <w:lang w:val="es-ES_tradnl"/>
              </w:rPr>
              <w:t>267.307,68</w:t>
            </w:r>
          </w:p>
        </w:tc>
      </w:tr>
      <w:tr w:rsidR="00CD2A5A">
        <w:trPr>
          <w:jc w:val="center"/>
        </w:trPr>
        <w:tc>
          <w:tcPr>
            <w:tcW w:w="2468" w:type="dxa"/>
          </w:tcPr>
          <w:p w:rsidR="00CD2A5A" w:rsidRDefault="00CD2A5A">
            <w:pPr>
              <w:spacing w:before="40" w:after="40"/>
              <w:rPr>
                <w:sz w:val="20"/>
                <w:szCs w:val="20"/>
                <w:lang w:val="es-ES_tradnl"/>
              </w:rPr>
            </w:pPr>
            <w:r>
              <w:rPr>
                <w:sz w:val="20"/>
                <w:szCs w:val="20"/>
                <w:lang w:val="es-ES_tradnl"/>
              </w:rPr>
              <w:t>Unidad de consultoría externa</w:t>
            </w:r>
          </w:p>
        </w:tc>
        <w:tc>
          <w:tcPr>
            <w:tcW w:w="1404" w:type="dxa"/>
            <w:vAlign w:val="bottom"/>
          </w:tcPr>
          <w:p w:rsidR="00CD2A5A" w:rsidRDefault="00CD2A5A">
            <w:pPr>
              <w:tabs>
                <w:tab w:val="decimal" w:pos="772"/>
              </w:tabs>
              <w:spacing w:before="40" w:after="40"/>
              <w:jc w:val="right"/>
              <w:rPr>
                <w:sz w:val="20"/>
                <w:szCs w:val="20"/>
                <w:lang w:val="es-ES_tradnl"/>
              </w:rPr>
            </w:pPr>
            <w:r>
              <w:rPr>
                <w:sz w:val="20"/>
                <w:szCs w:val="20"/>
                <w:lang w:val="es-ES_tradnl"/>
              </w:rPr>
              <w:t>5.887,78</w:t>
            </w:r>
          </w:p>
        </w:tc>
        <w:tc>
          <w:tcPr>
            <w:tcW w:w="1405" w:type="dxa"/>
            <w:vAlign w:val="bottom"/>
          </w:tcPr>
          <w:p w:rsidR="00CD2A5A" w:rsidRDefault="00CD2A5A">
            <w:pPr>
              <w:tabs>
                <w:tab w:val="decimal" w:pos="928"/>
              </w:tabs>
              <w:spacing w:before="40" w:after="40"/>
              <w:jc w:val="right"/>
              <w:rPr>
                <w:sz w:val="20"/>
                <w:szCs w:val="20"/>
                <w:lang w:val="es-ES_tradnl"/>
              </w:rPr>
            </w:pPr>
            <w:r>
              <w:rPr>
                <w:sz w:val="20"/>
                <w:szCs w:val="20"/>
                <w:lang w:val="es-ES_tradnl"/>
              </w:rPr>
              <w:t>174.335,34</w:t>
            </w:r>
          </w:p>
        </w:tc>
        <w:tc>
          <w:tcPr>
            <w:tcW w:w="1404" w:type="dxa"/>
            <w:vAlign w:val="bottom"/>
          </w:tcPr>
          <w:p w:rsidR="00CD2A5A" w:rsidRDefault="00CD2A5A">
            <w:pPr>
              <w:tabs>
                <w:tab w:val="decimal" w:pos="966"/>
              </w:tabs>
              <w:spacing w:before="40" w:after="40"/>
              <w:jc w:val="right"/>
              <w:rPr>
                <w:b/>
                <w:sz w:val="20"/>
                <w:szCs w:val="20"/>
                <w:lang w:val="es-ES_tradnl"/>
              </w:rPr>
            </w:pPr>
            <w:r>
              <w:rPr>
                <w:b/>
                <w:sz w:val="20"/>
                <w:szCs w:val="20"/>
                <w:lang w:val="es-ES_tradnl"/>
              </w:rPr>
              <w:t>180.223,12</w:t>
            </w:r>
          </w:p>
        </w:tc>
        <w:tc>
          <w:tcPr>
            <w:tcW w:w="1405" w:type="dxa"/>
            <w:vAlign w:val="bottom"/>
          </w:tcPr>
          <w:p w:rsidR="00CD2A5A" w:rsidRDefault="00CD2A5A">
            <w:pPr>
              <w:tabs>
                <w:tab w:val="decimal" w:pos="879"/>
              </w:tabs>
              <w:spacing w:before="40" w:after="40"/>
              <w:jc w:val="right"/>
              <w:rPr>
                <w:sz w:val="20"/>
                <w:szCs w:val="20"/>
                <w:lang w:val="es-ES_tradnl"/>
              </w:rPr>
            </w:pPr>
            <w:r>
              <w:rPr>
                <w:sz w:val="20"/>
                <w:szCs w:val="20"/>
                <w:lang w:val="es-ES_tradnl"/>
              </w:rPr>
              <w:t>26.300,00</w:t>
            </w:r>
          </w:p>
        </w:tc>
        <w:tc>
          <w:tcPr>
            <w:tcW w:w="1405" w:type="dxa"/>
            <w:vAlign w:val="bottom"/>
          </w:tcPr>
          <w:p w:rsidR="00CD2A5A" w:rsidRDefault="00CD2A5A">
            <w:pPr>
              <w:tabs>
                <w:tab w:val="decimal" w:pos="1055"/>
              </w:tabs>
              <w:spacing w:before="40" w:after="40"/>
              <w:jc w:val="right"/>
              <w:rPr>
                <w:sz w:val="20"/>
                <w:szCs w:val="20"/>
                <w:lang w:val="es-ES_tradnl"/>
              </w:rPr>
            </w:pPr>
            <w:r>
              <w:rPr>
                <w:sz w:val="20"/>
                <w:szCs w:val="20"/>
                <w:lang w:val="es-ES_tradnl"/>
              </w:rPr>
              <w:t>206.523,12</w:t>
            </w:r>
          </w:p>
        </w:tc>
      </w:tr>
      <w:tr w:rsidR="00CD2A5A">
        <w:trPr>
          <w:jc w:val="center"/>
        </w:trPr>
        <w:tc>
          <w:tcPr>
            <w:tcW w:w="2468" w:type="dxa"/>
          </w:tcPr>
          <w:p w:rsidR="00CD2A5A" w:rsidRDefault="00CD2A5A">
            <w:pPr>
              <w:spacing w:before="40" w:after="40"/>
              <w:ind w:left="284" w:hanging="284"/>
              <w:rPr>
                <w:b/>
                <w:sz w:val="20"/>
                <w:szCs w:val="20"/>
                <w:lang w:val="es-ES_tradnl"/>
              </w:rPr>
            </w:pPr>
            <w:r>
              <w:rPr>
                <w:b/>
                <w:sz w:val="20"/>
                <w:szCs w:val="20"/>
                <w:lang w:val="es-ES_tradnl"/>
              </w:rPr>
              <w:tab/>
              <w:t>Total centros</w:t>
            </w:r>
          </w:p>
        </w:tc>
        <w:tc>
          <w:tcPr>
            <w:tcW w:w="1404" w:type="dxa"/>
          </w:tcPr>
          <w:p w:rsidR="00CD2A5A" w:rsidRDefault="00CD2A5A">
            <w:pPr>
              <w:tabs>
                <w:tab w:val="decimal" w:pos="772"/>
              </w:tabs>
              <w:spacing w:before="40" w:after="40"/>
              <w:jc w:val="right"/>
              <w:rPr>
                <w:b/>
                <w:sz w:val="20"/>
                <w:szCs w:val="20"/>
                <w:lang w:val="es-ES_tradnl"/>
              </w:rPr>
            </w:pPr>
            <w:r>
              <w:rPr>
                <w:b/>
                <w:sz w:val="20"/>
                <w:szCs w:val="20"/>
                <w:lang w:val="es-ES_tradnl"/>
              </w:rPr>
              <w:t>111.261,16</w:t>
            </w:r>
          </w:p>
        </w:tc>
        <w:tc>
          <w:tcPr>
            <w:tcW w:w="1405" w:type="dxa"/>
          </w:tcPr>
          <w:p w:rsidR="00CD2A5A" w:rsidRDefault="00CD2A5A">
            <w:pPr>
              <w:tabs>
                <w:tab w:val="decimal" w:pos="928"/>
              </w:tabs>
              <w:spacing w:before="40" w:after="40"/>
              <w:jc w:val="right"/>
              <w:rPr>
                <w:b/>
                <w:sz w:val="20"/>
                <w:szCs w:val="20"/>
                <w:lang w:val="es-ES_tradnl"/>
              </w:rPr>
            </w:pPr>
            <w:r>
              <w:rPr>
                <w:b/>
                <w:sz w:val="20"/>
                <w:szCs w:val="20"/>
                <w:lang w:val="es-ES_tradnl"/>
              </w:rPr>
              <w:t>3.866.963,98</w:t>
            </w:r>
          </w:p>
        </w:tc>
        <w:tc>
          <w:tcPr>
            <w:tcW w:w="1404" w:type="dxa"/>
          </w:tcPr>
          <w:p w:rsidR="00CD2A5A" w:rsidRDefault="00CD2A5A">
            <w:pPr>
              <w:tabs>
                <w:tab w:val="decimal" w:pos="966"/>
              </w:tabs>
              <w:spacing w:before="40" w:after="40"/>
              <w:jc w:val="right"/>
              <w:rPr>
                <w:b/>
                <w:sz w:val="20"/>
                <w:szCs w:val="20"/>
                <w:lang w:val="es-ES_tradnl"/>
              </w:rPr>
            </w:pPr>
            <w:r>
              <w:rPr>
                <w:b/>
                <w:sz w:val="20"/>
                <w:szCs w:val="20"/>
                <w:lang w:val="es-ES_tradnl"/>
              </w:rPr>
              <w:t>3.978.225,14</w:t>
            </w:r>
          </w:p>
        </w:tc>
        <w:tc>
          <w:tcPr>
            <w:tcW w:w="1405" w:type="dxa"/>
          </w:tcPr>
          <w:p w:rsidR="00CD2A5A" w:rsidRDefault="00CD2A5A">
            <w:pPr>
              <w:tabs>
                <w:tab w:val="decimal" w:pos="879"/>
              </w:tabs>
              <w:spacing w:before="40" w:after="40"/>
              <w:jc w:val="right"/>
              <w:rPr>
                <w:b/>
                <w:sz w:val="20"/>
                <w:szCs w:val="20"/>
                <w:lang w:val="es-ES_tradnl"/>
              </w:rPr>
            </w:pPr>
            <w:r>
              <w:rPr>
                <w:b/>
                <w:sz w:val="20"/>
                <w:szCs w:val="20"/>
                <w:lang w:val="es-ES_tradnl"/>
              </w:rPr>
              <w:t>372.040,00</w:t>
            </w:r>
          </w:p>
        </w:tc>
        <w:tc>
          <w:tcPr>
            <w:tcW w:w="1405" w:type="dxa"/>
          </w:tcPr>
          <w:p w:rsidR="00CD2A5A" w:rsidRDefault="00CD2A5A">
            <w:pPr>
              <w:tabs>
                <w:tab w:val="decimal" w:pos="1055"/>
              </w:tabs>
              <w:spacing w:before="40" w:after="40"/>
              <w:jc w:val="right"/>
              <w:rPr>
                <w:b/>
                <w:sz w:val="20"/>
                <w:szCs w:val="20"/>
                <w:lang w:val="es-ES_tradnl"/>
              </w:rPr>
            </w:pPr>
            <w:r>
              <w:rPr>
                <w:b/>
                <w:sz w:val="20"/>
                <w:szCs w:val="20"/>
                <w:lang w:val="es-ES_tradnl"/>
              </w:rPr>
              <w:t>4.350.265,14</w:t>
            </w:r>
          </w:p>
        </w:tc>
      </w:tr>
    </w:tbl>
    <w:p w:rsidR="00CD2A5A" w:rsidRDefault="00CD2A5A" w:rsidP="00CD2A5A">
      <w:pPr>
        <w:pStyle w:val="Figure"/>
      </w:pPr>
    </w:p>
    <w:p w:rsidR="00CD2A5A" w:rsidRDefault="00CD2A5A" w:rsidP="00CD2A5A">
      <w:pPr>
        <w:pStyle w:val="Figure"/>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9"/>
        <w:gridCol w:w="2004"/>
        <w:gridCol w:w="2419"/>
      </w:tblGrid>
      <w:tr w:rsidR="00CD2A5A">
        <w:trPr>
          <w:jc w:val="center"/>
        </w:trPr>
        <w:tc>
          <w:tcPr>
            <w:tcW w:w="4989" w:type="dxa"/>
            <w:vAlign w:val="center"/>
          </w:tcPr>
          <w:p w:rsidR="00CD2A5A" w:rsidRDefault="00CD2A5A">
            <w:pPr>
              <w:keepNext/>
              <w:spacing w:before="40" w:after="40"/>
              <w:jc w:val="center"/>
              <w:rPr>
                <w:b/>
                <w:i/>
                <w:sz w:val="20"/>
                <w:szCs w:val="20"/>
                <w:lang w:val="es-ES_tradnl"/>
              </w:rPr>
            </w:pPr>
            <w:r>
              <w:rPr>
                <w:i/>
              </w:rPr>
              <w:br w:type="page"/>
            </w:r>
            <w:r>
              <w:rPr>
                <w:b/>
                <w:i/>
                <w:sz w:val="20"/>
                <w:szCs w:val="20"/>
                <w:lang w:val="es-ES_tradnl"/>
              </w:rPr>
              <w:t>Centro de atención</w:t>
            </w:r>
          </w:p>
        </w:tc>
        <w:tc>
          <w:tcPr>
            <w:tcW w:w="2004" w:type="dxa"/>
            <w:vAlign w:val="center"/>
          </w:tcPr>
          <w:p w:rsidR="00CD2A5A" w:rsidRDefault="00CD2A5A">
            <w:pPr>
              <w:keepNext/>
              <w:spacing w:before="40" w:after="40"/>
              <w:jc w:val="center"/>
              <w:rPr>
                <w:b/>
                <w:i/>
                <w:sz w:val="20"/>
                <w:szCs w:val="20"/>
                <w:lang w:val="es-ES_tradnl"/>
              </w:rPr>
            </w:pPr>
            <w:r>
              <w:rPr>
                <w:b/>
                <w:i/>
                <w:sz w:val="20"/>
                <w:szCs w:val="20"/>
                <w:lang w:val="es-ES_tradnl"/>
              </w:rPr>
              <w:t>Recursos propios</w:t>
            </w:r>
          </w:p>
        </w:tc>
        <w:tc>
          <w:tcPr>
            <w:tcW w:w="2419" w:type="dxa"/>
            <w:vAlign w:val="center"/>
          </w:tcPr>
          <w:p w:rsidR="00CD2A5A" w:rsidRDefault="00CD2A5A">
            <w:pPr>
              <w:keepNext/>
              <w:spacing w:before="40" w:after="40"/>
              <w:jc w:val="center"/>
              <w:rPr>
                <w:b/>
                <w:i/>
                <w:sz w:val="20"/>
                <w:szCs w:val="20"/>
                <w:lang w:val="es-ES_tradnl"/>
              </w:rPr>
            </w:pPr>
            <w:r>
              <w:rPr>
                <w:b/>
                <w:i/>
                <w:sz w:val="20"/>
                <w:szCs w:val="20"/>
                <w:lang w:val="es-ES_tradnl"/>
              </w:rPr>
              <w:t>2004</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 rehabilitación para ciegos</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4.755,00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351.025,00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del aparato locomotor</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96.000,00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848.495,00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 audición y lenguaje</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41.990,00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463.045,00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 rehabilitación para la niñez y la adolescencia</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36.280,00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1.020.700,00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 rehabilitación integral de occidente</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48.210,00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464.170,00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 rehabilitación integral de oriente</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52.265,00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486.995,00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Centro de rehabilitación profesional</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14.000,00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257.760,00</w:t>
            </w:r>
          </w:p>
        </w:tc>
      </w:tr>
      <w:tr w:rsidR="00CD2A5A">
        <w:trPr>
          <w:jc w:val="center"/>
        </w:trPr>
        <w:tc>
          <w:tcPr>
            <w:tcW w:w="4989" w:type="dxa"/>
          </w:tcPr>
          <w:p w:rsidR="00CD2A5A" w:rsidRDefault="00CD2A5A">
            <w:pPr>
              <w:keepNext/>
              <w:spacing w:before="40" w:after="40"/>
              <w:rPr>
                <w:sz w:val="20"/>
                <w:szCs w:val="20"/>
                <w:lang w:val="es-ES_tradnl"/>
              </w:rPr>
            </w:pPr>
            <w:r>
              <w:rPr>
                <w:sz w:val="20"/>
                <w:szCs w:val="20"/>
                <w:lang w:val="es-ES_tradnl"/>
              </w:rPr>
              <w:t>Unidad de consultoría externa</w:t>
            </w:r>
          </w:p>
        </w:tc>
        <w:tc>
          <w:tcPr>
            <w:tcW w:w="2004" w:type="dxa"/>
          </w:tcPr>
          <w:p w:rsidR="00CD2A5A" w:rsidRDefault="00CD2A5A">
            <w:pPr>
              <w:keepNext/>
              <w:tabs>
                <w:tab w:val="decimal" w:pos="1132"/>
              </w:tabs>
              <w:spacing w:before="40" w:after="40"/>
              <w:ind w:right="506"/>
              <w:jc w:val="right"/>
              <w:rPr>
                <w:sz w:val="20"/>
                <w:szCs w:val="20"/>
                <w:lang w:val="es-ES_tradnl"/>
              </w:rPr>
            </w:pPr>
            <w:r>
              <w:rPr>
                <w:sz w:val="20"/>
                <w:szCs w:val="20"/>
                <w:lang w:val="es-ES_tradnl"/>
              </w:rPr>
              <w:t>25.650,00</w:t>
            </w:r>
          </w:p>
        </w:tc>
        <w:tc>
          <w:tcPr>
            <w:tcW w:w="2419" w:type="dxa"/>
          </w:tcPr>
          <w:p w:rsidR="00CD2A5A" w:rsidRDefault="00CD2A5A">
            <w:pPr>
              <w:keepNext/>
              <w:tabs>
                <w:tab w:val="decimal" w:pos="1252"/>
              </w:tabs>
              <w:spacing w:before="40" w:after="40"/>
              <w:ind w:right="506"/>
              <w:jc w:val="right"/>
              <w:rPr>
                <w:sz w:val="20"/>
                <w:szCs w:val="20"/>
                <w:lang w:val="es-ES_tradnl"/>
              </w:rPr>
            </w:pPr>
            <w:r>
              <w:rPr>
                <w:sz w:val="20"/>
                <w:szCs w:val="20"/>
                <w:lang w:val="es-ES_tradnl"/>
              </w:rPr>
              <w:t>192.084,00</w:t>
            </w:r>
          </w:p>
        </w:tc>
      </w:tr>
      <w:tr w:rsidR="00CD2A5A">
        <w:trPr>
          <w:jc w:val="center"/>
        </w:trPr>
        <w:tc>
          <w:tcPr>
            <w:tcW w:w="4989" w:type="dxa"/>
          </w:tcPr>
          <w:p w:rsidR="00CD2A5A" w:rsidRDefault="00CD2A5A">
            <w:pPr>
              <w:spacing w:before="40" w:after="40"/>
              <w:ind w:left="284" w:hanging="284"/>
              <w:rPr>
                <w:b/>
                <w:sz w:val="20"/>
                <w:szCs w:val="20"/>
                <w:lang w:val="es-ES_tradnl"/>
              </w:rPr>
            </w:pPr>
            <w:r>
              <w:rPr>
                <w:b/>
                <w:sz w:val="20"/>
                <w:szCs w:val="20"/>
                <w:lang w:val="es-ES_tradnl"/>
              </w:rPr>
              <w:tab/>
              <w:t>Total centros</w:t>
            </w:r>
          </w:p>
        </w:tc>
        <w:tc>
          <w:tcPr>
            <w:tcW w:w="2004" w:type="dxa"/>
          </w:tcPr>
          <w:p w:rsidR="00CD2A5A" w:rsidRDefault="00CD2A5A">
            <w:pPr>
              <w:tabs>
                <w:tab w:val="decimal" w:pos="1132"/>
              </w:tabs>
              <w:spacing w:before="40" w:after="40"/>
              <w:ind w:right="506"/>
              <w:jc w:val="right"/>
              <w:rPr>
                <w:b/>
                <w:sz w:val="20"/>
                <w:szCs w:val="20"/>
                <w:lang w:val="es-ES_tradnl"/>
              </w:rPr>
            </w:pPr>
            <w:r>
              <w:rPr>
                <w:b/>
                <w:sz w:val="20"/>
                <w:szCs w:val="20"/>
                <w:lang w:val="es-ES_tradnl"/>
              </w:rPr>
              <w:t>319.150,00</w:t>
            </w:r>
          </w:p>
        </w:tc>
        <w:tc>
          <w:tcPr>
            <w:tcW w:w="2419" w:type="dxa"/>
          </w:tcPr>
          <w:p w:rsidR="00CD2A5A" w:rsidRDefault="00CD2A5A">
            <w:pPr>
              <w:tabs>
                <w:tab w:val="decimal" w:pos="1252"/>
              </w:tabs>
              <w:spacing w:before="40" w:after="40"/>
              <w:ind w:right="506"/>
              <w:jc w:val="right"/>
              <w:rPr>
                <w:b/>
                <w:sz w:val="20"/>
                <w:szCs w:val="20"/>
                <w:lang w:val="es-ES_tradnl"/>
              </w:rPr>
            </w:pPr>
            <w:r>
              <w:rPr>
                <w:b/>
                <w:sz w:val="20"/>
                <w:szCs w:val="20"/>
                <w:lang w:val="es-ES_tradnl"/>
              </w:rPr>
              <w:t>4.084.274,00</w:t>
            </w:r>
          </w:p>
        </w:tc>
      </w:tr>
    </w:tbl>
    <w:p w:rsidR="00CD2A5A" w:rsidRDefault="00CD2A5A" w:rsidP="00CD2A5A">
      <w:pPr>
        <w:pStyle w:val="Figure"/>
      </w:pPr>
    </w:p>
    <w:p w:rsidR="00CD2A5A" w:rsidRDefault="00CD2A5A">
      <w:pPr>
        <w:spacing w:after="240"/>
      </w:pPr>
    </w:p>
    <w:p w:rsidR="00CD2A5A" w:rsidRDefault="00CD2A5A">
      <w:pPr>
        <w:spacing w:after="240"/>
      </w:pPr>
    </w:p>
    <w:p w:rsidR="00CD2A5A" w:rsidRDefault="00CD2A5A">
      <w:pPr>
        <w:spacing w:after="240"/>
      </w:pPr>
    </w:p>
    <w:p w:rsidR="00CD2A5A" w:rsidRDefault="00CD2A5A">
      <w:pPr>
        <w:spacing w:after="240"/>
        <w:rPr>
          <w:lang w:val="es-SV"/>
        </w:rPr>
      </w:pPr>
      <w:r>
        <w:rPr>
          <w:lang w:val="es-SV"/>
        </w:rPr>
        <w:t xml:space="preserve"> </w:t>
      </w:r>
    </w:p>
    <w:p w:rsidR="00CD2A5A" w:rsidRDefault="00CD2A5A">
      <w:pPr>
        <w:pStyle w:val="I"/>
      </w:pPr>
      <w:r>
        <w:br w:type="page"/>
        <w:t>ANEXO XIV</w:t>
      </w:r>
    </w:p>
    <w:p w:rsidR="00CD2A5A" w:rsidRDefault="00CD2A5A" w:rsidP="00CD2A5A">
      <w:pPr>
        <w:pStyle w:val="Figure"/>
      </w:pPr>
      <w:r>
        <w:t>GASTO PÚBLICO DEL MINED POR NIVEL EDUCATIVO LÍNEA PRESUPUESTARIA</w:t>
      </w:r>
      <w:r>
        <w:br/>
        <w:t xml:space="preserve">(2001 – 2005) </w:t>
      </w:r>
    </w:p>
    <w:p w:rsidR="00CD2A5A" w:rsidRDefault="00CD2A5A">
      <w:pPr>
        <w:pStyle w:val="StyleExhibitTitlecenteredleft0cmFirstLine0cmCenteredLe"/>
        <w:rPr>
          <w:rFonts w:eastAsia="MS Mincho"/>
        </w:rPr>
      </w:pPr>
      <w:r>
        <w:rPr>
          <w:noProof/>
          <w:lang w:val="fr-CH" w:eastAsia="fr-CH"/>
        </w:rPr>
      </w:r>
      <w:r>
        <w:rPr>
          <w:rFonts w:eastAsia="MS Mincho"/>
        </w:rPr>
        <w:pict>
          <v:group id="_x0000_s3179" editas="canvas" style="width:471pt;height:595.2pt;mso-position-horizontal-relative:char;mso-position-vertical-relative:line" coordsize="9420,11904">
            <o:lock v:ext="edit" aspectratio="t"/>
            <v:shape id="_x0000_s3178" type="#_x0000_t75" style="position:absolute;width:9420;height:11904" o:preferrelative="f">
              <v:fill o:detectmouseclick="t"/>
              <v:path o:extrusionok="t" o:connecttype="none"/>
              <o:lock v:ext="edit" text="t"/>
            </v:shape>
            <v:group id="_x0000_s3380" style="position:absolute;top:209;width:9414;height:11690" coordorigin=",209" coordsize="9414,11690">
              <v:rect id="_x0000_s3180" style="position:absolute;left:7;top:209;width:9407;height:808" filled="f" fillcolor="#339" stroked="f"/>
              <v:rect id="_x0000_s3181" style="position:absolute;left:7;top:2829;width:9407;height:203" filled="f" fillcolor="#339" stroked="f"/>
              <v:rect id="_x0000_s3182" style="position:absolute;left:7;top:5045;width:9407;height:204" filled="f" fillcolor="#339" stroked="f"/>
              <v:rect id="_x0000_s3183" style="position:absolute;left:7;top:7262;width:9407;height:203" filled="f" fillcolor="#339" stroked="f"/>
              <v:rect id="_x0000_s3184" style="position:absolute;left:7;top:9479;width:9407;height:203" filled="f" fillcolor="#339" stroked="f"/>
              <v:rect id="_x0000_s3185" style="position:absolute;left:7;top:11695;width:9407;height:204" filled="f" fillcolor="#339" stroked="f"/>
              <v:rect id="_x0000_s3186" style="position:absolute;left:292;top:531;width:224;height:161" filled="f" stroked="f">
                <v:textbox style="mso-next-textbox:#_x0000_s3186" inset="0,0,0,0">
                  <w:txbxContent>
                    <w:p w:rsidR="008A5877" w:rsidRDefault="008A5877">
                      <w:r>
                        <w:rPr>
                          <w:rFonts w:ascii="Arial Narrow" w:hAnsi="Arial Narrow" w:cs="Arial Narrow"/>
                          <w:b/>
                          <w:bCs/>
                          <w:sz w:val="14"/>
                          <w:szCs w:val="14"/>
                          <w:lang w:val="en-US"/>
                        </w:rPr>
                        <w:t>Año</w:t>
                      </w:r>
                    </w:p>
                  </w:txbxContent>
                </v:textbox>
              </v:rect>
              <v:rect id="_x0000_s3187" style="position:absolute;left:2033;top:531;width:530;height:161" filled="f" stroked="f">
                <v:textbox style="mso-next-textbox:#_x0000_s3187" inset="0,0,0,0">
                  <w:txbxContent>
                    <w:p w:rsidR="008A5877" w:rsidRDefault="008A5877">
                      <w:r>
                        <w:rPr>
                          <w:rFonts w:ascii="Arial Narrow" w:hAnsi="Arial Narrow" w:cs="Arial Narrow"/>
                          <w:b/>
                          <w:bCs/>
                          <w:sz w:val="14"/>
                          <w:szCs w:val="14"/>
                          <w:lang w:val="en-US"/>
                        </w:rPr>
                        <w:t>Concepto</w:t>
                      </w:r>
                    </w:p>
                  </w:txbxContent>
                </v:textbox>
              </v:rect>
              <v:rect id="_x0000_s3188" style="position:absolute;left:4016;top:442;width:409;height:161" filled="f" stroked="f">
                <v:textbox style="mso-next-textbox:#_x0000_s3188" inset="0,0,0,0">
                  <w:txbxContent>
                    <w:p w:rsidR="008A5877" w:rsidRDefault="008A5877">
                      <w:r>
                        <w:rPr>
                          <w:rFonts w:ascii="Arial Narrow" w:hAnsi="Arial Narrow" w:cs="Arial Narrow"/>
                          <w:b/>
                          <w:bCs/>
                          <w:sz w:val="14"/>
                          <w:szCs w:val="14"/>
                          <w:lang w:val="en-US"/>
                        </w:rPr>
                        <w:t xml:space="preserve">GASTO </w:t>
                      </w:r>
                    </w:p>
                  </w:txbxContent>
                </v:textbox>
              </v:rect>
              <v:rect id="_x0000_s3189" style="position:absolute;left:3863;top:619;width:721;height:161" filled="f" stroked="f">
                <v:textbox style="mso-next-textbox:#_x0000_s3189" inset="0,0,0,0">
                  <w:txbxContent>
                    <w:p w:rsidR="008A5877" w:rsidRDefault="008A5877">
                      <w:r>
                        <w:rPr>
                          <w:rFonts w:ascii="Arial Narrow" w:hAnsi="Arial Narrow" w:cs="Arial Narrow"/>
                          <w:b/>
                          <w:bCs/>
                          <w:sz w:val="14"/>
                          <w:szCs w:val="14"/>
                          <w:lang w:val="en-US"/>
                        </w:rPr>
                        <w:t>CORRIENTE*</w:t>
                      </w:r>
                    </w:p>
                  </w:txbxContent>
                </v:textbox>
              </v:rect>
              <v:rect id="_x0000_s3190" style="position:absolute;left:4771;top:442;width:575;height:161" filled="f" stroked="f">
                <v:textbox style="mso-next-textbox:#_x0000_s3190" inset="0,0,0,0">
                  <w:txbxContent>
                    <w:p w:rsidR="008A5877" w:rsidRDefault="008A5877">
                      <w:r>
                        <w:rPr>
                          <w:rFonts w:ascii="Arial Narrow" w:hAnsi="Arial Narrow" w:cs="Arial Narrow"/>
                          <w:b/>
                          <w:bCs/>
                          <w:color w:val="FFFFFF"/>
                          <w:sz w:val="14"/>
                          <w:szCs w:val="14"/>
                          <w:lang w:val="en-US"/>
                        </w:rPr>
                        <w:t xml:space="preserve"> </w:t>
                      </w:r>
                      <w:r>
                        <w:rPr>
                          <w:rFonts w:ascii="Arial Narrow" w:hAnsi="Arial Narrow" w:cs="Arial Narrow"/>
                          <w:b/>
                          <w:bCs/>
                          <w:sz w:val="14"/>
                          <w:szCs w:val="14"/>
                          <w:lang w:val="en-US"/>
                        </w:rPr>
                        <w:t>Sueldos</w:t>
                      </w:r>
                      <w:r>
                        <w:rPr>
                          <w:rFonts w:ascii="Arial Narrow" w:hAnsi="Arial Narrow" w:cs="Arial Narrow"/>
                          <w:b/>
                          <w:bCs/>
                          <w:color w:val="FFFFFF"/>
                          <w:sz w:val="14"/>
                          <w:szCs w:val="14"/>
                          <w:lang w:val="en-US"/>
                        </w:rPr>
                        <w:t xml:space="preserve"> y </w:t>
                      </w:r>
                    </w:p>
                  </w:txbxContent>
                </v:textbox>
              </v:rect>
              <v:rect id="_x0000_s3191" style="position:absolute;left:4836;top:619;width:447;height:161" filled="f" stroked="f">
                <v:textbox style="mso-next-textbox:#_x0000_s3191" inset="0,0,0,0">
                  <w:txbxContent>
                    <w:p w:rsidR="008A5877" w:rsidRDefault="008A5877">
                      <w:r>
                        <w:rPr>
                          <w:rFonts w:ascii="Arial Narrow" w:hAnsi="Arial Narrow" w:cs="Arial Narrow"/>
                          <w:b/>
                          <w:bCs/>
                          <w:sz w:val="14"/>
                          <w:szCs w:val="14"/>
                          <w:lang w:val="en-US"/>
                        </w:rPr>
                        <w:t xml:space="preserve">Salarios </w:t>
                      </w:r>
                    </w:p>
                  </w:txbxContent>
                </v:textbox>
              </v:rect>
              <v:rect id="_x0000_s3192" style="position:absolute;left:5613;top:442;width:505;height:161" filled="f" stroked="f">
                <v:textbox style="mso-next-textbox:#_x0000_s3192" inset="0,0,0,0">
                  <w:txbxContent>
                    <w:p w:rsidR="008A5877" w:rsidRDefault="008A5877">
                      <w:r>
                        <w:rPr>
                          <w:rFonts w:ascii="Arial Narrow" w:hAnsi="Arial Narrow" w:cs="Arial Narrow"/>
                          <w:b/>
                          <w:bCs/>
                          <w:color w:val="FFFFFF"/>
                          <w:sz w:val="14"/>
                          <w:szCs w:val="14"/>
                          <w:lang w:val="en-US"/>
                        </w:rPr>
                        <w:t xml:space="preserve"> </w:t>
                      </w:r>
                      <w:r>
                        <w:rPr>
                          <w:rFonts w:ascii="Arial Narrow" w:hAnsi="Arial Narrow" w:cs="Arial Narrow"/>
                          <w:b/>
                          <w:bCs/>
                          <w:sz w:val="14"/>
                          <w:szCs w:val="14"/>
                          <w:lang w:val="en-US"/>
                        </w:rPr>
                        <w:t>Bienes</w:t>
                      </w:r>
                      <w:r>
                        <w:rPr>
                          <w:rFonts w:ascii="Arial Narrow" w:hAnsi="Arial Narrow" w:cs="Arial Narrow"/>
                          <w:b/>
                          <w:bCs/>
                          <w:color w:val="FFFFFF"/>
                          <w:sz w:val="14"/>
                          <w:szCs w:val="14"/>
                          <w:lang w:val="en-US"/>
                        </w:rPr>
                        <w:t xml:space="preserve"> y </w:t>
                      </w:r>
                    </w:p>
                  </w:txbxContent>
                </v:textbox>
              </v:rect>
              <v:rect id="_x0000_s3193" style="position:absolute;left:5609;top:619;width:511;height:161" filled="f" stroked="f">
                <v:textbox style="mso-next-textbox:#_x0000_s3193" inset="0,0,0,0">
                  <w:txbxContent>
                    <w:p w:rsidR="008A5877" w:rsidRDefault="008A5877">
                      <w:r>
                        <w:rPr>
                          <w:rFonts w:ascii="Arial Narrow" w:hAnsi="Arial Narrow" w:cs="Arial Narrow"/>
                          <w:b/>
                          <w:bCs/>
                          <w:sz w:val="14"/>
                          <w:szCs w:val="14"/>
                          <w:lang w:val="en-US"/>
                        </w:rPr>
                        <w:t xml:space="preserve">Servicios </w:t>
                      </w:r>
                    </w:p>
                  </w:txbxContent>
                </v:textbox>
              </v:rect>
              <v:rect id="_x0000_s3194" style="position:absolute;left:6625;top:353;width:32;height:276" filled="f" stroked="f">
                <v:textbox style="mso-next-textbox:#_x0000_s3194" inset="0,0,0,0">
                  <w:txbxContent>
                    <w:p w:rsidR="008A5877" w:rsidRDefault="008A5877">
                      <w:r>
                        <w:rPr>
                          <w:rFonts w:ascii="Arial Narrow" w:hAnsi="Arial Narrow" w:cs="Arial Narrow"/>
                          <w:b/>
                          <w:bCs/>
                          <w:color w:val="FFFFFF"/>
                          <w:sz w:val="14"/>
                          <w:szCs w:val="14"/>
                          <w:lang w:val="en-US"/>
                        </w:rPr>
                        <w:t xml:space="preserve"> </w:t>
                      </w:r>
                    </w:p>
                  </w:txbxContent>
                </v:textbox>
              </v:rect>
              <v:rect id="_x0000_s3195" style="position:absolute;left:6300;top:531;width:690;height:161" filled="f" stroked="f">
                <v:textbox style="mso-next-textbox:#_x0000_s3195" inset="0,0,0,0">
                  <w:txbxContent>
                    <w:p w:rsidR="008A5877" w:rsidRDefault="008A5877">
                      <w:r>
                        <w:rPr>
                          <w:rFonts w:ascii="Arial Narrow" w:hAnsi="Arial Narrow" w:cs="Arial Narrow"/>
                          <w:b/>
                          <w:bCs/>
                          <w:sz w:val="14"/>
                          <w:szCs w:val="14"/>
                          <w:lang w:val="en-US"/>
                        </w:rPr>
                        <w:t>Transferenci</w:t>
                      </w:r>
                    </w:p>
                  </w:txbxContent>
                </v:textbox>
              </v:rect>
              <v:rect id="_x0000_s3196" style="position:absolute;left:6278;top:708;width:734;height:161" filled="f" stroked="f">
                <v:textbox style="mso-next-textbox:#_x0000_s3196" inset="0,0,0,0">
                  <w:txbxContent>
                    <w:p w:rsidR="008A5877" w:rsidRDefault="008A5877">
                      <w:r>
                        <w:rPr>
                          <w:rFonts w:ascii="Arial Narrow" w:hAnsi="Arial Narrow" w:cs="Arial Narrow"/>
                          <w:b/>
                          <w:bCs/>
                          <w:color w:val="FFFFFF"/>
                          <w:sz w:val="14"/>
                          <w:szCs w:val="14"/>
                          <w:lang w:val="en-US"/>
                        </w:rPr>
                        <w:t xml:space="preserve">as </w:t>
                      </w:r>
                      <w:r>
                        <w:rPr>
                          <w:rFonts w:ascii="Arial Narrow" w:hAnsi="Arial Narrow" w:cs="Arial Narrow"/>
                          <w:b/>
                          <w:bCs/>
                          <w:sz w:val="14"/>
                          <w:szCs w:val="14"/>
                          <w:lang w:val="en-US"/>
                        </w:rPr>
                        <w:t>Corrientes</w:t>
                      </w:r>
                      <w:r>
                        <w:rPr>
                          <w:rFonts w:ascii="Arial Narrow" w:hAnsi="Arial Narrow" w:cs="Arial Narrow"/>
                          <w:b/>
                          <w:bCs/>
                          <w:color w:val="FFFFFF"/>
                          <w:sz w:val="14"/>
                          <w:szCs w:val="14"/>
                          <w:lang w:val="en-US"/>
                        </w:rPr>
                        <w:t xml:space="preserve"> </w:t>
                      </w:r>
                    </w:p>
                  </w:txbxContent>
                </v:textbox>
              </v:rect>
              <v:rect id="_x0000_s3197" style="position:absolute;left:7105;top:442;width:632;height:161" filled="f" stroked="f">
                <v:textbox style="mso-next-textbox:#_x0000_s3197" inset="0,0,0,0">
                  <w:txbxContent>
                    <w:p w:rsidR="008A5877" w:rsidRDefault="008A5877">
                      <w:r>
                        <w:rPr>
                          <w:rFonts w:ascii="Arial Narrow" w:hAnsi="Arial Narrow" w:cs="Arial Narrow"/>
                          <w:b/>
                          <w:bCs/>
                          <w:color w:val="FFFFFF"/>
                          <w:sz w:val="14"/>
                          <w:szCs w:val="14"/>
                          <w:lang w:val="en-US"/>
                        </w:rPr>
                        <w:t xml:space="preserve"> </w:t>
                      </w:r>
                      <w:r>
                        <w:rPr>
                          <w:rFonts w:ascii="Arial Narrow" w:hAnsi="Arial Narrow" w:cs="Arial Narrow"/>
                          <w:b/>
                          <w:bCs/>
                          <w:sz w:val="14"/>
                          <w:szCs w:val="14"/>
                          <w:lang w:val="en-US"/>
                        </w:rPr>
                        <w:t>GASTO</w:t>
                      </w:r>
                      <w:r>
                        <w:rPr>
                          <w:rFonts w:ascii="Arial Narrow" w:hAnsi="Arial Narrow" w:cs="Arial Narrow"/>
                          <w:b/>
                          <w:bCs/>
                          <w:color w:val="FFFFFF"/>
                          <w:sz w:val="14"/>
                          <w:szCs w:val="14"/>
                          <w:lang w:val="en-US"/>
                        </w:rPr>
                        <w:t xml:space="preserve"> DE </w:t>
                      </w:r>
                    </w:p>
                  </w:txbxContent>
                </v:textbox>
              </v:rect>
              <v:rect id="_x0000_s3198" style="position:absolute;left:7171;top:619;width:498;height:161" filled="f" stroked="f">
                <v:textbox style="mso-next-textbox:#_x0000_s3198" inset="0,0,0,0">
                  <w:txbxContent>
                    <w:p w:rsidR="008A5877" w:rsidRDefault="008A5877">
                      <w:r>
                        <w:rPr>
                          <w:rFonts w:ascii="Arial Narrow" w:hAnsi="Arial Narrow" w:cs="Arial Narrow"/>
                          <w:b/>
                          <w:bCs/>
                          <w:sz w:val="14"/>
                          <w:szCs w:val="14"/>
                          <w:lang w:val="en-US"/>
                        </w:rPr>
                        <w:t xml:space="preserve">CAPITAL </w:t>
                      </w:r>
                    </w:p>
                  </w:txbxContent>
                </v:textbox>
              </v:rect>
              <v:rect id="_x0000_s3199" style="position:absolute;left:7867;top:442;width:664;height:161" filled="f" stroked="f">
                <v:textbox style="mso-next-textbox:#_x0000_s3199" inset="0,0,0,0">
                  <w:txbxContent>
                    <w:p w:rsidR="008A5877" w:rsidRDefault="008A5877">
                      <w:r>
                        <w:rPr>
                          <w:rFonts w:ascii="Arial Narrow" w:hAnsi="Arial Narrow" w:cs="Arial Narrow"/>
                          <w:b/>
                          <w:bCs/>
                          <w:color w:val="FFFFFF"/>
                          <w:sz w:val="14"/>
                          <w:szCs w:val="14"/>
                          <w:lang w:val="en-US"/>
                        </w:rPr>
                        <w:t xml:space="preserve"> </w:t>
                      </w:r>
                      <w:r>
                        <w:rPr>
                          <w:rFonts w:ascii="Arial Narrow" w:hAnsi="Arial Narrow" w:cs="Arial Narrow"/>
                          <w:b/>
                          <w:bCs/>
                          <w:sz w:val="14"/>
                          <w:szCs w:val="14"/>
                          <w:lang w:val="en-US"/>
                        </w:rPr>
                        <w:t xml:space="preserve">INVERSIÓN </w:t>
                      </w:r>
                    </w:p>
                  </w:txbxContent>
                </v:textbox>
              </v:rect>
              <v:rect id="_x0000_s3200" style="position:absolute;left:7834;top:619;width:728;height:161" filled="f" stroked="f">
                <v:textbox style="mso-next-textbox:#_x0000_s3200" inset="0,0,0,0">
                  <w:txbxContent>
                    <w:p w:rsidR="008A5877" w:rsidRDefault="008A5877">
                      <w:r>
                        <w:rPr>
                          <w:rFonts w:ascii="Arial Narrow" w:hAnsi="Arial Narrow" w:cs="Arial Narrow"/>
                          <w:b/>
                          <w:bCs/>
                          <w:sz w:val="14"/>
                          <w:szCs w:val="14"/>
                          <w:lang w:val="en-US"/>
                        </w:rPr>
                        <w:t xml:space="preserve">PRÉSTAMOS </w:t>
                      </w:r>
                    </w:p>
                  </w:txbxContent>
                </v:textbox>
              </v:rect>
              <v:rect id="_x0000_s3201" style="position:absolute;left:8796;top:442;width:415;height:161" filled="f" stroked="f">
                <v:textbox style="mso-next-textbox:#_x0000_s3201" inset="0,0,0,0">
                  <w:txbxContent>
                    <w:p w:rsidR="008A5877" w:rsidRDefault="008A5877">
                      <w:r>
                        <w:rPr>
                          <w:rFonts w:ascii="Arial Narrow" w:hAnsi="Arial Narrow" w:cs="Arial Narrow"/>
                          <w:b/>
                          <w:bCs/>
                          <w:color w:val="FFFFFF"/>
                          <w:sz w:val="14"/>
                          <w:szCs w:val="14"/>
                          <w:lang w:val="en-US"/>
                        </w:rPr>
                        <w:t xml:space="preserve"> </w:t>
                      </w:r>
                      <w:r>
                        <w:rPr>
                          <w:rFonts w:ascii="Arial Narrow" w:hAnsi="Arial Narrow" w:cs="Arial Narrow"/>
                          <w:b/>
                          <w:bCs/>
                          <w:sz w:val="14"/>
                          <w:szCs w:val="14"/>
                          <w:lang w:val="en-US"/>
                        </w:rPr>
                        <w:t xml:space="preserve">TOTAL </w:t>
                      </w:r>
                    </w:p>
                  </w:txbxContent>
                </v:textbox>
              </v:rect>
              <v:rect id="_x0000_s3202" style="position:absolute;left:8724;top:619;width:562;height:161" filled="f" stroked="f">
                <v:textbox style="mso-next-textbox:#_x0000_s3202" inset="0,0,0,0">
                  <w:txbxContent>
                    <w:p w:rsidR="008A5877" w:rsidRDefault="008A5877">
                      <w:r>
                        <w:rPr>
                          <w:rFonts w:ascii="Arial Narrow" w:hAnsi="Arial Narrow" w:cs="Arial Narrow"/>
                          <w:b/>
                          <w:bCs/>
                          <w:sz w:val="14"/>
                          <w:szCs w:val="14"/>
                          <w:lang w:val="en-US"/>
                        </w:rPr>
                        <w:t xml:space="preserve">GENERAL </w:t>
                      </w:r>
                    </w:p>
                  </w:txbxContent>
                </v:textbox>
              </v:rect>
              <v:rect id="_x0000_s3203" style="position:absolute;left:809;top:1032;width:2687;height:161" filled="f" stroked="f">
                <v:textbox style="mso-next-textbox:#_x0000_s3203" inset="0,0,0,0">
                  <w:txbxContent>
                    <w:p w:rsidR="008A5877" w:rsidRDefault="008A5877">
                      <w:r>
                        <w:rPr>
                          <w:rFonts w:ascii="Arial Narrow" w:hAnsi="Arial Narrow" w:cs="Arial Narrow"/>
                          <w:color w:val="000000"/>
                          <w:sz w:val="14"/>
                          <w:szCs w:val="14"/>
                          <w:lang w:val="es-ES_tradnl"/>
                        </w:rPr>
                        <w:t xml:space="preserve">1. Educación general (Dirección y Administración del </w:t>
                      </w:r>
                    </w:p>
                  </w:txbxContent>
                </v:textbox>
              </v:rect>
              <v:rect id="_x0000_s3204" style="position:absolute;left:809;top:1211;width:409;height:161" filled="f" stroked="f">
                <v:textbox style="mso-next-textbox:#_x0000_s3204" inset="0,0,0,0">
                  <w:txbxContent>
                    <w:p w:rsidR="008A5877" w:rsidRDefault="008A5877">
                      <w:r>
                        <w:rPr>
                          <w:rFonts w:ascii="Arial Narrow" w:hAnsi="Arial Narrow" w:cs="Arial Narrow"/>
                          <w:color w:val="000000"/>
                          <w:sz w:val="14"/>
                          <w:szCs w:val="14"/>
                          <w:lang w:val="en-US"/>
                        </w:rPr>
                        <w:t>MINED)</w:t>
                      </w:r>
                    </w:p>
                  </w:txbxContent>
                </v:textbox>
              </v:rect>
              <v:rect id="_x0000_s3205" style="position:absolute;left:3918;top:1229;width:575;height:161" filled="f" stroked="f">
                <v:textbox style="mso-next-textbox:#_x0000_s3205" inset="0,0,0,0">
                  <w:txbxContent>
                    <w:p w:rsidR="008A5877" w:rsidRDefault="008A5877">
                      <w:r>
                        <w:rPr>
                          <w:rFonts w:ascii="Arial Narrow" w:hAnsi="Arial Narrow" w:cs="Arial Narrow"/>
                          <w:color w:val="000000"/>
                          <w:sz w:val="14"/>
                          <w:szCs w:val="14"/>
                          <w:lang w:val="en-US"/>
                        </w:rPr>
                        <w:t>21,099,604</w:t>
                      </w:r>
                    </w:p>
                  </w:txbxContent>
                </v:textbox>
              </v:rect>
              <v:rect id="_x0000_s3206" style="position:absolute;left:4754;top:1229;width:575;height:161" filled="f" stroked="f">
                <v:textbox style="mso-next-textbox:#_x0000_s3206" inset="0,0,0,0">
                  <w:txbxContent>
                    <w:p w:rsidR="008A5877" w:rsidRDefault="008A5877">
                      <w:r>
                        <w:rPr>
                          <w:rFonts w:ascii="Arial Narrow" w:hAnsi="Arial Narrow" w:cs="Arial Narrow"/>
                          <w:color w:val="000000"/>
                          <w:sz w:val="14"/>
                          <w:szCs w:val="14"/>
                          <w:lang w:val="en-US"/>
                        </w:rPr>
                        <w:t>16,071,195</w:t>
                      </w:r>
                    </w:p>
                  </w:txbxContent>
                </v:textbox>
              </v:rect>
              <v:rect id="_x0000_s3207" style="position:absolute;left:5593;top:1229;width:511;height:161" filled="f" stroked="f">
                <v:textbox style="mso-next-textbox:#_x0000_s3207" inset="0,0,0,0">
                  <w:txbxContent>
                    <w:p w:rsidR="008A5877" w:rsidRDefault="008A5877">
                      <w:r>
                        <w:rPr>
                          <w:rFonts w:ascii="Arial Narrow" w:hAnsi="Arial Narrow" w:cs="Arial Narrow"/>
                          <w:color w:val="000000"/>
                          <w:sz w:val="14"/>
                          <w:szCs w:val="14"/>
                          <w:lang w:val="en-US"/>
                        </w:rPr>
                        <w:t>4,941,786</w:t>
                      </w:r>
                    </w:p>
                  </w:txbxContent>
                </v:textbox>
              </v:rect>
              <v:rect id="_x0000_s3208" style="position:absolute;left:6449;top:1229;width:352;height:161" filled="f" stroked="f">
                <v:textbox style="mso-next-textbox:#_x0000_s3208" inset="0,0,0,0">
                  <w:txbxContent>
                    <w:p w:rsidR="008A5877" w:rsidRDefault="008A5877">
                      <w:r>
                        <w:rPr>
                          <w:rFonts w:ascii="Arial Narrow" w:hAnsi="Arial Narrow" w:cs="Arial Narrow"/>
                          <w:color w:val="000000"/>
                          <w:sz w:val="14"/>
                          <w:szCs w:val="14"/>
                          <w:lang w:val="en-US"/>
                        </w:rPr>
                        <w:t>86,623</w:t>
                      </w:r>
                    </w:p>
                  </w:txbxContent>
                </v:textbox>
              </v:rect>
              <v:rect id="_x0000_s3209" style="position:absolute;left:7195;top:1229;width:416;height:161" filled="f" stroked="f">
                <v:textbox style="mso-next-textbox:#_x0000_s3209" inset="0,0,0,0">
                  <w:txbxContent>
                    <w:p w:rsidR="008A5877" w:rsidRDefault="008A5877">
                      <w:r>
                        <w:rPr>
                          <w:rFonts w:ascii="Arial Narrow" w:hAnsi="Arial Narrow" w:cs="Arial Narrow"/>
                          <w:color w:val="000000"/>
                          <w:sz w:val="14"/>
                          <w:szCs w:val="14"/>
                          <w:lang w:val="en-US"/>
                        </w:rPr>
                        <w:t>290,323</w:t>
                      </w:r>
                    </w:p>
                  </w:txbxContent>
                </v:textbox>
              </v:rect>
              <v:rect id="_x0000_s3210" style="position:absolute;left:8700;top:1229;width:575;height:161" filled="f" stroked="f">
                <v:textbox style="mso-next-textbox:#_x0000_s3210" inset="0,0,0,0">
                  <w:txbxContent>
                    <w:p w:rsidR="008A5877" w:rsidRDefault="008A5877">
                      <w:r>
                        <w:rPr>
                          <w:rFonts w:ascii="Arial Narrow" w:hAnsi="Arial Narrow" w:cs="Arial Narrow"/>
                          <w:color w:val="000000"/>
                          <w:sz w:val="14"/>
                          <w:szCs w:val="14"/>
                          <w:lang w:val="en-US"/>
                        </w:rPr>
                        <w:t>21,389,927</w:t>
                      </w:r>
                    </w:p>
                  </w:txbxContent>
                </v:textbox>
              </v:rect>
              <v:rect id="_x0000_s3211" style="position:absolute;left:809;top:1431;width:645;height:161" filled="f" stroked="f">
                <v:textbox style="mso-next-textbox:#_x0000_s3211" inset="0,0,0,0">
                  <w:txbxContent>
                    <w:p w:rsidR="008A5877" w:rsidRDefault="008A5877">
                      <w:r>
                        <w:rPr>
                          <w:rFonts w:ascii="Arial Narrow" w:hAnsi="Arial Narrow" w:cs="Arial Narrow"/>
                          <w:color w:val="000000"/>
                          <w:sz w:val="14"/>
                          <w:szCs w:val="14"/>
                          <w:lang w:val="en-US"/>
                        </w:rPr>
                        <w:t>2. Parvularia</w:t>
                      </w:r>
                    </w:p>
                  </w:txbxContent>
                </v:textbox>
              </v:rect>
              <v:rect id="_x0000_s3212" style="position:absolute;left:3918;top:1431;width:575;height:161" filled="f" stroked="f">
                <v:textbox style="mso-next-textbox:#_x0000_s3212" inset="0,0,0,0">
                  <w:txbxContent>
                    <w:p w:rsidR="008A5877" w:rsidRDefault="008A5877">
                      <w:r>
                        <w:rPr>
                          <w:rFonts w:ascii="Arial Narrow" w:hAnsi="Arial Narrow" w:cs="Arial Narrow"/>
                          <w:color w:val="000000"/>
                          <w:sz w:val="14"/>
                          <w:szCs w:val="14"/>
                          <w:lang w:val="en-US"/>
                        </w:rPr>
                        <w:t>28,421,783</w:t>
                      </w:r>
                    </w:p>
                  </w:txbxContent>
                </v:textbox>
              </v:rect>
              <v:rect id="_x0000_s3213" style="position:absolute;left:4754;top:1431;width:575;height:161" filled="f" stroked="f">
                <v:textbox style="mso-next-textbox:#_x0000_s3213" inset="0,0,0,0">
                  <w:txbxContent>
                    <w:p w:rsidR="008A5877" w:rsidRDefault="008A5877">
                      <w:r>
                        <w:rPr>
                          <w:rFonts w:ascii="Arial Narrow" w:hAnsi="Arial Narrow" w:cs="Arial Narrow"/>
                          <w:color w:val="000000"/>
                          <w:sz w:val="14"/>
                          <w:szCs w:val="14"/>
                          <w:lang w:val="en-US"/>
                        </w:rPr>
                        <w:t>27,674,580</w:t>
                      </w:r>
                    </w:p>
                  </w:txbxContent>
                </v:textbox>
              </v:rect>
              <v:rect id="_x0000_s3214" style="position:absolute;left:5641;top:1431;width:416;height:161" filled="f" stroked="f">
                <v:textbox style="mso-next-textbox:#_x0000_s3214" inset="0,0,0,0">
                  <w:txbxContent>
                    <w:p w:rsidR="008A5877" w:rsidRDefault="008A5877">
                      <w:r>
                        <w:rPr>
                          <w:rFonts w:ascii="Arial Narrow" w:hAnsi="Arial Narrow" w:cs="Arial Narrow"/>
                          <w:color w:val="000000"/>
                          <w:sz w:val="14"/>
                          <w:szCs w:val="14"/>
                          <w:lang w:val="en-US"/>
                        </w:rPr>
                        <w:t>227,722</w:t>
                      </w:r>
                    </w:p>
                  </w:txbxContent>
                </v:textbox>
              </v:rect>
              <v:rect id="_x0000_s3215" style="position:absolute;left:6418;top:1431;width:416;height:161" filled="f" stroked="f">
                <v:textbox style="mso-next-textbox:#_x0000_s3215" inset="0,0,0,0">
                  <w:txbxContent>
                    <w:p w:rsidR="008A5877" w:rsidRDefault="008A5877">
                      <w:r>
                        <w:rPr>
                          <w:rFonts w:ascii="Arial Narrow" w:hAnsi="Arial Narrow" w:cs="Arial Narrow"/>
                          <w:color w:val="000000"/>
                          <w:sz w:val="14"/>
                          <w:szCs w:val="14"/>
                          <w:lang w:val="en-US"/>
                        </w:rPr>
                        <w:t>519,481</w:t>
                      </w:r>
                    </w:p>
                  </w:txbxContent>
                </v:textbox>
              </v:rect>
              <v:rect id="_x0000_s3216" style="position:absolute;left:8700;top:1431;width:575;height:161" filled="f" stroked="f">
                <v:textbox style="mso-next-textbox:#_x0000_s3216" inset="0,0,0,0">
                  <w:txbxContent>
                    <w:p w:rsidR="008A5877" w:rsidRDefault="008A5877">
                      <w:r>
                        <w:rPr>
                          <w:rFonts w:ascii="Arial Narrow" w:hAnsi="Arial Narrow" w:cs="Arial Narrow"/>
                          <w:color w:val="000000"/>
                          <w:sz w:val="14"/>
                          <w:szCs w:val="14"/>
                          <w:lang w:val="en-US"/>
                        </w:rPr>
                        <w:t>28,421,783</w:t>
                      </w:r>
                    </w:p>
                  </w:txbxContent>
                </v:textbox>
              </v:rect>
              <v:rect id="_x0000_s3217" style="position:absolute;left:809;top:1632;width:473;height:161" filled="f" stroked="f">
                <v:textbox style="mso-next-textbox:#_x0000_s3217" inset="0,0,0,0">
                  <w:txbxContent>
                    <w:p w:rsidR="008A5877" w:rsidRDefault="008A5877">
                      <w:r>
                        <w:rPr>
                          <w:rFonts w:ascii="Arial Narrow" w:hAnsi="Arial Narrow" w:cs="Arial Narrow"/>
                          <w:color w:val="000000"/>
                          <w:sz w:val="14"/>
                          <w:szCs w:val="14"/>
                          <w:lang w:val="en-US"/>
                        </w:rPr>
                        <w:t>3. Básica</w:t>
                      </w:r>
                    </w:p>
                  </w:txbxContent>
                </v:textbox>
              </v:rect>
              <v:rect id="_x0000_s3218" style="position:absolute;left:3887;top:1632;width:639;height:161" filled="f" stroked="f">
                <v:textbox style="mso-next-textbox:#_x0000_s3218" inset="0,0,0,0">
                  <w:txbxContent>
                    <w:p w:rsidR="008A5877" w:rsidRDefault="008A5877">
                      <w:r>
                        <w:rPr>
                          <w:rFonts w:ascii="Arial Narrow" w:hAnsi="Arial Narrow" w:cs="Arial Narrow"/>
                          <w:color w:val="000000"/>
                          <w:sz w:val="14"/>
                          <w:szCs w:val="14"/>
                          <w:lang w:val="en-US"/>
                        </w:rPr>
                        <w:t>234,602,595</w:t>
                      </w:r>
                    </w:p>
                  </w:txbxContent>
                </v:textbox>
              </v:rect>
              <v:rect id="_x0000_s3219" style="position:absolute;left:4723;top:1632;width:639;height:161" filled="f" stroked="f">
                <v:textbox style="mso-next-textbox:#_x0000_s3219" inset="0,0,0,0">
                  <w:txbxContent>
                    <w:p w:rsidR="008A5877" w:rsidRDefault="008A5877">
                      <w:r>
                        <w:rPr>
                          <w:rFonts w:ascii="Arial Narrow" w:hAnsi="Arial Narrow" w:cs="Arial Narrow"/>
                          <w:color w:val="000000"/>
                          <w:sz w:val="14"/>
                          <w:szCs w:val="14"/>
                          <w:lang w:val="en-US"/>
                        </w:rPr>
                        <w:t>223,166,176</w:t>
                      </w:r>
                    </w:p>
                  </w:txbxContent>
                </v:textbox>
              </v:rect>
              <v:rect id="_x0000_s3220" style="position:absolute;left:5593;top:1632;width:511;height:161" filled="f" stroked="f">
                <v:textbox style="mso-next-textbox:#_x0000_s3220" inset="0,0,0,0">
                  <w:txbxContent>
                    <w:p w:rsidR="008A5877" w:rsidRDefault="008A5877">
                      <w:r>
                        <w:rPr>
                          <w:rFonts w:ascii="Arial Narrow" w:hAnsi="Arial Narrow" w:cs="Arial Narrow"/>
                          <w:color w:val="000000"/>
                          <w:sz w:val="14"/>
                          <w:szCs w:val="14"/>
                          <w:lang w:val="en-US"/>
                        </w:rPr>
                        <w:t>3,062,927</w:t>
                      </w:r>
                    </w:p>
                  </w:txbxContent>
                </v:textbox>
              </v:rect>
              <v:rect id="_x0000_s3221" style="position:absolute;left:6370;top:1632;width:511;height:161" filled="f" stroked="f">
                <v:textbox style="mso-next-textbox:#_x0000_s3221" inset="0,0,0,0">
                  <w:txbxContent>
                    <w:p w:rsidR="008A5877" w:rsidRDefault="008A5877">
                      <w:r>
                        <w:rPr>
                          <w:rFonts w:ascii="Arial Narrow" w:hAnsi="Arial Narrow" w:cs="Arial Narrow"/>
                          <w:color w:val="000000"/>
                          <w:sz w:val="14"/>
                          <w:szCs w:val="14"/>
                          <w:lang w:val="en-US"/>
                        </w:rPr>
                        <w:t>8,373,492</w:t>
                      </w:r>
                    </w:p>
                  </w:txbxContent>
                </v:textbox>
              </v:rect>
              <v:rect id="_x0000_s3222" style="position:absolute;left:7195;top:1632;width:416;height:161" filled="f" stroked="f">
                <v:textbox style="mso-next-textbox:#_x0000_s3222" inset="0,0,0,0">
                  <w:txbxContent>
                    <w:p w:rsidR="008A5877" w:rsidRDefault="008A5877">
                      <w:r>
                        <w:rPr>
                          <w:rFonts w:ascii="Arial Narrow" w:hAnsi="Arial Narrow" w:cs="Arial Narrow"/>
                          <w:color w:val="000000"/>
                          <w:sz w:val="14"/>
                          <w:szCs w:val="14"/>
                          <w:lang w:val="en-US"/>
                        </w:rPr>
                        <w:t>998,476</w:t>
                      </w:r>
                    </w:p>
                  </w:txbxContent>
                </v:textbox>
              </v:rect>
              <v:rect id="_x0000_s3223" style="position:absolute;left:7893;top:1632;width:575;height:161" filled="f" stroked="f">
                <v:textbox style="mso-next-textbox:#_x0000_s3223" inset="0,0,0,0">
                  <w:txbxContent>
                    <w:p w:rsidR="008A5877" w:rsidRDefault="008A5877">
                      <w:r>
                        <w:rPr>
                          <w:rFonts w:ascii="Arial Narrow" w:hAnsi="Arial Narrow" w:cs="Arial Narrow"/>
                          <w:color w:val="000000"/>
                          <w:sz w:val="14"/>
                          <w:szCs w:val="14"/>
                          <w:lang w:val="en-US"/>
                        </w:rPr>
                        <w:t>68,708,757</w:t>
                      </w:r>
                    </w:p>
                  </w:txbxContent>
                </v:textbox>
              </v:rect>
              <v:rect id="_x0000_s3224" style="position:absolute;left:8669;top:1632;width:639;height:161" filled="f" stroked="f">
                <v:textbox style="mso-next-textbox:#_x0000_s3224" inset="0,0,0,0">
                  <w:txbxContent>
                    <w:p w:rsidR="008A5877" w:rsidRDefault="008A5877">
                      <w:r>
                        <w:rPr>
                          <w:rFonts w:ascii="Arial Narrow" w:hAnsi="Arial Narrow" w:cs="Arial Narrow"/>
                          <w:color w:val="000000"/>
                          <w:sz w:val="14"/>
                          <w:szCs w:val="14"/>
                          <w:lang w:val="en-US"/>
                        </w:rPr>
                        <w:t>304,309,828</w:t>
                      </w:r>
                    </w:p>
                  </w:txbxContent>
                </v:textbox>
              </v:rect>
              <v:rect id="_x0000_s3225" style="position:absolute;left:809;top:1834;width:441;height:161" filled="f" stroked="f">
                <v:textbox style="mso-next-textbox:#_x0000_s3225" inset="0,0,0,0">
                  <w:txbxContent>
                    <w:p w:rsidR="008A5877" w:rsidRDefault="008A5877">
                      <w:r>
                        <w:rPr>
                          <w:rFonts w:ascii="Arial Narrow" w:hAnsi="Arial Narrow" w:cs="Arial Narrow"/>
                          <w:color w:val="000000"/>
                          <w:sz w:val="14"/>
                          <w:szCs w:val="14"/>
                          <w:lang w:val="en-US"/>
                        </w:rPr>
                        <w:t>4. Media</w:t>
                      </w:r>
                    </w:p>
                  </w:txbxContent>
                </v:textbox>
              </v:rect>
              <v:rect id="_x0000_s3226" style="position:absolute;left:3918;top:1834;width:575;height:161" filled="f" stroked="f">
                <v:textbox style="mso-next-textbox:#_x0000_s3226" inset="0,0,0,0">
                  <w:txbxContent>
                    <w:p w:rsidR="008A5877" w:rsidRDefault="008A5877">
                      <w:r>
                        <w:rPr>
                          <w:rFonts w:ascii="Arial Narrow" w:hAnsi="Arial Narrow" w:cs="Arial Narrow"/>
                          <w:color w:val="000000"/>
                          <w:sz w:val="14"/>
                          <w:szCs w:val="14"/>
                          <w:lang w:val="en-US"/>
                        </w:rPr>
                        <w:t>25,048,633</w:t>
                      </w:r>
                    </w:p>
                  </w:txbxContent>
                </v:textbox>
              </v:rect>
              <v:rect id="_x0000_s3227" style="position:absolute;left:4754;top:1834;width:575;height:161" filled="f" stroked="f">
                <v:textbox style="mso-next-textbox:#_x0000_s3227" inset="0,0,0,0">
                  <w:txbxContent>
                    <w:p w:rsidR="008A5877" w:rsidRDefault="008A5877">
                      <w:r>
                        <w:rPr>
                          <w:rFonts w:ascii="Arial Narrow" w:hAnsi="Arial Narrow" w:cs="Arial Narrow"/>
                          <w:color w:val="000000"/>
                          <w:sz w:val="14"/>
                          <w:szCs w:val="14"/>
                          <w:lang w:val="en-US"/>
                        </w:rPr>
                        <w:t>23,698,140</w:t>
                      </w:r>
                    </w:p>
                  </w:txbxContent>
                </v:textbox>
              </v:rect>
              <v:rect id="_x0000_s3228" style="position:absolute;left:5641;top:1834;width:416;height:161" filled="f" stroked="f">
                <v:textbox style="mso-next-textbox:#_x0000_s3228" inset="0,0,0,0">
                  <w:txbxContent>
                    <w:p w:rsidR="008A5877" w:rsidRDefault="008A5877">
                      <w:r>
                        <w:rPr>
                          <w:rFonts w:ascii="Arial Narrow" w:hAnsi="Arial Narrow" w:cs="Arial Narrow"/>
                          <w:color w:val="000000"/>
                          <w:sz w:val="14"/>
                          <w:szCs w:val="14"/>
                          <w:lang w:val="en-US"/>
                        </w:rPr>
                        <w:t>660,034</w:t>
                      </w:r>
                    </w:p>
                  </w:txbxContent>
                </v:textbox>
              </v:rect>
              <v:rect id="_x0000_s3229" style="position:absolute;left:6418;top:1834;width:416;height:161" filled="f" stroked="f">
                <v:textbox style="mso-next-textbox:#_x0000_s3229" inset="0,0,0,0">
                  <w:txbxContent>
                    <w:p w:rsidR="008A5877" w:rsidRDefault="008A5877">
                      <w:r>
                        <w:rPr>
                          <w:rFonts w:ascii="Arial Narrow" w:hAnsi="Arial Narrow" w:cs="Arial Narrow"/>
                          <w:color w:val="000000"/>
                          <w:sz w:val="14"/>
                          <w:szCs w:val="14"/>
                          <w:lang w:val="en-US"/>
                        </w:rPr>
                        <w:t>690,459</w:t>
                      </w:r>
                    </w:p>
                  </w:txbxContent>
                </v:textbox>
              </v:rect>
              <v:rect id="_x0000_s3230" style="position:absolute;left:7893;top:1834;width:575;height:161" filled="f" stroked="f">
                <v:textbox style="mso-next-textbox:#_x0000_s3230" inset="0,0,0,0">
                  <w:txbxContent>
                    <w:p w:rsidR="008A5877" w:rsidRDefault="008A5877">
                      <w:r>
                        <w:rPr>
                          <w:rFonts w:ascii="Arial Narrow" w:hAnsi="Arial Narrow" w:cs="Arial Narrow"/>
                          <w:color w:val="000000"/>
                          <w:sz w:val="14"/>
                          <w:szCs w:val="14"/>
                          <w:lang w:val="en-US"/>
                        </w:rPr>
                        <w:t>24,598,479</w:t>
                      </w:r>
                    </w:p>
                  </w:txbxContent>
                </v:textbox>
              </v:rect>
              <v:rect id="_x0000_s3231" style="position:absolute;left:8700;top:1834;width:575;height:161" filled="f" stroked="f">
                <v:textbox style="mso-next-textbox:#_x0000_s3231" inset="0,0,0,0">
                  <w:txbxContent>
                    <w:p w:rsidR="008A5877" w:rsidRDefault="008A5877">
                      <w:r>
                        <w:rPr>
                          <w:rFonts w:ascii="Arial Narrow" w:hAnsi="Arial Narrow" w:cs="Arial Narrow"/>
                          <w:color w:val="000000"/>
                          <w:sz w:val="14"/>
                          <w:szCs w:val="14"/>
                          <w:lang w:val="en-US"/>
                        </w:rPr>
                        <w:t>49,647,112</w:t>
                      </w:r>
                    </w:p>
                  </w:txbxContent>
                </v:textbox>
              </v:rect>
              <v:rect id="_x0000_s3232" style="position:absolute;left:809;top:2035;width:1226;height:161" filled="f" stroked="f">
                <v:textbox style="mso-next-textbox:#_x0000_s3232" inset="0,0,0,0">
                  <w:txbxContent>
                    <w:p w:rsidR="008A5877" w:rsidRDefault="008A5877">
                      <w:r>
                        <w:rPr>
                          <w:rFonts w:ascii="Arial Narrow" w:hAnsi="Arial Narrow" w:cs="Arial Narrow"/>
                          <w:color w:val="000000"/>
                          <w:sz w:val="14"/>
                          <w:szCs w:val="14"/>
                          <w:lang w:val="en-US"/>
                        </w:rPr>
                        <w:t>5. Educación de adultos</w:t>
                      </w:r>
                    </w:p>
                  </w:txbxContent>
                </v:textbox>
              </v:rect>
              <v:rect id="_x0000_s3233" style="position:absolute;left:3949;top:2035;width:511;height:161" filled="f" stroked="f">
                <v:textbox style="mso-next-textbox:#_x0000_s3233" inset="0,0,0,0">
                  <w:txbxContent>
                    <w:p w:rsidR="008A5877" w:rsidRDefault="008A5877">
                      <w:r>
                        <w:rPr>
                          <w:rFonts w:ascii="Arial Narrow" w:hAnsi="Arial Narrow" w:cs="Arial Narrow"/>
                          <w:color w:val="000000"/>
                          <w:sz w:val="14"/>
                          <w:szCs w:val="14"/>
                          <w:lang w:val="en-US"/>
                        </w:rPr>
                        <w:t>1,208,270</w:t>
                      </w:r>
                    </w:p>
                  </w:txbxContent>
                </v:textbox>
              </v:rect>
              <v:rect id="_x0000_s3234" style="position:absolute;left:4786;top:2035;width:511;height:161" filled="f" stroked="f">
                <v:textbox style="mso-next-textbox:#_x0000_s3234" inset="0,0,0,0">
                  <w:txbxContent>
                    <w:p w:rsidR="008A5877" w:rsidRDefault="008A5877">
                      <w:r>
                        <w:rPr>
                          <w:rFonts w:ascii="Arial Narrow" w:hAnsi="Arial Narrow" w:cs="Arial Narrow"/>
                          <w:color w:val="000000"/>
                          <w:sz w:val="14"/>
                          <w:szCs w:val="14"/>
                          <w:lang w:val="en-US"/>
                        </w:rPr>
                        <w:t>1,205,492</w:t>
                      </w:r>
                    </w:p>
                  </w:txbxContent>
                </v:textbox>
              </v:rect>
              <v:rect id="_x0000_s3235" style="position:absolute;left:5703;top:2035;width:288;height:161" filled="f" stroked="f">
                <v:textbox style="mso-next-textbox:#_x0000_s3235" inset="0,0,0,0">
                  <w:txbxContent>
                    <w:p w:rsidR="008A5877" w:rsidRDefault="008A5877">
                      <w:r>
                        <w:rPr>
                          <w:rFonts w:ascii="Arial Narrow" w:hAnsi="Arial Narrow" w:cs="Arial Narrow"/>
                          <w:color w:val="000000"/>
                          <w:sz w:val="14"/>
                          <w:szCs w:val="14"/>
                          <w:lang w:val="en-US"/>
                        </w:rPr>
                        <w:t>2,777</w:t>
                      </w:r>
                    </w:p>
                  </w:txbxContent>
                </v:textbox>
              </v:rect>
              <v:rect id="_x0000_s3236" style="position:absolute;left:8731;top:2035;width:511;height:161" filled="f" stroked="f">
                <v:textbox style="mso-next-textbox:#_x0000_s3236" inset="0,0,0,0">
                  <w:txbxContent>
                    <w:p w:rsidR="008A5877" w:rsidRDefault="008A5877">
                      <w:r>
                        <w:rPr>
                          <w:rFonts w:ascii="Arial Narrow" w:hAnsi="Arial Narrow" w:cs="Arial Narrow"/>
                          <w:color w:val="000000"/>
                          <w:sz w:val="14"/>
                          <w:szCs w:val="14"/>
                          <w:lang w:val="en-US"/>
                        </w:rPr>
                        <w:t>1,208,270</w:t>
                      </w:r>
                    </w:p>
                  </w:txbxContent>
                </v:textbox>
              </v:rect>
              <v:rect id="_x0000_s3237" style="position:absolute;left:809;top:2237;width:1111;height:161" filled="f" stroked="f">
                <v:textbox style="mso-next-textbox:#_x0000_s3237" inset="0,0,0,0">
                  <w:txbxContent>
                    <w:p w:rsidR="008A5877" w:rsidRDefault="008A5877">
                      <w:r>
                        <w:rPr>
                          <w:rFonts w:ascii="Arial Narrow" w:hAnsi="Arial Narrow" w:cs="Arial Narrow"/>
                          <w:color w:val="000000"/>
                          <w:sz w:val="14"/>
                          <w:szCs w:val="14"/>
                          <w:lang w:val="en-US"/>
                        </w:rPr>
                        <w:t>6. Educación superior</w:t>
                      </w:r>
                    </w:p>
                  </w:txbxContent>
                </v:textbox>
              </v:rect>
              <v:rect id="_x0000_s3238" style="position:absolute;left:3918;top:2237;width:575;height:161" filled="f" stroked="f">
                <v:textbox style="mso-next-textbox:#_x0000_s3238" inset="0,0,0,0">
                  <w:txbxContent>
                    <w:p w:rsidR="008A5877" w:rsidRDefault="008A5877">
                      <w:r>
                        <w:rPr>
                          <w:rFonts w:ascii="Arial Narrow" w:hAnsi="Arial Narrow" w:cs="Arial Narrow"/>
                          <w:color w:val="000000"/>
                          <w:sz w:val="14"/>
                          <w:szCs w:val="14"/>
                          <w:lang w:val="en-US"/>
                        </w:rPr>
                        <w:t>23,137,391</w:t>
                      </w:r>
                    </w:p>
                  </w:txbxContent>
                </v:textbox>
              </v:rect>
              <v:rect id="_x0000_s3239" style="position:absolute;left:6338;top:2237;width:575;height:161" filled="f" stroked="f">
                <v:textbox style="mso-next-textbox:#_x0000_s3239" inset="0,0,0,0">
                  <w:txbxContent>
                    <w:p w:rsidR="008A5877" w:rsidRDefault="008A5877">
                      <w:r>
                        <w:rPr>
                          <w:rFonts w:ascii="Arial Narrow" w:hAnsi="Arial Narrow" w:cs="Arial Narrow"/>
                          <w:color w:val="000000"/>
                          <w:sz w:val="14"/>
                          <w:szCs w:val="14"/>
                          <w:lang w:val="en-US"/>
                        </w:rPr>
                        <w:t>23,137,391</w:t>
                      </w:r>
                    </w:p>
                  </w:txbxContent>
                </v:textbox>
              </v:rect>
              <v:rect id="_x0000_s3240" style="position:absolute;left:7195;top:2237;width:416;height:161" filled="f" stroked="f">
                <v:textbox style="mso-next-textbox:#_x0000_s3240" inset="0,0,0,0">
                  <w:txbxContent>
                    <w:p w:rsidR="008A5877" w:rsidRDefault="008A5877">
                      <w:r>
                        <w:rPr>
                          <w:rFonts w:ascii="Arial Narrow" w:hAnsi="Arial Narrow" w:cs="Arial Narrow"/>
                          <w:color w:val="000000"/>
                          <w:sz w:val="14"/>
                          <w:szCs w:val="14"/>
                          <w:lang w:val="en-US"/>
                        </w:rPr>
                        <w:t>342,860</w:t>
                      </w:r>
                    </w:p>
                  </w:txbxContent>
                </v:textbox>
              </v:rect>
              <v:rect id="_x0000_s3241" style="position:absolute;left:8700;top:2237;width:575;height:161" filled="f" stroked="f">
                <v:textbox style="mso-next-textbox:#_x0000_s3241" inset="0,0,0,0">
                  <w:txbxContent>
                    <w:p w:rsidR="008A5877" w:rsidRDefault="008A5877">
                      <w:r>
                        <w:rPr>
                          <w:rFonts w:ascii="Arial Narrow" w:hAnsi="Arial Narrow" w:cs="Arial Narrow"/>
                          <w:color w:val="000000"/>
                          <w:sz w:val="14"/>
                          <w:szCs w:val="14"/>
                          <w:lang w:val="en-US"/>
                        </w:rPr>
                        <w:t>23,480,251</w:t>
                      </w:r>
                    </w:p>
                  </w:txbxContent>
                </v:textbox>
              </v:rect>
              <v:rect id="_x0000_s3242" style="position:absolute;left:809;top:2438;width:1819;height:161" filled="f" stroked="f">
                <v:textbox style="mso-next-textbox:#_x0000_s3242" inset="0,0,0,0">
                  <w:txbxContent>
                    <w:p w:rsidR="008A5877" w:rsidRDefault="008A5877">
                      <w:r>
                        <w:rPr>
                          <w:rFonts w:ascii="Arial Narrow" w:hAnsi="Arial Narrow" w:cs="Arial Narrow"/>
                          <w:color w:val="000000"/>
                          <w:sz w:val="14"/>
                          <w:szCs w:val="14"/>
                          <w:lang w:val="en-US"/>
                        </w:rPr>
                        <w:t>7. Otros (subvenciones y subsidios)</w:t>
                      </w:r>
                    </w:p>
                  </w:txbxContent>
                </v:textbox>
              </v:rect>
              <v:rect id="_x0000_s3243" style="position:absolute;left:3949;top:2438;width:511;height:161" filled="f" stroked="f">
                <v:textbox style="mso-next-textbox:#_x0000_s3243" inset="0,0,0,0">
                  <w:txbxContent>
                    <w:p w:rsidR="008A5877" w:rsidRDefault="008A5877">
                      <w:r>
                        <w:rPr>
                          <w:rFonts w:ascii="Arial Narrow" w:hAnsi="Arial Narrow" w:cs="Arial Narrow"/>
                          <w:color w:val="000000"/>
                          <w:sz w:val="14"/>
                          <w:szCs w:val="14"/>
                          <w:lang w:val="en-US"/>
                        </w:rPr>
                        <w:t>7,534,240</w:t>
                      </w:r>
                    </w:p>
                  </w:txbxContent>
                </v:textbox>
              </v:rect>
              <v:rect id="_x0000_s3244" style="position:absolute;left:6370;top:2438;width:511;height:161" filled="f" stroked="f">
                <v:textbox style="mso-next-textbox:#_x0000_s3244" inset="0,0,0,0">
                  <w:txbxContent>
                    <w:p w:rsidR="008A5877" w:rsidRDefault="008A5877">
                      <w:r>
                        <w:rPr>
                          <w:rFonts w:ascii="Arial Narrow" w:hAnsi="Arial Narrow" w:cs="Arial Narrow"/>
                          <w:color w:val="000000"/>
                          <w:sz w:val="14"/>
                          <w:szCs w:val="14"/>
                          <w:lang w:val="en-US"/>
                        </w:rPr>
                        <w:t>7,534,240</w:t>
                      </w:r>
                    </w:p>
                  </w:txbxContent>
                </v:textbox>
              </v:rect>
              <v:rect id="_x0000_s3245" style="position:absolute;left:7116;top:2438;width:575;height:161" filled="f" stroked="f">
                <v:textbox style="mso-next-textbox:#_x0000_s3245" inset="0,0,0,0">
                  <w:txbxContent>
                    <w:p w:rsidR="008A5877" w:rsidRDefault="008A5877">
                      <w:r>
                        <w:rPr>
                          <w:rFonts w:ascii="Arial Narrow" w:hAnsi="Arial Narrow" w:cs="Arial Narrow"/>
                          <w:color w:val="000000"/>
                          <w:sz w:val="14"/>
                          <w:szCs w:val="14"/>
                          <w:lang w:val="en-US"/>
                        </w:rPr>
                        <w:t>22,802,128</w:t>
                      </w:r>
                    </w:p>
                  </w:txbxContent>
                </v:textbox>
              </v:rect>
              <v:rect id="_x0000_s3246" style="position:absolute;left:8700;top:2438;width:575;height:161" filled="f" stroked="f">
                <v:textbox style="mso-next-textbox:#_x0000_s3246" inset="0,0,0,0">
                  <w:txbxContent>
                    <w:p w:rsidR="008A5877" w:rsidRDefault="008A5877">
                      <w:r>
                        <w:rPr>
                          <w:rFonts w:ascii="Arial Narrow" w:hAnsi="Arial Narrow" w:cs="Arial Narrow"/>
                          <w:color w:val="000000"/>
                          <w:sz w:val="14"/>
                          <w:szCs w:val="14"/>
                          <w:lang w:val="en-US"/>
                        </w:rPr>
                        <w:t>30,336,367</w:t>
                      </w:r>
                    </w:p>
                  </w:txbxContent>
                </v:textbox>
              </v:rect>
              <v:rect id="_x0000_s3247" style="position:absolute;left:809;top:2640;width:683;height:161" filled="f" stroked="f">
                <v:textbox style="mso-next-textbox:#_x0000_s3247" inset="0,0,0,0">
                  <w:txbxContent>
                    <w:p w:rsidR="008A5877" w:rsidRDefault="008A5877">
                      <w:r>
                        <w:rPr>
                          <w:rFonts w:ascii="Arial Narrow" w:hAnsi="Arial Narrow" w:cs="Arial Narrow"/>
                          <w:color w:val="000000"/>
                          <w:sz w:val="14"/>
                          <w:szCs w:val="14"/>
                          <w:lang w:val="en-US"/>
                        </w:rPr>
                        <w:t>8. Concultura</w:t>
                      </w:r>
                    </w:p>
                  </w:txbxContent>
                </v:textbox>
              </v:rect>
              <v:rect id="_x0000_s3248" style="position:absolute;left:3918;top:2640;width:575;height:161" filled="f" stroked="f">
                <v:textbox style="mso-next-textbox:#_x0000_s3248" inset="0,0,0,0">
                  <w:txbxContent>
                    <w:p w:rsidR="008A5877" w:rsidRDefault="008A5877">
                      <w:r>
                        <w:rPr>
                          <w:rFonts w:ascii="Arial Narrow" w:hAnsi="Arial Narrow" w:cs="Arial Narrow"/>
                          <w:color w:val="000000"/>
                          <w:sz w:val="14"/>
                          <w:szCs w:val="14"/>
                          <w:lang w:val="en-US"/>
                        </w:rPr>
                        <w:t>11,430,620</w:t>
                      </w:r>
                    </w:p>
                  </w:txbxContent>
                </v:textbox>
              </v:rect>
              <v:rect id="_x0000_s3249" style="position:absolute;left:4786;top:2640;width:511;height:161" filled="f" stroked="f">
                <v:textbox style="mso-next-textbox:#_x0000_s3249" inset="0,0,0,0">
                  <w:txbxContent>
                    <w:p w:rsidR="008A5877" w:rsidRDefault="008A5877">
                      <w:r>
                        <w:rPr>
                          <w:rFonts w:ascii="Arial Narrow" w:hAnsi="Arial Narrow" w:cs="Arial Narrow"/>
                          <w:color w:val="000000"/>
                          <w:sz w:val="14"/>
                          <w:szCs w:val="14"/>
                          <w:lang w:val="en-US"/>
                        </w:rPr>
                        <w:t>6,707,083</w:t>
                      </w:r>
                    </w:p>
                  </w:txbxContent>
                </v:textbox>
              </v:rect>
              <v:rect id="_x0000_s3250" style="position:absolute;left:5593;top:2640;width:511;height:161" filled="f" stroked="f">
                <v:textbox style="mso-next-textbox:#_x0000_s3250" inset="0,0,0,0">
                  <w:txbxContent>
                    <w:p w:rsidR="008A5877" w:rsidRDefault="008A5877">
                      <w:r>
                        <w:rPr>
                          <w:rFonts w:ascii="Arial Narrow" w:hAnsi="Arial Narrow" w:cs="Arial Narrow"/>
                          <w:color w:val="000000"/>
                          <w:sz w:val="14"/>
                          <w:szCs w:val="14"/>
                          <w:lang w:val="en-US"/>
                        </w:rPr>
                        <w:t>2,791,602</w:t>
                      </w:r>
                    </w:p>
                  </w:txbxContent>
                </v:textbox>
              </v:rect>
              <v:rect id="_x0000_s3251" style="position:absolute;left:6370;top:2640;width:511;height:161" filled="f" stroked="f">
                <v:textbox style="mso-next-textbox:#_x0000_s3251" inset="0,0,0,0">
                  <w:txbxContent>
                    <w:p w:rsidR="008A5877" w:rsidRDefault="008A5877">
                      <w:r>
                        <w:rPr>
                          <w:rFonts w:ascii="Arial Narrow" w:hAnsi="Arial Narrow" w:cs="Arial Narrow"/>
                          <w:color w:val="000000"/>
                          <w:sz w:val="14"/>
                          <w:szCs w:val="14"/>
                          <w:lang w:val="en-US"/>
                        </w:rPr>
                        <w:t>1,931,935</w:t>
                      </w:r>
                    </w:p>
                  </w:txbxContent>
                </v:textbox>
              </v:rect>
              <v:rect id="_x0000_s3252" style="position:absolute;left:7147;top:2640;width:511;height:161" filled="f" stroked="f">
                <v:textbox style="mso-next-textbox:#_x0000_s3252" inset="0,0,0,0">
                  <w:txbxContent>
                    <w:p w:rsidR="008A5877" w:rsidRDefault="008A5877">
                      <w:r>
                        <w:rPr>
                          <w:rFonts w:ascii="Arial Narrow" w:hAnsi="Arial Narrow" w:cs="Arial Narrow"/>
                          <w:color w:val="000000"/>
                          <w:sz w:val="14"/>
                          <w:szCs w:val="14"/>
                          <w:lang w:val="en-US"/>
                        </w:rPr>
                        <w:t>2,099,355</w:t>
                      </w:r>
                    </w:p>
                  </w:txbxContent>
                </v:textbox>
              </v:rect>
              <v:rect id="_x0000_s3253" style="position:absolute;left:8700;top:2640;width:575;height:161" filled="f" stroked="f">
                <v:textbox style="mso-next-textbox:#_x0000_s3253" inset="0,0,0,0">
                  <w:txbxContent>
                    <w:p w:rsidR="008A5877" w:rsidRDefault="008A5877">
                      <w:r>
                        <w:rPr>
                          <w:rFonts w:ascii="Arial Narrow" w:hAnsi="Arial Narrow" w:cs="Arial Narrow"/>
                          <w:color w:val="000000"/>
                          <w:sz w:val="14"/>
                          <w:szCs w:val="14"/>
                          <w:lang w:val="en-US"/>
                        </w:rPr>
                        <w:t>13,529,975</w:t>
                      </w:r>
                    </w:p>
                  </w:txbxContent>
                </v:textbox>
              </v:rect>
              <v:rect id="_x0000_s3254" style="position:absolute;top:2842;width:817;height:161" filled="f" stroked="f">
                <v:textbox style="mso-next-textbox:#_x0000_s3254" inset="0,0,0,0">
                  <w:txbxContent>
                    <w:p w:rsidR="008A5877" w:rsidRDefault="008A5877">
                      <w:r>
                        <w:rPr>
                          <w:rFonts w:ascii="Arial Narrow" w:hAnsi="Arial Narrow" w:cs="Arial Narrow"/>
                          <w:b/>
                          <w:bCs/>
                          <w:sz w:val="14"/>
                          <w:szCs w:val="14"/>
                          <w:lang w:val="en-US"/>
                        </w:rPr>
                        <w:t>Total Año 2001</w:t>
                      </w:r>
                    </w:p>
                  </w:txbxContent>
                </v:textbox>
              </v:rect>
              <v:rect id="_x0000_s3255" style="position:absolute;left:3887;top:2842;width:639;height:161" filled="f" stroked="f">
                <v:textbox style="mso-next-textbox:#_x0000_s3255" inset="0,0,0,0">
                  <w:txbxContent>
                    <w:p w:rsidR="008A5877" w:rsidRDefault="008A5877">
                      <w:r>
                        <w:rPr>
                          <w:rFonts w:ascii="Arial Narrow" w:hAnsi="Arial Narrow" w:cs="Arial Narrow"/>
                          <w:b/>
                          <w:bCs/>
                          <w:sz w:val="14"/>
                          <w:szCs w:val="14"/>
                          <w:lang w:val="en-US"/>
                        </w:rPr>
                        <w:t>352,483,135</w:t>
                      </w:r>
                    </w:p>
                  </w:txbxContent>
                </v:textbox>
              </v:rect>
              <v:rect id="_x0000_s3256" style="position:absolute;left:4723;top:2842;width:639;height:161" filled="f" stroked="f">
                <v:textbox style="mso-next-textbox:#_x0000_s3256" inset="0,0,0,0">
                  <w:txbxContent>
                    <w:p w:rsidR="008A5877" w:rsidRDefault="008A5877">
                      <w:r>
                        <w:rPr>
                          <w:rFonts w:ascii="Arial Narrow" w:hAnsi="Arial Narrow" w:cs="Arial Narrow"/>
                          <w:b/>
                          <w:bCs/>
                          <w:sz w:val="14"/>
                          <w:szCs w:val="14"/>
                          <w:lang w:val="en-US"/>
                        </w:rPr>
                        <w:t>298,522,666</w:t>
                      </w:r>
                    </w:p>
                  </w:txbxContent>
                </v:textbox>
              </v:rect>
              <v:rect id="_x0000_s3257" style="position:absolute;left:5561;top:2842;width:575;height:161" filled="f" stroked="f">
                <v:textbox style="mso-next-textbox:#_x0000_s3257" inset="0,0,0,0">
                  <w:txbxContent>
                    <w:p w:rsidR="008A5877" w:rsidRDefault="008A5877">
                      <w:r>
                        <w:rPr>
                          <w:rFonts w:ascii="Arial Narrow" w:hAnsi="Arial Narrow" w:cs="Arial Narrow"/>
                          <w:b/>
                          <w:bCs/>
                          <w:sz w:val="14"/>
                          <w:szCs w:val="14"/>
                          <w:lang w:val="en-US"/>
                        </w:rPr>
                        <w:t>11,686,849</w:t>
                      </w:r>
                    </w:p>
                  </w:txbxContent>
                </v:textbox>
              </v:rect>
              <v:rect id="_x0000_s3258" style="position:absolute;left:6338;top:2842;width:575;height:161" filled="f" stroked="f">
                <v:textbox style="mso-next-textbox:#_x0000_s3258" inset="0,0,0,0">
                  <w:txbxContent>
                    <w:p w:rsidR="008A5877" w:rsidRDefault="008A5877">
                      <w:r>
                        <w:rPr>
                          <w:rFonts w:ascii="Arial Narrow" w:hAnsi="Arial Narrow" w:cs="Arial Narrow"/>
                          <w:b/>
                          <w:bCs/>
                          <w:sz w:val="14"/>
                          <w:szCs w:val="14"/>
                          <w:lang w:val="en-US"/>
                        </w:rPr>
                        <w:t>42,273,620</w:t>
                      </w:r>
                    </w:p>
                  </w:txbxContent>
                </v:textbox>
              </v:rect>
              <v:rect id="_x0000_s3259" style="position:absolute;left:7116;top:2842;width:575;height:161" filled="f" stroked="f">
                <v:textbox style="mso-next-textbox:#_x0000_s3259" inset="0,0,0,0">
                  <w:txbxContent>
                    <w:p w:rsidR="008A5877" w:rsidRDefault="008A5877">
                      <w:r>
                        <w:rPr>
                          <w:rFonts w:ascii="Arial Narrow" w:hAnsi="Arial Narrow" w:cs="Arial Narrow"/>
                          <w:b/>
                          <w:bCs/>
                          <w:sz w:val="14"/>
                          <w:szCs w:val="14"/>
                          <w:lang w:val="en-US"/>
                        </w:rPr>
                        <w:t>26,533,142</w:t>
                      </w:r>
                    </w:p>
                  </w:txbxContent>
                </v:textbox>
              </v:rect>
              <v:rect id="_x0000_s3260" style="position:absolute;left:7893;top:2842;width:575;height:161" filled="f" stroked="f">
                <v:textbox style="mso-next-textbox:#_x0000_s3260" inset="0,0,0,0">
                  <w:txbxContent>
                    <w:p w:rsidR="008A5877" w:rsidRDefault="008A5877">
                      <w:r>
                        <w:rPr>
                          <w:rFonts w:ascii="Arial Narrow" w:hAnsi="Arial Narrow" w:cs="Arial Narrow"/>
                          <w:b/>
                          <w:bCs/>
                          <w:sz w:val="14"/>
                          <w:szCs w:val="14"/>
                          <w:lang w:val="en-US"/>
                        </w:rPr>
                        <w:t>93,307,236</w:t>
                      </w:r>
                    </w:p>
                  </w:txbxContent>
                </v:textbox>
              </v:rect>
              <v:rect id="_x0000_s3261" style="position:absolute;left:8669;top:2842;width:639;height:161" filled="f" stroked="f">
                <v:textbox style="mso-next-textbox:#_x0000_s3261" inset="0,0,0,0">
                  <w:txbxContent>
                    <w:p w:rsidR="008A5877" w:rsidRDefault="008A5877">
                      <w:r>
                        <w:rPr>
                          <w:rFonts w:ascii="Arial Narrow" w:hAnsi="Arial Narrow" w:cs="Arial Narrow"/>
                          <w:b/>
                          <w:bCs/>
                          <w:sz w:val="14"/>
                          <w:szCs w:val="14"/>
                          <w:lang w:val="en-US"/>
                        </w:rPr>
                        <w:t>472,323,513</w:t>
                      </w:r>
                    </w:p>
                  </w:txbxContent>
                </v:textbox>
              </v:rect>
              <v:rect id="_x0000_s3262" style="position:absolute;left:809;top:3047;width:2687;height:161" filled="f" stroked="f">
                <v:textbox style="mso-next-textbox:#_x0000_s3262" inset="0,0,0,0">
                  <w:txbxContent>
                    <w:p w:rsidR="008A5877" w:rsidRDefault="008A5877">
                      <w:r>
                        <w:rPr>
                          <w:rFonts w:ascii="Arial Narrow" w:hAnsi="Arial Narrow" w:cs="Arial Narrow"/>
                          <w:color w:val="000000"/>
                          <w:sz w:val="14"/>
                          <w:szCs w:val="14"/>
                          <w:lang w:val="es-ES_tradnl"/>
                        </w:rPr>
                        <w:t xml:space="preserve">1. Educación general (Dirección y Administración del </w:t>
                      </w:r>
                    </w:p>
                  </w:txbxContent>
                </v:textbox>
              </v:rect>
              <v:rect id="_x0000_s3263" style="position:absolute;left:809;top:3226;width:409;height:161" filled="f" stroked="f">
                <v:textbox style="mso-next-textbox:#_x0000_s3263" inset="0,0,0,0">
                  <w:txbxContent>
                    <w:p w:rsidR="008A5877" w:rsidRDefault="008A5877">
                      <w:r>
                        <w:rPr>
                          <w:rFonts w:ascii="Arial Narrow" w:hAnsi="Arial Narrow" w:cs="Arial Narrow"/>
                          <w:color w:val="000000"/>
                          <w:sz w:val="14"/>
                          <w:szCs w:val="14"/>
                          <w:lang w:val="en-US"/>
                        </w:rPr>
                        <w:t>MINED)</w:t>
                      </w:r>
                    </w:p>
                  </w:txbxContent>
                </v:textbox>
              </v:rect>
              <v:rect id="_x0000_s3264" style="position:absolute;left:3918;top:3245;width:575;height:161" filled="f" stroked="f">
                <v:textbox style="mso-next-textbox:#_x0000_s3264" inset="0,0,0,0">
                  <w:txbxContent>
                    <w:p w:rsidR="008A5877" w:rsidRDefault="008A5877">
                      <w:r>
                        <w:rPr>
                          <w:rFonts w:ascii="Arial Narrow" w:hAnsi="Arial Narrow" w:cs="Arial Narrow"/>
                          <w:color w:val="000000"/>
                          <w:sz w:val="14"/>
                          <w:szCs w:val="14"/>
                          <w:lang w:val="en-US"/>
                        </w:rPr>
                        <w:t>23,180,392</w:t>
                      </w:r>
                    </w:p>
                  </w:txbxContent>
                </v:textbox>
              </v:rect>
              <v:rect id="_x0000_s3265" style="position:absolute;left:4754;top:3245;width:575;height:161" filled="f" stroked="f">
                <v:textbox style="mso-next-textbox:#_x0000_s3265" inset="0,0,0,0">
                  <w:txbxContent>
                    <w:p w:rsidR="008A5877" w:rsidRDefault="008A5877">
                      <w:r>
                        <w:rPr>
                          <w:rFonts w:ascii="Arial Narrow" w:hAnsi="Arial Narrow" w:cs="Arial Narrow"/>
                          <w:color w:val="000000"/>
                          <w:sz w:val="14"/>
                          <w:szCs w:val="14"/>
                          <w:lang w:val="en-US"/>
                        </w:rPr>
                        <w:t>16,203,976</w:t>
                      </w:r>
                    </w:p>
                  </w:txbxContent>
                </v:textbox>
              </v:rect>
              <v:rect id="_x0000_s3266" style="position:absolute;left:5593;top:3245;width:511;height:161" filled="f" stroked="f">
                <v:textbox style="mso-next-textbox:#_x0000_s3266" inset="0,0,0,0">
                  <w:txbxContent>
                    <w:p w:rsidR="008A5877" w:rsidRDefault="008A5877">
                      <w:r>
                        <w:rPr>
                          <w:rFonts w:ascii="Arial Narrow" w:hAnsi="Arial Narrow" w:cs="Arial Narrow"/>
                          <w:color w:val="000000"/>
                          <w:sz w:val="14"/>
                          <w:szCs w:val="14"/>
                          <w:lang w:val="en-US"/>
                        </w:rPr>
                        <w:t>6,940,546</w:t>
                      </w:r>
                    </w:p>
                  </w:txbxContent>
                </v:textbox>
              </v:rect>
              <v:rect id="_x0000_s3267" style="position:absolute;left:6449;top:3245;width:352;height:161" filled="f" stroked="f">
                <v:textbox style="mso-next-textbox:#_x0000_s3267" inset="0,0,0,0">
                  <w:txbxContent>
                    <w:p w:rsidR="008A5877" w:rsidRDefault="008A5877">
                      <w:r>
                        <w:rPr>
                          <w:rFonts w:ascii="Arial Narrow" w:hAnsi="Arial Narrow" w:cs="Arial Narrow"/>
                          <w:color w:val="000000"/>
                          <w:sz w:val="14"/>
                          <w:szCs w:val="14"/>
                          <w:lang w:val="en-US"/>
                        </w:rPr>
                        <w:t>35,870</w:t>
                      </w:r>
                    </w:p>
                  </w:txbxContent>
                </v:textbox>
              </v:rect>
              <v:rect id="_x0000_s3268" style="position:absolute;left:7195;top:3245;width:416;height:161" filled="f" stroked="f">
                <v:textbox style="mso-next-textbox:#_x0000_s3268" inset="0,0,0,0">
                  <w:txbxContent>
                    <w:p w:rsidR="008A5877" w:rsidRDefault="008A5877">
                      <w:r>
                        <w:rPr>
                          <w:rFonts w:ascii="Arial Narrow" w:hAnsi="Arial Narrow" w:cs="Arial Narrow"/>
                          <w:color w:val="000000"/>
                          <w:sz w:val="14"/>
                          <w:szCs w:val="14"/>
                          <w:lang w:val="en-US"/>
                        </w:rPr>
                        <w:t>108,889</w:t>
                      </w:r>
                    </w:p>
                  </w:txbxContent>
                </v:textbox>
              </v:rect>
              <v:rect id="_x0000_s3269" style="position:absolute;left:8035;top:3245;width:288;height:161" filled="f" stroked="f">
                <v:textbox style="mso-next-textbox:#_x0000_s3269" inset="0,0,0,0">
                  <w:txbxContent>
                    <w:p w:rsidR="008A5877" w:rsidRDefault="008A5877">
                      <w:r>
                        <w:rPr>
                          <w:rFonts w:ascii="Arial Narrow" w:hAnsi="Arial Narrow" w:cs="Arial Narrow"/>
                          <w:color w:val="000000"/>
                          <w:sz w:val="14"/>
                          <w:szCs w:val="14"/>
                          <w:lang w:val="en-US"/>
                        </w:rPr>
                        <w:t>2,674</w:t>
                      </w:r>
                    </w:p>
                  </w:txbxContent>
                </v:textbox>
              </v:rect>
              <v:rect id="_x0000_s3270" style="position:absolute;left:8700;top:3245;width:575;height:161" filled="f" stroked="f">
                <v:textbox style="mso-next-textbox:#_x0000_s3270" inset="0,0,0,0">
                  <w:txbxContent>
                    <w:p w:rsidR="008A5877" w:rsidRDefault="008A5877">
                      <w:r>
                        <w:rPr>
                          <w:rFonts w:ascii="Arial Narrow" w:hAnsi="Arial Narrow" w:cs="Arial Narrow"/>
                          <w:color w:val="000000"/>
                          <w:sz w:val="14"/>
                          <w:szCs w:val="14"/>
                          <w:lang w:val="en-US"/>
                        </w:rPr>
                        <w:t>23,291,955</w:t>
                      </w:r>
                    </w:p>
                  </w:txbxContent>
                </v:textbox>
              </v:rect>
              <v:rect id="_x0000_s3271" style="position:absolute;left:809;top:3446;width:645;height:161" filled="f" stroked="f">
                <v:textbox style="mso-next-textbox:#_x0000_s3271" inset="0,0,0,0">
                  <w:txbxContent>
                    <w:p w:rsidR="008A5877" w:rsidRDefault="008A5877">
                      <w:r>
                        <w:rPr>
                          <w:rFonts w:ascii="Arial Narrow" w:hAnsi="Arial Narrow" w:cs="Arial Narrow"/>
                          <w:color w:val="000000"/>
                          <w:sz w:val="14"/>
                          <w:szCs w:val="14"/>
                          <w:lang w:val="en-US"/>
                        </w:rPr>
                        <w:t>2. Parvularia</w:t>
                      </w:r>
                    </w:p>
                  </w:txbxContent>
                </v:textbox>
              </v:rect>
              <v:rect id="_x0000_s3272" style="position:absolute;left:3918;top:3446;width:575;height:161" filled="f" stroked="f">
                <v:textbox style="mso-next-textbox:#_x0000_s3272" inset="0,0,0,0">
                  <w:txbxContent>
                    <w:p w:rsidR="008A5877" w:rsidRDefault="008A5877">
                      <w:r>
                        <w:rPr>
                          <w:rFonts w:ascii="Arial Narrow" w:hAnsi="Arial Narrow" w:cs="Arial Narrow"/>
                          <w:color w:val="000000"/>
                          <w:sz w:val="14"/>
                          <w:szCs w:val="14"/>
                          <w:lang w:val="en-US"/>
                        </w:rPr>
                        <w:t>30,558,136</w:t>
                      </w:r>
                    </w:p>
                  </w:txbxContent>
                </v:textbox>
              </v:rect>
              <v:rect id="_x0000_s3273" style="position:absolute;left:4754;top:3446;width:575;height:161" filled="f" stroked="f">
                <v:textbox style="mso-next-textbox:#_x0000_s3273" inset="0,0,0,0">
                  <w:txbxContent>
                    <w:p w:rsidR="008A5877" w:rsidRDefault="008A5877">
                      <w:r>
                        <w:rPr>
                          <w:rFonts w:ascii="Arial Narrow" w:hAnsi="Arial Narrow" w:cs="Arial Narrow"/>
                          <w:color w:val="000000"/>
                          <w:sz w:val="14"/>
                          <w:szCs w:val="14"/>
                          <w:lang w:val="en-US"/>
                        </w:rPr>
                        <w:t>29,869,295</w:t>
                      </w:r>
                    </w:p>
                  </w:txbxContent>
                </v:textbox>
              </v:rect>
              <v:rect id="_x0000_s3274" style="position:absolute;left:5641;top:3446;width:416;height:161" filled="f" stroked="f">
                <v:textbox style="mso-next-textbox:#_x0000_s3274" inset="0,0,0,0">
                  <w:txbxContent>
                    <w:p w:rsidR="008A5877" w:rsidRDefault="008A5877">
                      <w:r>
                        <w:rPr>
                          <w:rFonts w:ascii="Arial Narrow" w:hAnsi="Arial Narrow" w:cs="Arial Narrow"/>
                          <w:color w:val="000000"/>
                          <w:sz w:val="14"/>
                          <w:szCs w:val="14"/>
                          <w:lang w:val="en-US"/>
                        </w:rPr>
                        <w:t>236,557</w:t>
                      </w:r>
                    </w:p>
                  </w:txbxContent>
                </v:textbox>
              </v:rect>
              <v:rect id="_x0000_s3275" style="position:absolute;left:6418;top:3446;width:416;height:161" filled="f" stroked="f">
                <v:textbox style="mso-next-textbox:#_x0000_s3275" inset="0,0,0,0">
                  <w:txbxContent>
                    <w:p w:rsidR="008A5877" w:rsidRDefault="008A5877">
                      <w:r>
                        <w:rPr>
                          <w:rFonts w:ascii="Arial Narrow" w:hAnsi="Arial Narrow" w:cs="Arial Narrow"/>
                          <w:color w:val="000000"/>
                          <w:sz w:val="14"/>
                          <w:szCs w:val="14"/>
                          <w:lang w:val="en-US"/>
                        </w:rPr>
                        <w:t>452,284</w:t>
                      </w:r>
                    </w:p>
                  </w:txbxContent>
                </v:textbox>
              </v:rect>
              <v:rect id="_x0000_s3276" style="position:absolute;left:7195;top:3446;width:416;height:161" filled="f" stroked="f">
                <v:textbox style="mso-next-textbox:#_x0000_s3276" inset="0,0,0,0">
                  <w:txbxContent>
                    <w:p w:rsidR="008A5877" w:rsidRDefault="008A5877">
                      <w:r>
                        <w:rPr>
                          <w:rFonts w:ascii="Arial Narrow" w:hAnsi="Arial Narrow" w:cs="Arial Narrow"/>
                          <w:color w:val="000000"/>
                          <w:sz w:val="14"/>
                          <w:szCs w:val="14"/>
                          <w:lang w:val="en-US"/>
                        </w:rPr>
                        <w:t>131,948</w:t>
                      </w:r>
                    </w:p>
                  </w:txbxContent>
                </v:textbox>
              </v:rect>
              <v:rect id="_x0000_s3277" style="position:absolute;left:8700;top:3446;width:575;height:161" filled="f" stroked="f">
                <v:textbox style="mso-next-textbox:#_x0000_s3277" inset="0,0,0,0">
                  <w:txbxContent>
                    <w:p w:rsidR="008A5877" w:rsidRDefault="008A5877">
                      <w:r>
                        <w:rPr>
                          <w:rFonts w:ascii="Arial Narrow" w:hAnsi="Arial Narrow" w:cs="Arial Narrow"/>
                          <w:color w:val="000000"/>
                          <w:sz w:val="14"/>
                          <w:szCs w:val="14"/>
                          <w:lang w:val="en-US"/>
                        </w:rPr>
                        <w:t>30,690,084</w:t>
                      </w:r>
                    </w:p>
                  </w:txbxContent>
                </v:textbox>
              </v:rect>
              <v:rect id="_x0000_s3278" style="position:absolute;left:809;top:3648;width:473;height:161" filled="f" stroked="f">
                <v:textbox style="mso-next-textbox:#_x0000_s3278" inset="0,0,0,0">
                  <w:txbxContent>
                    <w:p w:rsidR="008A5877" w:rsidRDefault="008A5877">
                      <w:r>
                        <w:rPr>
                          <w:rFonts w:ascii="Arial Narrow" w:hAnsi="Arial Narrow" w:cs="Arial Narrow"/>
                          <w:color w:val="000000"/>
                          <w:sz w:val="14"/>
                          <w:szCs w:val="14"/>
                          <w:lang w:val="en-US"/>
                        </w:rPr>
                        <w:t>3. Básica</w:t>
                      </w:r>
                    </w:p>
                  </w:txbxContent>
                </v:textbox>
              </v:rect>
              <v:rect id="_x0000_s3279" style="position:absolute;left:3887;top:3648;width:639;height:161" filled="f" stroked="f">
                <v:textbox style="mso-next-textbox:#_x0000_s3279" inset="0,0,0,0">
                  <w:txbxContent>
                    <w:p w:rsidR="008A5877" w:rsidRDefault="008A5877">
                      <w:r>
                        <w:rPr>
                          <w:rFonts w:ascii="Arial Narrow" w:hAnsi="Arial Narrow" w:cs="Arial Narrow"/>
                          <w:color w:val="000000"/>
                          <w:sz w:val="14"/>
                          <w:szCs w:val="14"/>
                          <w:lang w:val="en-US"/>
                        </w:rPr>
                        <w:t>254,738,251</w:t>
                      </w:r>
                    </w:p>
                  </w:txbxContent>
                </v:textbox>
              </v:rect>
              <v:rect id="_x0000_s3280" style="position:absolute;left:4723;top:3648;width:639;height:161" filled="f" stroked="f">
                <v:textbox style="mso-next-textbox:#_x0000_s3280" inset="0,0,0,0">
                  <w:txbxContent>
                    <w:p w:rsidR="008A5877" w:rsidRDefault="008A5877">
                      <w:r>
                        <w:rPr>
                          <w:rFonts w:ascii="Arial Narrow" w:hAnsi="Arial Narrow" w:cs="Arial Narrow"/>
                          <w:color w:val="000000"/>
                          <w:sz w:val="14"/>
                          <w:szCs w:val="14"/>
                          <w:lang w:val="en-US"/>
                        </w:rPr>
                        <w:t>243,065,761</w:t>
                      </w:r>
                    </w:p>
                  </w:txbxContent>
                </v:textbox>
              </v:rect>
              <v:rect id="_x0000_s3281" style="position:absolute;left:5593;top:3648;width:511;height:161" filled="f" stroked="f">
                <v:textbox style="mso-next-textbox:#_x0000_s3281" inset="0,0,0,0">
                  <w:txbxContent>
                    <w:p w:rsidR="008A5877" w:rsidRDefault="008A5877">
                      <w:r>
                        <w:rPr>
                          <w:rFonts w:ascii="Arial Narrow" w:hAnsi="Arial Narrow" w:cs="Arial Narrow"/>
                          <w:color w:val="000000"/>
                          <w:sz w:val="14"/>
                          <w:szCs w:val="14"/>
                          <w:lang w:val="en-US"/>
                        </w:rPr>
                        <w:t>4,137,762</w:t>
                      </w:r>
                    </w:p>
                  </w:txbxContent>
                </v:textbox>
              </v:rect>
              <v:rect id="_x0000_s3282" style="position:absolute;left:6370;top:3648;width:511;height:161" filled="f" stroked="f">
                <v:textbox style="mso-next-textbox:#_x0000_s3282" inset="0,0,0,0">
                  <w:txbxContent>
                    <w:p w:rsidR="008A5877" w:rsidRDefault="008A5877">
                      <w:r>
                        <w:rPr>
                          <w:rFonts w:ascii="Arial Narrow" w:hAnsi="Arial Narrow" w:cs="Arial Narrow"/>
                          <w:color w:val="000000"/>
                          <w:sz w:val="14"/>
                          <w:szCs w:val="14"/>
                          <w:lang w:val="en-US"/>
                        </w:rPr>
                        <w:t>7,534,728</w:t>
                      </w:r>
                    </w:p>
                  </w:txbxContent>
                </v:textbox>
              </v:rect>
              <v:rect id="_x0000_s3283" style="position:absolute;left:7147;top:3648;width:511;height:161" filled="f" stroked="f">
                <v:textbox style="mso-next-textbox:#_x0000_s3283" inset="0,0,0,0">
                  <w:txbxContent>
                    <w:p w:rsidR="008A5877" w:rsidRDefault="008A5877">
                      <w:r>
                        <w:rPr>
                          <w:rFonts w:ascii="Arial Narrow" w:hAnsi="Arial Narrow" w:cs="Arial Narrow"/>
                          <w:color w:val="000000"/>
                          <w:sz w:val="14"/>
                          <w:szCs w:val="14"/>
                          <w:lang w:val="en-US"/>
                        </w:rPr>
                        <w:t>1,043,896</w:t>
                      </w:r>
                    </w:p>
                  </w:txbxContent>
                </v:textbox>
              </v:rect>
              <v:rect id="_x0000_s3284" style="position:absolute;left:7893;top:3648;width:575;height:161" filled="f" stroked="f">
                <v:textbox style="mso-next-textbox:#_x0000_s3284" inset="0,0,0,0">
                  <w:txbxContent>
                    <w:p w:rsidR="008A5877" w:rsidRDefault="008A5877">
                      <w:r>
                        <w:rPr>
                          <w:rFonts w:ascii="Arial Narrow" w:hAnsi="Arial Narrow" w:cs="Arial Narrow"/>
                          <w:color w:val="000000"/>
                          <w:sz w:val="14"/>
                          <w:szCs w:val="14"/>
                          <w:lang w:val="en-US"/>
                        </w:rPr>
                        <w:t>47,089,069</w:t>
                      </w:r>
                    </w:p>
                  </w:txbxContent>
                </v:textbox>
              </v:rect>
              <v:rect id="_x0000_s3285" style="position:absolute;left:8669;top:3648;width:639;height:161" filled="f" stroked="f">
                <v:textbox style="mso-next-textbox:#_x0000_s3285" inset="0,0,0,0">
                  <w:txbxContent>
                    <w:p w:rsidR="008A5877" w:rsidRDefault="008A5877">
                      <w:r>
                        <w:rPr>
                          <w:rFonts w:ascii="Arial Narrow" w:hAnsi="Arial Narrow" w:cs="Arial Narrow"/>
                          <w:color w:val="000000"/>
                          <w:sz w:val="14"/>
                          <w:szCs w:val="14"/>
                          <w:lang w:val="en-US"/>
                        </w:rPr>
                        <w:t>302,871,216</w:t>
                      </w:r>
                    </w:p>
                  </w:txbxContent>
                </v:textbox>
              </v:rect>
              <v:rect id="_x0000_s3286" style="position:absolute;left:809;top:3849;width:441;height:161" filled="f" stroked="f">
                <v:textbox style="mso-next-textbox:#_x0000_s3286" inset="0,0,0,0">
                  <w:txbxContent>
                    <w:p w:rsidR="008A5877" w:rsidRDefault="008A5877">
                      <w:r>
                        <w:rPr>
                          <w:rFonts w:ascii="Arial Narrow" w:hAnsi="Arial Narrow" w:cs="Arial Narrow"/>
                          <w:color w:val="000000"/>
                          <w:sz w:val="14"/>
                          <w:szCs w:val="14"/>
                          <w:lang w:val="en-US"/>
                        </w:rPr>
                        <w:t>4. Media</w:t>
                      </w:r>
                    </w:p>
                  </w:txbxContent>
                </v:textbox>
              </v:rect>
              <v:rect id="_x0000_s3287" style="position:absolute;left:3918;top:3849;width:575;height:161" filled="f" stroked="f">
                <v:textbox style="mso-next-textbox:#_x0000_s3287" inset="0,0,0,0">
                  <w:txbxContent>
                    <w:p w:rsidR="008A5877" w:rsidRDefault="008A5877">
                      <w:r>
                        <w:rPr>
                          <w:rFonts w:ascii="Arial Narrow" w:hAnsi="Arial Narrow" w:cs="Arial Narrow"/>
                          <w:color w:val="000000"/>
                          <w:sz w:val="14"/>
                          <w:szCs w:val="14"/>
                          <w:lang w:val="en-US"/>
                        </w:rPr>
                        <w:t>26,520,641</w:t>
                      </w:r>
                    </w:p>
                  </w:txbxContent>
                </v:textbox>
              </v:rect>
              <v:rect id="_x0000_s3288" style="position:absolute;left:4754;top:3849;width:575;height:161" filled="f" stroked="f">
                <v:textbox style="mso-next-textbox:#_x0000_s3288" inset="0,0,0,0">
                  <w:txbxContent>
                    <w:p w:rsidR="008A5877" w:rsidRDefault="008A5877">
                      <w:r>
                        <w:rPr>
                          <w:rFonts w:ascii="Arial Narrow" w:hAnsi="Arial Narrow" w:cs="Arial Narrow"/>
                          <w:color w:val="000000"/>
                          <w:sz w:val="14"/>
                          <w:szCs w:val="14"/>
                          <w:lang w:val="en-US"/>
                        </w:rPr>
                        <w:t>25,386,834</w:t>
                      </w:r>
                    </w:p>
                  </w:txbxContent>
                </v:textbox>
              </v:rect>
              <v:rect id="_x0000_s3289" style="position:absolute;left:5641;top:3849;width:416;height:161" filled="f" stroked="f">
                <v:textbox style="mso-next-textbox:#_x0000_s3289" inset="0,0,0,0">
                  <w:txbxContent>
                    <w:p w:rsidR="008A5877" w:rsidRDefault="008A5877">
                      <w:r>
                        <w:rPr>
                          <w:rFonts w:ascii="Arial Narrow" w:hAnsi="Arial Narrow" w:cs="Arial Narrow"/>
                          <w:color w:val="000000"/>
                          <w:sz w:val="14"/>
                          <w:szCs w:val="14"/>
                          <w:lang w:val="en-US"/>
                        </w:rPr>
                        <w:t>786,117</w:t>
                      </w:r>
                    </w:p>
                  </w:txbxContent>
                </v:textbox>
              </v:rect>
              <v:rect id="_x0000_s3290" style="position:absolute;left:6418;top:3849;width:416;height:161" filled="f" stroked="f">
                <v:textbox style="mso-next-textbox:#_x0000_s3290" inset="0,0,0,0">
                  <w:txbxContent>
                    <w:p w:rsidR="008A5877" w:rsidRDefault="008A5877">
                      <w:r>
                        <w:rPr>
                          <w:rFonts w:ascii="Arial Narrow" w:hAnsi="Arial Narrow" w:cs="Arial Narrow"/>
                          <w:color w:val="000000"/>
                          <w:sz w:val="14"/>
                          <w:szCs w:val="14"/>
                          <w:lang w:val="en-US"/>
                        </w:rPr>
                        <w:t>347,690</w:t>
                      </w:r>
                    </w:p>
                  </w:txbxContent>
                </v:textbox>
              </v:rect>
              <v:rect id="_x0000_s3291" style="position:absolute;left:7893;top:3849;width:575;height:161" filled="f" stroked="f">
                <v:textbox style="mso-next-textbox:#_x0000_s3291" inset="0,0,0,0">
                  <w:txbxContent>
                    <w:p w:rsidR="008A5877" w:rsidRDefault="008A5877">
                      <w:r>
                        <w:rPr>
                          <w:rFonts w:ascii="Arial Narrow" w:hAnsi="Arial Narrow" w:cs="Arial Narrow"/>
                          <w:color w:val="000000"/>
                          <w:sz w:val="14"/>
                          <w:szCs w:val="14"/>
                          <w:lang w:val="en-US"/>
                        </w:rPr>
                        <w:t>36,311,694</w:t>
                      </w:r>
                    </w:p>
                  </w:txbxContent>
                </v:textbox>
              </v:rect>
              <v:rect id="_x0000_s3292" style="position:absolute;left:8700;top:3849;width:575;height:161" filled="f" stroked="f">
                <v:textbox style="mso-next-textbox:#_x0000_s3292" inset="0,0,0,0">
                  <w:txbxContent>
                    <w:p w:rsidR="008A5877" w:rsidRDefault="008A5877">
                      <w:r>
                        <w:rPr>
                          <w:rFonts w:ascii="Arial Narrow" w:hAnsi="Arial Narrow" w:cs="Arial Narrow"/>
                          <w:color w:val="000000"/>
                          <w:sz w:val="14"/>
                          <w:szCs w:val="14"/>
                          <w:lang w:val="en-US"/>
                        </w:rPr>
                        <w:t>62,832,335</w:t>
                      </w:r>
                    </w:p>
                  </w:txbxContent>
                </v:textbox>
              </v:rect>
              <v:rect id="_x0000_s3293" style="position:absolute;left:809;top:4051;width:1226;height:161" filled="f" stroked="f">
                <v:textbox style="mso-next-textbox:#_x0000_s3293" inset="0,0,0,0">
                  <w:txbxContent>
                    <w:p w:rsidR="008A5877" w:rsidRDefault="008A5877">
                      <w:r>
                        <w:rPr>
                          <w:rFonts w:ascii="Arial Narrow" w:hAnsi="Arial Narrow" w:cs="Arial Narrow"/>
                          <w:color w:val="000000"/>
                          <w:sz w:val="14"/>
                          <w:szCs w:val="14"/>
                          <w:lang w:val="en-US"/>
                        </w:rPr>
                        <w:t>5. Educación de adultos</w:t>
                      </w:r>
                    </w:p>
                  </w:txbxContent>
                </v:textbox>
              </v:rect>
              <v:rect id="_x0000_s3294" style="position:absolute;left:3949;top:4051;width:511;height:161" filled="f" stroked="f">
                <v:textbox style="mso-next-textbox:#_x0000_s3294" inset="0,0,0,0">
                  <w:txbxContent>
                    <w:p w:rsidR="008A5877" w:rsidRDefault="008A5877">
                      <w:r>
                        <w:rPr>
                          <w:rFonts w:ascii="Arial Narrow" w:hAnsi="Arial Narrow" w:cs="Arial Narrow"/>
                          <w:color w:val="000000"/>
                          <w:sz w:val="14"/>
                          <w:szCs w:val="14"/>
                          <w:lang w:val="en-US"/>
                        </w:rPr>
                        <w:t>1,000,378</w:t>
                      </w:r>
                    </w:p>
                  </w:txbxContent>
                </v:textbox>
              </v:rect>
              <v:rect id="_x0000_s3295" style="position:absolute;left:4834;top:4051;width:416;height:161" filled="f" stroked="f">
                <v:textbox style="mso-next-textbox:#_x0000_s3295" inset="0,0,0,0">
                  <w:txbxContent>
                    <w:p w:rsidR="008A5877" w:rsidRDefault="008A5877">
                      <w:r>
                        <w:rPr>
                          <w:rFonts w:ascii="Arial Narrow" w:hAnsi="Arial Narrow" w:cs="Arial Narrow"/>
                          <w:color w:val="000000"/>
                          <w:sz w:val="14"/>
                          <w:szCs w:val="14"/>
                          <w:lang w:val="en-US"/>
                        </w:rPr>
                        <w:t>977,936</w:t>
                      </w:r>
                    </w:p>
                  </w:txbxContent>
                </v:textbox>
              </v:rect>
              <v:rect id="_x0000_s3296" style="position:absolute;left:5672;top:4051;width:352;height:161" filled="f" stroked="f">
                <v:textbox style="mso-next-textbox:#_x0000_s3296" inset="0,0,0,0">
                  <w:txbxContent>
                    <w:p w:rsidR="008A5877" w:rsidRDefault="008A5877">
                      <w:r>
                        <w:rPr>
                          <w:rFonts w:ascii="Arial Narrow" w:hAnsi="Arial Narrow" w:cs="Arial Narrow"/>
                          <w:color w:val="000000"/>
                          <w:sz w:val="14"/>
                          <w:szCs w:val="14"/>
                          <w:lang w:val="en-US"/>
                        </w:rPr>
                        <w:t>22,442</w:t>
                      </w:r>
                    </w:p>
                  </w:txbxContent>
                </v:textbox>
              </v:rect>
              <v:rect id="_x0000_s3297" style="position:absolute;left:8731;top:4051;width:511;height:161" filled="f" stroked="f">
                <v:textbox style="mso-next-textbox:#_x0000_s3297" inset="0,0,0,0">
                  <w:txbxContent>
                    <w:p w:rsidR="008A5877" w:rsidRDefault="008A5877">
                      <w:r>
                        <w:rPr>
                          <w:rFonts w:ascii="Arial Narrow" w:hAnsi="Arial Narrow" w:cs="Arial Narrow"/>
                          <w:color w:val="000000"/>
                          <w:sz w:val="14"/>
                          <w:szCs w:val="14"/>
                          <w:lang w:val="en-US"/>
                        </w:rPr>
                        <w:t>1,000,378</w:t>
                      </w:r>
                    </w:p>
                  </w:txbxContent>
                </v:textbox>
              </v:rect>
              <v:rect id="_x0000_s3298" style="position:absolute;left:809;top:4252;width:1111;height:161" filled="f" stroked="f">
                <v:textbox style="mso-next-textbox:#_x0000_s3298" inset="0,0,0,0">
                  <w:txbxContent>
                    <w:p w:rsidR="008A5877" w:rsidRDefault="008A5877">
                      <w:r>
                        <w:rPr>
                          <w:rFonts w:ascii="Arial Narrow" w:hAnsi="Arial Narrow" w:cs="Arial Narrow"/>
                          <w:color w:val="000000"/>
                          <w:sz w:val="14"/>
                          <w:szCs w:val="14"/>
                          <w:lang w:val="en-US"/>
                        </w:rPr>
                        <w:t>6. Educación superior</w:t>
                      </w:r>
                    </w:p>
                  </w:txbxContent>
                </v:textbox>
              </v:rect>
              <v:rect id="_x0000_s3299" style="position:absolute;left:3918;top:4252;width:575;height:161" filled="f" stroked="f">
                <v:textbox style="mso-next-textbox:#_x0000_s3299" inset="0,0,0,0">
                  <w:txbxContent>
                    <w:p w:rsidR="008A5877" w:rsidRDefault="008A5877">
                      <w:r>
                        <w:rPr>
                          <w:rFonts w:ascii="Arial Narrow" w:hAnsi="Arial Narrow" w:cs="Arial Narrow"/>
                          <w:color w:val="000000"/>
                          <w:sz w:val="14"/>
                          <w:szCs w:val="14"/>
                          <w:lang w:val="en-US"/>
                        </w:rPr>
                        <w:t>26,862,395</w:t>
                      </w:r>
                    </w:p>
                  </w:txbxContent>
                </v:textbox>
              </v:rect>
              <v:rect id="_x0000_s3300" style="position:absolute;left:6338;top:4252;width:575;height:161" filled="f" stroked="f">
                <v:textbox style="mso-next-textbox:#_x0000_s3300" inset="0,0,0,0">
                  <w:txbxContent>
                    <w:p w:rsidR="008A5877" w:rsidRDefault="008A5877">
                      <w:r>
                        <w:rPr>
                          <w:rFonts w:ascii="Arial Narrow" w:hAnsi="Arial Narrow" w:cs="Arial Narrow"/>
                          <w:color w:val="000000"/>
                          <w:sz w:val="14"/>
                          <w:szCs w:val="14"/>
                          <w:lang w:val="en-US"/>
                        </w:rPr>
                        <w:t>26,862,395</w:t>
                      </w:r>
                    </w:p>
                  </w:txbxContent>
                </v:textbox>
              </v:rect>
              <v:rect id="_x0000_s3301" style="position:absolute;left:8700;top:4252;width:575;height:161" filled="f" stroked="f">
                <v:textbox style="mso-next-textbox:#_x0000_s3301" inset="0,0,0,0">
                  <w:txbxContent>
                    <w:p w:rsidR="008A5877" w:rsidRDefault="008A5877">
                      <w:r>
                        <w:rPr>
                          <w:rFonts w:ascii="Arial Narrow" w:hAnsi="Arial Narrow" w:cs="Arial Narrow"/>
                          <w:color w:val="000000"/>
                          <w:sz w:val="14"/>
                          <w:szCs w:val="14"/>
                          <w:lang w:val="en-US"/>
                        </w:rPr>
                        <w:t>26,862,395</w:t>
                      </w:r>
                    </w:p>
                  </w:txbxContent>
                </v:textbox>
              </v:rect>
              <v:rect id="_x0000_s3302" style="position:absolute;left:809;top:4454;width:1819;height:161" filled="f" stroked="f">
                <v:textbox style="mso-next-textbox:#_x0000_s3302" inset="0,0,0,0">
                  <w:txbxContent>
                    <w:p w:rsidR="008A5877" w:rsidRDefault="008A5877">
                      <w:r>
                        <w:rPr>
                          <w:rFonts w:ascii="Arial Narrow" w:hAnsi="Arial Narrow" w:cs="Arial Narrow"/>
                          <w:color w:val="000000"/>
                          <w:sz w:val="14"/>
                          <w:szCs w:val="14"/>
                          <w:lang w:val="en-US"/>
                        </w:rPr>
                        <w:t>7. Otros (subvenciones y subsidios)</w:t>
                      </w:r>
                    </w:p>
                  </w:txbxContent>
                </v:textbox>
              </v:rect>
              <v:rect id="_x0000_s3303" style="position:absolute;left:3949;top:4454;width:511;height:161" filled="f" stroked="f">
                <v:textbox style="mso-next-textbox:#_x0000_s3303" inset="0,0,0,0">
                  <w:txbxContent>
                    <w:p w:rsidR="008A5877" w:rsidRDefault="008A5877">
                      <w:r>
                        <w:rPr>
                          <w:rFonts w:ascii="Arial Narrow" w:hAnsi="Arial Narrow" w:cs="Arial Narrow"/>
                          <w:color w:val="000000"/>
                          <w:sz w:val="14"/>
                          <w:szCs w:val="14"/>
                          <w:lang w:val="en-US"/>
                        </w:rPr>
                        <w:t>8,862,920</w:t>
                      </w:r>
                    </w:p>
                  </w:txbxContent>
                </v:textbox>
              </v:rect>
              <v:rect id="_x0000_s3304" style="position:absolute;left:6370;top:4454;width:511;height:161" filled="f" stroked="f">
                <v:textbox style="mso-next-textbox:#_x0000_s3304" inset="0,0,0,0">
                  <w:txbxContent>
                    <w:p w:rsidR="008A5877" w:rsidRDefault="008A5877">
                      <w:r>
                        <w:rPr>
                          <w:rFonts w:ascii="Arial Narrow" w:hAnsi="Arial Narrow" w:cs="Arial Narrow"/>
                          <w:color w:val="000000"/>
                          <w:sz w:val="14"/>
                          <w:szCs w:val="14"/>
                          <w:lang w:val="en-US"/>
                        </w:rPr>
                        <w:t>8,862,920</w:t>
                      </w:r>
                    </w:p>
                  </w:txbxContent>
                </v:textbox>
              </v:rect>
              <v:rect id="_x0000_s3305" style="position:absolute;left:8731;top:4454;width:511;height:161" filled="f" stroked="f">
                <v:textbox style="mso-next-textbox:#_x0000_s3305" inset="0,0,0,0">
                  <w:txbxContent>
                    <w:p w:rsidR="008A5877" w:rsidRDefault="008A5877">
                      <w:r>
                        <w:rPr>
                          <w:rFonts w:ascii="Arial Narrow" w:hAnsi="Arial Narrow" w:cs="Arial Narrow"/>
                          <w:color w:val="000000"/>
                          <w:sz w:val="14"/>
                          <w:szCs w:val="14"/>
                          <w:lang w:val="en-US"/>
                        </w:rPr>
                        <w:t>8,862,920</w:t>
                      </w:r>
                    </w:p>
                  </w:txbxContent>
                </v:textbox>
              </v:rect>
              <v:rect id="_x0000_s3306" style="position:absolute;left:809;top:4655;width:683;height:161" filled="f" stroked="f">
                <v:textbox style="mso-next-textbox:#_x0000_s3306" inset="0,0,0,0">
                  <w:txbxContent>
                    <w:p w:rsidR="008A5877" w:rsidRDefault="008A5877">
                      <w:r>
                        <w:rPr>
                          <w:rFonts w:ascii="Arial Narrow" w:hAnsi="Arial Narrow" w:cs="Arial Narrow"/>
                          <w:color w:val="000000"/>
                          <w:sz w:val="14"/>
                          <w:szCs w:val="14"/>
                          <w:lang w:val="en-US"/>
                        </w:rPr>
                        <w:t>8. Concultura</w:t>
                      </w:r>
                    </w:p>
                  </w:txbxContent>
                </v:textbox>
              </v:rect>
              <v:rect id="_x0000_s3307" style="position:absolute;left:3918;top:4655;width:575;height:161" filled="f" stroked="f">
                <v:textbox style="mso-next-textbox:#_x0000_s3307" inset="0,0,0,0">
                  <w:txbxContent>
                    <w:p w:rsidR="008A5877" w:rsidRDefault="008A5877">
                      <w:r>
                        <w:rPr>
                          <w:rFonts w:ascii="Arial Narrow" w:hAnsi="Arial Narrow" w:cs="Arial Narrow"/>
                          <w:color w:val="000000"/>
                          <w:sz w:val="14"/>
                          <w:szCs w:val="14"/>
                          <w:lang w:val="en-US"/>
                        </w:rPr>
                        <w:t>10,966,782</w:t>
                      </w:r>
                    </w:p>
                  </w:txbxContent>
                </v:textbox>
              </v:rect>
              <v:rect id="_x0000_s3308" style="position:absolute;left:4786;top:4655;width:511;height:161" filled="f" stroked="f">
                <v:textbox style="mso-next-textbox:#_x0000_s3308" inset="0,0,0,0">
                  <w:txbxContent>
                    <w:p w:rsidR="008A5877" w:rsidRDefault="008A5877">
                      <w:r>
                        <w:rPr>
                          <w:rFonts w:ascii="Arial Narrow" w:hAnsi="Arial Narrow" w:cs="Arial Narrow"/>
                          <w:color w:val="000000"/>
                          <w:sz w:val="14"/>
                          <w:szCs w:val="14"/>
                          <w:lang w:val="en-US"/>
                        </w:rPr>
                        <w:t>6,845,875</w:t>
                      </w:r>
                    </w:p>
                  </w:txbxContent>
                </v:textbox>
              </v:rect>
              <v:rect id="_x0000_s3309" style="position:absolute;left:5593;top:4655;width:511;height:161" filled="f" stroked="f">
                <v:textbox style="mso-next-textbox:#_x0000_s3309" inset="0,0,0,0">
                  <w:txbxContent>
                    <w:p w:rsidR="008A5877" w:rsidRDefault="008A5877">
                      <w:r>
                        <w:rPr>
                          <w:rFonts w:ascii="Arial Narrow" w:hAnsi="Arial Narrow" w:cs="Arial Narrow"/>
                          <w:color w:val="000000"/>
                          <w:sz w:val="14"/>
                          <w:szCs w:val="14"/>
                          <w:lang w:val="en-US"/>
                        </w:rPr>
                        <w:t>3,108,252</w:t>
                      </w:r>
                    </w:p>
                  </w:txbxContent>
                </v:textbox>
              </v:rect>
              <v:rect id="_x0000_s3310" style="position:absolute;left:6370;top:4655;width:511;height:161" filled="f" stroked="f">
                <v:textbox style="mso-next-textbox:#_x0000_s3310" inset="0,0,0,0">
                  <w:txbxContent>
                    <w:p w:rsidR="008A5877" w:rsidRDefault="008A5877">
                      <w:r>
                        <w:rPr>
                          <w:rFonts w:ascii="Arial Narrow" w:hAnsi="Arial Narrow" w:cs="Arial Narrow"/>
                          <w:color w:val="000000"/>
                          <w:sz w:val="14"/>
                          <w:szCs w:val="14"/>
                          <w:lang w:val="en-US"/>
                        </w:rPr>
                        <w:t>1,012,655</w:t>
                      </w:r>
                    </w:p>
                  </w:txbxContent>
                </v:textbox>
              </v:rect>
              <v:rect id="_x0000_s3311" style="position:absolute;left:7195;top:4655;width:416;height:161" filled="f" stroked="f">
                <v:textbox style="mso-next-textbox:#_x0000_s3311" inset="0,0,0,0">
                  <w:txbxContent>
                    <w:p w:rsidR="008A5877" w:rsidRDefault="008A5877">
                      <w:r>
                        <w:rPr>
                          <w:rFonts w:ascii="Arial Narrow" w:hAnsi="Arial Narrow" w:cs="Arial Narrow"/>
                          <w:color w:val="000000"/>
                          <w:sz w:val="14"/>
                          <w:szCs w:val="14"/>
                          <w:lang w:val="en-US"/>
                        </w:rPr>
                        <w:t>774,426</w:t>
                      </w:r>
                    </w:p>
                  </w:txbxContent>
                </v:textbox>
              </v:rect>
              <v:rect id="_x0000_s3312" style="position:absolute;left:8700;top:4655;width:575;height:161" filled="f" stroked="f">
                <v:textbox style="mso-next-textbox:#_x0000_s3312" inset="0,0,0,0">
                  <w:txbxContent>
                    <w:p w:rsidR="008A5877" w:rsidRDefault="008A5877">
                      <w:r>
                        <w:rPr>
                          <w:rFonts w:ascii="Arial Narrow" w:hAnsi="Arial Narrow" w:cs="Arial Narrow"/>
                          <w:color w:val="000000"/>
                          <w:sz w:val="14"/>
                          <w:szCs w:val="14"/>
                          <w:lang w:val="en-US"/>
                        </w:rPr>
                        <w:t>11,741,208</w:t>
                      </w:r>
                    </w:p>
                  </w:txbxContent>
                </v:textbox>
              </v:rect>
              <v:rect id="_x0000_s3313" style="position:absolute;left:809;top:4857;width:1200;height:161" filled="f" stroked="f">
                <v:textbox style="mso-next-textbox:#_x0000_s3313" inset="0,0,0,0">
                  <w:txbxContent>
                    <w:p w:rsidR="008A5877" w:rsidRDefault="008A5877">
                      <w:r>
                        <w:rPr>
                          <w:rFonts w:ascii="Arial Narrow" w:hAnsi="Arial Narrow" w:cs="Arial Narrow"/>
                          <w:color w:val="000000"/>
                          <w:sz w:val="14"/>
                          <w:szCs w:val="14"/>
                          <w:lang w:val="en-US"/>
                        </w:rPr>
                        <w:t>9. Bienestar Magisterial</w:t>
                      </w:r>
                    </w:p>
                  </w:txbxContent>
                </v:textbox>
              </v:rect>
              <v:rect id="_x0000_s3314" style="position:absolute;left:3997;top:4857;width:416;height:161" filled="f" stroked="f">
                <v:textbox style="mso-next-textbox:#_x0000_s3314" inset="0,0,0,0">
                  <w:txbxContent>
                    <w:p w:rsidR="008A5877" w:rsidRDefault="008A5877">
                      <w:r>
                        <w:rPr>
                          <w:rFonts w:ascii="Arial Narrow" w:hAnsi="Arial Narrow" w:cs="Arial Narrow"/>
                          <w:color w:val="000000"/>
                          <w:sz w:val="14"/>
                          <w:szCs w:val="14"/>
                          <w:lang w:val="en-US"/>
                        </w:rPr>
                        <w:t>524,383</w:t>
                      </w:r>
                    </w:p>
                  </w:txbxContent>
                </v:textbox>
              </v:rect>
              <v:rect id="_x0000_s3315" style="position:absolute;left:4834;top:4857;width:416;height:161" filled="f" stroked="f">
                <v:textbox style="mso-next-textbox:#_x0000_s3315" inset="0,0,0,0">
                  <w:txbxContent>
                    <w:p w:rsidR="008A5877" w:rsidRDefault="008A5877">
                      <w:r>
                        <w:rPr>
                          <w:rFonts w:ascii="Arial Narrow" w:hAnsi="Arial Narrow" w:cs="Arial Narrow"/>
                          <w:color w:val="000000"/>
                          <w:sz w:val="14"/>
                          <w:szCs w:val="14"/>
                          <w:lang w:val="en-US"/>
                        </w:rPr>
                        <w:t>264,621</w:t>
                      </w:r>
                    </w:p>
                  </w:txbxContent>
                </v:textbox>
              </v:rect>
              <v:rect id="_x0000_s3316" style="position:absolute;left:5641;top:4857;width:416;height:161" filled="f" stroked="f">
                <v:textbox style="mso-next-textbox:#_x0000_s3316" inset="0,0,0,0">
                  <w:txbxContent>
                    <w:p w:rsidR="008A5877" w:rsidRDefault="008A5877">
                      <w:r>
                        <w:rPr>
                          <w:rFonts w:ascii="Arial Narrow" w:hAnsi="Arial Narrow" w:cs="Arial Narrow"/>
                          <w:color w:val="000000"/>
                          <w:sz w:val="14"/>
                          <w:szCs w:val="14"/>
                          <w:lang w:val="en-US"/>
                        </w:rPr>
                        <w:t>198,958</w:t>
                      </w:r>
                    </w:p>
                  </w:txbxContent>
                </v:textbox>
              </v:rect>
              <v:rect id="_x0000_s3317" style="position:absolute;left:6449;top:4857;width:352;height:161" filled="f" stroked="f">
                <v:textbox style="mso-next-textbox:#_x0000_s3317" inset="0,0,0,0">
                  <w:txbxContent>
                    <w:p w:rsidR="008A5877" w:rsidRDefault="008A5877">
                      <w:r>
                        <w:rPr>
                          <w:rFonts w:ascii="Arial Narrow" w:hAnsi="Arial Narrow" w:cs="Arial Narrow"/>
                          <w:color w:val="000000"/>
                          <w:sz w:val="14"/>
                          <w:szCs w:val="14"/>
                          <w:lang w:val="en-US"/>
                        </w:rPr>
                        <w:t>60,804</w:t>
                      </w:r>
                    </w:p>
                  </w:txbxContent>
                </v:textbox>
              </v:rect>
              <v:rect id="_x0000_s3318" style="position:absolute;left:8004;top:4857;width:352;height:161" filled="f" stroked="f">
                <v:textbox style="mso-next-textbox:#_x0000_s3318" inset="0,0,0,0">
                  <w:txbxContent>
                    <w:p w:rsidR="008A5877" w:rsidRDefault="008A5877">
                      <w:r>
                        <w:rPr>
                          <w:rFonts w:ascii="Arial Narrow" w:hAnsi="Arial Narrow" w:cs="Arial Narrow"/>
                          <w:color w:val="000000"/>
                          <w:sz w:val="14"/>
                          <w:szCs w:val="14"/>
                          <w:lang w:val="en-US"/>
                        </w:rPr>
                        <w:t>53,231</w:t>
                      </w:r>
                    </w:p>
                  </w:txbxContent>
                </v:textbox>
              </v:rect>
              <v:rect id="_x0000_s3319" style="position:absolute;left:8779;top:4857;width:416;height:161" filled="f" stroked="f">
                <v:textbox style="mso-next-textbox:#_x0000_s3319" inset="0,0,0,0">
                  <w:txbxContent>
                    <w:p w:rsidR="008A5877" w:rsidRDefault="008A5877">
                      <w:r>
                        <w:rPr>
                          <w:rFonts w:ascii="Arial Narrow" w:hAnsi="Arial Narrow" w:cs="Arial Narrow"/>
                          <w:color w:val="000000"/>
                          <w:sz w:val="14"/>
                          <w:szCs w:val="14"/>
                          <w:lang w:val="en-US"/>
                        </w:rPr>
                        <w:t>577,614</w:t>
                      </w:r>
                    </w:p>
                  </w:txbxContent>
                </v:textbox>
              </v:rect>
              <v:rect id="_x0000_s3320" style="position:absolute;top:5058;width:817;height:161" filled="f" stroked="f">
                <v:textbox style="mso-next-textbox:#_x0000_s3320" inset="0,0,0,0">
                  <w:txbxContent>
                    <w:p w:rsidR="008A5877" w:rsidRDefault="008A5877">
                      <w:r>
                        <w:rPr>
                          <w:rFonts w:ascii="Arial Narrow" w:hAnsi="Arial Narrow" w:cs="Arial Narrow"/>
                          <w:b/>
                          <w:bCs/>
                          <w:sz w:val="14"/>
                          <w:szCs w:val="14"/>
                          <w:lang w:val="en-US"/>
                        </w:rPr>
                        <w:t>Total Año 2002</w:t>
                      </w:r>
                    </w:p>
                  </w:txbxContent>
                </v:textbox>
              </v:rect>
              <v:rect id="_x0000_s3321" style="position:absolute;left:3887;top:5058;width:639;height:161" filled="f" stroked="f">
                <v:textbox style="mso-next-textbox:#_x0000_s3321" inset="0,0,0,0">
                  <w:txbxContent>
                    <w:p w:rsidR="008A5877" w:rsidRDefault="008A5877">
                      <w:r>
                        <w:rPr>
                          <w:rFonts w:ascii="Arial Narrow" w:hAnsi="Arial Narrow" w:cs="Arial Narrow"/>
                          <w:b/>
                          <w:bCs/>
                          <w:sz w:val="14"/>
                          <w:szCs w:val="14"/>
                          <w:lang w:val="en-US"/>
                        </w:rPr>
                        <w:t>383,214,279</w:t>
                      </w:r>
                    </w:p>
                  </w:txbxContent>
                </v:textbox>
              </v:rect>
              <v:rect id="_x0000_s3322" style="position:absolute;left:4723;top:5058;width:639;height:161" filled="f" stroked="f">
                <v:textbox style="mso-next-textbox:#_x0000_s3322" inset="0,0,0,0">
                  <w:txbxContent>
                    <w:p w:rsidR="008A5877" w:rsidRDefault="008A5877">
                      <w:r>
                        <w:rPr>
                          <w:rFonts w:ascii="Arial Narrow" w:hAnsi="Arial Narrow" w:cs="Arial Narrow"/>
                          <w:b/>
                          <w:bCs/>
                          <w:sz w:val="14"/>
                          <w:szCs w:val="14"/>
                          <w:lang w:val="en-US"/>
                        </w:rPr>
                        <w:t>322,614,298</w:t>
                      </w:r>
                    </w:p>
                  </w:txbxContent>
                </v:textbox>
              </v:rect>
              <v:rect id="_x0000_s3323" style="position:absolute;left:5561;top:5058;width:575;height:161" filled="f" stroked="f">
                <v:textbox style="mso-next-textbox:#_x0000_s3323" inset="0,0,0,0">
                  <w:txbxContent>
                    <w:p w:rsidR="008A5877" w:rsidRDefault="008A5877">
                      <w:r>
                        <w:rPr>
                          <w:rFonts w:ascii="Arial Narrow" w:hAnsi="Arial Narrow" w:cs="Arial Narrow"/>
                          <w:b/>
                          <w:bCs/>
                          <w:sz w:val="14"/>
                          <w:szCs w:val="14"/>
                          <w:lang w:val="en-US"/>
                        </w:rPr>
                        <w:t>15,430,633</w:t>
                      </w:r>
                    </w:p>
                  </w:txbxContent>
                </v:textbox>
              </v:rect>
              <v:rect id="_x0000_s3324" style="position:absolute;left:6338;top:5058;width:575;height:161" filled="f" stroked="f">
                <v:textbox style="mso-next-textbox:#_x0000_s3324" inset="0,0,0,0">
                  <w:txbxContent>
                    <w:p w:rsidR="008A5877" w:rsidRDefault="008A5877">
                      <w:r>
                        <w:rPr>
                          <w:rFonts w:ascii="Arial Narrow" w:hAnsi="Arial Narrow" w:cs="Arial Narrow"/>
                          <w:b/>
                          <w:bCs/>
                          <w:sz w:val="14"/>
                          <w:szCs w:val="14"/>
                          <w:lang w:val="en-US"/>
                        </w:rPr>
                        <w:t>45,169,347</w:t>
                      </w:r>
                    </w:p>
                  </w:txbxContent>
                </v:textbox>
              </v:rect>
              <v:rect id="_x0000_s3325" style="position:absolute;left:7147;top:5058;width:511;height:161" filled="f" stroked="f">
                <v:textbox style="mso-next-textbox:#_x0000_s3325" inset="0,0,0,0">
                  <w:txbxContent>
                    <w:p w:rsidR="008A5877" w:rsidRDefault="008A5877">
                      <w:r>
                        <w:rPr>
                          <w:rFonts w:ascii="Arial Narrow" w:hAnsi="Arial Narrow" w:cs="Arial Narrow"/>
                          <w:b/>
                          <w:bCs/>
                          <w:sz w:val="14"/>
                          <w:szCs w:val="14"/>
                          <w:lang w:val="en-US"/>
                        </w:rPr>
                        <w:t>2,059,158</w:t>
                      </w:r>
                    </w:p>
                  </w:txbxContent>
                </v:textbox>
              </v:rect>
              <v:rect id="_x0000_s3326" style="position:absolute;left:7893;top:5058;width:575;height:161" filled="f" stroked="f">
                <v:textbox style="mso-next-textbox:#_x0000_s3326" inset="0,0,0,0">
                  <w:txbxContent>
                    <w:p w:rsidR="008A5877" w:rsidRDefault="008A5877">
                      <w:r>
                        <w:rPr>
                          <w:rFonts w:ascii="Arial Narrow" w:hAnsi="Arial Narrow" w:cs="Arial Narrow"/>
                          <w:b/>
                          <w:bCs/>
                          <w:sz w:val="14"/>
                          <w:szCs w:val="14"/>
                          <w:lang w:val="en-US"/>
                        </w:rPr>
                        <w:t>83,456,668</w:t>
                      </w:r>
                    </w:p>
                  </w:txbxContent>
                </v:textbox>
              </v:rect>
              <v:rect id="_x0000_s3327" style="position:absolute;left:8669;top:5058;width:639;height:161" filled="f" stroked="f">
                <v:textbox style="mso-next-textbox:#_x0000_s3327" inset="0,0,0,0">
                  <w:txbxContent>
                    <w:p w:rsidR="008A5877" w:rsidRDefault="008A5877">
                      <w:r>
                        <w:rPr>
                          <w:rFonts w:ascii="Arial Narrow" w:hAnsi="Arial Narrow" w:cs="Arial Narrow"/>
                          <w:b/>
                          <w:bCs/>
                          <w:sz w:val="14"/>
                          <w:szCs w:val="14"/>
                          <w:lang w:val="en-US"/>
                        </w:rPr>
                        <w:t>468,730,104</w:t>
                      </w:r>
                    </w:p>
                  </w:txbxContent>
                </v:textbox>
              </v:rect>
              <v:rect id="_x0000_s3328" style="position:absolute;left:809;top:5263;width:2687;height:161" filled="f" stroked="f">
                <v:textbox style="mso-next-textbox:#_x0000_s3328" inset="0,0,0,0">
                  <w:txbxContent>
                    <w:p w:rsidR="008A5877" w:rsidRDefault="008A5877">
                      <w:r>
                        <w:rPr>
                          <w:rFonts w:ascii="Arial Narrow" w:hAnsi="Arial Narrow" w:cs="Arial Narrow"/>
                          <w:color w:val="000000"/>
                          <w:sz w:val="14"/>
                          <w:szCs w:val="14"/>
                          <w:lang w:val="es-ES_tradnl"/>
                        </w:rPr>
                        <w:t xml:space="preserve">1. Educación general (Dirección y Administración del </w:t>
                      </w:r>
                    </w:p>
                  </w:txbxContent>
                </v:textbox>
              </v:rect>
              <v:rect id="_x0000_s3329" style="position:absolute;left:809;top:5443;width:409;height:161" filled="f" stroked="f">
                <v:textbox style="mso-next-textbox:#_x0000_s3329" inset="0,0,0,0">
                  <w:txbxContent>
                    <w:p w:rsidR="008A5877" w:rsidRDefault="008A5877">
                      <w:r>
                        <w:rPr>
                          <w:rFonts w:ascii="Arial Narrow" w:hAnsi="Arial Narrow" w:cs="Arial Narrow"/>
                          <w:color w:val="000000"/>
                          <w:sz w:val="14"/>
                          <w:szCs w:val="14"/>
                          <w:lang w:val="en-US"/>
                        </w:rPr>
                        <w:t>MINED)</w:t>
                      </w:r>
                    </w:p>
                  </w:txbxContent>
                </v:textbox>
              </v:rect>
              <v:rect id="_x0000_s3330" style="position:absolute;left:3918;top:5461;width:575;height:161" filled="f" stroked="f">
                <v:textbox style="mso-next-textbox:#_x0000_s3330" inset="0,0,0,0">
                  <w:txbxContent>
                    <w:p w:rsidR="008A5877" w:rsidRDefault="008A5877">
                      <w:r>
                        <w:rPr>
                          <w:rFonts w:ascii="Arial Narrow" w:hAnsi="Arial Narrow" w:cs="Arial Narrow"/>
                          <w:color w:val="000000"/>
                          <w:sz w:val="14"/>
                          <w:szCs w:val="14"/>
                          <w:lang w:val="en-US"/>
                        </w:rPr>
                        <w:t>26,642,949</w:t>
                      </w:r>
                    </w:p>
                  </w:txbxContent>
                </v:textbox>
              </v:rect>
              <v:rect id="_x0000_s3331" style="position:absolute;left:4754;top:5461;width:575;height:161" filled="f" stroked="f">
                <v:textbox style="mso-next-textbox:#_x0000_s3331" inset="0,0,0,0">
                  <w:txbxContent>
                    <w:p w:rsidR="008A5877" w:rsidRDefault="008A5877">
                      <w:r>
                        <w:rPr>
                          <w:rFonts w:ascii="Arial Narrow" w:hAnsi="Arial Narrow" w:cs="Arial Narrow"/>
                          <w:color w:val="000000"/>
                          <w:sz w:val="14"/>
                          <w:szCs w:val="14"/>
                          <w:lang w:val="en-US"/>
                        </w:rPr>
                        <w:t>17,864,831</w:t>
                      </w:r>
                    </w:p>
                  </w:txbxContent>
                </v:textbox>
              </v:rect>
              <v:rect id="_x0000_s3332" style="position:absolute;left:5593;top:5461;width:511;height:161" filled="f" stroked="f">
                <v:textbox style="mso-next-textbox:#_x0000_s3332" inset="0,0,0,0">
                  <w:txbxContent>
                    <w:p w:rsidR="008A5877" w:rsidRDefault="008A5877">
                      <w:r>
                        <w:rPr>
                          <w:rFonts w:ascii="Arial Narrow" w:hAnsi="Arial Narrow" w:cs="Arial Narrow"/>
                          <w:color w:val="000000"/>
                          <w:sz w:val="14"/>
                          <w:szCs w:val="14"/>
                          <w:lang w:val="en-US"/>
                        </w:rPr>
                        <w:t>7,786,848</w:t>
                      </w:r>
                    </w:p>
                  </w:txbxContent>
                </v:textbox>
              </v:rect>
              <v:rect id="_x0000_s3333" style="position:absolute;left:6418;top:5461;width:416;height:161" filled="f" stroked="f">
                <v:textbox style="mso-next-textbox:#_x0000_s3333" inset="0,0,0,0">
                  <w:txbxContent>
                    <w:p w:rsidR="008A5877" w:rsidRDefault="008A5877">
                      <w:r>
                        <w:rPr>
                          <w:rFonts w:ascii="Arial Narrow" w:hAnsi="Arial Narrow" w:cs="Arial Narrow"/>
                          <w:color w:val="000000"/>
                          <w:sz w:val="14"/>
                          <w:szCs w:val="14"/>
                          <w:lang w:val="en-US"/>
                        </w:rPr>
                        <w:t>991,270</w:t>
                      </w:r>
                    </w:p>
                  </w:txbxContent>
                </v:textbox>
              </v:rect>
              <v:rect id="_x0000_s3334" style="position:absolute;left:7195;top:5461;width:416;height:161" filled="f" stroked="f">
                <v:textbox style="mso-next-textbox:#_x0000_s3334" inset="0,0,0,0">
                  <w:txbxContent>
                    <w:p w:rsidR="008A5877" w:rsidRDefault="008A5877">
                      <w:r>
                        <w:rPr>
                          <w:rFonts w:ascii="Arial Narrow" w:hAnsi="Arial Narrow" w:cs="Arial Narrow"/>
                          <w:color w:val="000000"/>
                          <w:sz w:val="14"/>
                          <w:szCs w:val="14"/>
                          <w:lang w:val="en-US"/>
                        </w:rPr>
                        <w:t>149,626</w:t>
                      </w:r>
                    </w:p>
                  </w:txbxContent>
                </v:textbox>
              </v:rect>
              <v:rect id="_x0000_s3335" style="position:absolute;left:8035;top:5461;width:288;height:161" filled="f" stroked="f">
                <v:textbox style="mso-next-textbox:#_x0000_s3335" inset="0,0,0,0">
                  <w:txbxContent>
                    <w:p w:rsidR="008A5877" w:rsidRDefault="008A5877">
                      <w:r>
                        <w:rPr>
                          <w:rFonts w:ascii="Arial Narrow" w:hAnsi="Arial Narrow" w:cs="Arial Narrow"/>
                          <w:color w:val="000000"/>
                          <w:sz w:val="14"/>
                          <w:szCs w:val="14"/>
                          <w:lang w:val="en-US"/>
                        </w:rPr>
                        <w:t>2,669</w:t>
                      </w:r>
                    </w:p>
                  </w:txbxContent>
                </v:textbox>
              </v:rect>
              <v:rect id="_x0000_s3336" style="position:absolute;left:8700;top:5461;width:575;height:161" filled="f" stroked="f">
                <v:textbox style="mso-next-textbox:#_x0000_s3336" inset="0,0,0,0">
                  <w:txbxContent>
                    <w:p w:rsidR="008A5877" w:rsidRDefault="008A5877">
                      <w:r>
                        <w:rPr>
                          <w:rFonts w:ascii="Arial Narrow" w:hAnsi="Arial Narrow" w:cs="Arial Narrow"/>
                          <w:color w:val="000000"/>
                          <w:sz w:val="14"/>
                          <w:szCs w:val="14"/>
                          <w:lang w:val="en-US"/>
                        </w:rPr>
                        <w:t>26,795,244</w:t>
                      </w:r>
                    </w:p>
                  </w:txbxContent>
                </v:textbox>
              </v:rect>
              <v:rect id="_x0000_s3337" style="position:absolute;left:809;top:5663;width:645;height:161" filled="f" stroked="f">
                <v:textbox style="mso-next-textbox:#_x0000_s3337" inset="0,0,0,0">
                  <w:txbxContent>
                    <w:p w:rsidR="008A5877" w:rsidRDefault="008A5877">
                      <w:r>
                        <w:rPr>
                          <w:rFonts w:ascii="Arial Narrow" w:hAnsi="Arial Narrow" w:cs="Arial Narrow"/>
                          <w:color w:val="000000"/>
                          <w:sz w:val="14"/>
                          <w:szCs w:val="14"/>
                          <w:lang w:val="en-US"/>
                        </w:rPr>
                        <w:t>2. Parvularia</w:t>
                      </w:r>
                    </w:p>
                  </w:txbxContent>
                </v:textbox>
              </v:rect>
              <v:rect id="_x0000_s3338" style="position:absolute;left:3918;top:5663;width:575;height:161" filled="f" stroked="f">
                <v:textbox style="mso-next-textbox:#_x0000_s3338" inset="0,0,0,0">
                  <w:txbxContent>
                    <w:p w:rsidR="008A5877" w:rsidRDefault="008A5877">
                      <w:r>
                        <w:rPr>
                          <w:rFonts w:ascii="Arial Narrow" w:hAnsi="Arial Narrow" w:cs="Arial Narrow"/>
                          <w:color w:val="000000"/>
                          <w:sz w:val="14"/>
                          <w:szCs w:val="14"/>
                          <w:lang w:val="en-US"/>
                        </w:rPr>
                        <w:t>32,387,488</w:t>
                      </w:r>
                    </w:p>
                  </w:txbxContent>
                </v:textbox>
              </v:rect>
              <v:rect id="_x0000_s3339" style="position:absolute;left:4754;top:5663;width:575;height:161" filled="f" stroked="f">
                <v:textbox style="mso-next-textbox:#_x0000_s3339" inset="0,0,0,0">
                  <w:txbxContent>
                    <w:p w:rsidR="008A5877" w:rsidRDefault="008A5877">
                      <w:r>
                        <w:rPr>
                          <w:rFonts w:ascii="Arial Narrow" w:hAnsi="Arial Narrow" w:cs="Arial Narrow"/>
                          <w:color w:val="000000"/>
                          <w:sz w:val="14"/>
                          <w:szCs w:val="14"/>
                          <w:lang w:val="en-US"/>
                        </w:rPr>
                        <w:t>31,399,366</w:t>
                      </w:r>
                    </w:p>
                  </w:txbxContent>
                </v:textbox>
              </v:rect>
              <v:rect id="_x0000_s3340" style="position:absolute;left:5641;top:5663;width:416;height:161" filled="f" stroked="f">
                <v:textbox style="mso-next-textbox:#_x0000_s3340" inset="0,0,0,0">
                  <w:txbxContent>
                    <w:p w:rsidR="008A5877" w:rsidRDefault="008A5877">
                      <w:r>
                        <w:rPr>
                          <w:rFonts w:ascii="Arial Narrow" w:hAnsi="Arial Narrow" w:cs="Arial Narrow"/>
                          <w:color w:val="000000"/>
                          <w:sz w:val="14"/>
                          <w:szCs w:val="14"/>
                          <w:lang w:val="en-US"/>
                        </w:rPr>
                        <w:t>251,909</w:t>
                      </w:r>
                    </w:p>
                  </w:txbxContent>
                </v:textbox>
              </v:rect>
              <v:rect id="_x0000_s3341" style="position:absolute;left:6418;top:5663;width:416;height:161" filled="f" stroked="f">
                <v:textbox style="mso-next-textbox:#_x0000_s3341" inset="0,0,0,0">
                  <w:txbxContent>
                    <w:p w:rsidR="008A5877" w:rsidRDefault="008A5877">
                      <w:r>
                        <w:rPr>
                          <w:rFonts w:ascii="Arial Narrow" w:hAnsi="Arial Narrow" w:cs="Arial Narrow"/>
                          <w:color w:val="000000"/>
                          <w:sz w:val="14"/>
                          <w:szCs w:val="14"/>
                          <w:lang w:val="en-US"/>
                        </w:rPr>
                        <w:t>736,214</w:t>
                      </w:r>
                    </w:p>
                  </w:txbxContent>
                </v:textbox>
              </v:rect>
              <v:rect id="_x0000_s3342" style="position:absolute;left:7195;top:5663;width:416;height:161" filled="f" stroked="f">
                <v:textbox style="mso-next-textbox:#_x0000_s3342" inset="0,0,0,0">
                  <w:txbxContent>
                    <w:p w:rsidR="008A5877" w:rsidRDefault="008A5877">
                      <w:r>
                        <w:rPr>
                          <w:rFonts w:ascii="Arial Narrow" w:hAnsi="Arial Narrow" w:cs="Arial Narrow"/>
                          <w:color w:val="000000"/>
                          <w:sz w:val="14"/>
                          <w:szCs w:val="14"/>
                          <w:lang w:val="en-US"/>
                        </w:rPr>
                        <w:t>202,959</w:t>
                      </w:r>
                    </w:p>
                  </w:txbxContent>
                </v:textbox>
              </v:rect>
              <v:rect id="_x0000_s3343" style="position:absolute;left:8700;top:5663;width:575;height:161" filled="f" stroked="f">
                <v:textbox style="mso-next-textbox:#_x0000_s3343" inset="0,0,0,0">
                  <w:txbxContent>
                    <w:p w:rsidR="008A5877" w:rsidRDefault="008A5877">
                      <w:r>
                        <w:rPr>
                          <w:rFonts w:ascii="Arial Narrow" w:hAnsi="Arial Narrow" w:cs="Arial Narrow"/>
                          <w:color w:val="000000"/>
                          <w:sz w:val="14"/>
                          <w:szCs w:val="14"/>
                          <w:lang w:val="en-US"/>
                        </w:rPr>
                        <w:t>32,590,447</w:t>
                      </w:r>
                    </w:p>
                  </w:txbxContent>
                </v:textbox>
              </v:rect>
              <v:rect id="_x0000_s3344" style="position:absolute;left:809;top:5864;width:473;height:161" filled="f" stroked="f">
                <v:textbox style="mso-next-textbox:#_x0000_s3344" inset="0,0,0,0">
                  <w:txbxContent>
                    <w:p w:rsidR="008A5877" w:rsidRDefault="008A5877">
                      <w:r>
                        <w:rPr>
                          <w:rFonts w:ascii="Arial Narrow" w:hAnsi="Arial Narrow" w:cs="Arial Narrow"/>
                          <w:color w:val="000000"/>
                          <w:sz w:val="14"/>
                          <w:szCs w:val="14"/>
                          <w:lang w:val="en-US"/>
                        </w:rPr>
                        <w:t>3. Básica</w:t>
                      </w:r>
                    </w:p>
                  </w:txbxContent>
                </v:textbox>
              </v:rect>
              <v:rect id="_x0000_s3345" style="position:absolute;left:3887;top:5864;width:639;height:161" filled="f" stroked="f">
                <v:textbox style="mso-next-textbox:#_x0000_s3345" inset="0,0,0,0">
                  <w:txbxContent>
                    <w:p w:rsidR="008A5877" w:rsidRDefault="008A5877">
                      <w:r>
                        <w:rPr>
                          <w:rFonts w:ascii="Arial Narrow" w:hAnsi="Arial Narrow" w:cs="Arial Narrow"/>
                          <w:color w:val="000000"/>
                          <w:sz w:val="14"/>
                          <w:szCs w:val="14"/>
                          <w:lang w:val="en-US"/>
                        </w:rPr>
                        <w:t>253,807,925</w:t>
                      </w:r>
                    </w:p>
                  </w:txbxContent>
                </v:textbox>
              </v:rect>
              <v:rect id="_x0000_s3346" style="position:absolute;left:4723;top:5864;width:639;height:161" filled="f" stroked="f">
                <v:textbox style="mso-next-textbox:#_x0000_s3346" inset="0,0,0,0">
                  <w:txbxContent>
                    <w:p w:rsidR="008A5877" w:rsidRDefault="008A5877">
                      <w:r>
                        <w:rPr>
                          <w:rFonts w:ascii="Arial Narrow" w:hAnsi="Arial Narrow" w:cs="Arial Narrow"/>
                          <w:color w:val="000000"/>
                          <w:sz w:val="14"/>
                          <w:szCs w:val="14"/>
                          <w:lang w:val="en-US"/>
                        </w:rPr>
                        <w:t>243,219,110</w:t>
                      </w:r>
                    </w:p>
                  </w:txbxContent>
                </v:textbox>
              </v:rect>
              <v:rect id="_x0000_s3347" style="position:absolute;left:5593;top:5864;width:511;height:161" filled="f" stroked="f">
                <v:textbox style="mso-next-textbox:#_x0000_s3347" inset="0,0,0,0">
                  <w:txbxContent>
                    <w:p w:rsidR="008A5877" w:rsidRDefault="008A5877">
                      <w:r>
                        <w:rPr>
                          <w:rFonts w:ascii="Arial Narrow" w:hAnsi="Arial Narrow" w:cs="Arial Narrow"/>
                          <w:color w:val="000000"/>
                          <w:sz w:val="14"/>
                          <w:szCs w:val="14"/>
                          <w:lang w:val="en-US"/>
                        </w:rPr>
                        <w:t>2,525,526</w:t>
                      </w:r>
                    </w:p>
                  </w:txbxContent>
                </v:textbox>
              </v:rect>
              <v:rect id="_x0000_s3348" style="position:absolute;left:6370;top:5864;width:511;height:161" filled="f" stroked="f">
                <v:textbox style="mso-next-textbox:#_x0000_s3348" inset="0,0,0,0">
                  <w:txbxContent>
                    <w:p w:rsidR="008A5877" w:rsidRDefault="008A5877">
                      <w:r>
                        <w:rPr>
                          <w:rFonts w:ascii="Arial Narrow" w:hAnsi="Arial Narrow" w:cs="Arial Narrow"/>
                          <w:color w:val="000000"/>
                          <w:sz w:val="14"/>
                          <w:szCs w:val="14"/>
                          <w:lang w:val="en-US"/>
                        </w:rPr>
                        <w:t>8,063,289</w:t>
                      </w:r>
                    </w:p>
                  </w:txbxContent>
                </v:textbox>
              </v:rect>
              <v:rect id="_x0000_s3349" style="position:absolute;left:7195;top:5864;width:416;height:161" filled="f" stroked="f">
                <v:textbox style="mso-next-textbox:#_x0000_s3349" inset="0,0,0,0">
                  <w:txbxContent>
                    <w:p w:rsidR="008A5877" w:rsidRDefault="008A5877">
                      <w:r>
                        <w:rPr>
                          <w:rFonts w:ascii="Arial Narrow" w:hAnsi="Arial Narrow" w:cs="Arial Narrow"/>
                          <w:color w:val="000000"/>
                          <w:sz w:val="14"/>
                          <w:szCs w:val="14"/>
                          <w:lang w:val="en-US"/>
                        </w:rPr>
                        <w:t>792,791</w:t>
                      </w:r>
                    </w:p>
                  </w:txbxContent>
                </v:textbox>
              </v:rect>
              <v:rect id="_x0000_s3350" style="position:absolute;left:7893;top:5864;width:575;height:161" filled="f" stroked="f">
                <v:textbox style="mso-next-textbox:#_x0000_s3350" inset="0,0,0,0">
                  <w:txbxContent>
                    <w:p w:rsidR="008A5877" w:rsidRDefault="008A5877">
                      <w:r>
                        <w:rPr>
                          <w:rFonts w:ascii="Arial Narrow" w:hAnsi="Arial Narrow" w:cs="Arial Narrow"/>
                          <w:color w:val="000000"/>
                          <w:sz w:val="14"/>
                          <w:szCs w:val="14"/>
                          <w:lang w:val="en-US"/>
                        </w:rPr>
                        <w:t>34,278,518</w:t>
                      </w:r>
                    </w:p>
                  </w:txbxContent>
                </v:textbox>
              </v:rect>
              <v:rect id="_x0000_s3351" style="position:absolute;left:8669;top:5864;width:639;height:161" filled="f" stroked="f">
                <v:textbox style="mso-next-textbox:#_x0000_s3351" inset="0,0,0,0">
                  <w:txbxContent>
                    <w:p w:rsidR="008A5877" w:rsidRDefault="008A5877">
                      <w:r>
                        <w:rPr>
                          <w:rFonts w:ascii="Arial Narrow" w:hAnsi="Arial Narrow" w:cs="Arial Narrow"/>
                          <w:color w:val="000000"/>
                          <w:sz w:val="14"/>
                          <w:szCs w:val="14"/>
                          <w:lang w:val="en-US"/>
                        </w:rPr>
                        <w:t>288,879,235</w:t>
                      </w:r>
                    </w:p>
                  </w:txbxContent>
                </v:textbox>
              </v:rect>
              <v:rect id="_x0000_s3352" style="position:absolute;left:809;top:6066;width:441;height:161" filled="f" stroked="f">
                <v:textbox style="mso-next-textbox:#_x0000_s3352" inset="0,0,0,0">
                  <w:txbxContent>
                    <w:p w:rsidR="008A5877" w:rsidRDefault="008A5877">
                      <w:r>
                        <w:rPr>
                          <w:rFonts w:ascii="Arial Narrow" w:hAnsi="Arial Narrow" w:cs="Arial Narrow"/>
                          <w:color w:val="000000"/>
                          <w:sz w:val="14"/>
                          <w:szCs w:val="14"/>
                          <w:lang w:val="en-US"/>
                        </w:rPr>
                        <w:t>4. Media</w:t>
                      </w:r>
                    </w:p>
                  </w:txbxContent>
                </v:textbox>
              </v:rect>
              <v:rect id="_x0000_s3353" style="position:absolute;left:3918;top:6066;width:575;height:161" filled="f" stroked="f">
                <v:textbox style="mso-next-textbox:#_x0000_s3353" inset="0,0,0,0">
                  <w:txbxContent>
                    <w:p w:rsidR="008A5877" w:rsidRDefault="008A5877">
                      <w:r>
                        <w:rPr>
                          <w:rFonts w:ascii="Arial Narrow" w:hAnsi="Arial Narrow" w:cs="Arial Narrow"/>
                          <w:color w:val="000000"/>
                          <w:sz w:val="14"/>
                          <w:szCs w:val="14"/>
                          <w:lang w:val="en-US"/>
                        </w:rPr>
                        <w:t>28,412,190</w:t>
                      </w:r>
                    </w:p>
                  </w:txbxContent>
                </v:textbox>
              </v:rect>
              <v:rect id="_x0000_s3354" style="position:absolute;left:4754;top:6066;width:575;height:161" filled="f" stroked="f">
                <v:textbox style="mso-next-textbox:#_x0000_s3354" inset="0,0,0,0">
                  <w:txbxContent>
                    <w:p w:rsidR="008A5877" w:rsidRDefault="008A5877">
                      <w:r>
                        <w:rPr>
                          <w:rFonts w:ascii="Arial Narrow" w:hAnsi="Arial Narrow" w:cs="Arial Narrow"/>
                          <w:color w:val="000000"/>
                          <w:sz w:val="14"/>
                          <w:szCs w:val="14"/>
                          <w:lang w:val="en-US"/>
                        </w:rPr>
                        <w:t>27,230,488</w:t>
                      </w:r>
                    </w:p>
                  </w:txbxContent>
                </v:textbox>
              </v:rect>
              <v:rect id="_x0000_s3355" style="position:absolute;left:5641;top:6066;width:416;height:161" filled="f" stroked="f">
                <v:textbox style="mso-next-textbox:#_x0000_s3355" inset="0,0,0,0">
                  <w:txbxContent>
                    <w:p w:rsidR="008A5877" w:rsidRDefault="008A5877">
                      <w:r>
                        <w:rPr>
                          <w:rFonts w:ascii="Arial Narrow" w:hAnsi="Arial Narrow" w:cs="Arial Narrow"/>
                          <w:color w:val="000000"/>
                          <w:sz w:val="14"/>
                          <w:szCs w:val="14"/>
                          <w:lang w:val="en-US"/>
                        </w:rPr>
                        <w:t>769,417</w:t>
                      </w:r>
                    </w:p>
                  </w:txbxContent>
                </v:textbox>
              </v:rect>
              <v:rect id="_x0000_s3356" style="position:absolute;left:6418;top:6066;width:416;height:161" filled="f" stroked="f">
                <v:textbox style="mso-next-textbox:#_x0000_s3356" inset="0,0,0,0">
                  <w:txbxContent>
                    <w:p w:rsidR="008A5877" w:rsidRDefault="008A5877">
                      <w:r>
                        <w:rPr>
                          <w:rFonts w:ascii="Arial Narrow" w:hAnsi="Arial Narrow" w:cs="Arial Narrow"/>
                          <w:color w:val="000000"/>
                          <w:sz w:val="14"/>
                          <w:szCs w:val="14"/>
                          <w:lang w:val="en-US"/>
                        </w:rPr>
                        <w:t>412,285</w:t>
                      </w:r>
                    </w:p>
                  </w:txbxContent>
                </v:textbox>
              </v:rect>
              <v:rect id="_x0000_s3357" style="position:absolute;left:7893;top:6066;width:575;height:161" filled="f" stroked="f">
                <v:textbox style="mso-next-textbox:#_x0000_s3357" inset="0,0,0,0">
                  <w:txbxContent>
                    <w:p w:rsidR="008A5877" w:rsidRDefault="008A5877">
                      <w:r>
                        <w:rPr>
                          <w:rFonts w:ascii="Arial Narrow" w:hAnsi="Arial Narrow" w:cs="Arial Narrow"/>
                          <w:color w:val="000000"/>
                          <w:sz w:val="14"/>
                          <w:szCs w:val="14"/>
                          <w:lang w:val="en-US"/>
                        </w:rPr>
                        <w:t>37,971,151</w:t>
                      </w:r>
                    </w:p>
                  </w:txbxContent>
                </v:textbox>
              </v:rect>
              <v:rect id="_x0000_s3358" style="position:absolute;left:8700;top:6066;width:575;height:161" filled="f" stroked="f">
                <v:textbox style="mso-next-textbox:#_x0000_s3358" inset="0,0,0,0">
                  <w:txbxContent>
                    <w:p w:rsidR="008A5877" w:rsidRDefault="008A5877">
                      <w:r>
                        <w:rPr>
                          <w:rFonts w:ascii="Arial Narrow" w:hAnsi="Arial Narrow" w:cs="Arial Narrow"/>
                          <w:color w:val="000000"/>
                          <w:sz w:val="14"/>
                          <w:szCs w:val="14"/>
                          <w:lang w:val="en-US"/>
                        </w:rPr>
                        <w:t>66,383,340</w:t>
                      </w:r>
                    </w:p>
                  </w:txbxContent>
                </v:textbox>
              </v:rect>
              <v:rect id="_x0000_s3359" style="position:absolute;left:809;top:6267;width:1226;height:161" filled="f" stroked="f">
                <v:textbox style="mso-next-textbox:#_x0000_s3359" inset="0,0,0,0">
                  <w:txbxContent>
                    <w:p w:rsidR="008A5877" w:rsidRDefault="008A5877">
                      <w:r>
                        <w:rPr>
                          <w:rFonts w:ascii="Arial Narrow" w:hAnsi="Arial Narrow" w:cs="Arial Narrow"/>
                          <w:color w:val="000000"/>
                          <w:sz w:val="14"/>
                          <w:szCs w:val="14"/>
                          <w:lang w:val="en-US"/>
                        </w:rPr>
                        <w:t>5. Educación de adultos</w:t>
                      </w:r>
                    </w:p>
                  </w:txbxContent>
                </v:textbox>
              </v:rect>
              <v:rect id="_x0000_s3360" style="position:absolute;left:3949;top:6267;width:511;height:161" filled="f" stroked="f">
                <v:textbox style="mso-next-textbox:#_x0000_s3360" inset="0,0,0,0">
                  <w:txbxContent>
                    <w:p w:rsidR="008A5877" w:rsidRDefault="008A5877">
                      <w:r>
                        <w:rPr>
                          <w:rFonts w:ascii="Arial Narrow" w:hAnsi="Arial Narrow" w:cs="Arial Narrow"/>
                          <w:color w:val="000000"/>
                          <w:sz w:val="14"/>
                          <w:szCs w:val="14"/>
                          <w:lang w:val="en-US"/>
                        </w:rPr>
                        <w:t>1,179,394</w:t>
                      </w:r>
                    </w:p>
                  </w:txbxContent>
                </v:textbox>
              </v:rect>
              <v:rect id="_x0000_s3361" style="position:absolute;left:4786;top:6267;width:511;height:161" filled="f" stroked="f">
                <v:textbox style="mso-next-textbox:#_x0000_s3361" inset="0,0,0,0">
                  <w:txbxContent>
                    <w:p w:rsidR="008A5877" w:rsidRDefault="008A5877">
                      <w:r>
                        <w:rPr>
                          <w:rFonts w:ascii="Arial Narrow" w:hAnsi="Arial Narrow" w:cs="Arial Narrow"/>
                          <w:color w:val="000000"/>
                          <w:sz w:val="14"/>
                          <w:szCs w:val="14"/>
                          <w:lang w:val="en-US"/>
                        </w:rPr>
                        <w:t>1,167,304</w:t>
                      </w:r>
                    </w:p>
                  </w:txbxContent>
                </v:textbox>
              </v:rect>
              <v:rect id="_x0000_s3362" style="position:absolute;left:5672;top:6267;width:352;height:161" filled="f" stroked="f">
                <v:textbox style="mso-next-textbox:#_x0000_s3362" inset="0,0,0,0">
                  <w:txbxContent>
                    <w:p w:rsidR="008A5877" w:rsidRDefault="008A5877">
                      <w:r>
                        <w:rPr>
                          <w:rFonts w:ascii="Arial Narrow" w:hAnsi="Arial Narrow" w:cs="Arial Narrow"/>
                          <w:color w:val="000000"/>
                          <w:sz w:val="14"/>
                          <w:szCs w:val="14"/>
                          <w:lang w:val="en-US"/>
                        </w:rPr>
                        <w:t>12,089</w:t>
                      </w:r>
                    </w:p>
                  </w:txbxContent>
                </v:textbox>
              </v:rect>
              <v:rect id="_x0000_s3363" style="position:absolute;left:8731;top:6267;width:511;height:161" filled="f" stroked="f">
                <v:textbox style="mso-next-textbox:#_x0000_s3363" inset="0,0,0,0">
                  <w:txbxContent>
                    <w:p w:rsidR="008A5877" w:rsidRDefault="008A5877">
                      <w:r>
                        <w:rPr>
                          <w:rFonts w:ascii="Arial Narrow" w:hAnsi="Arial Narrow" w:cs="Arial Narrow"/>
                          <w:color w:val="000000"/>
                          <w:sz w:val="14"/>
                          <w:szCs w:val="14"/>
                          <w:lang w:val="en-US"/>
                        </w:rPr>
                        <w:t>1,179,394</w:t>
                      </w:r>
                    </w:p>
                  </w:txbxContent>
                </v:textbox>
              </v:rect>
              <v:rect id="_x0000_s3364" style="position:absolute;left:809;top:6469;width:1111;height:161" filled="f" stroked="f">
                <v:textbox style="mso-next-textbox:#_x0000_s3364" inset="0,0,0,0">
                  <w:txbxContent>
                    <w:p w:rsidR="008A5877" w:rsidRDefault="008A5877">
                      <w:r>
                        <w:rPr>
                          <w:rFonts w:ascii="Arial Narrow" w:hAnsi="Arial Narrow" w:cs="Arial Narrow"/>
                          <w:color w:val="000000"/>
                          <w:sz w:val="14"/>
                          <w:szCs w:val="14"/>
                          <w:lang w:val="en-US"/>
                        </w:rPr>
                        <w:t>6. Educación superior</w:t>
                      </w:r>
                    </w:p>
                  </w:txbxContent>
                </v:textbox>
              </v:rect>
              <v:rect id="_x0000_s3365" style="position:absolute;left:3918;top:6469;width:575;height:161" filled="f" stroked="f">
                <v:textbox style="mso-next-textbox:#_x0000_s3365" inset="0,0,0,0">
                  <w:txbxContent>
                    <w:p w:rsidR="008A5877" w:rsidRDefault="008A5877">
                      <w:r>
                        <w:rPr>
                          <w:rFonts w:ascii="Arial Narrow" w:hAnsi="Arial Narrow" w:cs="Arial Narrow"/>
                          <w:color w:val="000000"/>
                          <w:sz w:val="14"/>
                          <w:szCs w:val="14"/>
                          <w:lang w:val="en-US"/>
                        </w:rPr>
                        <w:t>28,290,745</w:t>
                      </w:r>
                    </w:p>
                  </w:txbxContent>
                </v:textbox>
              </v:rect>
              <v:rect id="_x0000_s3366" style="position:absolute;left:6338;top:6469;width:575;height:161" filled="f" stroked="f">
                <v:textbox style="mso-next-textbox:#_x0000_s3366" inset="0,0,0,0">
                  <w:txbxContent>
                    <w:p w:rsidR="008A5877" w:rsidRDefault="008A5877">
                      <w:r>
                        <w:rPr>
                          <w:rFonts w:ascii="Arial Narrow" w:hAnsi="Arial Narrow" w:cs="Arial Narrow"/>
                          <w:color w:val="000000"/>
                          <w:sz w:val="14"/>
                          <w:szCs w:val="14"/>
                          <w:lang w:val="en-US"/>
                        </w:rPr>
                        <w:t>28,290,745</w:t>
                      </w:r>
                    </w:p>
                  </w:txbxContent>
                </v:textbox>
              </v:rect>
              <v:rect id="_x0000_s3367" style="position:absolute;left:7195;top:6469;width:416;height:161" filled="f" stroked="f">
                <v:textbox style="mso-next-textbox:#_x0000_s3367" inset="0,0,0,0">
                  <w:txbxContent>
                    <w:p w:rsidR="008A5877" w:rsidRDefault="008A5877">
                      <w:r>
                        <w:rPr>
                          <w:rFonts w:ascii="Arial Narrow" w:hAnsi="Arial Narrow" w:cs="Arial Narrow"/>
                          <w:color w:val="000000"/>
                          <w:sz w:val="14"/>
                          <w:szCs w:val="14"/>
                          <w:lang w:val="en-US"/>
                        </w:rPr>
                        <w:t>595,000</w:t>
                      </w:r>
                    </w:p>
                  </w:txbxContent>
                </v:textbox>
              </v:rect>
              <v:rect id="_x0000_s3368" style="position:absolute;left:8700;top:6469;width:575;height:161" filled="f" stroked="f">
                <v:textbox style="mso-next-textbox:#_x0000_s3368" inset="0,0,0,0">
                  <w:txbxContent>
                    <w:p w:rsidR="008A5877" w:rsidRDefault="008A5877">
                      <w:r>
                        <w:rPr>
                          <w:rFonts w:ascii="Arial Narrow" w:hAnsi="Arial Narrow" w:cs="Arial Narrow"/>
                          <w:color w:val="000000"/>
                          <w:sz w:val="14"/>
                          <w:szCs w:val="14"/>
                          <w:lang w:val="en-US"/>
                        </w:rPr>
                        <w:t>28,885,745</w:t>
                      </w:r>
                    </w:p>
                  </w:txbxContent>
                </v:textbox>
              </v:rect>
              <v:rect id="_x0000_s3369" style="position:absolute;left:809;top:6670;width:1819;height:161" filled="f" stroked="f">
                <v:textbox style="mso-next-textbox:#_x0000_s3369" inset="0,0,0,0">
                  <w:txbxContent>
                    <w:p w:rsidR="008A5877" w:rsidRDefault="008A5877">
                      <w:r>
                        <w:rPr>
                          <w:rFonts w:ascii="Arial Narrow" w:hAnsi="Arial Narrow" w:cs="Arial Narrow"/>
                          <w:color w:val="000000"/>
                          <w:sz w:val="14"/>
                          <w:szCs w:val="14"/>
                          <w:lang w:val="en-US"/>
                        </w:rPr>
                        <w:t>7. Otros (subvenciones y subsidios)</w:t>
                      </w:r>
                    </w:p>
                  </w:txbxContent>
                </v:textbox>
              </v:rect>
              <v:rect id="_x0000_s3370" style="position:absolute;left:3949;top:6670;width:511;height:161" filled="f" stroked="f">
                <v:textbox style="mso-next-textbox:#_x0000_s3370" inset="0,0,0,0">
                  <w:txbxContent>
                    <w:p w:rsidR="008A5877" w:rsidRDefault="008A5877">
                      <w:r>
                        <w:rPr>
                          <w:rFonts w:ascii="Arial Narrow" w:hAnsi="Arial Narrow" w:cs="Arial Narrow"/>
                          <w:color w:val="000000"/>
                          <w:sz w:val="14"/>
                          <w:szCs w:val="14"/>
                          <w:lang w:val="en-US"/>
                        </w:rPr>
                        <w:t>9,303,069</w:t>
                      </w:r>
                    </w:p>
                  </w:txbxContent>
                </v:textbox>
              </v:rect>
              <v:rect id="_x0000_s3371" style="position:absolute;left:6370;top:6670;width:511;height:161" filled="f" stroked="f">
                <v:textbox style="mso-next-textbox:#_x0000_s3371" inset="0,0,0,0">
                  <w:txbxContent>
                    <w:p w:rsidR="008A5877" w:rsidRDefault="008A5877">
                      <w:r>
                        <w:rPr>
                          <w:rFonts w:ascii="Arial Narrow" w:hAnsi="Arial Narrow" w:cs="Arial Narrow"/>
                          <w:color w:val="000000"/>
                          <w:sz w:val="14"/>
                          <w:szCs w:val="14"/>
                          <w:lang w:val="en-US"/>
                        </w:rPr>
                        <w:t>9,303,069</w:t>
                      </w:r>
                    </w:p>
                  </w:txbxContent>
                </v:textbox>
              </v:rect>
              <v:rect id="_x0000_s3372" style="position:absolute;left:7195;top:6670;width:416;height:161" filled="f" stroked="f">
                <v:textbox style="mso-next-textbox:#_x0000_s3372" inset="0,0,0,0">
                  <w:txbxContent>
                    <w:p w:rsidR="008A5877" w:rsidRDefault="008A5877">
                      <w:r>
                        <w:rPr>
                          <w:rFonts w:ascii="Arial Narrow" w:hAnsi="Arial Narrow" w:cs="Arial Narrow"/>
                          <w:color w:val="000000"/>
                          <w:sz w:val="14"/>
                          <w:szCs w:val="14"/>
                          <w:lang w:val="en-US"/>
                        </w:rPr>
                        <w:t>100,000</w:t>
                      </w:r>
                    </w:p>
                  </w:txbxContent>
                </v:textbox>
              </v:rect>
              <v:rect id="_x0000_s3373" style="position:absolute;left:8731;top:6670;width:511;height:161" filled="f" stroked="f">
                <v:textbox style="mso-next-textbox:#_x0000_s3373" inset="0,0,0,0">
                  <w:txbxContent>
                    <w:p w:rsidR="008A5877" w:rsidRDefault="008A5877">
                      <w:r>
                        <w:rPr>
                          <w:rFonts w:ascii="Arial Narrow" w:hAnsi="Arial Narrow" w:cs="Arial Narrow"/>
                          <w:color w:val="000000"/>
                          <w:sz w:val="14"/>
                          <w:szCs w:val="14"/>
                          <w:lang w:val="en-US"/>
                        </w:rPr>
                        <w:t>9,403,069</w:t>
                      </w:r>
                    </w:p>
                  </w:txbxContent>
                </v:textbox>
              </v:rect>
              <v:rect id="_x0000_s3374" style="position:absolute;left:809;top:6872;width:683;height:161" filled="f" stroked="f">
                <v:textbox style="mso-next-textbox:#_x0000_s3374" inset="0,0,0,0">
                  <w:txbxContent>
                    <w:p w:rsidR="008A5877" w:rsidRDefault="008A5877">
                      <w:r>
                        <w:rPr>
                          <w:rFonts w:ascii="Arial Narrow" w:hAnsi="Arial Narrow" w:cs="Arial Narrow"/>
                          <w:color w:val="000000"/>
                          <w:sz w:val="14"/>
                          <w:szCs w:val="14"/>
                          <w:lang w:val="en-US"/>
                        </w:rPr>
                        <w:t>8. Concultura</w:t>
                      </w:r>
                    </w:p>
                  </w:txbxContent>
                </v:textbox>
              </v:rect>
              <v:rect id="_x0000_s3375" style="position:absolute;left:3918;top:6872;width:575;height:161" filled="f" stroked="f">
                <v:textbox style="mso-next-textbox:#_x0000_s3375" inset="0,0,0,0">
                  <w:txbxContent>
                    <w:p w:rsidR="008A5877" w:rsidRDefault="008A5877">
                      <w:r>
                        <w:rPr>
                          <w:rFonts w:ascii="Arial Narrow" w:hAnsi="Arial Narrow" w:cs="Arial Narrow"/>
                          <w:color w:val="000000"/>
                          <w:sz w:val="14"/>
                          <w:szCs w:val="14"/>
                          <w:lang w:val="en-US"/>
                        </w:rPr>
                        <w:t>11,078,464</w:t>
                      </w:r>
                    </w:p>
                  </w:txbxContent>
                </v:textbox>
              </v:rect>
              <v:rect id="_x0000_s3376" style="position:absolute;left:4786;top:6872;width:511;height:161" filled="f" stroked="f">
                <v:textbox style="mso-next-textbox:#_x0000_s3376" inset="0,0,0,0">
                  <w:txbxContent>
                    <w:p w:rsidR="008A5877" w:rsidRDefault="008A5877">
                      <w:r>
                        <w:rPr>
                          <w:rFonts w:ascii="Arial Narrow" w:hAnsi="Arial Narrow" w:cs="Arial Narrow"/>
                          <w:color w:val="000000"/>
                          <w:sz w:val="14"/>
                          <w:szCs w:val="14"/>
                          <w:lang w:val="en-US"/>
                        </w:rPr>
                        <w:t>6,919,636</w:t>
                      </w:r>
                    </w:p>
                  </w:txbxContent>
                </v:textbox>
              </v:rect>
              <v:rect id="_x0000_s3377" style="position:absolute;left:5593;top:6872;width:511;height:161" filled="f" stroked="f">
                <v:textbox style="mso-next-textbox:#_x0000_s3377" inset="0,0,0,0">
                  <w:txbxContent>
                    <w:p w:rsidR="008A5877" w:rsidRDefault="008A5877">
                      <w:r>
                        <w:rPr>
                          <w:rFonts w:ascii="Arial Narrow" w:hAnsi="Arial Narrow" w:cs="Arial Narrow"/>
                          <w:color w:val="000000"/>
                          <w:sz w:val="14"/>
                          <w:szCs w:val="14"/>
                          <w:lang w:val="en-US"/>
                        </w:rPr>
                        <w:t>3,069,238</w:t>
                      </w:r>
                    </w:p>
                  </w:txbxContent>
                </v:textbox>
              </v:rect>
              <v:rect id="_x0000_s3378" style="position:absolute;left:6370;top:6872;width:511;height:161" filled="f" stroked="f">
                <v:textbox style="mso-next-textbox:#_x0000_s3378" inset="0,0,0,0">
                  <w:txbxContent>
                    <w:p w:rsidR="008A5877" w:rsidRDefault="008A5877">
                      <w:r>
                        <w:rPr>
                          <w:rFonts w:ascii="Arial Narrow" w:hAnsi="Arial Narrow" w:cs="Arial Narrow"/>
                          <w:color w:val="000000"/>
                          <w:sz w:val="14"/>
                          <w:szCs w:val="14"/>
                          <w:lang w:val="en-US"/>
                        </w:rPr>
                        <w:t>1,089,590</w:t>
                      </w:r>
                    </w:p>
                  </w:txbxContent>
                </v:textbox>
              </v:rect>
              <v:rect id="_x0000_s3379" style="position:absolute;left:7195;top:6872;width:416;height:161" filled="f" stroked="f">
                <v:textbox style="mso-next-textbox:#_x0000_s3379" inset="0,0,0,0">
                  <w:txbxContent>
                    <w:p w:rsidR="008A5877" w:rsidRDefault="008A5877">
                      <w:r>
                        <w:rPr>
                          <w:rFonts w:ascii="Arial Narrow" w:hAnsi="Arial Narrow" w:cs="Arial Narrow"/>
                          <w:color w:val="000000"/>
                          <w:sz w:val="14"/>
                          <w:szCs w:val="14"/>
                          <w:lang w:val="en-US"/>
                        </w:rPr>
                        <w:t>520,530</w:t>
                      </w:r>
                    </w:p>
                  </w:txbxContent>
                </v:textbox>
              </v:rect>
            </v:group>
            <v:group id="_x0000_s3581" style="position:absolute;width:9420;height:11904" coordsize="9420,11904">
              <v:rect id="_x0000_s3381" style="position:absolute;left:8700;top:6872;width:575;height:161" filled="f" stroked="f">
                <v:textbox style="mso-next-textbox:#_x0000_s3381" inset="0,0,0,0">
                  <w:txbxContent>
                    <w:p w:rsidR="008A5877" w:rsidRDefault="008A5877">
                      <w:r>
                        <w:rPr>
                          <w:rFonts w:ascii="Arial Narrow" w:hAnsi="Arial Narrow" w:cs="Arial Narrow"/>
                          <w:color w:val="000000"/>
                          <w:sz w:val="14"/>
                          <w:szCs w:val="14"/>
                          <w:lang w:val="en-US"/>
                        </w:rPr>
                        <w:t>11,598,995</w:t>
                      </w:r>
                    </w:p>
                  </w:txbxContent>
                </v:textbox>
              </v:rect>
              <v:rect id="_x0000_s3382" style="position:absolute;left:809;top:7073;width:1200;height:161" filled="f" stroked="f">
                <v:textbox style="mso-next-textbox:#_x0000_s3382" inset="0,0,0,0">
                  <w:txbxContent>
                    <w:p w:rsidR="008A5877" w:rsidRDefault="008A5877">
                      <w:r>
                        <w:rPr>
                          <w:rFonts w:ascii="Arial Narrow" w:hAnsi="Arial Narrow" w:cs="Arial Narrow"/>
                          <w:color w:val="000000"/>
                          <w:sz w:val="14"/>
                          <w:szCs w:val="14"/>
                          <w:lang w:val="en-US"/>
                        </w:rPr>
                        <w:t>9. Bienestar Magisterial</w:t>
                      </w:r>
                    </w:p>
                  </w:txbxContent>
                </v:textbox>
              </v:rect>
              <v:rect id="_x0000_s3383" style="position:absolute;left:3997;top:7073;width:416;height:161" filled="f" stroked="f">
                <v:textbox style="mso-next-textbox:#_x0000_s3383" inset="0,0,0,0">
                  <w:txbxContent>
                    <w:p w:rsidR="008A5877" w:rsidRDefault="008A5877">
                      <w:r>
                        <w:rPr>
                          <w:rFonts w:ascii="Arial Narrow" w:hAnsi="Arial Narrow" w:cs="Arial Narrow"/>
                          <w:color w:val="000000"/>
                          <w:sz w:val="14"/>
                          <w:szCs w:val="14"/>
                          <w:lang w:val="en-US"/>
                        </w:rPr>
                        <w:t>567,406</w:t>
                      </w:r>
                    </w:p>
                  </w:txbxContent>
                </v:textbox>
              </v:rect>
              <v:rect id="_x0000_s3384" style="position:absolute;left:4834;top:7073;width:416;height:161" filled="f" stroked="f">
                <v:textbox style="mso-next-textbox:#_x0000_s3384" inset="0,0,0,0">
                  <w:txbxContent>
                    <w:p w:rsidR="008A5877" w:rsidRDefault="008A5877">
                      <w:r>
                        <w:rPr>
                          <w:rFonts w:ascii="Arial Narrow" w:hAnsi="Arial Narrow" w:cs="Arial Narrow"/>
                          <w:color w:val="000000"/>
                          <w:sz w:val="14"/>
                          <w:szCs w:val="14"/>
                          <w:lang w:val="en-US"/>
                        </w:rPr>
                        <w:t>264,265</w:t>
                      </w:r>
                    </w:p>
                  </w:txbxContent>
                </v:textbox>
              </v:rect>
              <v:rect id="_x0000_s3385" style="position:absolute;left:5641;top:7073;width:416;height:161" filled="f" stroked="f">
                <v:textbox style="mso-next-textbox:#_x0000_s3385" inset="0,0,0,0">
                  <w:txbxContent>
                    <w:p w:rsidR="008A5877" w:rsidRDefault="008A5877">
                      <w:r>
                        <w:rPr>
                          <w:rFonts w:ascii="Arial Narrow" w:hAnsi="Arial Narrow" w:cs="Arial Narrow"/>
                          <w:color w:val="000000"/>
                          <w:sz w:val="14"/>
                          <w:szCs w:val="14"/>
                          <w:lang w:val="en-US"/>
                        </w:rPr>
                        <w:t>223,933</w:t>
                      </w:r>
                    </w:p>
                  </w:txbxContent>
                </v:textbox>
              </v:rect>
              <v:rect id="_x0000_s3386" style="position:absolute;left:6449;top:7073;width:352;height:161" filled="f" stroked="f">
                <v:textbox style="mso-next-textbox:#_x0000_s3386" inset="0,0,0,0">
                  <w:txbxContent>
                    <w:p w:rsidR="008A5877" w:rsidRDefault="008A5877">
                      <w:r>
                        <w:rPr>
                          <w:rFonts w:ascii="Arial Narrow" w:hAnsi="Arial Narrow" w:cs="Arial Narrow"/>
                          <w:color w:val="000000"/>
                          <w:sz w:val="14"/>
                          <w:szCs w:val="14"/>
                          <w:lang w:val="en-US"/>
                        </w:rPr>
                        <w:t>79,208</w:t>
                      </w:r>
                    </w:p>
                  </w:txbxContent>
                </v:textbox>
              </v:rect>
              <v:rect id="_x0000_s3387" style="position:absolute;left:7227;top:7073;width:352;height:161" filled="f" stroked="f">
                <v:textbox style="mso-next-textbox:#_x0000_s3387" inset="0,0,0,0">
                  <w:txbxContent>
                    <w:p w:rsidR="008A5877" w:rsidRDefault="008A5877">
                      <w:r>
                        <w:rPr>
                          <w:rFonts w:ascii="Arial Narrow" w:hAnsi="Arial Narrow" w:cs="Arial Narrow"/>
                          <w:color w:val="000000"/>
                          <w:sz w:val="14"/>
                          <w:szCs w:val="14"/>
                          <w:lang w:val="en-US"/>
                        </w:rPr>
                        <w:t>20,529</w:t>
                      </w:r>
                    </w:p>
                  </w:txbxContent>
                </v:textbox>
              </v:rect>
              <v:rect id="_x0000_s3388" style="position:absolute;left:8779;top:7073;width:416;height:161" filled="f" stroked="f">
                <v:textbox style="mso-next-textbox:#_x0000_s3388" inset="0,0,0,0">
                  <w:txbxContent>
                    <w:p w:rsidR="008A5877" w:rsidRDefault="008A5877">
                      <w:r>
                        <w:rPr>
                          <w:rFonts w:ascii="Arial Narrow" w:hAnsi="Arial Narrow" w:cs="Arial Narrow"/>
                          <w:color w:val="000000"/>
                          <w:sz w:val="14"/>
                          <w:szCs w:val="14"/>
                          <w:lang w:val="en-US"/>
                        </w:rPr>
                        <w:t>587,936</w:t>
                      </w:r>
                    </w:p>
                  </w:txbxContent>
                </v:textbox>
              </v:rect>
              <v:rect id="_x0000_s3389" style="position:absolute;top:7275;width:817;height:161" filled="f" stroked="f">
                <v:textbox style="mso-next-textbox:#_x0000_s3389" inset="0,0,0,0">
                  <w:txbxContent>
                    <w:p w:rsidR="008A5877" w:rsidRDefault="008A5877">
                      <w:r>
                        <w:rPr>
                          <w:rFonts w:ascii="Arial Narrow" w:hAnsi="Arial Narrow" w:cs="Arial Narrow"/>
                          <w:b/>
                          <w:bCs/>
                          <w:sz w:val="14"/>
                          <w:szCs w:val="14"/>
                          <w:lang w:val="en-US"/>
                        </w:rPr>
                        <w:t>Total Año 2003</w:t>
                      </w:r>
                    </w:p>
                  </w:txbxContent>
                </v:textbox>
              </v:rect>
              <v:rect id="_x0000_s3390" style="position:absolute;left:3887;top:7275;width:639;height:161" filled="f" stroked="f">
                <v:textbox style="mso-next-textbox:#_x0000_s3390" inset="0,0,0,0">
                  <w:txbxContent>
                    <w:p w:rsidR="008A5877" w:rsidRDefault="008A5877">
                      <w:r>
                        <w:rPr>
                          <w:rFonts w:ascii="Arial Narrow" w:hAnsi="Arial Narrow" w:cs="Arial Narrow"/>
                          <w:b/>
                          <w:bCs/>
                          <w:sz w:val="14"/>
                          <w:szCs w:val="14"/>
                          <w:lang w:val="en-US"/>
                        </w:rPr>
                        <w:t>391,669,632</w:t>
                      </w:r>
                    </w:p>
                  </w:txbxContent>
                </v:textbox>
              </v:rect>
              <v:rect id="_x0000_s3391" style="position:absolute;left:4723;top:7275;width:639;height:161" filled="f" stroked="f">
                <v:textbox style="mso-next-textbox:#_x0000_s3391" inset="0,0,0,0">
                  <w:txbxContent>
                    <w:p w:rsidR="008A5877" w:rsidRDefault="008A5877">
                      <w:r>
                        <w:rPr>
                          <w:rFonts w:ascii="Arial Narrow" w:hAnsi="Arial Narrow" w:cs="Arial Narrow"/>
                          <w:b/>
                          <w:bCs/>
                          <w:sz w:val="14"/>
                          <w:szCs w:val="14"/>
                          <w:lang w:val="en-US"/>
                        </w:rPr>
                        <w:t>328,065,000</w:t>
                      </w:r>
                    </w:p>
                  </w:txbxContent>
                </v:textbox>
              </v:rect>
              <v:rect id="_x0000_s3392" style="position:absolute;left:5561;top:7275;width:575;height:161" filled="f" stroked="f">
                <v:textbox style="mso-next-textbox:#_x0000_s3392" inset="0,0,0,0">
                  <w:txbxContent>
                    <w:p w:rsidR="008A5877" w:rsidRDefault="008A5877">
                      <w:r>
                        <w:rPr>
                          <w:rFonts w:ascii="Arial Narrow" w:hAnsi="Arial Narrow" w:cs="Arial Narrow"/>
                          <w:b/>
                          <w:bCs/>
                          <w:sz w:val="14"/>
                          <w:szCs w:val="14"/>
                          <w:lang w:val="en-US"/>
                        </w:rPr>
                        <w:t>14,638,961</w:t>
                      </w:r>
                    </w:p>
                  </w:txbxContent>
                </v:textbox>
              </v:rect>
              <v:rect id="_x0000_s3393" style="position:absolute;left:6338;top:7275;width:575;height:161" filled="f" stroked="f">
                <v:textbox style="mso-next-textbox:#_x0000_s3393" inset="0,0,0,0">
                  <w:txbxContent>
                    <w:p w:rsidR="008A5877" w:rsidRDefault="008A5877">
                      <w:r>
                        <w:rPr>
                          <w:rFonts w:ascii="Arial Narrow" w:hAnsi="Arial Narrow" w:cs="Arial Narrow"/>
                          <w:b/>
                          <w:bCs/>
                          <w:sz w:val="14"/>
                          <w:szCs w:val="14"/>
                          <w:lang w:val="en-US"/>
                        </w:rPr>
                        <w:t>48,965,670</w:t>
                      </w:r>
                    </w:p>
                  </w:txbxContent>
                </v:textbox>
              </v:rect>
              <v:rect id="_x0000_s3394" style="position:absolute;left:7147;top:7275;width:511;height:161" filled="f" stroked="f">
                <v:textbox style="mso-next-textbox:#_x0000_s3394" inset="0,0,0,0">
                  <w:txbxContent>
                    <w:p w:rsidR="008A5877" w:rsidRDefault="008A5877">
                      <w:r>
                        <w:rPr>
                          <w:rFonts w:ascii="Arial Narrow" w:hAnsi="Arial Narrow" w:cs="Arial Narrow"/>
                          <w:b/>
                          <w:bCs/>
                          <w:sz w:val="14"/>
                          <w:szCs w:val="14"/>
                          <w:lang w:val="en-US"/>
                        </w:rPr>
                        <w:t>2,381,435</w:t>
                      </w:r>
                    </w:p>
                  </w:txbxContent>
                </v:textbox>
              </v:rect>
              <v:rect id="_x0000_s3395" style="position:absolute;left:7893;top:7275;width:575;height:161" filled="f" stroked="f">
                <v:textbox style="mso-next-textbox:#_x0000_s3395" inset="0,0,0,0">
                  <w:txbxContent>
                    <w:p w:rsidR="008A5877" w:rsidRDefault="008A5877">
                      <w:r>
                        <w:rPr>
                          <w:rFonts w:ascii="Arial Narrow" w:hAnsi="Arial Narrow" w:cs="Arial Narrow"/>
                          <w:b/>
                          <w:bCs/>
                          <w:sz w:val="14"/>
                          <w:szCs w:val="14"/>
                          <w:lang w:val="en-US"/>
                        </w:rPr>
                        <w:t>72,252,338</w:t>
                      </w:r>
                    </w:p>
                  </w:txbxContent>
                </v:textbox>
              </v:rect>
              <v:rect id="_x0000_s3396" style="position:absolute;left:8669;top:7275;width:639;height:161" filled="f" stroked="f">
                <v:textbox style="mso-next-textbox:#_x0000_s3396" inset="0,0,0,0">
                  <w:txbxContent>
                    <w:p w:rsidR="008A5877" w:rsidRDefault="008A5877">
                      <w:r>
                        <w:rPr>
                          <w:rFonts w:ascii="Arial Narrow" w:hAnsi="Arial Narrow" w:cs="Arial Narrow"/>
                          <w:b/>
                          <w:bCs/>
                          <w:sz w:val="14"/>
                          <w:szCs w:val="14"/>
                          <w:lang w:val="en-US"/>
                        </w:rPr>
                        <w:t>466,303,405</w:t>
                      </w:r>
                    </w:p>
                  </w:txbxContent>
                </v:textbox>
              </v:rect>
              <v:rect id="_x0000_s3397" style="position:absolute;left:809;top:7480;width:2687;height:161" filled="f" stroked="f">
                <v:textbox style="mso-next-textbox:#_x0000_s3397" inset="0,0,0,0">
                  <w:txbxContent>
                    <w:p w:rsidR="008A5877" w:rsidRDefault="008A5877">
                      <w:r>
                        <w:rPr>
                          <w:rFonts w:ascii="Arial Narrow" w:hAnsi="Arial Narrow" w:cs="Arial Narrow"/>
                          <w:color w:val="000000"/>
                          <w:sz w:val="14"/>
                          <w:szCs w:val="14"/>
                          <w:lang w:val="es-ES_tradnl"/>
                        </w:rPr>
                        <w:t xml:space="preserve">1. Educación general (Dirección y Administración del </w:t>
                      </w:r>
                    </w:p>
                  </w:txbxContent>
                </v:textbox>
              </v:rect>
              <v:rect id="_x0000_s3398" style="position:absolute;left:809;top:7659;width:409;height:161" filled="f" stroked="f">
                <v:textbox style="mso-next-textbox:#_x0000_s3398" inset="0,0,0,0">
                  <w:txbxContent>
                    <w:p w:rsidR="008A5877" w:rsidRDefault="008A5877">
                      <w:r>
                        <w:rPr>
                          <w:rFonts w:ascii="Arial Narrow" w:hAnsi="Arial Narrow" w:cs="Arial Narrow"/>
                          <w:color w:val="000000"/>
                          <w:sz w:val="14"/>
                          <w:szCs w:val="14"/>
                          <w:lang w:val="en-US"/>
                        </w:rPr>
                        <w:t>MINED)</w:t>
                      </w:r>
                    </w:p>
                  </w:txbxContent>
                </v:textbox>
              </v:rect>
              <v:rect id="_x0000_s3399" style="position:absolute;left:3918;top:7678;width:575;height:161" filled="f" stroked="f">
                <v:textbox style="mso-next-textbox:#_x0000_s3399" inset="0,0,0,0">
                  <w:txbxContent>
                    <w:p w:rsidR="008A5877" w:rsidRDefault="008A5877">
                      <w:r>
                        <w:rPr>
                          <w:rFonts w:ascii="Arial Narrow" w:hAnsi="Arial Narrow" w:cs="Arial Narrow"/>
                          <w:color w:val="000000"/>
                          <w:sz w:val="14"/>
                          <w:szCs w:val="14"/>
                          <w:lang w:val="en-US"/>
                        </w:rPr>
                        <w:t>25,920,039</w:t>
                      </w:r>
                    </w:p>
                  </w:txbxContent>
                </v:textbox>
              </v:rect>
              <v:rect id="_x0000_s3400" style="position:absolute;left:4754;top:7678;width:575;height:161" filled="f" stroked="f">
                <v:textbox style="mso-next-textbox:#_x0000_s3400" inset="0,0,0,0">
                  <w:txbxContent>
                    <w:p w:rsidR="008A5877" w:rsidRDefault="008A5877">
                      <w:r>
                        <w:rPr>
                          <w:rFonts w:ascii="Arial Narrow" w:hAnsi="Arial Narrow" w:cs="Arial Narrow"/>
                          <w:color w:val="000000"/>
                          <w:sz w:val="14"/>
                          <w:szCs w:val="14"/>
                          <w:lang w:val="en-US"/>
                        </w:rPr>
                        <w:t>17,551,300</w:t>
                      </w:r>
                    </w:p>
                  </w:txbxContent>
                </v:textbox>
              </v:rect>
              <v:rect id="_x0000_s3401" style="position:absolute;left:5593;top:7678;width:511;height:161" filled="f" stroked="f">
                <v:textbox style="mso-next-textbox:#_x0000_s3401" inset="0,0,0,0">
                  <w:txbxContent>
                    <w:p w:rsidR="008A5877" w:rsidRDefault="008A5877">
                      <w:r>
                        <w:rPr>
                          <w:rFonts w:ascii="Arial Narrow" w:hAnsi="Arial Narrow" w:cs="Arial Narrow"/>
                          <w:color w:val="000000"/>
                          <w:sz w:val="14"/>
                          <w:szCs w:val="14"/>
                          <w:lang w:val="en-US"/>
                        </w:rPr>
                        <w:t>8,335,829</w:t>
                      </w:r>
                    </w:p>
                  </w:txbxContent>
                </v:textbox>
              </v:rect>
              <v:rect id="_x0000_s3402" style="position:absolute;left:6449;top:7678;width:352;height:161" filled="f" stroked="f">
                <v:textbox style="mso-next-textbox:#_x0000_s3402" inset="0,0,0,0">
                  <w:txbxContent>
                    <w:p w:rsidR="008A5877" w:rsidRDefault="008A5877">
                      <w:r>
                        <w:rPr>
                          <w:rFonts w:ascii="Arial Narrow" w:hAnsi="Arial Narrow" w:cs="Arial Narrow"/>
                          <w:color w:val="000000"/>
                          <w:sz w:val="14"/>
                          <w:szCs w:val="14"/>
                          <w:lang w:val="en-US"/>
                        </w:rPr>
                        <w:t>32,910</w:t>
                      </w:r>
                    </w:p>
                  </w:txbxContent>
                </v:textbox>
              </v:rect>
              <v:rect id="_x0000_s3403" style="position:absolute;left:7227;top:7678;width:352;height:161" filled="f" stroked="f">
                <v:textbox style="mso-next-textbox:#_x0000_s3403" inset="0,0,0,0">
                  <w:txbxContent>
                    <w:p w:rsidR="008A5877" w:rsidRDefault="008A5877">
                      <w:r>
                        <w:rPr>
                          <w:rFonts w:ascii="Arial Narrow" w:hAnsi="Arial Narrow" w:cs="Arial Narrow"/>
                          <w:color w:val="000000"/>
                          <w:sz w:val="14"/>
                          <w:szCs w:val="14"/>
                          <w:lang w:val="en-US"/>
                        </w:rPr>
                        <w:t>50,155</w:t>
                      </w:r>
                    </w:p>
                  </w:txbxContent>
                </v:textbox>
              </v:rect>
              <v:rect id="_x0000_s3404" style="position:absolute;left:8700;top:7678;width:575;height:161" filled="f" stroked="f">
                <v:textbox style="mso-next-textbox:#_x0000_s3404" inset="0,0,0,0">
                  <w:txbxContent>
                    <w:p w:rsidR="008A5877" w:rsidRDefault="008A5877">
                      <w:r>
                        <w:rPr>
                          <w:rFonts w:ascii="Arial Narrow" w:hAnsi="Arial Narrow" w:cs="Arial Narrow"/>
                          <w:color w:val="000000"/>
                          <w:sz w:val="14"/>
                          <w:szCs w:val="14"/>
                          <w:lang w:val="en-US"/>
                        </w:rPr>
                        <w:t>25,970,194</w:t>
                      </w:r>
                    </w:p>
                  </w:txbxContent>
                </v:textbox>
              </v:rect>
              <v:rect id="_x0000_s3405" style="position:absolute;left:809;top:7879;width:645;height:161" filled="f" stroked="f">
                <v:textbox style="mso-next-textbox:#_x0000_s3405" inset="0,0,0,0">
                  <w:txbxContent>
                    <w:p w:rsidR="008A5877" w:rsidRDefault="008A5877">
                      <w:r>
                        <w:rPr>
                          <w:rFonts w:ascii="Arial Narrow" w:hAnsi="Arial Narrow" w:cs="Arial Narrow"/>
                          <w:color w:val="000000"/>
                          <w:sz w:val="14"/>
                          <w:szCs w:val="14"/>
                          <w:lang w:val="en-US"/>
                        </w:rPr>
                        <w:t>2. Parvularia</w:t>
                      </w:r>
                    </w:p>
                  </w:txbxContent>
                </v:textbox>
              </v:rect>
              <v:rect id="_x0000_s3406" style="position:absolute;left:3918;top:7879;width:575;height:161" filled="f" stroked="f">
                <v:textbox style="mso-next-textbox:#_x0000_s3406" inset="0,0,0,0">
                  <w:txbxContent>
                    <w:p w:rsidR="008A5877" w:rsidRDefault="008A5877">
                      <w:r>
                        <w:rPr>
                          <w:rFonts w:ascii="Arial Narrow" w:hAnsi="Arial Narrow" w:cs="Arial Narrow"/>
                          <w:color w:val="000000"/>
                          <w:sz w:val="14"/>
                          <w:szCs w:val="14"/>
                          <w:lang w:val="en-US"/>
                        </w:rPr>
                        <w:t>35,665,918</w:t>
                      </w:r>
                    </w:p>
                  </w:txbxContent>
                </v:textbox>
              </v:rect>
              <v:rect id="_x0000_s3407" style="position:absolute;left:4754;top:7879;width:575;height:161" filled="f" stroked="f">
                <v:textbox style="mso-next-textbox:#_x0000_s3407" inset="0,0,0,0">
                  <w:txbxContent>
                    <w:p w:rsidR="008A5877" w:rsidRDefault="008A5877">
                      <w:r>
                        <w:rPr>
                          <w:rFonts w:ascii="Arial Narrow" w:hAnsi="Arial Narrow" w:cs="Arial Narrow"/>
                          <w:color w:val="000000"/>
                          <w:sz w:val="14"/>
                          <w:szCs w:val="14"/>
                          <w:lang w:val="en-US"/>
                        </w:rPr>
                        <w:t>34,036,513</w:t>
                      </w:r>
                    </w:p>
                  </w:txbxContent>
                </v:textbox>
              </v:rect>
              <v:rect id="_x0000_s3408" style="position:absolute;left:5641;top:7879;width:416;height:161" filled="f" stroked="f">
                <v:textbox style="mso-next-textbox:#_x0000_s3408" inset="0,0,0,0">
                  <w:txbxContent>
                    <w:p w:rsidR="008A5877" w:rsidRDefault="008A5877">
                      <w:r>
                        <w:rPr>
                          <w:rFonts w:ascii="Arial Narrow" w:hAnsi="Arial Narrow" w:cs="Arial Narrow"/>
                          <w:color w:val="000000"/>
                          <w:sz w:val="14"/>
                          <w:szCs w:val="14"/>
                          <w:lang w:val="en-US"/>
                        </w:rPr>
                        <w:t>443,086</w:t>
                      </w:r>
                    </w:p>
                  </w:txbxContent>
                </v:textbox>
              </v:rect>
              <v:rect id="_x0000_s3409" style="position:absolute;left:6370;top:7879;width:511;height:161" filled="f" stroked="f">
                <v:textbox style="mso-next-textbox:#_x0000_s3409" inset="0,0,0,0">
                  <w:txbxContent>
                    <w:p w:rsidR="008A5877" w:rsidRDefault="008A5877">
                      <w:r>
                        <w:rPr>
                          <w:rFonts w:ascii="Arial Narrow" w:hAnsi="Arial Narrow" w:cs="Arial Narrow"/>
                          <w:color w:val="000000"/>
                          <w:sz w:val="14"/>
                          <w:szCs w:val="14"/>
                          <w:lang w:val="en-US"/>
                        </w:rPr>
                        <w:t>1,186,319</w:t>
                      </w:r>
                    </w:p>
                  </w:txbxContent>
                </v:textbox>
              </v:rect>
              <v:rect id="_x0000_s3410" style="position:absolute;left:8700;top:7879;width:575;height:161" filled="f" stroked="f">
                <v:textbox style="mso-next-textbox:#_x0000_s3410" inset="0,0,0,0">
                  <w:txbxContent>
                    <w:p w:rsidR="008A5877" w:rsidRDefault="008A5877">
                      <w:r>
                        <w:rPr>
                          <w:rFonts w:ascii="Arial Narrow" w:hAnsi="Arial Narrow" w:cs="Arial Narrow"/>
                          <w:color w:val="000000"/>
                          <w:sz w:val="14"/>
                          <w:szCs w:val="14"/>
                          <w:lang w:val="en-US"/>
                        </w:rPr>
                        <w:t>35,665,918</w:t>
                      </w:r>
                    </w:p>
                  </w:txbxContent>
                </v:textbox>
              </v:rect>
              <v:rect id="_x0000_s3411" style="position:absolute;left:809;top:8081;width:473;height:161" filled="f" stroked="f">
                <v:textbox style="mso-next-textbox:#_x0000_s3411" inset="0,0,0,0">
                  <w:txbxContent>
                    <w:p w:rsidR="008A5877" w:rsidRDefault="008A5877">
                      <w:r>
                        <w:rPr>
                          <w:rFonts w:ascii="Arial Narrow" w:hAnsi="Arial Narrow" w:cs="Arial Narrow"/>
                          <w:color w:val="000000"/>
                          <w:sz w:val="14"/>
                          <w:szCs w:val="14"/>
                          <w:lang w:val="en-US"/>
                        </w:rPr>
                        <w:t>3. Básica</w:t>
                      </w:r>
                    </w:p>
                  </w:txbxContent>
                </v:textbox>
              </v:rect>
              <v:rect id="_x0000_s3412" style="position:absolute;left:3887;top:8081;width:639;height:161" filled="f" stroked="f">
                <v:textbox style="mso-next-textbox:#_x0000_s3412" inset="0,0,0,0">
                  <w:txbxContent>
                    <w:p w:rsidR="008A5877" w:rsidRDefault="008A5877">
                      <w:r>
                        <w:rPr>
                          <w:rFonts w:ascii="Arial Narrow" w:hAnsi="Arial Narrow" w:cs="Arial Narrow"/>
                          <w:color w:val="000000"/>
                          <w:sz w:val="14"/>
                          <w:szCs w:val="14"/>
                          <w:lang w:val="en-US"/>
                        </w:rPr>
                        <w:t>285,883,455</w:t>
                      </w:r>
                    </w:p>
                  </w:txbxContent>
                </v:textbox>
              </v:rect>
              <v:rect id="_x0000_s3413" style="position:absolute;left:4723;top:8081;width:639;height:161" filled="f" stroked="f">
                <v:textbox style="mso-next-textbox:#_x0000_s3413" inset="0,0,0,0">
                  <w:txbxContent>
                    <w:p w:rsidR="008A5877" w:rsidRDefault="008A5877">
                      <w:r>
                        <w:rPr>
                          <w:rFonts w:ascii="Arial Narrow" w:hAnsi="Arial Narrow" w:cs="Arial Narrow"/>
                          <w:color w:val="000000"/>
                          <w:sz w:val="14"/>
                          <w:szCs w:val="14"/>
                          <w:lang w:val="en-US"/>
                        </w:rPr>
                        <w:t>264,717,254</w:t>
                      </w:r>
                    </w:p>
                  </w:txbxContent>
                </v:textbox>
              </v:rect>
              <v:rect id="_x0000_s3414" style="position:absolute;left:5593;top:8081;width:511;height:161" filled="f" stroked="f">
                <v:textbox style="mso-next-textbox:#_x0000_s3414" inset="0,0,0,0">
                  <w:txbxContent>
                    <w:p w:rsidR="008A5877" w:rsidRDefault="008A5877">
                      <w:r>
                        <w:rPr>
                          <w:rFonts w:ascii="Arial Narrow" w:hAnsi="Arial Narrow" w:cs="Arial Narrow"/>
                          <w:color w:val="000000"/>
                          <w:sz w:val="14"/>
                          <w:szCs w:val="14"/>
                          <w:lang w:val="en-US"/>
                        </w:rPr>
                        <w:t>3,724,826</w:t>
                      </w:r>
                    </w:p>
                  </w:txbxContent>
                </v:textbox>
              </v:rect>
              <v:rect id="_x0000_s3415" style="position:absolute;left:6338;top:8081;width:575;height:161" filled="f" stroked="f">
                <v:textbox style="mso-next-textbox:#_x0000_s3415" inset="0,0,0,0">
                  <w:txbxContent>
                    <w:p w:rsidR="008A5877" w:rsidRDefault="008A5877">
                      <w:r>
                        <w:rPr>
                          <w:rFonts w:ascii="Arial Narrow" w:hAnsi="Arial Narrow" w:cs="Arial Narrow"/>
                          <w:color w:val="000000"/>
                          <w:sz w:val="14"/>
                          <w:szCs w:val="14"/>
                          <w:lang w:val="en-US"/>
                        </w:rPr>
                        <w:t>17,441,375</w:t>
                      </w:r>
                    </w:p>
                  </w:txbxContent>
                </v:textbox>
              </v:rect>
              <v:rect id="_x0000_s3416" style="position:absolute;left:7924;top:8081;width:511;height:161" filled="f" stroked="f">
                <v:textbox style="mso-next-textbox:#_x0000_s3416" inset="0,0,0,0">
                  <w:txbxContent>
                    <w:p w:rsidR="008A5877" w:rsidRDefault="008A5877">
                      <w:r>
                        <w:rPr>
                          <w:rFonts w:ascii="Arial Narrow" w:hAnsi="Arial Narrow" w:cs="Arial Narrow"/>
                          <w:color w:val="000000"/>
                          <w:sz w:val="14"/>
                          <w:szCs w:val="14"/>
                          <w:lang w:val="en-US"/>
                        </w:rPr>
                        <w:t>7,030,518</w:t>
                      </w:r>
                    </w:p>
                  </w:txbxContent>
                </v:textbox>
              </v:rect>
              <v:rect id="_x0000_s3417" style="position:absolute;left:8669;top:8081;width:639;height:161" filled="f" stroked="f">
                <v:textbox style="mso-next-textbox:#_x0000_s3417" inset="0,0,0,0">
                  <w:txbxContent>
                    <w:p w:rsidR="008A5877" w:rsidRDefault="008A5877">
                      <w:r>
                        <w:rPr>
                          <w:rFonts w:ascii="Arial Narrow" w:hAnsi="Arial Narrow" w:cs="Arial Narrow"/>
                          <w:color w:val="000000"/>
                          <w:sz w:val="14"/>
                          <w:szCs w:val="14"/>
                          <w:lang w:val="en-US"/>
                        </w:rPr>
                        <w:t>292,913,973</w:t>
                      </w:r>
                    </w:p>
                  </w:txbxContent>
                </v:textbox>
              </v:rect>
              <v:rect id="_x0000_s3418" style="position:absolute;left:809;top:8282;width:441;height:161" filled="f" stroked="f">
                <v:textbox style="mso-next-textbox:#_x0000_s3418" inset="0,0,0,0">
                  <w:txbxContent>
                    <w:p w:rsidR="008A5877" w:rsidRDefault="008A5877">
                      <w:r>
                        <w:rPr>
                          <w:rFonts w:ascii="Arial Narrow" w:hAnsi="Arial Narrow" w:cs="Arial Narrow"/>
                          <w:color w:val="000000"/>
                          <w:sz w:val="14"/>
                          <w:szCs w:val="14"/>
                          <w:lang w:val="en-US"/>
                        </w:rPr>
                        <w:t>4. Media</w:t>
                      </w:r>
                    </w:p>
                  </w:txbxContent>
                </v:textbox>
              </v:rect>
              <v:rect id="_x0000_s3419" style="position:absolute;left:3918;top:8282;width:575;height:161" filled="f" stroked="f">
                <v:textbox style="mso-next-textbox:#_x0000_s3419" inset="0,0,0,0">
                  <w:txbxContent>
                    <w:p w:rsidR="008A5877" w:rsidRDefault="008A5877">
                      <w:r>
                        <w:rPr>
                          <w:rFonts w:ascii="Arial Narrow" w:hAnsi="Arial Narrow" w:cs="Arial Narrow"/>
                          <w:color w:val="000000"/>
                          <w:sz w:val="14"/>
                          <w:szCs w:val="14"/>
                          <w:lang w:val="en-US"/>
                        </w:rPr>
                        <w:t>29,355,083</w:t>
                      </w:r>
                    </w:p>
                  </w:txbxContent>
                </v:textbox>
              </v:rect>
              <v:rect id="_x0000_s3420" style="position:absolute;left:4754;top:8282;width:575;height:161" filled="f" stroked="f">
                <v:textbox style="mso-next-textbox:#_x0000_s3420" inset="0,0,0,0">
                  <w:txbxContent>
                    <w:p w:rsidR="008A5877" w:rsidRDefault="008A5877">
                      <w:r>
                        <w:rPr>
                          <w:rFonts w:ascii="Arial Narrow" w:hAnsi="Arial Narrow" w:cs="Arial Narrow"/>
                          <w:color w:val="000000"/>
                          <w:sz w:val="14"/>
                          <w:szCs w:val="14"/>
                          <w:lang w:val="en-US"/>
                        </w:rPr>
                        <w:t>27,698,071</w:t>
                      </w:r>
                    </w:p>
                  </w:txbxContent>
                </v:textbox>
              </v:rect>
              <v:rect id="_x0000_s3421" style="position:absolute;left:5593;top:8282;width:511;height:161" filled="f" stroked="f">
                <v:textbox style="mso-next-textbox:#_x0000_s3421" inset="0,0,0,0">
                  <w:txbxContent>
                    <w:p w:rsidR="008A5877" w:rsidRDefault="008A5877">
                      <w:r>
                        <w:rPr>
                          <w:rFonts w:ascii="Arial Narrow" w:hAnsi="Arial Narrow" w:cs="Arial Narrow"/>
                          <w:color w:val="000000"/>
                          <w:sz w:val="14"/>
                          <w:szCs w:val="14"/>
                          <w:lang w:val="en-US"/>
                        </w:rPr>
                        <w:t>1,052,251</w:t>
                      </w:r>
                    </w:p>
                  </w:txbxContent>
                </v:textbox>
              </v:rect>
              <v:rect id="_x0000_s3422" style="position:absolute;left:6418;top:8282;width:416;height:161" filled="f" stroked="f">
                <v:textbox style="mso-next-textbox:#_x0000_s3422" inset="0,0,0,0">
                  <w:txbxContent>
                    <w:p w:rsidR="008A5877" w:rsidRDefault="008A5877">
                      <w:r>
                        <w:rPr>
                          <w:rFonts w:ascii="Arial Narrow" w:hAnsi="Arial Narrow" w:cs="Arial Narrow"/>
                          <w:color w:val="000000"/>
                          <w:sz w:val="14"/>
                          <w:szCs w:val="14"/>
                          <w:lang w:val="en-US"/>
                        </w:rPr>
                        <w:t>604,761</w:t>
                      </w:r>
                    </w:p>
                  </w:txbxContent>
                </v:textbox>
              </v:rect>
              <v:rect id="_x0000_s3423" style="position:absolute;left:7893;top:8282;width:575;height:161" filled="f" stroked="f">
                <v:textbox style="mso-next-textbox:#_x0000_s3423" inset="0,0,0,0">
                  <w:txbxContent>
                    <w:p w:rsidR="008A5877" w:rsidRDefault="008A5877">
                      <w:r>
                        <w:rPr>
                          <w:rFonts w:ascii="Arial Narrow" w:hAnsi="Arial Narrow" w:cs="Arial Narrow"/>
                          <w:color w:val="000000"/>
                          <w:sz w:val="14"/>
                          <w:szCs w:val="14"/>
                          <w:lang w:val="en-US"/>
                        </w:rPr>
                        <w:t>20,919,026</w:t>
                      </w:r>
                    </w:p>
                  </w:txbxContent>
                </v:textbox>
              </v:rect>
              <v:rect id="_x0000_s3424" style="position:absolute;left:8700;top:8282;width:575;height:161" filled="f" stroked="f">
                <v:textbox style="mso-next-textbox:#_x0000_s3424" inset="0,0,0,0">
                  <w:txbxContent>
                    <w:p w:rsidR="008A5877" w:rsidRDefault="008A5877">
                      <w:r>
                        <w:rPr>
                          <w:rFonts w:ascii="Arial Narrow" w:hAnsi="Arial Narrow" w:cs="Arial Narrow"/>
                          <w:color w:val="000000"/>
                          <w:sz w:val="14"/>
                          <w:szCs w:val="14"/>
                          <w:lang w:val="en-US"/>
                        </w:rPr>
                        <w:t>50,274,109</w:t>
                      </w:r>
                    </w:p>
                  </w:txbxContent>
                </v:textbox>
              </v:rect>
              <v:rect id="_x0000_s3425" style="position:absolute;left:809;top:8484;width:1226;height:161" filled="f" stroked="f">
                <v:textbox style="mso-next-textbox:#_x0000_s3425" inset="0,0,0,0">
                  <w:txbxContent>
                    <w:p w:rsidR="008A5877" w:rsidRDefault="008A5877">
                      <w:r>
                        <w:rPr>
                          <w:rFonts w:ascii="Arial Narrow" w:hAnsi="Arial Narrow" w:cs="Arial Narrow"/>
                          <w:color w:val="000000"/>
                          <w:sz w:val="14"/>
                          <w:szCs w:val="14"/>
                          <w:lang w:val="en-US"/>
                        </w:rPr>
                        <w:t>5. Educación de adultos</w:t>
                      </w:r>
                    </w:p>
                  </w:txbxContent>
                </v:textbox>
              </v:rect>
              <v:rect id="_x0000_s3426" style="position:absolute;left:3949;top:8484;width:511;height:161" filled="f" stroked="f">
                <v:textbox style="mso-next-textbox:#_x0000_s3426" inset="0,0,0,0">
                  <w:txbxContent>
                    <w:p w:rsidR="008A5877" w:rsidRDefault="008A5877">
                      <w:r>
                        <w:rPr>
                          <w:rFonts w:ascii="Arial Narrow" w:hAnsi="Arial Narrow" w:cs="Arial Narrow"/>
                          <w:color w:val="000000"/>
                          <w:sz w:val="14"/>
                          <w:szCs w:val="14"/>
                          <w:lang w:val="en-US"/>
                        </w:rPr>
                        <w:t>3,609,917</w:t>
                      </w:r>
                    </w:p>
                  </w:txbxContent>
                </v:textbox>
              </v:rect>
              <v:rect id="_x0000_s3427" style="position:absolute;left:4786;top:8484;width:511;height:161" filled="f" stroked="f">
                <v:textbox style="mso-next-textbox:#_x0000_s3427" inset="0,0,0,0">
                  <w:txbxContent>
                    <w:p w:rsidR="008A5877" w:rsidRDefault="008A5877">
                      <w:r>
                        <w:rPr>
                          <w:rFonts w:ascii="Arial Narrow" w:hAnsi="Arial Narrow" w:cs="Arial Narrow"/>
                          <w:color w:val="000000"/>
                          <w:sz w:val="14"/>
                          <w:szCs w:val="14"/>
                          <w:lang w:val="en-US"/>
                        </w:rPr>
                        <w:t>1,045,502</w:t>
                      </w:r>
                    </w:p>
                  </w:txbxContent>
                </v:textbox>
              </v:rect>
              <v:rect id="_x0000_s3428" style="position:absolute;left:5593;top:8484;width:511;height:161" filled="f" stroked="f">
                <v:textbox style="mso-next-textbox:#_x0000_s3428" inset="0,0,0,0">
                  <w:txbxContent>
                    <w:p w:rsidR="008A5877" w:rsidRDefault="008A5877">
                      <w:r>
                        <w:rPr>
                          <w:rFonts w:ascii="Arial Narrow" w:hAnsi="Arial Narrow" w:cs="Arial Narrow"/>
                          <w:color w:val="000000"/>
                          <w:sz w:val="14"/>
                          <w:szCs w:val="14"/>
                          <w:lang w:val="en-US"/>
                        </w:rPr>
                        <w:t>2,564,414</w:t>
                      </w:r>
                    </w:p>
                  </w:txbxContent>
                </v:textbox>
              </v:rect>
              <v:rect id="_x0000_s3429" style="position:absolute;left:8731;top:8484;width:511;height:161" filled="f" stroked="f">
                <v:textbox style="mso-next-textbox:#_x0000_s3429" inset="0,0,0,0">
                  <w:txbxContent>
                    <w:p w:rsidR="008A5877" w:rsidRDefault="008A5877">
                      <w:r>
                        <w:rPr>
                          <w:rFonts w:ascii="Arial Narrow" w:hAnsi="Arial Narrow" w:cs="Arial Narrow"/>
                          <w:color w:val="000000"/>
                          <w:sz w:val="14"/>
                          <w:szCs w:val="14"/>
                          <w:lang w:val="en-US"/>
                        </w:rPr>
                        <w:t>3,609,917</w:t>
                      </w:r>
                    </w:p>
                  </w:txbxContent>
                </v:textbox>
              </v:rect>
              <v:rect id="_x0000_s3430" style="position:absolute;left:809;top:8685;width:1111;height:161" filled="f" stroked="f">
                <v:textbox style="mso-next-textbox:#_x0000_s3430" inset="0,0,0,0">
                  <w:txbxContent>
                    <w:p w:rsidR="008A5877" w:rsidRDefault="008A5877">
                      <w:r>
                        <w:rPr>
                          <w:rFonts w:ascii="Arial Narrow" w:hAnsi="Arial Narrow" w:cs="Arial Narrow"/>
                          <w:color w:val="000000"/>
                          <w:sz w:val="14"/>
                          <w:szCs w:val="14"/>
                          <w:lang w:val="en-US"/>
                        </w:rPr>
                        <w:t>6. Educación superior</w:t>
                      </w:r>
                    </w:p>
                  </w:txbxContent>
                </v:textbox>
              </v:rect>
              <v:rect id="_x0000_s3431" style="position:absolute;left:3918;top:8685;width:575;height:161" filled="f" stroked="f">
                <v:textbox style="mso-next-textbox:#_x0000_s3431" inset="0,0,0,0">
                  <w:txbxContent>
                    <w:p w:rsidR="008A5877" w:rsidRDefault="008A5877">
                      <w:r>
                        <w:rPr>
                          <w:rFonts w:ascii="Arial Narrow" w:hAnsi="Arial Narrow" w:cs="Arial Narrow"/>
                          <w:color w:val="000000"/>
                          <w:sz w:val="14"/>
                          <w:szCs w:val="14"/>
                          <w:lang w:val="en-US"/>
                        </w:rPr>
                        <w:t>34,790,745</w:t>
                      </w:r>
                    </w:p>
                  </w:txbxContent>
                </v:textbox>
              </v:rect>
              <v:rect id="_x0000_s3432" style="position:absolute;left:6338;top:8685;width:575;height:161" filled="f" stroked="f">
                <v:textbox style="mso-next-textbox:#_x0000_s3432" inset="0,0,0,0">
                  <w:txbxContent>
                    <w:p w:rsidR="008A5877" w:rsidRDefault="008A5877">
                      <w:r>
                        <w:rPr>
                          <w:rFonts w:ascii="Arial Narrow" w:hAnsi="Arial Narrow" w:cs="Arial Narrow"/>
                          <w:color w:val="000000"/>
                          <w:sz w:val="14"/>
                          <w:szCs w:val="14"/>
                          <w:lang w:val="en-US"/>
                        </w:rPr>
                        <w:t>34,790,745</w:t>
                      </w:r>
                    </w:p>
                  </w:txbxContent>
                </v:textbox>
              </v:rect>
              <v:rect id="_x0000_s3433" style="position:absolute;left:7195;top:8685;width:416;height:161" filled="f" stroked="f">
                <v:textbox style="mso-next-textbox:#_x0000_s3433" inset="0,0,0,0">
                  <w:txbxContent>
                    <w:p w:rsidR="008A5877" w:rsidRDefault="008A5877">
                      <w:r>
                        <w:rPr>
                          <w:rFonts w:ascii="Arial Narrow" w:hAnsi="Arial Narrow" w:cs="Arial Narrow"/>
                          <w:color w:val="000000"/>
                          <w:sz w:val="14"/>
                          <w:szCs w:val="14"/>
                          <w:lang w:val="en-US"/>
                        </w:rPr>
                        <w:t>595,000</w:t>
                      </w:r>
                    </w:p>
                  </w:txbxContent>
                </v:textbox>
              </v:rect>
              <v:rect id="_x0000_s3434" style="position:absolute;left:8700;top:8685;width:575;height:161" filled="f" stroked="f">
                <v:textbox style="mso-next-textbox:#_x0000_s3434" inset="0,0,0,0">
                  <w:txbxContent>
                    <w:p w:rsidR="008A5877" w:rsidRDefault="008A5877">
                      <w:r>
                        <w:rPr>
                          <w:rFonts w:ascii="Arial Narrow" w:hAnsi="Arial Narrow" w:cs="Arial Narrow"/>
                          <w:color w:val="000000"/>
                          <w:sz w:val="14"/>
                          <w:szCs w:val="14"/>
                          <w:lang w:val="en-US"/>
                        </w:rPr>
                        <w:t>35,385,745</w:t>
                      </w:r>
                    </w:p>
                  </w:txbxContent>
                </v:textbox>
              </v:rect>
              <v:rect id="_x0000_s3435" style="position:absolute;left:809;top:8887;width:1819;height:161" filled="f" stroked="f">
                <v:textbox style="mso-next-textbox:#_x0000_s3435" inset="0,0,0,0">
                  <w:txbxContent>
                    <w:p w:rsidR="008A5877" w:rsidRDefault="008A5877">
                      <w:r>
                        <w:rPr>
                          <w:rFonts w:ascii="Arial Narrow" w:hAnsi="Arial Narrow" w:cs="Arial Narrow"/>
                          <w:color w:val="000000"/>
                          <w:sz w:val="14"/>
                          <w:szCs w:val="14"/>
                          <w:lang w:val="en-US"/>
                        </w:rPr>
                        <w:t>7. Otros (subvenciones y subsidios)</w:t>
                      </w:r>
                    </w:p>
                  </w:txbxContent>
                </v:textbox>
              </v:rect>
              <v:rect id="_x0000_s3436" style="position:absolute;left:3949;top:8887;width:511;height:161" filled="f" stroked="f">
                <v:textbox style="mso-next-textbox:#_x0000_s3436" inset="0,0,0,0">
                  <w:txbxContent>
                    <w:p w:rsidR="008A5877" w:rsidRDefault="008A5877">
                      <w:r>
                        <w:rPr>
                          <w:rFonts w:ascii="Arial Narrow" w:hAnsi="Arial Narrow" w:cs="Arial Narrow"/>
                          <w:color w:val="000000"/>
                          <w:sz w:val="14"/>
                          <w:szCs w:val="14"/>
                          <w:lang w:val="en-US"/>
                        </w:rPr>
                        <w:t>7,078,581</w:t>
                      </w:r>
                    </w:p>
                  </w:txbxContent>
                </v:textbox>
              </v:rect>
              <v:rect id="_x0000_s3437" style="position:absolute;left:6370;top:8887;width:511;height:161" filled="f" stroked="f">
                <v:textbox style="mso-next-textbox:#_x0000_s3437" inset="0,0,0,0">
                  <w:txbxContent>
                    <w:p w:rsidR="008A5877" w:rsidRDefault="008A5877">
                      <w:r>
                        <w:rPr>
                          <w:rFonts w:ascii="Arial Narrow" w:hAnsi="Arial Narrow" w:cs="Arial Narrow"/>
                          <w:color w:val="000000"/>
                          <w:sz w:val="14"/>
                          <w:szCs w:val="14"/>
                          <w:lang w:val="en-US"/>
                        </w:rPr>
                        <w:t>7,078,581</w:t>
                      </w:r>
                    </w:p>
                  </w:txbxContent>
                </v:textbox>
              </v:rect>
              <v:rect id="_x0000_s3438" style="position:absolute;left:8731;top:8887;width:511;height:161" filled="f" stroked="f">
                <v:textbox style="mso-next-textbox:#_x0000_s3438" inset="0,0,0,0">
                  <w:txbxContent>
                    <w:p w:rsidR="008A5877" w:rsidRDefault="008A5877">
                      <w:r>
                        <w:rPr>
                          <w:rFonts w:ascii="Arial Narrow" w:hAnsi="Arial Narrow" w:cs="Arial Narrow"/>
                          <w:color w:val="000000"/>
                          <w:sz w:val="14"/>
                          <w:szCs w:val="14"/>
                          <w:lang w:val="en-US"/>
                        </w:rPr>
                        <w:t>7,078,581</w:t>
                      </w:r>
                    </w:p>
                  </w:txbxContent>
                </v:textbox>
              </v:rect>
              <v:rect id="_x0000_s3439" style="position:absolute;left:809;top:9088;width:683;height:161" filled="f" stroked="f">
                <v:textbox style="mso-next-textbox:#_x0000_s3439" inset="0,0,0,0">
                  <w:txbxContent>
                    <w:p w:rsidR="008A5877" w:rsidRDefault="008A5877">
                      <w:r>
                        <w:rPr>
                          <w:rFonts w:ascii="Arial Narrow" w:hAnsi="Arial Narrow" w:cs="Arial Narrow"/>
                          <w:color w:val="000000"/>
                          <w:sz w:val="14"/>
                          <w:szCs w:val="14"/>
                          <w:lang w:val="en-US"/>
                        </w:rPr>
                        <w:t>8. Concultura</w:t>
                      </w:r>
                    </w:p>
                  </w:txbxContent>
                </v:textbox>
              </v:rect>
              <v:rect id="_x0000_s3440" style="position:absolute;left:3918;top:9088;width:575;height:161" filled="f" stroked="f">
                <v:textbox style="mso-next-textbox:#_x0000_s3440" inset="0,0,0,0">
                  <w:txbxContent>
                    <w:p w:rsidR="008A5877" w:rsidRDefault="008A5877">
                      <w:r>
                        <w:rPr>
                          <w:rFonts w:ascii="Arial Narrow" w:hAnsi="Arial Narrow" w:cs="Arial Narrow"/>
                          <w:color w:val="000000"/>
                          <w:sz w:val="14"/>
                          <w:szCs w:val="14"/>
                          <w:lang w:val="en-US"/>
                        </w:rPr>
                        <w:t>11,443,984</w:t>
                      </w:r>
                    </w:p>
                  </w:txbxContent>
                </v:textbox>
              </v:rect>
              <v:rect id="_x0000_s3441" style="position:absolute;left:4786;top:9088;width:511;height:161" filled="f" stroked="f">
                <v:textbox style="mso-next-textbox:#_x0000_s3441" inset="0,0,0,0">
                  <w:txbxContent>
                    <w:p w:rsidR="008A5877" w:rsidRDefault="008A5877">
                      <w:r>
                        <w:rPr>
                          <w:rFonts w:ascii="Arial Narrow" w:hAnsi="Arial Narrow" w:cs="Arial Narrow"/>
                          <w:color w:val="000000"/>
                          <w:sz w:val="14"/>
                          <w:szCs w:val="14"/>
                          <w:lang w:val="en-US"/>
                        </w:rPr>
                        <w:t>6,907,764</w:t>
                      </w:r>
                    </w:p>
                  </w:txbxContent>
                </v:textbox>
              </v:rect>
              <v:rect id="_x0000_s3442" style="position:absolute;left:5593;top:9088;width:511;height:161" filled="f" stroked="f">
                <v:textbox style="mso-next-textbox:#_x0000_s3442" inset="0,0,0,0">
                  <w:txbxContent>
                    <w:p w:rsidR="008A5877" w:rsidRDefault="008A5877">
                      <w:r>
                        <w:rPr>
                          <w:rFonts w:ascii="Arial Narrow" w:hAnsi="Arial Narrow" w:cs="Arial Narrow"/>
                          <w:color w:val="000000"/>
                          <w:sz w:val="14"/>
                          <w:szCs w:val="14"/>
                          <w:lang w:val="en-US"/>
                        </w:rPr>
                        <w:t>3,496,162</w:t>
                      </w:r>
                    </w:p>
                  </w:txbxContent>
                </v:textbox>
              </v:rect>
              <v:rect id="_x0000_s3443" style="position:absolute;left:6370;top:9088;width:511;height:161" filled="f" stroked="f">
                <v:textbox style="mso-next-textbox:#_x0000_s3443" inset="0,0,0,0">
                  <w:txbxContent>
                    <w:p w:rsidR="008A5877" w:rsidRDefault="008A5877">
                      <w:r>
                        <w:rPr>
                          <w:rFonts w:ascii="Arial Narrow" w:hAnsi="Arial Narrow" w:cs="Arial Narrow"/>
                          <w:color w:val="000000"/>
                          <w:sz w:val="14"/>
                          <w:szCs w:val="14"/>
                          <w:lang w:val="en-US"/>
                        </w:rPr>
                        <w:t>1,040,059</w:t>
                      </w:r>
                    </w:p>
                  </w:txbxContent>
                </v:textbox>
              </v:rect>
              <v:rect id="_x0000_s3444" style="position:absolute;left:7195;top:9088;width:416;height:161" filled="f" stroked="f">
                <v:textbox style="mso-next-textbox:#_x0000_s3444" inset="0,0,0,0">
                  <w:txbxContent>
                    <w:p w:rsidR="008A5877" w:rsidRDefault="008A5877">
                      <w:r>
                        <w:rPr>
                          <w:rFonts w:ascii="Arial Narrow" w:hAnsi="Arial Narrow" w:cs="Arial Narrow"/>
                          <w:color w:val="000000"/>
                          <w:sz w:val="14"/>
                          <w:szCs w:val="14"/>
                          <w:lang w:val="en-US"/>
                        </w:rPr>
                        <w:t>696,292</w:t>
                      </w:r>
                    </w:p>
                  </w:txbxContent>
                </v:textbox>
              </v:rect>
              <v:rect id="_x0000_s3445" style="position:absolute;left:8700;top:9088;width:575;height:161" filled="f" stroked="f">
                <v:textbox style="mso-next-textbox:#_x0000_s3445" inset="0,0,0,0">
                  <w:txbxContent>
                    <w:p w:rsidR="008A5877" w:rsidRDefault="008A5877">
                      <w:r>
                        <w:rPr>
                          <w:rFonts w:ascii="Arial Narrow" w:hAnsi="Arial Narrow" w:cs="Arial Narrow"/>
                          <w:color w:val="000000"/>
                          <w:sz w:val="14"/>
                          <w:szCs w:val="14"/>
                          <w:lang w:val="en-US"/>
                        </w:rPr>
                        <w:t>12,140,276</w:t>
                      </w:r>
                    </w:p>
                  </w:txbxContent>
                </v:textbox>
              </v:rect>
              <v:rect id="_x0000_s3446" style="position:absolute;left:809;top:9290;width:1200;height:161" filled="f" stroked="f">
                <v:textbox style="mso-next-textbox:#_x0000_s3446" inset="0,0,0,0">
                  <w:txbxContent>
                    <w:p w:rsidR="008A5877" w:rsidRDefault="008A5877">
                      <w:r>
                        <w:rPr>
                          <w:rFonts w:ascii="Arial Narrow" w:hAnsi="Arial Narrow" w:cs="Arial Narrow"/>
                          <w:color w:val="000000"/>
                          <w:sz w:val="14"/>
                          <w:szCs w:val="14"/>
                          <w:lang w:val="en-US"/>
                        </w:rPr>
                        <w:t>9. Bienestar Magisterial</w:t>
                      </w:r>
                    </w:p>
                  </w:txbxContent>
                </v:textbox>
              </v:rect>
              <v:rect id="_x0000_s3447" style="position:absolute;left:3997;top:9290;width:416;height:161" filled="f" stroked="f">
                <v:textbox style="mso-next-textbox:#_x0000_s3447" inset="0,0,0,0">
                  <w:txbxContent>
                    <w:p w:rsidR="008A5877" w:rsidRDefault="008A5877">
                      <w:r>
                        <w:rPr>
                          <w:rFonts w:ascii="Arial Narrow" w:hAnsi="Arial Narrow" w:cs="Arial Narrow"/>
                          <w:color w:val="000000"/>
                          <w:sz w:val="14"/>
                          <w:szCs w:val="14"/>
                          <w:lang w:val="en-US"/>
                        </w:rPr>
                        <w:t>541,485</w:t>
                      </w:r>
                    </w:p>
                  </w:txbxContent>
                </v:textbox>
              </v:rect>
              <v:rect id="_x0000_s3448" style="position:absolute;left:4834;top:9290;width:416;height:161" filled="f" stroked="f">
                <v:textbox style="mso-next-textbox:#_x0000_s3448" inset="0,0,0,0">
                  <w:txbxContent>
                    <w:p w:rsidR="008A5877" w:rsidRDefault="008A5877">
                      <w:r>
                        <w:rPr>
                          <w:rFonts w:ascii="Arial Narrow" w:hAnsi="Arial Narrow" w:cs="Arial Narrow"/>
                          <w:color w:val="000000"/>
                          <w:sz w:val="14"/>
                          <w:szCs w:val="14"/>
                          <w:lang w:val="en-US"/>
                        </w:rPr>
                        <w:t>207,233</w:t>
                      </w:r>
                    </w:p>
                  </w:txbxContent>
                </v:textbox>
              </v:rect>
              <v:rect id="_x0000_s3449" style="position:absolute;left:5641;top:9290;width:416;height:161" filled="f" stroked="f">
                <v:textbox style="mso-next-textbox:#_x0000_s3449" inset="0,0,0,0">
                  <w:txbxContent>
                    <w:p w:rsidR="008A5877" w:rsidRDefault="008A5877">
                      <w:r>
                        <w:rPr>
                          <w:rFonts w:ascii="Arial Narrow" w:hAnsi="Arial Narrow" w:cs="Arial Narrow"/>
                          <w:color w:val="000000"/>
                          <w:sz w:val="14"/>
                          <w:szCs w:val="14"/>
                          <w:lang w:val="en-US"/>
                        </w:rPr>
                        <w:t>197,983</w:t>
                      </w:r>
                    </w:p>
                  </w:txbxContent>
                </v:textbox>
              </v:rect>
              <v:rect id="_x0000_s3450" style="position:absolute;left:6418;top:9290;width:416;height:161" filled="f" stroked="f">
                <v:textbox style="mso-next-textbox:#_x0000_s3450" inset="0,0,0,0">
                  <w:txbxContent>
                    <w:p w:rsidR="008A5877" w:rsidRDefault="008A5877">
                      <w:r>
                        <w:rPr>
                          <w:rFonts w:ascii="Arial Narrow" w:hAnsi="Arial Narrow" w:cs="Arial Narrow"/>
                          <w:color w:val="000000"/>
                          <w:sz w:val="14"/>
                          <w:szCs w:val="14"/>
                          <w:lang w:val="en-US"/>
                        </w:rPr>
                        <w:t>136,269</w:t>
                      </w:r>
                    </w:p>
                  </w:txbxContent>
                </v:textbox>
              </v:rect>
              <v:rect id="_x0000_s3451" style="position:absolute;left:8779;top:9290;width:416;height:161" filled="f" stroked="f">
                <v:textbox style="mso-next-textbox:#_x0000_s3451" inset="0,0,0,0">
                  <w:txbxContent>
                    <w:p w:rsidR="008A5877" w:rsidRDefault="008A5877">
                      <w:r>
                        <w:rPr>
                          <w:rFonts w:ascii="Arial Narrow" w:hAnsi="Arial Narrow" w:cs="Arial Narrow"/>
                          <w:color w:val="000000"/>
                          <w:sz w:val="14"/>
                          <w:szCs w:val="14"/>
                          <w:lang w:val="en-US"/>
                        </w:rPr>
                        <w:t>541,485</w:t>
                      </w:r>
                    </w:p>
                  </w:txbxContent>
                </v:textbox>
              </v:rect>
              <v:rect id="_x0000_s3452" style="position:absolute;top:9491;width:817;height:161" filled="f" stroked="f">
                <v:textbox style="mso-next-textbox:#_x0000_s3452" inset="0,0,0,0">
                  <w:txbxContent>
                    <w:p w:rsidR="008A5877" w:rsidRDefault="008A5877">
                      <w:r>
                        <w:rPr>
                          <w:rFonts w:ascii="Arial Narrow" w:hAnsi="Arial Narrow" w:cs="Arial Narrow"/>
                          <w:b/>
                          <w:bCs/>
                          <w:sz w:val="14"/>
                          <w:szCs w:val="14"/>
                          <w:lang w:val="en-US"/>
                        </w:rPr>
                        <w:t>Total Año 2004</w:t>
                      </w:r>
                    </w:p>
                  </w:txbxContent>
                </v:textbox>
              </v:rect>
              <v:rect id="_x0000_s3453" style="position:absolute;left:3887;top:9491;width:639;height:161" filled="f" stroked="f">
                <v:textbox style="mso-next-textbox:#_x0000_s3453" inset="0,0,0,0">
                  <w:txbxContent>
                    <w:p w:rsidR="008A5877" w:rsidRDefault="008A5877">
                      <w:r>
                        <w:rPr>
                          <w:rFonts w:ascii="Arial Narrow" w:hAnsi="Arial Narrow" w:cs="Arial Narrow"/>
                          <w:b/>
                          <w:bCs/>
                          <w:sz w:val="14"/>
                          <w:szCs w:val="14"/>
                          <w:lang w:val="en-US"/>
                        </w:rPr>
                        <w:t>434,289,207</w:t>
                      </w:r>
                    </w:p>
                  </w:txbxContent>
                </v:textbox>
              </v:rect>
              <v:rect id="_x0000_s3454" style="position:absolute;left:4723;top:9491;width:639;height:161" filled="f" stroked="f">
                <v:textbox style="mso-next-textbox:#_x0000_s3454" inset="0,0,0,0">
                  <w:txbxContent>
                    <w:p w:rsidR="008A5877" w:rsidRDefault="008A5877">
                      <w:r>
                        <w:rPr>
                          <w:rFonts w:ascii="Arial Narrow" w:hAnsi="Arial Narrow" w:cs="Arial Narrow"/>
                          <w:b/>
                          <w:bCs/>
                          <w:sz w:val="14"/>
                          <w:szCs w:val="14"/>
                          <w:lang w:val="en-US"/>
                        </w:rPr>
                        <w:t>352,163,637</w:t>
                      </w:r>
                    </w:p>
                  </w:txbxContent>
                </v:textbox>
              </v:rect>
              <v:rect id="_x0000_s3455" style="position:absolute;left:5561;top:9491;width:575;height:161" filled="f" stroked="f">
                <v:textbox style="mso-next-textbox:#_x0000_s3455" inset="0,0,0,0">
                  <w:txbxContent>
                    <w:p w:rsidR="008A5877" w:rsidRDefault="008A5877">
                      <w:r>
                        <w:rPr>
                          <w:rFonts w:ascii="Arial Narrow" w:hAnsi="Arial Narrow" w:cs="Arial Narrow"/>
                          <w:b/>
                          <w:bCs/>
                          <w:sz w:val="14"/>
                          <w:szCs w:val="14"/>
                          <w:lang w:val="en-US"/>
                        </w:rPr>
                        <w:t>19,814,551</w:t>
                      </w:r>
                    </w:p>
                  </w:txbxContent>
                </v:textbox>
              </v:rect>
              <v:rect id="_x0000_s3456" style="position:absolute;left:6338;top:9491;width:575;height:161" filled="f" stroked="f">
                <v:textbox style="mso-next-textbox:#_x0000_s3456" inset="0,0,0,0">
                  <w:txbxContent>
                    <w:p w:rsidR="008A5877" w:rsidRDefault="008A5877">
                      <w:r>
                        <w:rPr>
                          <w:rFonts w:ascii="Arial Narrow" w:hAnsi="Arial Narrow" w:cs="Arial Narrow"/>
                          <w:b/>
                          <w:bCs/>
                          <w:sz w:val="14"/>
                          <w:szCs w:val="14"/>
                          <w:lang w:val="en-US"/>
                        </w:rPr>
                        <w:t>62,311,019</w:t>
                      </w:r>
                    </w:p>
                  </w:txbxContent>
                </v:textbox>
              </v:rect>
              <v:rect id="_x0000_s3457" style="position:absolute;left:7147;top:9491;width:511;height:161" filled="f" stroked="f">
                <v:textbox style="mso-next-textbox:#_x0000_s3457" inset="0,0,0,0">
                  <w:txbxContent>
                    <w:p w:rsidR="008A5877" w:rsidRDefault="008A5877">
                      <w:r>
                        <w:rPr>
                          <w:rFonts w:ascii="Arial Narrow" w:hAnsi="Arial Narrow" w:cs="Arial Narrow"/>
                          <w:b/>
                          <w:bCs/>
                          <w:sz w:val="14"/>
                          <w:szCs w:val="14"/>
                          <w:lang w:val="en-US"/>
                        </w:rPr>
                        <w:t>1,341,447</w:t>
                      </w:r>
                    </w:p>
                  </w:txbxContent>
                </v:textbox>
              </v:rect>
              <v:rect id="_x0000_s3458" style="position:absolute;left:7893;top:9491;width:575;height:161" filled="f" stroked="f">
                <v:textbox style="mso-next-textbox:#_x0000_s3458" inset="0,0,0,0">
                  <w:txbxContent>
                    <w:p w:rsidR="008A5877" w:rsidRDefault="008A5877">
                      <w:r>
                        <w:rPr>
                          <w:rFonts w:ascii="Arial Narrow" w:hAnsi="Arial Narrow" w:cs="Arial Narrow"/>
                          <w:b/>
                          <w:bCs/>
                          <w:sz w:val="14"/>
                          <w:szCs w:val="14"/>
                          <w:lang w:val="en-US"/>
                        </w:rPr>
                        <w:t>27,949,544</w:t>
                      </w:r>
                    </w:p>
                  </w:txbxContent>
                </v:textbox>
              </v:rect>
              <v:rect id="_x0000_s3459" style="position:absolute;left:8669;top:9491;width:639;height:161" filled="f" stroked="f">
                <v:textbox style="mso-next-textbox:#_x0000_s3459" inset="0,0,0,0">
                  <w:txbxContent>
                    <w:p w:rsidR="008A5877" w:rsidRDefault="008A5877">
                      <w:r>
                        <w:rPr>
                          <w:rFonts w:ascii="Arial Narrow" w:hAnsi="Arial Narrow" w:cs="Arial Narrow"/>
                          <w:b/>
                          <w:bCs/>
                          <w:sz w:val="14"/>
                          <w:szCs w:val="14"/>
                          <w:lang w:val="en-US"/>
                        </w:rPr>
                        <w:t>463,580,197</w:t>
                      </w:r>
                    </w:p>
                  </w:txbxContent>
                </v:textbox>
              </v:rect>
              <v:rect id="_x0000_s3460" style="position:absolute;left:809;top:9697;width:2687;height:161" filled="f" stroked="f">
                <v:textbox style="mso-next-textbox:#_x0000_s3460" inset="0,0,0,0">
                  <w:txbxContent>
                    <w:p w:rsidR="008A5877" w:rsidRDefault="008A5877">
                      <w:r>
                        <w:rPr>
                          <w:rFonts w:ascii="Arial Narrow" w:hAnsi="Arial Narrow" w:cs="Arial Narrow"/>
                          <w:color w:val="000000"/>
                          <w:sz w:val="14"/>
                          <w:szCs w:val="14"/>
                          <w:lang w:val="es-ES_tradnl"/>
                        </w:rPr>
                        <w:t xml:space="preserve">1. Educación general (Dirección y Administración del </w:t>
                      </w:r>
                    </w:p>
                  </w:txbxContent>
                </v:textbox>
              </v:rect>
              <v:rect id="_x0000_s3461" style="position:absolute;left:809;top:9876;width:409;height:161" filled="f" stroked="f">
                <v:textbox style="mso-next-textbox:#_x0000_s3461" inset="0,0,0,0">
                  <w:txbxContent>
                    <w:p w:rsidR="008A5877" w:rsidRDefault="008A5877">
                      <w:r>
                        <w:rPr>
                          <w:rFonts w:ascii="Arial Narrow" w:hAnsi="Arial Narrow" w:cs="Arial Narrow"/>
                          <w:color w:val="000000"/>
                          <w:sz w:val="14"/>
                          <w:szCs w:val="14"/>
                          <w:lang w:val="en-US"/>
                        </w:rPr>
                        <w:t>MINED)</w:t>
                      </w:r>
                    </w:p>
                  </w:txbxContent>
                </v:textbox>
              </v:rect>
              <v:rect id="_x0000_s3462" style="position:absolute;left:3918;top:9894;width:575;height:161" filled="f" stroked="f">
                <v:textbox style="mso-next-textbox:#_x0000_s3462" inset="0,0,0,0">
                  <w:txbxContent>
                    <w:p w:rsidR="008A5877" w:rsidRDefault="008A5877">
                      <w:r>
                        <w:rPr>
                          <w:rFonts w:ascii="Arial Narrow" w:hAnsi="Arial Narrow" w:cs="Arial Narrow"/>
                          <w:color w:val="000000"/>
                          <w:sz w:val="14"/>
                          <w:szCs w:val="14"/>
                          <w:lang w:val="en-US"/>
                        </w:rPr>
                        <w:t>25,101,875</w:t>
                      </w:r>
                    </w:p>
                  </w:txbxContent>
                </v:textbox>
              </v:rect>
              <v:rect id="_x0000_s3463" style="position:absolute;left:4754;top:9894;width:575;height:161" filled="f" stroked="f">
                <v:textbox style="mso-next-textbox:#_x0000_s3463" inset="0,0,0,0">
                  <w:txbxContent>
                    <w:p w:rsidR="008A5877" w:rsidRDefault="008A5877">
                      <w:r>
                        <w:rPr>
                          <w:rFonts w:ascii="Arial Narrow" w:hAnsi="Arial Narrow" w:cs="Arial Narrow"/>
                          <w:color w:val="000000"/>
                          <w:sz w:val="14"/>
                          <w:szCs w:val="14"/>
                          <w:lang w:val="en-US"/>
                        </w:rPr>
                        <w:t>17,805,346</w:t>
                      </w:r>
                    </w:p>
                  </w:txbxContent>
                </v:textbox>
              </v:rect>
              <v:rect id="_x0000_s3464" style="position:absolute;left:5593;top:9894;width:511;height:161" filled="f" stroked="f">
                <v:textbox style="mso-next-textbox:#_x0000_s3464" inset="0,0,0,0">
                  <w:txbxContent>
                    <w:p w:rsidR="008A5877" w:rsidRDefault="008A5877">
                      <w:r>
                        <w:rPr>
                          <w:rFonts w:ascii="Arial Narrow" w:hAnsi="Arial Narrow" w:cs="Arial Narrow"/>
                          <w:color w:val="000000"/>
                          <w:sz w:val="14"/>
                          <w:szCs w:val="14"/>
                          <w:lang w:val="en-US"/>
                        </w:rPr>
                        <w:t>7,210,567</w:t>
                      </w:r>
                    </w:p>
                  </w:txbxContent>
                </v:textbox>
              </v:rect>
              <v:rect id="_x0000_s3465" style="position:absolute;left:6449;top:9894;width:352;height:161" filled="f" stroked="f">
                <v:textbox style="mso-next-textbox:#_x0000_s3465" inset="0,0,0,0">
                  <w:txbxContent>
                    <w:p w:rsidR="008A5877" w:rsidRDefault="008A5877">
                      <w:r>
                        <w:rPr>
                          <w:rFonts w:ascii="Arial Narrow" w:hAnsi="Arial Narrow" w:cs="Arial Narrow"/>
                          <w:color w:val="000000"/>
                          <w:sz w:val="14"/>
                          <w:szCs w:val="14"/>
                          <w:lang w:val="en-US"/>
                        </w:rPr>
                        <w:t>85,963</w:t>
                      </w:r>
                    </w:p>
                  </w:txbxContent>
                </v:textbox>
              </v:rect>
              <v:rect id="_x0000_s3466" style="position:absolute;left:7227;top:9894;width:352;height:161" filled="f" stroked="f">
                <v:textbox style="mso-next-textbox:#_x0000_s3466" inset="0,0,0,0">
                  <w:txbxContent>
                    <w:p w:rsidR="008A5877" w:rsidRDefault="008A5877">
                      <w:r>
                        <w:rPr>
                          <w:rFonts w:ascii="Arial Narrow" w:hAnsi="Arial Narrow" w:cs="Arial Narrow"/>
                          <w:color w:val="000000"/>
                          <w:sz w:val="14"/>
                          <w:szCs w:val="14"/>
                          <w:lang w:val="en-US"/>
                        </w:rPr>
                        <w:t>80,811</w:t>
                      </w:r>
                    </w:p>
                  </w:txbxContent>
                </v:textbox>
              </v:rect>
              <v:rect id="_x0000_s3467" style="position:absolute;left:8035;top:9894;width:288;height:161" filled="f" stroked="f">
                <v:textbox style="mso-next-textbox:#_x0000_s3467" inset="0,0,0,0">
                  <w:txbxContent>
                    <w:p w:rsidR="008A5877" w:rsidRDefault="008A5877">
                      <w:r>
                        <w:rPr>
                          <w:rFonts w:ascii="Arial Narrow" w:hAnsi="Arial Narrow" w:cs="Arial Narrow"/>
                          <w:color w:val="000000"/>
                          <w:sz w:val="14"/>
                          <w:szCs w:val="14"/>
                          <w:lang w:val="en-US"/>
                        </w:rPr>
                        <w:t>9,844</w:t>
                      </w:r>
                    </w:p>
                  </w:txbxContent>
                </v:textbox>
              </v:rect>
              <v:rect id="_x0000_s3468" style="position:absolute;left:8700;top:9894;width:575;height:161" filled="f" stroked="f">
                <v:textbox style="mso-next-textbox:#_x0000_s3468" inset="0,0,0,0">
                  <w:txbxContent>
                    <w:p w:rsidR="008A5877" w:rsidRDefault="008A5877">
                      <w:r>
                        <w:rPr>
                          <w:rFonts w:ascii="Arial Narrow" w:hAnsi="Arial Narrow" w:cs="Arial Narrow"/>
                          <w:color w:val="000000"/>
                          <w:sz w:val="14"/>
                          <w:szCs w:val="14"/>
                          <w:lang w:val="en-US"/>
                        </w:rPr>
                        <w:t>25,192,530</w:t>
                      </w:r>
                    </w:p>
                  </w:txbxContent>
                </v:textbox>
              </v:rect>
              <v:rect id="_x0000_s3469" style="position:absolute;left:809;top:10096;width:645;height:161" filled="f" stroked="f">
                <v:textbox style="mso-next-textbox:#_x0000_s3469" inset="0,0,0,0">
                  <w:txbxContent>
                    <w:p w:rsidR="008A5877" w:rsidRDefault="008A5877">
                      <w:r>
                        <w:rPr>
                          <w:rFonts w:ascii="Arial Narrow" w:hAnsi="Arial Narrow" w:cs="Arial Narrow"/>
                          <w:color w:val="000000"/>
                          <w:sz w:val="14"/>
                          <w:szCs w:val="14"/>
                          <w:lang w:val="en-US"/>
                        </w:rPr>
                        <w:t>2. Parvularia</w:t>
                      </w:r>
                    </w:p>
                  </w:txbxContent>
                </v:textbox>
              </v:rect>
              <v:rect id="_x0000_s3470" style="position:absolute;left:3918;top:10096;width:575;height:161" filled="f" stroked="f">
                <v:textbox style="mso-next-textbox:#_x0000_s3470" inset="0,0,0,0">
                  <w:txbxContent>
                    <w:p w:rsidR="008A5877" w:rsidRDefault="008A5877">
                      <w:r>
                        <w:rPr>
                          <w:rFonts w:ascii="Arial Narrow" w:hAnsi="Arial Narrow" w:cs="Arial Narrow"/>
                          <w:color w:val="000000"/>
                          <w:sz w:val="14"/>
                          <w:szCs w:val="14"/>
                          <w:lang w:val="en-US"/>
                        </w:rPr>
                        <w:t>36,689,705</w:t>
                      </w:r>
                    </w:p>
                  </w:txbxContent>
                </v:textbox>
              </v:rect>
              <v:rect id="_x0000_s3471" style="position:absolute;left:4754;top:10096;width:575;height:161" filled="f" stroked="f">
                <v:textbox style="mso-next-textbox:#_x0000_s3471" inset="0,0,0,0">
                  <w:txbxContent>
                    <w:p w:rsidR="008A5877" w:rsidRDefault="008A5877">
                      <w:r>
                        <w:rPr>
                          <w:rFonts w:ascii="Arial Narrow" w:hAnsi="Arial Narrow" w:cs="Arial Narrow"/>
                          <w:color w:val="000000"/>
                          <w:sz w:val="14"/>
                          <w:szCs w:val="14"/>
                          <w:lang w:val="en-US"/>
                        </w:rPr>
                        <w:t>35,094,613</w:t>
                      </w:r>
                    </w:p>
                  </w:txbxContent>
                </v:textbox>
              </v:rect>
              <v:rect id="_x0000_s3472" style="position:absolute;left:5641;top:10096;width:416;height:161" filled="f" stroked="f">
                <v:textbox style="mso-next-textbox:#_x0000_s3472" inset="0,0,0,0">
                  <w:txbxContent>
                    <w:p w:rsidR="008A5877" w:rsidRDefault="008A5877">
                      <w:r>
                        <w:rPr>
                          <w:rFonts w:ascii="Arial Narrow" w:hAnsi="Arial Narrow" w:cs="Arial Narrow"/>
                          <w:color w:val="000000"/>
                          <w:sz w:val="14"/>
                          <w:szCs w:val="14"/>
                          <w:lang w:val="en-US"/>
                        </w:rPr>
                        <w:t>897,279</w:t>
                      </w:r>
                    </w:p>
                  </w:txbxContent>
                </v:textbox>
              </v:rect>
              <v:rect id="_x0000_s3473" style="position:absolute;left:6418;top:10096;width:416;height:161" filled="f" stroked="f">
                <v:textbox style="mso-next-textbox:#_x0000_s3473" inset="0,0,0,0">
                  <w:txbxContent>
                    <w:p w:rsidR="008A5877" w:rsidRDefault="008A5877">
                      <w:r>
                        <w:rPr>
                          <w:rFonts w:ascii="Arial Narrow" w:hAnsi="Arial Narrow" w:cs="Arial Narrow"/>
                          <w:color w:val="000000"/>
                          <w:sz w:val="14"/>
                          <w:szCs w:val="14"/>
                          <w:lang w:val="en-US"/>
                        </w:rPr>
                        <w:t>697,814</w:t>
                      </w:r>
                    </w:p>
                  </w:txbxContent>
                </v:textbox>
              </v:rect>
              <v:rect id="_x0000_s3474" style="position:absolute;left:8700;top:10096;width:575;height:161" filled="f" stroked="f">
                <v:textbox style="mso-next-textbox:#_x0000_s3474" inset="0,0,0,0">
                  <w:txbxContent>
                    <w:p w:rsidR="008A5877" w:rsidRDefault="008A5877">
                      <w:r>
                        <w:rPr>
                          <w:rFonts w:ascii="Arial Narrow" w:hAnsi="Arial Narrow" w:cs="Arial Narrow"/>
                          <w:color w:val="000000"/>
                          <w:sz w:val="14"/>
                          <w:szCs w:val="14"/>
                          <w:lang w:val="en-US"/>
                        </w:rPr>
                        <w:t>36,689,705</w:t>
                      </w:r>
                    </w:p>
                  </w:txbxContent>
                </v:textbox>
              </v:rect>
              <v:rect id="_x0000_s3475" style="position:absolute;left:809;top:10298;width:473;height:161" filled="f" stroked="f">
                <v:textbox style="mso-next-textbox:#_x0000_s3475" inset="0,0,0,0">
                  <w:txbxContent>
                    <w:p w:rsidR="008A5877" w:rsidRDefault="008A5877">
                      <w:r>
                        <w:rPr>
                          <w:rFonts w:ascii="Arial Narrow" w:hAnsi="Arial Narrow" w:cs="Arial Narrow"/>
                          <w:color w:val="000000"/>
                          <w:sz w:val="14"/>
                          <w:szCs w:val="14"/>
                          <w:lang w:val="en-US"/>
                        </w:rPr>
                        <w:t>3. Básica</w:t>
                      </w:r>
                    </w:p>
                  </w:txbxContent>
                </v:textbox>
              </v:rect>
              <v:rect id="_x0000_s3476" style="position:absolute;left:3887;top:10298;width:639;height:161" filled="f" stroked="f">
                <v:textbox style="mso-next-textbox:#_x0000_s3476" inset="0,0,0,0">
                  <w:txbxContent>
                    <w:p w:rsidR="008A5877" w:rsidRDefault="008A5877">
                      <w:r>
                        <w:rPr>
                          <w:rFonts w:ascii="Arial Narrow" w:hAnsi="Arial Narrow" w:cs="Arial Narrow"/>
                          <w:color w:val="000000"/>
                          <w:sz w:val="14"/>
                          <w:szCs w:val="14"/>
                          <w:lang w:val="en-US"/>
                        </w:rPr>
                        <w:t>293,330,395</w:t>
                      </w:r>
                    </w:p>
                  </w:txbxContent>
                </v:textbox>
              </v:rect>
              <v:rect id="_x0000_s3477" style="position:absolute;left:4723;top:10298;width:639;height:161" filled="f" stroked="f">
                <v:textbox style="mso-next-textbox:#_x0000_s3477" inset="0,0,0,0">
                  <w:txbxContent>
                    <w:p w:rsidR="008A5877" w:rsidRDefault="008A5877">
                      <w:r>
                        <w:rPr>
                          <w:rFonts w:ascii="Arial Narrow" w:hAnsi="Arial Narrow" w:cs="Arial Narrow"/>
                          <w:color w:val="000000"/>
                          <w:sz w:val="14"/>
                          <w:szCs w:val="14"/>
                          <w:lang w:val="en-US"/>
                        </w:rPr>
                        <w:t>268,115,875</w:t>
                      </w:r>
                    </w:p>
                  </w:txbxContent>
                </v:textbox>
              </v:rect>
              <v:rect id="_x0000_s3478" style="position:absolute;left:5561;top:10298;width:575;height:161" filled="f" stroked="f">
                <v:textbox style="mso-next-textbox:#_x0000_s3478" inset="0,0,0,0">
                  <w:txbxContent>
                    <w:p w:rsidR="008A5877" w:rsidRDefault="008A5877">
                      <w:r>
                        <w:rPr>
                          <w:rFonts w:ascii="Arial Narrow" w:hAnsi="Arial Narrow" w:cs="Arial Narrow"/>
                          <w:color w:val="000000"/>
                          <w:sz w:val="14"/>
                          <w:szCs w:val="14"/>
                          <w:lang w:val="en-US"/>
                        </w:rPr>
                        <w:t>10,147,043</w:t>
                      </w:r>
                    </w:p>
                  </w:txbxContent>
                </v:textbox>
              </v:rect>
              <v:rect id="_x0000_s3479" style="position:absolute;left:6338;top:10298;width:575;height:161" filled="f" stroked="f">
                <v:textbox style="mso-next-textbox:#_x0000_s3479" inset="0,0,0,0">
                  <w:txbxContent>
                    <w:p w:rsidR="008A5877" w:rsidRDefault="008A5877">
                      <w:r>
                        <w:rPr>
                          <w:rFonts w:ascii="Arial Narrow" w:hAnsi="Arial Narrow" w:cs="Arial Narrow"/>
                          <w:color w:val="000000"/>
                          <w:sz w:val="14"/>
                          <w:szCs w:val="14"/>
                          <w:lang w:val="en-US"/>
                        </w:rPr>
                        <w:t>15,067,476</w:t>
                      </w:r>
                    </w:p>
                  </w:txbxContent>
                </v:textbox>
              </v:rect>
              <v:rect id="_x0000_s3480" style="position:absolute;left:7893;top:10298;width:575;height:161" filled="f" stroked="f">
                <v:textbox style="mso-next-textbox:#_x0000_s3480" inset="0,0,0,0">
                  <w:txbxContent>
                    <w:p w:rsidR="008A5877" w:rsidRDefault="008A5877">
                      <w:r>
                        <w:rPr>
                          <w:rFonts w:ascii="Arial Narrow" w:hAnsi="Arial Narrow" w:cs="Arial Narrow"/>
                          <w:color w:val="000000"/>
                          <w:sz w:val="14"/>
                          <w:szCs w:val="14"/>
                          <w:lang w:val="en-US"/>
                        </w:rPr>
                        <w:t>20,358,750</w:t>
                      </w:r>
                    </w:p>
                  </w:txbxContent>
                </v:textbox>
              </v:rect>
              <v:rect id="_x0000_s3481" style="position:absolute;left:8669;top:10298;width:639;height:161" filled="f" stroked="f">
                <v:textbox style="mso-next-textbox:#_x0000_s3481" inset="0,0,0,0">
                  <w:txbxContent>
                    <w:p w:rsidR="008A5877" w:rsidRDefault="008A5877">
                      <w:r>
                        <w:rPr>
                          <w:rFonts w:ascii="Arial Narrow" w:hAnsi="Arial Narrow" w:cs="Arial Narrow"/>
                          <w:color w:val="000000"/>
                          <w:sz w:val="14"/>
                          <w:szCs w:val="14"/>
                          <w:lang w:val="en-US"/>
                        </w:rPr>
                        <w:t>313,689,145</w:t>
                      </w:r>
                    </w:p>
                  </w:txbxContent>
                </v:textbox>
              </v:rect>
              <v:rect id="_x0000_s3482" style="position:absolute;left:809;top:10499;width:441;height:161" filled="f" stroked="f">
                <v:textbox style="mso-next-textbox:#_x0000_s3482" inset="0,0,0,0">
                  <w:txbxContent>
                    <w:p w:rsidR="008A5877" w:rsidRDefault="008A5877">
                      <w:r>
                        <w:rPr>
                          <w:rFonts w:ascii="Arial Narrow" w:hAnsi="Arial Narrow" w:cs="Arial Narrow"/>
                          <w:color w:val="000000"/>
                          <w:sz w:val="14"/>
                          <w:szCs w:val="14"/>
                          <w:lang w:val="en-US"/>
                        </w:rPr>
                        <w:t>4. Media</w:t>
                      </w:r>
                    </w:p>
                  </w:txbxContent>
                </v:textbox>
              </v:rect>
              <v:rect id="_x0000_s3483" style="position:absolute;left:3918;top:10499;width:575;height:161" filled="f" stroked="f">
                <v:textbox style="mso-next-textbox:#_x0000_s3483" inset="0,0,0,0">
                  <w:txbxContent>
                    <w:p w:rsidR="008A5877" w:rsidRDefault="008A5877">
                      <w:r>
                        <w:rPr>
                          <w:rFonts w:ascii="Arial Narrow" w:hAnsi="Arial Narrow" w:cs="Arial Narrow"/>
                          <w:color w:val="000000"/>
                          <w:sz w:val="14"/>
                          <w:szCs w:val="14"/>
                          <w:lang w:val="en-US"/>
                        </w:rPr>
                        <w:t>30,407,498</w:t>
                      </w:r>
                    </w:p>
                  </w:txbxContent>
                </v:textbox>
              </v:rect>
              <v:rect id="_x0000_s3484" style="position:absolute;left:4754;top:10499;width:575;height:161" filled="f" stroked="f">
                <v:textbox style="mso-next-textbox:#_x0000_s3484" inset="0,0,0,0">
                  <w:txbxContent>
                    <w:p w:rsidR="008A5877" w:rsidRDefault="008A5877">
                      <w:r>
                        <w:rPr>
                          <w:rFonts w:ascii="Arial Narrow" w:hAnsi="Arial Narrow" w:cs="Arial Narrow"/>
                          <w:color w:val="000000"/>
                          <w:sz w:val="14"/>
                          <w:szCs w:val="14"/>
                          <w:lang w:val="en-US"/>
                        </w:rPr>
                        <w:t>28,652,887</w:t>
                      </w:r>
                    </w:p>
                  </w:txbxContent>
                </v:textbox>
              </v:rect>
              <v:rect id="_x0000_s3485" style="position:absolute;left:5593;top:10499;width:511;height:161" filled="f" stroked="f">
                <v:textbox style="mso-next-textbox:#_x0000_s3485" inset="0,0,0,0">
                  <w:txbxContent>
                    <w:p w:rsidR="008A5877" w:rsidRDefault="008A5877">
                      <w:r>
                        <w:rPr>
                          <w:rFonts w:ascii="Arial Narrow" w:hAnsi="Arial Narrow" w:cs="Arial Narrow"/>
                          <w:color w:val="000000"/>
                          <w:sz w:val="14"/>
                          <w:szCs w:val="14"/>
                          <w:lang w:val="en-US"/>
                        </w:rPr>
                        <w:t>1,052,851</w:t>
                      </w:r>
                    </w:p>
                  </w:txbxContent>
                </v:textbox>
              </v:rect>
              <v:rect id="_x0000_s3486" style="position:absolute;left:6418;top:10499;width:416;height:161" filled="f" stroked="f">
                <v:textbox style="mso-next-textbox:#_x0000_s3486" inset="0,0,0,0">
                  <w:txbxContent>
                    <w:p w:rsidR="008A5877" w:rsidRDefault="008A5877">
                      <w:r>
                        <w:rPr>
                          <w:rFonts w:ascii="Arial Narrow" w:hAnsi="Arial Narrow" w:cs="Arial Narrow"/>
                          <w:color w:val="000000"/>
                          <w:sz w:val="14"/>
                          <w:szCs w:val="14"/>
                          <w:lang w:val="en-US"/>
                        </w:rPr>
                        <w:t>701,760</w:t>
                      </w:r>
                    </w:p>
                  </w:txbxContent>
                </v:textbox>
              </v:rect>
              <v:rect id="_x0000_s3487" style="position:absolute;left:7893;top:10499;width:575;height:161" filled="f" stroked="f">
                <v:textbox style="mso-next-textbox:#_x0000_s3487" inset="0,0,0,0">
                  <w:txbxContent>
                    <w:p w:rsidR="008A5877" w:rsidRDefault="008A5877">
                      <w:r>
                        <w:rPr>
                          <w:rFonts w:ascii="Arial Narrow" w:hAnsi="Arial Narrow" w:cs="Arial Narrow"/>
                          <w:color w:val="000000"/>
                          <w:sz w:val="14"/>
                          <w:szCs w:val="14"/>
                          <w:lang w:val="en-US"/>
                        </w:rPr>
                        <w:t>24,329,773</w:t>
                      </w:r>
                    </w:p>
                  </w:txbxContent>
                </v:textbox>
              </v:rect>
              <v:rect id="_x0000_s3488" style="position:absolute;left:8700;top:10499;width:575;height:161" filled="f" stroked="f">
                <v:textbox style="mso-next-textbox:#_x0000_s3488" inset="0,0,0,0">
                  <w:txbxContent>
                    <w:p w:rsidR="008A5877" w:rsidRDefault="008A5877">
                      <w:r>
                        <w:rPr>
                          <w:rFonts w:ascii="Arial Narrow" w:hAnsi="Arial Narrow" w:cs="Arial Narrow"/>
                          <w:color w:val="000000"/>
                          <w:sz w:val="14"/>
                          <w:szCs w:val="14"/>
                          <w:lang w:val="en-US"/>
                        </w:rPr>
                        <w:t>54,737,271</w:t>
                      </w:r>
                    </w:p>
                  </w:txbxContent>
                </v:textbox>
              </v:rect>
              <v:rect id="_x0000_s3489" style="position:absolute;left:809;top:10701;width:1226;height:161" filled="f" stroked="f">
                <v:textbox style="mso-next-textbox:#_x0000_s3489" inset="0,0,0,0">
                  <w:txbxContent>
                    <w:p w:rsidR="008A5877" w:rsidRDefault="008A5877">
                      <w:r>
                        <w:rPr>
                          <w:rFonts w:ascii="Arial Narrow" w:hAnsi="Arial Narrow" w:cs="Arial Narrow"/>
                          <w:color w:val="000000"/>
                          <w:sz w:val="14"/>
                          <w:szCs w:val="14"/>
                          <w:lang w:val="en-US"/>
                        </w:rPr>
                        <w:t>5. Educación de adultos</w:t>
                      </w:r>
                    </w:p>
                  </w:txbxContent>
                </v:textbox>
              </v:rect>
              <v:rect id="_x0000_s3490" style="position:absolute;left:3949;top:10701;width:511;height:161" filled="f" stroked="f">
                <v:textbox style="mso-next-textbox:#_x0000_s3490" inset="0,0,0,0">
                  <w:txbxContent>
                    <w:p w:rsidR="008A5877" w:rsidRDefault="008A5877">
                      <w:r>
                        <w:rPr>
                          <w:rFonts w:ascii="Arial Narrow" w:hAnsi="Arial Narrow" w:cs="Arial Narrow"/>
                          <w:color w:val="000000"/>
                          <w:sz w:val="14"/>
                          <w:szCs w:val="14"/>
                          <w:lang w:val="en-US"/>
                        </w:rPr>
                        <w:t>1,338,337</w:t>
                      </w:r>
                    </w:p>
                  </w:txbxContent>
                </v:textbox>
              </v:rect>
              <v:rect id="_x0000_s3491" style="position:absolute;left:4786;top:10701;width:511;height:161" filled="f" stroked="f">
                <v:textbox style="mso-next-textbox:#_x0000_s3491" inset="0,0,0,0">
                  <w:txbxContent>
                    <w:p w:rsidR="008A5877" w:rsidRDefault="008A5877">
                      <w:r>
                        <w:rPr>
                          <w:rFonts w:ascii="Arial Narrow" w:hAnsi="Arial Narrow" w:cs="Arial Narrow"/>
                          <w:color w:val="000000"/>
                          <w:sz w:val="14"/>
                          <w:szCs w:val="14"/>
                          <w:lang w:val="en-US"/>
                        </w:rPr>
                        <w:t>1,030,535</w:t>
                      </w:r>
                    </w:p>
                  </w:txbxContent>
                </v:textbox>
              </v:rect>
              <v:rect id="_x0000_s3492" style="position:absolute;left:5641;top:10701;width:416;height:161" filled="f" stroked="f">
                <v:textbox style="mso-next-textbox:#_x0000_s3492" inset="0,0,0,0">
                  <w:txbxContent>
                    <w:p w:rsidR="008A5877" w:rsidRDefault="008A5877">
                      <w:r>
                        <w:rPr>
                          <w:rFonts w:ascii="Arial Narrow" w:hAnsi="Arial Narrow" w:cs="Arial Narrow"/>
                          <w:color w:val="000000"/>
                          <w:sz w:val="14"/>
                          <w:szCs w:val="14"/>
                          <w:lang w:val="en-US"/>
                        </w:rPr>
                        <w:t>307,802</w:t>
                      </w:r>
                    </w:p>
                  </w:txbxContent>
                </v:textbox>
              </v:rect>
              <v:rect id="_x0000_s3493" style="position:absolute;left:8731;top:10701;width:511;height:161" filled="f" stroked="f">
                <v:textbox style="mso-next-textbox:#_x0000_s3493" inset="0,0,0,0">
                  <w:txbxContent>
                    <w:p w:rsidR="008A5877" w:rsidRDefault="008A5877">
                      <w:r>
                        <w:rPr>
                          <w:rFonts w:ascii="Arial Narrow" w:hAnsi="Arial Narrow" w:cs="Arial Narrow"/>
                          <w:color w:val="000000"/>
                          <w:sz w:val="14"/>
                          <w:szCs w:val="14"/>
                          <w:lang w:val="en-US"/>
                        </w:rPr>
                        <w:t>1,338,337</w:t>
                      </w:r>
                    </w:p>
                  </w:txbxContent>
                </v:textbox>
              </v:rect>
              <v:rect id="_x0000_s3494" style="position:absolute;left:809;top:10902;width:1111;height:161" filled="f" stroked="f">
                <v:textbox style="mso-next-textbox:#_x0000_s3494" inset="0,0,0,0">
                  <w:txbxContent>
                    <w:p w:rsidR="008A5877" w:rsidRDefault="008A5877">
                      <w:r>
                        <w:rPr>
                          <w:rFonts w:ascii="Arial Narrow" w:hAnsi="Arial Narrow" w:cs="Arial Narrow"/>
                          <w:color w:val="000000"/>
                          <w:sz w:val="14"/>
                          <w:szCs w:val="14"/>
                          <w:lang w:val="en-US"/>
                        </w:rPr>
                        <w:t>6. Educación superior</w:t>
                      </w:r>
                    </w:p>
                  </w:txbxContent>
                </v:textbox>
              </v:rect>
              <v:rect id="_x0000_s3495" style="position:absolute;left:3918;top:10902;width:575;height:161" filled="f" stroked="f">
                <v:textbox style="mso-next-textbox:#_x0000_s3495" inset="0,0,0,0">
                  <w:txbxContent>
                    <w:p w:rsidR="008A5877" w:rsidRDefault="008A5877">
                      <w:r>
                        <w:rPr>
                          <w:rFonts w:ascii="Arial Narrow" w:hAnsi="Arial Narrow" w:cs="Arial Narrow"/>
                          <w:color w:val="000000"/>
                          <w:sz w:val="14"/>
                          <w:szCs w:val="14"/>
                          <w:lang w:val="en-US"/>
                        </w:rPr>
                        <w:t>46,590,745</w:t>
                      </w:r>
                    </w:p>
                  </w:txbxContent>
                </v:textbox>
              </v:rect>
              <v:rect id="_x0000_s3496" style="position:absolute;left:6338;top:10902;width:575;height:161" filled="f" stroked="f">
                <v:textbox style="mso-next-textbox:#_x0000_s3496" inset="0,0,0,0">
                  <w:txbxContent>
                    <w:p w:rsidR="008A5877" w:rsidRDefault="008A5877">
                      <w:r>
                        <w:rPr>
                          <w:rFonts w:ascii="Arial Narrow" w:hAnsi="Arial Narrow" w:cs="Arial Narrow"/>
                          <w:color w:val="000000"/>
                          <w:sz w:val="14"/>
                          <w:szCs w:val="14"/>
                          <w:lang w:val="en-US"/>
                        </w:rPr>
                        <w:t>46,590,745</w:t>
                      </w:r>
                    </w:p>
                  </w:txbxContent>
                </v:textbox>
              </v:rect>
              <v:rect id="_x0000_s3497" style="position:absolute;left:7195;top:10902;width:416;height:161" filled="f" stroked="f">
                <v:textbox style="mso-next-textbox:#_x0000_s3497" inset="0,0,0,0">
                  <w:txbxContent>
                    <w:p w:rsidR="008A5877" w:rsidRDefault="008A5877">
                      <w:r>
                        <w:rPr>
                          <w:rFonts w:ascii="Arial Narrow" w:hAnsi="Arial Narrow" w:cs="Arial Narrow"/>
                          <w:color w:val="000000"/>
                          <w:sz w:val="14"/>
                          <w:szCs w:val="14"/>
                          <w:lang w:val="en-US"/>
                        </w:rPr>
                        <w:t>595,000</w:t>
                      </w:r>
                    </w:p>
                  </w:txbxContent>
                </v:textbox>
              </v:rect>
              <v:rect id="_x0000_s3498" style="position:absolute;left:8700;top:10902;width:575;height:161" filled="f" stroked="f">
                <v:textbox style="mso-next-textbox:#_x0000_s3498" inset="0,0,0,0">
                  <w:txbxContent>
                    <w:p w:rsidR="008A5877" w:rsidRDefault="008A5877">
                      <w:r>
                        <w:rPr>
                          <w:rFonts w:ascii="Arial Narrow" w:hAnsi="Arial Narrow" w:cs="Arial Narrow"/>
                          <w:color w:val="000000"/>
                          <w:sz w:val="14"/>
                          <w:szCs w:val="14"/>
                          <w:lang w:val="en-US"/>
                        </w:rPr>
                        <w:t>47,185,745</w:t>
                      </w:r>
                    </w:p>
                  </w:txbxContent>
                </v:textbox>
              </v:rect>
              <v:rect id="_x0000_s3499" style="position:absolute;left:809;top:11104;width:1819;height:161" filled="f" stroked="f">
                <v:textbox style="mso-next-textbox:#_x0000_s3499" inset="0,0,0,0">
                  <w:txbxContent>
                    <w:p w:rsidR="008A5877" w:rsidRDefault="008A5877">
                      <w:r>
                        <w:rPr>
                          <w:rFonts w:ascii="Arial Narrow" w:hAnsi="Arial Narrow" w:cs="Arial Narrow"/>
                          <w:color w:val="000000"/>
                          <w:sz w:val="14"/>
                          <w:szCs w:val="14"/>
                          <w:lang w:val="en-US"/>
                        </w:rPr>
                        <w:t>7. Otros (subvenciones y subsidios)</w:t>
                      </w:r>
                    </w:p>
                  </w:txbxContent>
                </v:textbox>
              </v:rect>
              <v:rect id="_x0000_s3500" style="position:absolute;left:3918;top:11104;width:575;height:161" filled="f" stroked="f">
                <v:textbox style="mso-next-textbox:#_x0000_s3500" inset="0,0,0,0">
                  <w:txbxContent>
                    <w:p w:rsidR="008A5877" w:rsidRDefault="008A5877">
                      <w:r>
                        <w:rPr>
                          <w:rFonts w:ascii="Arial Narrow" w:hAnsi="Arial Narrow" w:cs="Arial Narrow"/>
                          <w:color w:val="000000"/>
                          <w:sz w:val="14"/>
                          <w:szCs w:val="14"/>
                          <w:lang w:val="en-US"/>
                        </w:rPr>
                        <w:t>10,086,461</w:t>
                      </w:r>
                    </w:p>
                  </w:txbxContent>
                </v:textbox>
              </v:rect>
              <v:rect id="_x0000_s3501" style="position:absolute;left:6338;top:11104;width:575;height:161" filled="f" stroked="f">
                <v:textbox style="mso-next-textbox:#_x0000_s3501" inset="0,0,0,0">
                  <w:txbxContent>
                    <w:p w:rsidR="008A5877" w:rsidRDefault="008A5877">
                      <w:r>
                        <w:rPr>
                          <w:rFonts w:ascii="Arial Narrow" w:hAnsi="Arial Narrow" w:cs="Arial Narrow"/>
                          <w:color w:val="000000"/>
                          <w:sz w:val="14"/>
                          <w:szCs w:val="14"/>
                          <w:lang w:val="en-US"/>
                        </w:rPr>
                        <w:t>10,086,461</w:t>
                      </w:r>
                    </w:p>
                  </w:txbxContent>
                </v:textbox>
              </v:rect>
              <v:rect id="_x0000_s3502" style="position:absolute;left:8700;top:11104;width:575;height:161" filled="f" stroked="f">
                <v:textbox style="mso-next-textbox:#_x0000_s3502" inset="0,0,0,0">
                  <w:txbxContent>
                    <w:p w:rsidR="008A5877" w:rsidRDefault="008A5877">
                      <w:r>
                        <w:rPr>
                          <w:rFonts w:ascii="Arial Narrow" w:hAnsi="Arial Narrow" w:cs="Arial Narrow"/>
                          <w:color w:val="000000"/>
                          <w:sz w:val="14"/>
                          <w:szCs w:val="14"/>
                          <w:lang w:val="en-US"/>
                        </w:rPr>
                        <w:t>10,086,461</w:t>
                      </w:r>
                    </w:p>
                  </w:txbxContent>
                </v:textbox>
              </v:rect>
              <v:rect id="_x0000_s3503" style="position:absolute;left:809;top:11305;width:683;height:161" filled="f" stroked="f">
                <v:textbox style="mso-next-textbox:#_x0000_s3503" inset="0,0,0,0">
                  <w:txbxContent>
                    <w:p w:rsidR="008A5877" w:rsidRDefault="008A5877">
                      <w:r>
                        <w:rPr>
                          <w:rFonts w:ascii="Arial Narrow" w:hAnsi="Arial Narrow" w:cs="Arial Narrow"/>
                          <w:color w:val="000000"/>
                          <w:sz w:val="14"/>
                          <w:szCs w:val="14"/>
                          <w:lang w:val="en-US"/>
                        </w:rPr>
                        <w:t>8. Concultura</w:t>
                      </w:r>
                    </w:p>
                  </w:txbxContent>
                </v:textbox>
              </v:rect>
              <v:rect id="_x0000_s3504" style="position:absolute;left:3918;top:11305;width:575;height:161" filled="f" stroked="f">
                <v:textbox style="mso-next-textbox:#_x0000_s3504" inset="0,0,0,0">
                  <w:txbxContent>
                    <w:p w:rsidR="008A5877" w:rsidRDefault="008A5877">
                      <w:r>
                        <w:rPr>
                          <w:rFonts w:ascii="Arial Narrow" w:hAnsi="Arial Narrow" w:cs="Arial Narrow"/>
                          <w:color w:val="000000"/>
                          <w:sz w:val="14"/>
                          <w:szCs w:val="14"/>
                          <w:lang w:val="en-US"/>
                        </w:rPr>
                        <w:t>10,942,951</w:t>
                      </w:r>
                    </w:p>
                  </w:txbxContent>
                </v:textbox>
              </v:rect>
              <v:rect id="_x0000_s3505" style="position:absolute;left:4786;top:11305;width:511;height:161" filled="f" stroked="f">
                <v:textbox style="mso-next-textbox:#_x0000_s3505" inset="0,0,0,0">
                  <w:txbxContent>
                    <w:p w:rsidR="008A5877" w:rsidRDefault="008A5877">
                      <w:r>
                        <w:rPr>
                          <w:rFonts w:ascii="Arial Narrow" w:hAnsi="Arial Narrow" w:cs="Arial Narrow"/>
                          <w:color w:val="000000"/>
                          <w:sz w:val="14"/>
                          <w:szCs w:val="14"/>
                          <w:lang w:val="en-US"/>
                        </w:rPr>
                        <w:t>6,837,739</w:t>
                      </w:r>
                    </w:p>
                  </w:txbxContent>
                </v:textbox>
              </v:rect>
              <v:rect id="_x0000_s3506" style="position:absolute;left:5593;top:11305;width:511;height:161" filled="f" stroked="f">
                <v:textbox style="mso-next-textbox:#_x0000_s3506" inset="0,0,0,0">
                  <w:txbxContent>
                    <w:p w:rsidR="008A5877" w:rsidRDefault="008A5877">
                      <w:r>
                        <w:rPr>
                          <w:rFonts w:ascii="Arial Narrow" w:hAnsi="Arial Narrow" w:cs="Arial Narrow"/>
                          <w:color w:val="000000"/>
                          <w:sz w:val="14"/>
                          <w:szCs w:val="14"/>
                          <w:lang w:val="en-US"/>
                        </w:rPr>
                        <w:t>3,145,110</w:t>
                      </w:r>
                    </w:p>
                  </w:txbxContent>
                </v:textbox>
              </v:rect>
              <v:rect id="_x0000_s3507" style="position:absolute;left:6418;top:11305;width:416;height:161" filled="f" stroked="f">
                <v:textbox style="mso-next-textbox:#_x0000_s3507" inset="0,0,0,0">
                  <w:txbxContent>
                    <w:p w:rsidR="008A5877" w:rsidRDefault="008A5877">
                      <w:r>
                        <w:rPr>
                          <w:rFonts w:ascii="Arial Narrow" w:hAnsi="Arial Narrow" w:cs="Arial Narrow"/>
                          <w:color w:val="000000"/>
                          <w:sz w:val="14"/>
                          <w:szCs w:val="14"/>
                          <w:lang w:val="en-US"/>
                        </w:rPr>
                        <w:t>960,101</w:t>
                      </w:r>
                    </w:p>
                  </w:txbxContent>
                </v:textbox>
              </v:rect>
              <v:rect id="_x0000_s3508" style="position:absolute;left:7195;top:11305;width:416;height:161" filled="f" stroked="f">
                <v:textbox style="mso-next-textbox:#_x0000_s3508" inset="0,0,0,0">
                  <w:txbxContent>
                    <w:p w:rsidR="008A5877" w:rsidRDefault="008A5877">
                      <w:r>
                        <w:rPr>
                          <w:rFonts w:ascii="Arial Narrow" w:hAnsi="Arial Narrow" w:cs="Arial Narrow"/>
                          <w:color w:val="000000"/>
                          <w:sz w:val="14"/>
                          <w:szCs w:val="14"/>
                          <w:lang w:val="en-US"/>
                        </w:rPr>
                        <w:t>950,103</w:t>
                      </w:r>
                    </w:p>
                  </w:txbxContent>
                </v:textbox>
              </v:rect>
              <v:rect id="_x0000_s3509" style="position:absolute;left:8700;top:11305;width:575;height:161" filled="f" stroked="f">
                <v:textbox style="mso-next-textbox:#_x0000_s3509" inset="0,0,0,0">
                  <w:txbxContent>
                    <w:p w:rsidR="008A5877" w:rsidRDefault="008A5877">
                      <w:r>
                        <w:rPr>
                          <w:rFonts w:ascii="Arial Narrow" w:hAnsi="Arial Narrow" w:cs="Arial Narrow"/>
                          <w:color w:val="000000"/>
                          <w:sz w:val="14"/>
                          <w:szCs w:val="14"/>
                          <w:lang w:val="en-US"/>
                        </w:rPr>
                        <w:t>11,893,054</w:t>
                      </w:r>
                    </w:p>
                  </w:txbxContent>
                </v:textbox>
              </v:rect>
              <v:rect id="_x0000_s3510" style="position:absolute;left:809;top:11507;width:1200;height:161" filled="f" stroked="f">
                <v:textbox style="mso-next-textbox:#_x0000_s3510" inset="0,0,0,0">
                  <w:txbxContent>
                    <w:p w:rsidR="008A5877" w:rsidRDefault="008A5877">
                      <w:r>
                        <w:rPr>
                          <w:rFonts w:ascii="Arial Narrow" w:hAnsi="Arial Narrow" w:cs="Arial Narrow"/>
                          <w:color w:val="000000"/>
                          <w:sz w:val="14"/>
                          <w:szCs w:val="14"/>
                          <w:lang w:val="en-US"/>
                        </w:rPr>
                        <w:t>9. Bienestar Magisterial</w:t>
                      </w:r>
                    </w:p>
                  </w:txbxContent>
                </v:textbox>
              </v:rect>
              <v:rect id="_x0000_s3511" style="position:absolute;left:3997;top:11507;width:416;height:161" filled="f" stroked="f">
                <v:textbox style="mso-next-textbox:#_x0000_s3511" inset="0,0,0,0">
                  <w:txbxContent>
                    <w:p w:rsidR="008A5877" w:rsidRDefault="008A5877">
                      <w:r>
                        <w:rPr>
                          <w:rFonts w:ascii="Arial Narrow" w:hAnsi="Arial Narrow" w:cs="Arial Narrow"/>
                          <w:color w:val="000000"/>
                          <w:sz w:val="14"/>
                          <w:szCs w:val="14"/>
                          <w:lang w:val="en-US"/>
                        </w:rPr>
                        <w:t>517,629</w:t>
                      </w:r>
                    </w:p>
                  </w:txbxContent>
                </v:textbox>
              </v:rect>
              <v:rect id="_x0000_s3512" style="position:absolute;left:4834;top:11507;width:416;height:161" filled="f" stroked="f">
                <v:textbox style="mso-next-textbox:#_x0000_s3512" inset="0,0,0,0">
                  <w:txbxContent>
                    <w:p w:rsidR="008A5877" w:rsidRDefault="008A5877">
                      <w:r>
                        <w:rPr>
                          <w:rFonts w:ascii="Arial Narrow" w:hAnsi="Arial Narrow" w:cs="Arial Narrow"/>
                          <w:color w:val="000000"/>
                          <w:sz w:val="14"/>
                          <w:szCs w:val="14"/>
                          <w:lang w:val="en-US"/>
                        </w:rPr>
                        <w:t>216,193</w:t>
                      </w:r>
                    </w:p>
                  </w:txbxContent>
                </v:textbox>
              </v:rect>
              <v:rect id="_x0000_s3513" style="position:absolute;left:5641;top:11507;width:416;height:161" filled="f" stroked="f">
                <v:textbox style="mso-next-textbox:#_x0000_s3513" inset="0,0,0,0">
                  <w:txbxContent>
                    <w:p w:rsidR="008A5877" w:rsidRDefault="008A5877">
                      <w:r>
                        <w:rPr>
                          <w:rFonts w:ascii="Arial Narrow" w:hAnsi="Arial Narrow" w:cs="Arial Narrow"/>
                          <w:color w:val="000000"/>
                          <w:sz w:val="14"/>
                          <w:szCs w:val="14"/>
                          <w:lang w:val="en-US"/>
                        </w:rPr>
                        <w:t>114,178</w:t>
                      </w:r>
                    </w:p>
                  </w:txbxContent>
                </v:textbox>
              </v:rect>
              <v:rect id="_x0000_s3514" style="position:absolute;left:6418;top:11507;width:416;height:161" filled="f" stroked="f">
                <v:textbox style="mso-next-textbox:#_x0000_s3514" inset="0,0,0,0">
                  <w:txbxContent>
                    <w:p w:rsidR="008A5877" w:rsidRDefault="008A5877">
                      <w:r>
                        <w:rPr>
                          <w:rFonts w:ascii="Arial Narrow" w:hAnsi="Arial Narrow" w:cs="Arial Narrow"/>
                          <w:color w:val="000000"/>
                          <w:sz w:val="14"/>
                          <w:szCs w:val="14"/>
                          <w:lang w:val="en-US"/>
                        </w:rPr>
                        <w:t>187,258</w:t>
                      </w:r>
                    </w:p>
                  </w:txbxContent>
                </v:textbox>
              </v:rect>
              <v:rect id="_x0000_s3515" style="position:absolute;left:8779;top:11507;width:416;height:161" filled="f" stroked="f">
                <v:textbox style="mso-next-textbox:#_x0000_s3515" inset="0,0,0,0">
                  <w:txbxContent>
                    <w:p w:rsidR="008A5877" w:rsidRDefault="008A5877">
                      <w:r>
                        <w:rPr>
                          <w:rFonts w:ascii="Arial Narrow" w:hAnsi="Arial Narrow" w:cs="Arial Narrow"/>
                          <w:color w:val="000000"/>
                          <w:sz w:val="14"/>
                          <w:szCs w:val="14"/>
                          <w:lang w:val="en-US"/>
                        </w:rPr>
                        <w:t>517,629</w:t>
                      </w:r>
                    </w:p>
                  </w:txbxContent>
                </v:textbox>
              </v:rect>
              <v:rect id="_x0000_s3516" style="position:absolute;top:11708;width:817;height:161" filled="f" stroked="f">
                <v:textbox style="mso-next-textbox:#_x0000_s3516" inset="0,0,0,0">
                  <w:txbxContent>
                    <w:p w:rsidR="008A5877" w:rsidRDefault="008A5877">
                      <w:r>
                        <w:rPr>
                          <w:rFonts w:ascii="Arial Narrow" w:hAnsi="Arial Narrow" w:cs="Arial Narrow"/>
                          <w:b/>
                          <w:bCs/>
                          <w:sz w:val="14"/>
                          <w:szCs w:val="14"/>
                          <w:lang w:val="en-US"/>
                        </w:rPr>
                        <w:t>Total Año 2005</w:t>
                      </w:r>
                    </w:p>
                  </w:txbxContent>
                </v:textbox>
              </v:rect>
              <v:rect id="_x0000_s3517" style="position:absolute;left:3887;top:11708;width:639;height:161" filled="f" stroked="f">
                <v:textbox style="mso-next-textbox:#_x0000_s3517" inset="0,0,0,0">
                  <w:txbxContent>
                    <w:p w:rsidR="008A5877" w:rsidRDefault="008A5877">
                      <w:r>
                        <w:rPr>
                          <w:rFonts w:ascii="Arial Narrow" w:hAnsi="Arial Narrow" w:cs="Arial Narrow"/>
                          <w:b/>
                          <w:bCs/>
                          <w:sz w:val="14"/>
                          <w:szCs w:val="14"/>
                          <w:lang w:val="en-US"/>
                        </w:rPr>
                        <w:t>455,005,596</w:t>
                      </w:r>
                    </w:p>
                  </w:txbxContent>
                </v:textbox>
              </v:rect>
              <v:rect id="_x0000_s3518" style="position:absolute;left:4723;top:11708;width:639;height:161" filled="f" stroked="f">
                <v:textbox style="mso-next-textbox:#_x0000_s3518" inset="0,0,0,0">
                  <w:txbxContent>
                    <w:p w:rsidR="008A5877" w:rsidRDefault="008A5877">
                      <w:r>
                        <w:rPr>
                          <w:rFonts w:ascii="Arial Narrow" w:hAnsi="Arial Narrow" w:cs="Arial Narrow"/>
                          <w:b/>
                          <w:bCs/>
                          <w:sz w:val="14"/>
                          <w:szCs w:val="14"/>
                          <w:lang w:val="en-US"/>
                        </w:rPr>
                        <w:t>357,753,188</w:t>
                      </w:r>
                    </w:p>
                  </w:txbxContent>
                </v:textbox>
              </v:rect>
              <v:rect id="_x0000_s3519" style="position:absolute;left:5561;top:11708;width:575;height:161" filled="f" stroked="f">
                <v:textbox style="mso-next-textbox:#_x0000_s3519" inset="0,0,0,0">
                  <w:txbxContent>
                    <w:p w:rsidR="008A5877" w:rsidRDefault="008A5877">
                      <w:r>
                        <w:rPr>
                          <w:rFonts w:ascii="Arial Narrow" w:hAnsi="Arial Narrow" w:cs="Arial Narrow"/>
                          <w:b/>
                          <w:bCs/>
                          <w:sz w:val="14"/>
                          <w:szCs w:val="14"/>
                          <w:lang w:val="en-US"/>
                        </w:rPr>
                        <w:t>22,874,830</w:t>
                      </w:r>
                    </w:p>
                  </w:txbxContent>
                </v:textbox>
              </v:rect>
              <v:rect id="_x0000_s3520" style="position:absolute;left:6338;top:11708;width:575;height:161" filled="f" stroked="f">
                <v:textbox style="mso-next-textbox:#_x0000_s3520" inset="0,0,0,0">
                  <w:txbxContent>
                    <w:p w:rsidR="008A5877" w:rsidRDefault="008A5877">
                      <w:r>
                        <w:rPr>
                          <w:rFonts w:ascii="Arial Narrow" w:hAnsi="Arial Narrow" w:cs="Arial Narrow"/>
                          <w:b/>
                          <w:bCs/>
                          <w:sz w:val="14"/>
                          <w:szCs w:val="14"/>
                          <w:lang w:val="en-US"/>
                        </w:rPr>
                        <w:t>74,377,578</w:t>
                      </w:r>
                    </w:p>
                  </w:txbxContent>
                </v:textbox>
              </v:rect>
              <v:rect id="_x0000_s3521" style="position:absolute;left:7147;top:11708;width:511;height:161" filled="f" stroked="f">
                <v:textbox style="mso-next-textbox:#_x0000_s3521" inset="0,0,0,0">
                  <w:txbxContent>
                    <w:p w:rsidR="008A5877" w:rsidRDefault="008A5877">
                      <w:r>
                        <w:rPr>
                          <w:rFonts w:ascii="Arial Narrow" w:hAnsi="Arial Narrow" w:cs="Arial Narrow"/>
                          <w:b/>
                          <w:bCs/>
                          <w:sz w:val="14"/>
                          <w:szCs w:val="14"/>
                          <w:lang w:val="en-US"/>
                        </w:rPr>
                        <w:t>1,625,914</w:t>
                      </w:r>
                    </w:p>
                  </w:txbxContent>
                </v:textbox>
              </v:rect>
              <v:rect id="_x0000_s3522" style="position:absolute;left:7893;top:11708;width:575;height:161" filled="f" stroked="f">
                <v:textbox style="mso-next-textbox:#_x0000_s3522" inset="0,0,0,0">
                  <w:txbxContent>
                    <w:p w:rsidR="008A5877" w:rsidRDefault="008A5877">
                      <w:r>
                        <w:rPr>
                          <w:rFonts w:ascii="Arial Narrow" w:hAnsi="Arial Narrow" w:cs="Arial Narrow"/>
                          <w:b/>
                          <w:bCs/>
                          <w:sz w:val="14"/>
                          <w:szCs w:val="14"/>
                          <w:lang w:val="en-US"/>
                        </w:rPr>
                        <w:t>44,698,367</w:t>
                      </w:r>
                    </w:p>
                  </w:txbxContent>
                </v:textbox>
              </v:rect>
              <v:rect id="_x0000_s3523" style="position:absolute;left:8669;top:11708;width:639;height:161" filled="f" stroked="f">
                <v:textbox style="mso-next-textbox:#_x0000_s3523" inset="0,0,0,0">
                  <w:txbxContent>
                    <w:p w:rsidR="008A5877" w:rsidRDefault="008A5877">
                      <w:r>
                        <w:rPr>
                          <w:rFonts w:ascii="Arial Narrow" w:hAnsi="Arial Narrow" w:cs="Arial Narrow"/>
                          <w:b/>
                          <w:bCs/>
                          <w:sz w:val="14"/>
                          <w:szCs w:val="14"/>
                          <w:lang w:val="en-US"/>
                        </w:rPr>
                        <w:t>501,329,877</w:t>
                      </w:r>
                    </w:p>
                  </w:txbxContent>
                </v:textbox>
              </v:rect>
              <v:rect id="_x0000_s3524" style="position:absolute;left:277;top:8382;width:256;height:161" filled="f" stroked="f">
                <v:textbox style="mso-next-textbox:#_x0000_s3524" inset="0,0,0,0">
                  <w:txbxContent>
                    <w:p w:rsidR="008A5877" w:rsidRDefault="008A5877">
                      <w:r>
                        <w:rPr>
                          <w:rFonts w:ascii="Arial Narrow" w:hAnsi="Arial Narrow" w:cs="Arial Narrow"/>
                          <w:color w:val="000000"/>
                          <w:sz w:val="14"/>
                          <w:szCs w:val="14"/>
                          <w:lang w:val="en-US"/>
                        </w:rPr>
                        <w:t>2004</w:t>
                      </w:r>
                    </w:p>
                  </w:txbxContent>
                </v:textbox>
              </v:rect>
              <v:rect id="_x0000_s3525" style="position:absolute;left:277;top:10599;width:256;height:161" filled="f" stroked="f">
                <v:textbox style="mso-next-textbox:#_x0000_s3525" inset="0,0,0,0">
                  <w:txbxContent>
                    <w:p w:rsidR="008A5877" w:rsidRDefault="008A5877">
                      <w:r>
                        <w:rPr>
                          <w:rFonts w:ascii="Arial Narrow" w:hAnsi="Arial Narrow" w:cs="Arial Narrow"/>
                          <w:color w:val="000000"/>
                          <w:sz w:val="14"/>
                          <w:szCs w:val="14"/>
                          <w:lang w:val="en-US"/>
                        </w:rPr>
                        <w:t>2005</w:t>
                      </w:r>
                    </w:p>
                  </w:txbxContent>
                </v:textbox>
              </v:rect>
              <v:rect id="_x0000_s3526" style="position:absolute;left:277;top:1834;width:256;height:161" filled="f" stroked="f">
                <v:textbox style="mso-next-textbox:#_x0000_s3526" inset="0,0,0,0">
                  <w:txbxContent>
                    <w:p w:rsidR="008A5877" w:rsidRDefault="008A5877">
                      <w:r>
                        <w:rPr>
                          <w:rFonts w:ascii="Arial Narrow" w:hAnsi="Arial Narrow" w:cs="Arial Narrow"/>
                          <w:color w:val="000000"/>
                          <w:sz w:val="14"/>
                          <w:szCs w:val="14"/>
                          <w:lang w:val="en-US"/>
                        </w:rPr>
                        <w:t>2001</w:t>
                      </w:r>
                    </w:p>
                  </w:txbxContent>
                </v:textbox>
              </v:rect>
              <v:rect id="_x0000_s3527" style="position:absolute;left:277;top:3949;width:256;height:161" filled="f" stroked="f">
                <v:textbox style="mso-next-textbox:#_x0000_s3527" inset="0,0,0,0">
                  <w:txbxContent>
                    <w:p w:rsidR="008A5877" w:rsidRDefault="008A5877">
                      <w:r>
                        <w:rPr>
                          <w:rFonts w:ascii="Arial Narrow" w:hAnsi="Arial Narrow" w:cs="Arial Narrow"/>
                          <w:color w:val="000000"/>
                          <w:sz w:val="14"/>
                          <w:szCs w:val="14"/>
                          <w:lang w:val="en-US"/>
                        </w:rPr>
                        <w:t>2002</w:t>
                      </w:r>
                    </w:p>
                  </w:txbxContent>
                </v:textbox>
              </v:rect>
              <v:rect id="_x0000_s3528" style="position:absolute;left:277;top:6166;width:256;height:161" filled="f" stroked="f">
                <v:textbox style="mso-next-textbox:#_x0000_s3528" inset="0,0,0,0">
                  <w:txbxContent>
                    <w:p w:rsidR="008A5877" w:rsidRDefault="008A5877">
                      <w:r>
                        <w:rPr>
                          <w:rFonts w:ascii="Arial Narrow" w:hAnsi="Arial Narrow" w:cs="Arial Narrow"/>
                          <w:color w:val="000000"/>
                          <w:sz w:val="14"/>
                          <w:szCs w:val="14"/>
                          <w:lang w:val="en-US"/>
                        </w:rPr>
                        <w:t>2003</w:t>
                      </w:r>
                    </w:p>
                  </w:txbxContent>
                </v:textbox>
              </v:rect>
              <v:line id="_x0000_s3529" style="position:absolute" from="0,0" to="1,202" strokeweight="0"/>
              <v:rect id="_x0000_s3530" style="position:absolute;width:15;height:202" fillcolor="black" stroked="f"/>
              <v:line id="_x0000_s3531" style="position:absolute" from="3787,15" to="3788,202" strokeweight="0"/>
              <v:rect id="_x0000_s3532" style="position:absolute;left:3787;top:15;width:15;height:187" fillcolor="black" stroked="f"/>
              <v:line id="_x0000_s3533" style="position:absolute" from="4623,15" to="4624,202" strokeweight="0"/>
              <v:rect id="_x0000_s3534" style="position:absolute;left:4623;top:15;width:15;height:187" fillcolor="black" stroked="f"/>
              <v:line id="_x0000_s3535" style="position:absolute" from="9405,15" to="9406,202" strokeweight="0"/>
              <v:rect id="_x0000_s3536" style="position:absolute;left:9405;top:15;width:15;height:187" fillcolor="black" stroked="f"/>
              <v:line id="_x0000_s3537" style="position:absolute" from="0,202" to="1,2836" strokeweight="0"/>
              <v:rect id="_x0000_s3538" style="position:absolute;top:202;width:15;height:2634" fillcolor="black" stroked="f"/>
              <v:line id="_x0000_s3539" style="position:absolute" from="777,216" to="778,2836" strokeweight="0"/>
              <v:rect id="_x0000_s3540" style="position:absolute;left:777;top:216;width:15;height:2620" fillcolor="black" stroked="f"/>
              <v:line id="_x0000_s3541" style="position:absolute" from="0,3023" to="1,5053" strokeweight="0"/>
              <v:rect id="_x0000_s3542" style="position:absolute;top:3023;width:15;height:2030" fillcolor="black" stroked="f"/>
              <v:line id="_x0000_s3543" style="position:absolute" from="777,3037" to="778,5053" strokeweight="0"/>
              <v:rect id="_x0000_s3544" style="position:absolute;left:777;top:3037;width:15;height:2016" fillcolor="black" stroked="f"/>
              <v:line id="_x0000_s3545" style="position:absolute" from="0,5239" to="1,7269" strokeweight="0"/>
              <v:rect id="_x0000_s3546" style="position:absolute;top:5239;width:15;height:2030" fillcolor="black" stroked="f"/>
              <v:line id="_x0000_s3547" style="position:absolute" from="777,5254" to="778,7269" strokeweight="0"/>
              <v:rect id="_x0000_s3548" style="position:absolute;left:777;top:5254;width:15;height:2015" fillcolor="black" stroked="f"/>
              <v:line id="_x0000_s3549" style="position:absolute" from="0,7456" to="1,9486" strokeweight="0"/>
              <v:rect id="_x0000_s3550" style="position:absolute;top:7456;width:15;height:2030" fillcolor="black" stroked="f"/>
              <v:line id="_x0000_s3551" style="position:absolute" from="777,7471" to="778,9486" strokeweight="0"/>
              <v:rect id="_x0000_s3552" style="position:absolute;left:777;top:7471;width:15;height:2015" fillcolor="black" stroked="f"/>
              <v:line id="_x0000_s3553" style="position:absolute" from="0,9673" to="1,11703" strokeweight="0"/>
              <v:rect id="_x0000_s3554" style="position:absolute;top:9673;width:15;height:2030" fillcolor="black" stroked="f"/>
              <v:line id="_x0000_s3555" style="position:absolute" from="777,9687" to="778,11703" strokeweight="0"/>
              <v:rect id="_x0000_s3556" style="position:absolute;left:777;top:9687;width:15;height:2016" fillcolor="black" stroked="f"/>
              <v:line id="_x0000_s3557" style="position:absolute" from="3787,216" to="3788,11904" strokeweight="0"/>
              <v:rect id="_x0000_s3558" style="position:absolute;left:3787;top:216;width:15;height:11688" fillcolor="black" stroked="f"/>
              <v:line id="_x0000_s3559" style="position:absolute" from="4623,216" to="4624,11904" strokeweight="0"/>
              <v:rect id="_x0000_s3560" style="position:absolute;left:4623;top:216;width:15;height:11688" fillcolor="black" stroked="f"/>
              <v:line id="_x0000_s3561" style="position:absolute" from="5460,216" to="5461,11904" strokeweight="0"/>
              <v:rect id="_x0000_s3562" style="position:absolute;left:5460;top:216;width:14;height:11688" fillcolor="black" stroked="f"/>
              <v:line id="_x0000_s3563" style="position:absolute" from="6237,216" to="6238,11904" strokeweight="0"/>
              <v:rect id="_x0000_s3564" style="position:absolute;left:6237;top:216;width:15;height:11688" fillcolor="black" stroked="f"/>
              <v:line id="_x0000_s3565" style="position:absolute" from="7014,216" to="7015,11904" strokeweight="0"/>
              <v:rect id="_x0000_s3566" style="position:absolute;left:7014;top:216;width:15;height:11688" fillcolor="black" stroked="f"/>
              <v:line id="_x0000_s3567" style="position:absolute" from="7792,216" to="7793,11904" strokeweight="0"/>
              <v:rect id="_x0000_s3568" style="position:absolute;left:7792;top:216;width:14;height:11688" fillcolor="black" stroked="f"/>
              <v:line id="_x0000_s3569" style="position:absolute" from="8569,216" to="8570,11904" strokeweight="0"/>
              <v:rect id="_x0000_s3570" style="position:absolute;left:8569;top:216;width:15;height:11688" fillcolor="black" stroked="f"/>
              <v:line id="_x0000_s3571" style="position:absolute" from="9405,216" to="9406,11904" strokeweight="0"/>
              <v:rect id="_x0000_s3572" style="position:absolute;left:9405;top:216;width:15;height:11688" fillcolor="black" stroked="f"/>
              <v:line id="_x0000_s3573" style="position:absolute" from="15,0" to="9420,1" strokeweight="0"/>
              <v:rect id="_x0000_s3574" style="position:absolute;left:15;width:9405;height:15" fillcolor="black" stroked="f"/>
              <v:line id="_x0000_s3575" style="position:absolute" from="15,202" to="9420,203" strokeweight="0"/>
              <v:rect id="_x0000_s3576" style="position:absolute;left:15;top:202;width:9405;height:14" fillcolor="black" stroked="f"/>
              <v:line id="_x0000_s3577" style="position:absolute" from="15,1008" to="9420,1009" strokeweight="0"/>
              <v:rect id="_x0000_s3578" style="position:absolute;left:15;top:1008;width:9405;height:14" fillcolor="black" stroked="f"/>
              <v:line id="_x0000_s3579" style="position:absolute" from="792,1411" to="9420,1412" strokeweight="0"/>
              <v:rect id="_x0000_s3580" style="position:absolute;left:792;top:1411;width:8628;height:14" fillcolor="black" stroked="f"/>
            </v:group>
            <v:line id="_x0000_s3582" style="position:absolute" from="792,1612" to="9420,1613" strokeweight="0"/>
            <v:rect id="_x0000_s3583" style="position:absolute;left:792;top:1612;width:8628;height:15" fillcolor="black" stroked="f"/>
            <v:line id="_x0000_s3584" style="position:absolute" from="792,1814" to="9420,1815" strokeweight="0"/>
            <v:rect id="_x0000_s3585" style="position:absolute;left:792;top:1814;width:8628;height:14" fillcolor="black" stroked="f"/>
            <v:line id="_x0000_s3586" style="position:absolute" from="792,2015" to="9420,2016" strokeweight="0"/>
            <v:rect id="_x0000_s3587" style="position:absolute;left:792;top:2015;width:8628;height:15" fillcolor="black" stroked="f"/>
            <v:line id="_x0000_s3588" style="position:absolute" from="792,2217" to="9420,2218" strokeweight="0"/>
            <v:rect id="_x0000_s3589" style="position:absolute;left:792;top:2217;width:8628;height:14" fillcolor="black" stroked="f"/>
            <v:line id="_x0000_s3590" style="position:absolute" from="792,2418" to="9420,2419" strokeweight="0"/>
            <v:rect id="_x0000_s3591" style="position:absolute;left:792;top:2418;width:8628;height:15" fillcolor="black" stroked="f"/>
            <v:line id="_x0000_s3592" style="position:absolute" from="792,2620" to="9420,2621" strokeweight="0"/>
            <v:rect id="_x0000_s3593" style="position:absolute;left:792;top:2620;width:8628;height:14" fillcolor="black" stroked="f"/>
            <v:line id="_x0000_s3594" style="position:absolute" from="15,2821" to="9420,2822" strokeweight="0"/>
            <v:rect id="_x0000_s3595" style="position:absolute;left:15;top:2821;width:9405;height:15" fillcolor="black" stroked="f"/>
            <v:line id="_x0000_s3596" style="position:absolute" from="15,3023" to="9420,3024" strokeweight="0"/>
            <v:rect id="_x0000_s3597" style="position:absolute;left:15;top:3023;width:9405;height:14" fillcolor="black" stroked="f"/>
            <v:line id="_x0000_s3598" style="position:absolute" from="792,3426" to="9420,3427" strokeweight="0"/>
            <v:rect id="_x0000_s3599" style="position:absolute;left:792;top:3426;width:8628;height:15" fillcolor="black" stroked="f"/>
            <v:line id="_x0000_s3600" style="position:absolute" from="792,3627" to="9420,3628" strokeweight="0"/>
            <v:rect id="_x0000_s3601" style="position:absolute;left:792;top:3627;width:8628;height:15" fillcolor="black" stroked="f"/>
            <v:line id="_x0000_s3602" style="position:absolute" from="792,3829" to="9420,3830" strokeweight="0"/>
            <v:rect id="_x0000_s3603" style="position:absolute;left:792;top:3829;width:8628;height:15" fillcolor="black" stroked="f"/>
            <v:line id="_x0000_s3604" style="position:absolute" from="792,4030" to="9420,4031" strokeweight="0"/>
            <v:rect id="_x0000_s3605" style="position:absolute;left:792;top:4030;width:8628;height:15" fillcolor="black" stroked="f"/>
            <v:line id="_x0000_s3606" style="position:absolute" from="792,4232" to="9420,4233" strokeweight="0"/>
            <v:rect id="_x0000_s3607" style="position:absolute;left:792;top:4232;width:8628;height:15" fillcolor="black" stroked="f"/>
            <v:line id="_x0000_s3608" style="position:absolute" from="792,4433" to="9420,4434" strokeweight="0"/>
            <v:rect id="_x0000_s3609" style="position:absolute;left:792;top:4433;width:8628;height:15" fillcolor="black" stroked="f"/>
            <v:line id="_x0000_s3610" style="position:absolute" from="792,4635" to="9420,4636" strokeweight="0"/>
            <v:rect id="_x0000_s3611" style="position:absolute;left:792;top:4635;width:8628;height:15" fillcolor="black" stroked="f"/>
            <v:line id="_x0000_s3612" style="position:absolute" from="792,4836" to="9420,4837" strokeweight="0"/>
            <v:rect id="_x0000_s3613" style="position:absolute;left:792;top:4836;width:8628;height:15" fillcolor="black" stroked="f"/>
            <v:line id="_x0000_s3614" style="position:absolute" from="15,5038" to="9420,5039" strokeweight="0"/>
            <v:rect id="_x0000_s3615" style="position:absolute;left:15;top:5038;width:9405;height:15" fillcolor="black" stroked="f"/>
            <v:line id="_x0000_s3616" style="position:absolute" from="15,5239" to="9420,5240" strokeweight="0"/>
            <v:rect id="_x0000_s3617" style="position:absolute;left:15;top:5239;width:9405;height:15" fillcolor="black" stroked="f"/>
            <v:line id="_x0000_s3618" style="position:absolute" from="792,5642" to="9420,5643" strokeweight="0"/>
            <v:rect id="_x0000_s3619" style="position:absolute;left:792;top:5642;width:8628;height:15" fillcolor="black" stroked="f"/>
            <v:line id="_x0000_s3620" style="position:absolute" from="792,5844" to="9420,5845" strokeweight="0"/>
            <v:rect id="_x0000_s3621" style="position:absolute;left:792;top:5844;width:8628;height:15" fillcolor="black" stroked="f"/>
            <v:line id="_x0000_s3622" style="position:absolute" from="792,6045" to="9420,6046" strokeweight="0"/>
            <v:rect id="_x0000_s3623" style="position:absolute;left:792;top:6045;width:8628;height:15" fillcolor="black" stroked="f"/>
            <v:line id="_x0000_s3624" style="position:absolute" from="792,6247" to="9420,6248" strokeweight="0"/>
            <v:rect id="_x0000_s3625" style="position:absolute;left:792;top:6247;width:8628;height:15" fillcolor="black" stroked="f"/>
            <v:line id="_x0000_s3626" style="position:absolute" from="792,6448" to="9420,6449" strokeweight="0"/>
            <v:rect id="_x0000_s3627" style="position:absolute;left:792;top:6448;width:8628;height:15" fillcolor="black" stroked="f"/>
            <v:line id="_x0000_s3628" style="position:absolute" from="792,6650" to="9420,6651" strokeweight="0"/>
            <v:rect id="_x0000_s3629" style="position:absolute;left:792;top:6650;width:8628;height:15" fillcolor="black" stroked="f"/>
            <v:line id="_x0000_s3630" style="position:absolute" from="792,6851" to="9420,6852" strokeweight="0"/>
            <v:rect id="_x0000_s3631" style="position:absolute;left:792;top:6851;width:8628;height:15" fillcolor="black" stroked="f"/>
            <v:line id="_x0000_s3632" style="position:absolute" from="792,7053" to="9420,7054" strokeweight="0"/>
            <v:rect id="_x0000_s3633" style="position:absolute;left:792;top:7053;width:8628;height:15" fillcolor="black" stroked="f"/>
            <v:line id="_x0000_s3634" style="position:absolute" from="15,7254" to="9420,7255" strokeweight="0"/>
            <v:rect id="_x0000_s3635" style="position:absolute;left:15;top:7254;width:9405;height:15" fillcolor="black" stroked="f"/>
            <v:line id="_x0000_s3636" style="position:absolute" from="15,7456" to="9420,7457" strokeweight="0"/>
            <v:rect id="_x0000_s3637" style="position:absolute;left:15;top:7456;width:9405;height:15" fillcolor="black" stroked="f"/>
            <v:line id="_x0000_s3638" style="position:absolute" from="792,7859" to="9420,7860" strokeweight="0"/>
            <v:rect id="_x0000_s3639" style="position:absolute;left:792;top:7859;width:8628;height:15" fillcolor="black" stroked="f"/>
            <v:line id="_x0000_s3640" style="position:absolute" from="792,8061" to="9420,8062" strokeweight="0"/>
            <v:rect id="_x0000_s3641" style="position:absolute;left:792;top:8061;width:8628;height:14" fillcolor="black" stroked="f"/>
            <v:line id="_x0000_s3642" style="position:absolute" from="792,8262" to="9420,8263" strokeweight="0"/>
            <v:rect id="_x0000_s3643" style="position:absolute;left:792;top:8262;width:8628;height:15" fillcolor="black" stroked="f"/>
            <v:line id="_x0000_s3644" style="position:absolute" from="792,8464" to="9420,8465" strokeweight="0"/>
            <v:rect id="_x0000_s3645" style="position:absolute;left:792;top:8464;width:8628;height:14" fillcolor="black" stroked="f"/>
            <v:line id="_x0000_s3646" style="position:absolute" from="792,8665" to="9420,8666" strokeweight="0"/>
            <v:rect id="_x0000_s3647" style="position:absolute;left:792;top:8665;width:8628;height:15" fillcolor="black" stroked="f"/>
            <v:line id="_x0000_s3648" style="position:absolute" from="792,8867" to="9420,8868" strokeweight="0"/>
            <v:rect id="_x0000_s3649" style="position:absolute;left:792;top:8867;width:8628;height:14" fillcolor="black" stroked="f"/>
            <v:line id="_x0000_s3650" style="position:absolute" from="792,9068" to="9420,9069" strokeweight="0"/>
            <v:rect id="_x0000_s3651" style="position:absolute;left:792;top:9068;width:8628;height:15" fillcolor="black" stroked="f"/>
            <v:line id="_x0000_s3652" style="position:absolute" from="792,9270" to="9420,9271" strokeweight="0"/>
            <v:rect id="_x0000_s3653" style="position:absolute;left:792;top:9270;width:8628;height:14" fillcolor="black" stroked="f"/>
            <v:line id="_x0000_s3654" style="position:absolute" from="15,9471" to="9420,9472" strokeweight="0"/>
            <v:rect id="_x0000_s3655" style="position:absolute;left:15;top:9471;width:9405;height:15" fillcolor="black" stroked="f"/>
            <v:line id="_x0000_s3656" style="position:absolute" from="15,9673" to="9420,9674" strokeweight="0"/>
            <v:rect id="_x0000_s3657" style="position:absolute;left:15;top:9673;width:9405;height:14" fillcolor="black" stroked="f"/>
            <v:line id="_x0000_s3658" style="position:absolute" from="792,10076" to="9420,10077" strokeweight="0"/>
            <v:rect id="_x0000_s3659" style="position:absolute;left:792;top:10076;width:8628;height:14" fillcolor="black" stroked="f"/>
            <v:line id="_x0000_s3660" style="position:absolute" from="792,10277" to="9420,10278" strokeweight="0"/>
            <v:rect id="_x0000_s3661" style="position:absolute;left:792;top:10277;width:8628;height:15" fillcolor="black" stroked="f"/>
            <v:line id="_x0000_s3662" style="position:absolute" from="792,10479" to="9420,10480" strokeweight="0"/>
            <v:rect id="_x0000_s3663" style="position:absolute;left:792;top:10479;width:8628;height:14" fillcolor="black" stroked="f"/>
            <v:line id="_x0000_s3664" style="position:absolute" from="792,10680" to="9420,10681" strokeweight="0"/>
            <v:rect id="_x0000_s3665" style="position:absolute;left:792;top:10680;width:8628;height:15" fillcolor="black" stroked="f"/>
            <v:line id="_x0000_s3666" style="position:absolute" from="792,10882" to="9420,10883" strokeweight="0"/>
            <v:rect id="_x0000_s3667" style="position:absolute;left:792;top:10882;width:8628;height:15" fillcolor="black" stroked="f"/>
            <v:line id="_x0000_s3668" style="position:absolute" from="792,11083" to="9420,11084" strokeweight="0"/>
            <v:rect id="_x0000_s3669" style="position:absolute;left:792;top:11083;width:8628;height:15" fillcolor="black" stroked="f"/>
            <v:line id="_x0000_s3670" style="position:absolute" from="792,11285" to="9420,11286" strokeweight="0"/>
            <v:rect id="_x0000_s3671" style="position:absolute;left:792;top:11285;width:8628;height:15" fillcolor="black" stroked="f"/>
            <v:line id="_x0000_s3672" style="position:absolute" from="792,11486" to="9420,11487" strokeweight="0"/>
            <v:rect id="_x0000_s3673" style="position:absolute;left:792;top:11486;width:8628;height:15" fillcolor="black" stroked="f"/>
            <v:line id="_x0000_s3674" style="position:absolute" from="15,11688" to="9420,11689" strokeweight="0"/>
            <v:rect id="_x0000_s3675" style="position:absolute;left:15;top:11688;width:9405;height:15" fillcolor="black" stroked="f"/>
            <v:line id="_x0000_s3676" style="position:absolute" from="7,11889" to="9420,11890" strokeweight="0"/>
            <v:rect id="_x0000_s3677" style="position:absolute;left:7;top:11889;width:9413;height:15" fillcolor="black" stroked="f"/>
            <w10:anchorlock/>
          </v:group>
        </w:pict>
      </w:r>
    </w:p>
    <w:p w:rsidR="00CD2A5A" w:rsidRDefault="00CD2A5A">
      <w:pPr>
        <w:pStyle w:val="Source"/>
        <w:rPr>
          <w:sz w:val="18"/>
          <w:szCs w:val="18"/>
          <w:lang w:val="es-ES_tradnl"/>
        </w:rPr>
      </w:pPr>
      <w:r>
        <w:rPr>
          <w:i/>
          <w:sz w:val="18"/>
          <w:szCs w:val="18"/>
          <w:lang w:val="es-ES_tradnl"/>
        </w:rPr>
        <w:t>Fuente</w:t>
      </w:r>
      <w:r>
        <w:rPr>
          <w:sz w:val="18"/>
          <w:szCs w:val="18"/>
          <w:lang w:val="es-ES_tradnl"/>
        </w:rPr>
        <w:t>: MINED. Es importante hacer la salvedad que en el período de 2002 a 2003, en la columna de inversión en préstamos, está incluida la donación de Apoyo al Proceso de Reforma de la Educación Media en el Área Técnica (APREMAT), que apoyó a la educación media-técnica, dentro del nivel educativo de educación media. Para el año 2002, fue de 2.694.962,8 dólares y para el año 2003, se reportó 2.086.242,5.</w:t>
      </w:r>
    </w:p>
    <w:p w:rsidR="00CD2A5A" w:rsidRDefault="00CD2A5A">
      <w:pPr>
        <w:pStyle w:val="I"/>
      </w:pPr>
      <w:r>
        <w:rPr>
          <w:lang w:val="es-ES_tradnl"/>
        </w:rPr>
        <w:br w:type="page"/>
      </w:r>
      <w:r>
        <w:t>ANEXO XV</w:t>
      </w:r>
    </w:p>
    <w:p w:rsidR="00CD2A5A" w:rsidRDefault="00CD2A5A" w:rsidP="00CD2A5A">
      <w:pPr>
        <w:pStyle w:val="Figure"/>
      </w:pPr>
      <w:r>
        <w:t>AULAS ALTERNATIVAS</w:t>
      </w:r>
    </w:p>
    <w:p w:rsidR="00CD2A5A" w:rsidRDefault="00CD2A5A" w:rsidP="00CD2A5A">
      <w:pPr>
        <w:pStyle w:val="Figure"/>
        <w:rPr>
          <w:u w:val="single"/>
        </w:rPr>
      </w:pPr>
      <w:r>
        <w:t>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445"/>
        <w:gridCol w:w="4967"/>
      </w:tblGrid>
      <w:tr w:rsidR="00CD2A5A">
        <w:trPr>
          <w:jc w:val="center"/>
        </w:trPr>
        <w:tc>
          <w:tcPr>
            <w:tcW w:w="3060" w:type="dxa"/>
            <w:vAlign w:val="center"/>
          </w:tcPr>
          <w:p w:rsidR="00CD2A5A" w:rsidRDefault="00CD2A5A">
            <w:pPr>
              <w:pStyle w:val="Title"/>
              <w:spacing w:before="40" w:after="40"/>
              <w:rPr>
                <w:rFonts w:ascii="Times New Roman" w:hAnsi="Times New Roman" w:cs="Times New Roman"/>
                <w:i/>
                <w:sz w:val="20"/>
                <w:szCs w:val="20"/>
              </w:rPr>
            </w:pPr>
            <w:r>
              <w:rPr>
                <w:rFonts w:ascii="Times New Roman" w:hAnsi="Times New Roman" w:cs="Times New Roman"/>
                <w:i/>
                <w:sz w:val="20"/>
                <w:szCs w:val="20"/>
              </w:rPr>
              <w:t>Centros Escolares</w:t>
            </w:r>
          </w:p>
        </w:tc>
        <w:tc>
          <w:tcPr>
            <w:tcW w:w="3420" w:type="dxa"/>
            <w:vAlign w:val="center"/>
          </w:tcPr>
          <w:p w:rsidR="00CD2A5A" w:rsidRDefault="00CD2A5A">
            <w:pPr>
              <w:pStyle w:val="Title"/>
              <w:spacing w:before="40" w:after="40"/>
              <w:rPr>
                <w:rFonts w:ascii="Times New Roman" w:hAnsi="Times New Roman" w:cs="Times New Roman"/>
                <w:i/>
                <w:sz w:val="20"/>
                <w:szCs w:val="20"/>
              </w:rPr>
            </w:pPr>
            <w:r>
              <w:rPr>
                <w:rFonts w:ascii="Times New Roman" w:hAnsi="Times New Roman" w:cs="Times New Roman"/>
                <w:i/>
                <w:sz w:val="20"/>
                <w:szCs w:val="20"/>
              </w:rPr>
              <w:t>N.º de Estudiantes</w:t>
            </w:r>
          </w:p>
        </w:tc>
      </w:tr>
      <w:tr w:rsidR="00CD2A5A">
        <w:trPr>
          <w:jc w:val="center"/>
        </w:trPr>
        <w:tc>
          <w:tcPr>
            <w:tcW w:w="3060" w:type="dxa"/>
          </w:tcPr>
          <w:p w:rsidR="00CD2A5A" w:rsidRDefault="00CD2A5A">
            <w:pPr>
              <w:pStyle w:val="Title"/>
              <w:spacing w:before="40" w:after="40"/>
              <w:rPr>
                <w:rFonts w:ascii="Times New Roman" w:hAnsi="Times New Roman" w:cs="Times New Roman"/>
                <w:sz w:val="20"/>
                <w:szCs w:val="20"/>
              </w:rPr>
            </w:pPr>
            <w:r>
              <w:rPr>
                <w:rFonts w:ascii="Times New Roman" w:hAnsi="Times New Roman" w:cs="Times New Roman"/>
                <w:sz w:val="20"/>
                <w:szCs w:val="20"/>
              </w:rPr>
              <w:t>973</w:t>
            </w:r>
          </w:p>
        </w:tc>
        <w:tc>
          <w:tcPr>
            <w:tcW w:w="3420" w:type="dxa"/>
          </w:tcPr>
          <w:p w:rsidR="00CD2A5A" w:rsidRDefault="00CD2A5A">
            <w:pPr>
              <w:pStyle w:val="Title"/>
              <w:spacing w:before="40" w:after="40"/>
              <w:rPr>
                <w:rFonts w:ascii="Times New Roman" w:hAnsi="Times New Roman" w:cs="Times New Roman"/>
                <w:sz w:val="20"/>
                <w:szCs w:val="20"/>
              </w:rPr>
            </w:pPr>
            <w:r>
              <w:rPr>
                <w:rFonts w:ascii="Times New Roman" w:hAnsi="Times New Roman" w:cs="Times New Roman"/>
                <w:sz w:val="20"/>
                <w:szCs w:val="20"/>
              </w:rPr>
              <w:t>29.220</w:t>
            </w:r>
          </w:p>
        </w:tc>
      </w:tr>
    </w:tbl>
    <w:p w:rsidR="00CD2A5A" w:rsidRDefault="00CD2A5A">
      <w:pPr>
        <w:spacing w:after="240"/>
        <w:rPr>
          <w:b/>
          <w:bCs/>
        </w:rPr>
      </w:pPr>
    </w:p>
    <w:p w:rsidR="00CD2A5A" w:rsidRDefault="00CD2A5A" w:rsidP="00CD2A5A">
      <w:pPr>
        <w:pStyle w:val="Figure"/>
      </w:pPr>
      <w:r>
        <w:t>2005</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539"/>
        <w:gridCol w:w="2936"/>
        <w:gridCol w:w="2937"/>
      </w:tblGrid>
      <w:tr w:rsidR="00CD2A5A">
        <w:tblPrEx>
          <w:tblCellMar>
            <w:top w:w="0" w:type="dxa"/>
            <w:bottom w:w="0" w:type="dxa"/>
          </w:tblCellMar>
        </w:tblPrEx>
        <w:trPr>
          <w:trHeight w:val="630"/>
          <w:jc w:val="center"/>
        </w:trPr>
        <w:tc>
          <w:tcPr>
            <w:tcW w:w="3539" w:type="dxa"/>
            <w:vAlign w:val="center"/>
          </w:tcPr>
          <w:p w:rsidR="00CD2A5A" w:rsidRDefault="00CD2A5A">
            <w:pPr>
              <w:pStyle w:val="Title"/>
              <w:spacing w:before="40" w:after="40"/>
              <w:jc w:val="both"/>
              <w:rPr>
                <w:rFonts w:ascii="Times New Roman" w:hAnsi="Times New Roman" w:cs="Times New Roman"/>
                <w:i/>
                <w:sz w:val="20"/>
                <w:szCs w:val="20"/>
              </w:rPr>
            </w:pPr>
            <w:r>
              <w:rPr>
                <w:rFonts w:ascii="Times New Roman" w:hAnsi="Times New Roman" w:cs="Times New Roman"/>
                <w:i/>
                <w:sz w:val="20"/>
                <w:szCs w:val="20"/>
              </w:rPr>
              <w:t>Ubicación</w:t>
            </w:r>
          </w:p>
        </w:tc>
        <w:tc>
          <w:tcPr>
            <w:tcW w:w="2936" w:type="dxa"/>
            <w:vAlign w:val="center"/>
          </w:tcPr>
          <w:p w:rsidR="00CD2A5A" w:rsidRDefault="00CD2A5A">
            <w:pPr>
              <w:pStyle w:val="Title"/>
              <w:spacing w:before="40" w:after="40"/>
              <w:jc w:val="both"/>
              <w:rPr>
                <w:rFonts w:ascii="Times New Roman" w:hAnsi="Times New Roman" w:cs="Times New Roman"/>
                <w:i/>
                <w:sz w:val="20"/>
                <w:szCs w:val="20"/>
              </w:rPr>
            </w:pPr>
            <w:r>
              <w:rPr>
                <w:rFonts w:ascii="Times New Roman" w:hAnsi="Times New Roman" w:cs="Times New Roman"/>
                <w:i/>
                <w:sz w:val="20"/>
                <w:szCs w:val="20"/>
              </w:rPr>
              <w:t>Número de Centros Educativos</w:t>
            </w:r>
          </w:p>
        </w:tc>
        <w:tc>
          <w:tcPr>
            <w:tcW w:w="2937" w:type="dxa"/>
            <w:vAlign w:val="center"/>
          </w:tcPr>
          <w:p w:rsidR="00CD2A5A" w:rsidRDefault="00CD2A5A">
            <w:pPr>
              <w:pStyle w:val="Title"/>
              <w:spacing w:before="40" w:after="40"/>
              <w:rPr>
                <w:rFonts w:ascii="Times New Roman" w:hAnsi="Times New Roman" w:cs="Times New Roman"/>
                <w:i/>
                <w:sz w:val="20"/>
                <w:szCs w:val="20"/>
              </w:rPr>
            </w:pPr>
            <w:r>
              <w:rPr>
                <w:rFonts w:ascii="Times New Roman" w:hAnsi="Times New Roman" w:cs="Times New Roman"/>
                <w:i/>
                <w:sz w:val="20"/>
                <w:szCs w:val="20"/>
              </w:rPr>
              <w:t>Total matrícula</w:t>
            </w:r>
          </w:p>
        </w:tc>
      </w:tr>
      <w:tr w:rsidR="00CD2A5A">
        <w:tblPrEx>
          <w:tblCellMar>
            <w:top w:w="0" w:type="dxa"/>
            <w:bottom w:w="0" w:type="dxa"/>
          </w:tblCellMar>
        </w:tblPrEx>
        <w:trPr>
          <w:jc w:val="center"/>
        </w:trPr>
        <w:tc>
          <w:tcPr>
            <w:tcW w:w="3539" w:type="dxa"/>
          </w:tcPr>
          <w:p w:rsidR="00CD2A5A" w:rsidRDefault="00CD2A5A">
            <w:pPr>
              <w:spacing w:before="40" w:after="40"/>
              <w:rPr>
                <w:b/>
                <w:sz w:val="20"/>
                <w:szCs w:val="20"/>
              </w:rPr>
            </w:pPr>
            <w:r>
              <w:rPr>
                <w:b/>
                <w:sz w:val="20"/>
                <w:szCs w:val="20"/>
              </w:rPr>
              <w:t>Fuera de ree.</w:t>
            </w:r>
          </w:p>
        </w:tc>
        <w:tc>
          <w:tcPr>
            <w:tcW w:w="2936" w:type="dxa"/>
          </w:tcPr>
          <w:p w:rsidR="00CD2A5A" w:rsidRDefault="00CD2A5A">
            <w:pPr>
              <w:spacing w:before="40" w:after="40"/>
              <w:ind w:right="1018"/>
              <w:jc w:val="right"/>
              <w:rPr>
                <w:b/>
                <w:sz w:val="20"/>
                <w:szCs w:val="20"/>
              </w:rPr>
            </w:pPr>
            <w:r>
              <w:rPr>
                <w:b/>
                <w:sz w:val="20"/>
                <w:szCs w:val="20"/>
              </w:rPr>
              <w:t>973</w:t>
            </w:r>
          </w:p>
        </w:tc>
        <w:tc>
          <w:tcPr>
            <w:tcW w:w="2937" w:type="dxa"/>
          </w:tcPr>
          <w:p w:rsidR="00CD2A5A" w:rsidRDefault="00CD2A5A">
            <w:pPr>
              <w:spacing w:before="40" w:after="40"/>
              <w:ind w:right="1018"/>
              <w:jc w:val="right"/>
              <w:rPr>
                <w:b/>
                <w:sz w:val="20"/>
                <w:szCs w:val="20"/>
              </w:rPr>
            </w:pPr>
            <w:r>
              <w:rPr>
                <w:b/>
                <w:sz w:val="20"/>
                <w:szCs w:val="20"/>
              </w:rPr>
              <w:t>123.465</w:t>
            </w:r>
          </w:p>
        </w:tc>
      </w:tr>
      <w:tr w:rsidR="00CD2A5A">
        <w:tblPrEx>
          <w:tblCellMar>
            <w:top w:w="0" w:type="dxa"/>
            <w:bottom w:w="0" w:type="dxa"/>
          </w:tblCellMar>
        </w:tblPrEx>
        <w:trPr>
          <w:jc w:val="center"/>
        </w:trPr>
        <w:tc>
          <w:tcPr>
            <w:tcW w:w="3539" w:type="dxa"/>
          </w:tcPr>
          <w:p w:rsidR="00CD2A5A" w:rsidRDefault="00CD2A5A">
            <w:pPr>
              <w:spacing w:before="40" w:after="40"/>
              <w:rPr>
                <w:b/>
                <w:sz w:val="20"/>
                <w:szCs w:val="20"/>
              </w:rPr>
            </w:pPr>
            <w:r>
              <w:rPr>
                <w:b/>
                <w:sz w:val="20"/>
                <w:szCs w:val="20"/>
              </w:rPr>
              <w:t>Dentro de ree.</w:t>
            </w:r>
          </w:p>
        </w:tc>
        <w:tc>
          <w:tcPr>
            <w:tcW w:w="2936" w:type="dxa"/>
          </w:tcPr>
          <w:p w:rsidR="00CD2A5A" w:rsidRDefault="00CD2A5A">
            <w:pPr>
              <w:spacing w:before="40" w:after="40"/>
              <w:ind w:right="1018"/>
              <w:jc w:val="right"/>
              <w:rPr>
                <w:b/>
                <w:sz w:val="20"/>
                <w:szCs w:val="20"/>
              </w:rPr>
            </w:pPr>
            <w:r>
              <w:rPr>
                <w:b/>
                <w:sz w:val="20"/>
                <w:szCs w:val="20"/>
              </w:rPr>
              <w:t>1.423</w:t>
            </w:r>
          </w:p>
        </w:tc>
        <w:tc>
          <w:tcPr>
            <w:tcW w:w="2937" w:type="dxa"/>
          </w:tcPr>
          <w:p w:rsidR="00CD2A5A" w:rsidRDefault="00CD2A5A">
            <w:pPr>
              <w:spacing w:before="40" w:after="40"/>
              <w:ind w:right="1018"/>
              <w:jc w:val="right"/>
              <w:rPr>
                <w:b/>
                <w:sz w:val="20"/>
                <w:szCs w:val="20"/>
              </w:rPr>
            </w:pPr>
            <w:r>
              <w:rPr>
                <w:b/>
                <w:sz w:val="20"/>
                <w:szCs w:val="20"/>
              </w:rPr>
              <w:t>10.412</w:t>
            </w:r>
          </w:p>
        </w:tc>
      </w:tr>
      <w:tr w:rsidR="00CD2A5A">
        <w:tblPrEx>
          <w:tblCellMar>
            <w:top w:w="0" w:type="dxa"/>
            <w:bottom w:w="0" w:type="dxa"/>
          </w:tblCellMar>
        </w:tblPrEx>
        <w:trPr>
          <w:jc w:val="center"/>
        </w:trPr>
        <w:tc>
          <w:tcPr>
            <w:tcW w:w="3539" w:type="dxa"/>
          </w:tcPr>
          <w:p w:rsidR="00CD2A5A" w:rsidRDefault="00CD2A5A">
            <w:pPr>
              <w:spacing w:before="40" w:after="40"/>
              <w:rPr>
                <w:b/>
                <w:sz w:val="20"/>
                <w:szCs w:val="20"/>
              </w:rPr>
            </w:pPr>
            <w:r>
              <w:rPr>
                <w:b/>
                <w:sz w:val="20"/>
                <w:szCs w:val="20"/>
              </w:rPr>
              <w:t>Totales</w:t>
            </w:r>
          </w:p>
        </w:tc>
        <w:tc>
          <w:tcPr>
            <w:tcW w:w="2936" w:type="dxa"/>
          </w:tcPr>
          <w:p w:rsidR="00CD2A5A" w:rsidRDefault="00CD2A5A">
            <w:pPr>
              <w:spacing w:before="40" w:after="40"/>
              <w:ind w:right="1018"/>
              <w:jc w:val="right"/>
              <w:rPr>
                <w:b/>
                <w:sz w:val="20"/>
                <w:szCs w:val="20"/>
              </w:rPr>
            </w:pPr>
            <w:r>
              <w:rPr>
                <w:b/>
                <w:sz w:val="20"/>
                <w:szCs w:val="20"/>
              </w:rPr>
              <w:t>2.396</w:t>
            </w:r>
          </w:p>
        </w:tc>
        <w:tc>
          <w:tcPr>
            <w:tcW w:w="2937" w:type="dxa"/>
          </w:tcPr>
          <w:p w:rsidR="00CD2A5A" w:rsidRDefault="00CD2A5A">
            <w:pPr>
              <w:spacing w:before="40" w:after="40"/>
              <w:ind w:right="1018"/>
              <w:jc w:val="right"/>
              <w:rPr>
                <w:b/>
                <w:sz w:val="20"/>
                <w:szCs w:val="20"/>
              </w:rPr>
            </w:pPr>
            <w:r>
              <w:rPr>
                <w:b/>
                <w:sz w:val="20"/>
                <w:szCs w:val="20"/>
              </w:rPr>
              <w:t>133.867</w:t>
            </w:r>
          </w:p>
        </w:tc>
      </w:tr>
    </w:tbl>
    <w:p w:rsidR="00CD2A5A" w:rsidRDefault="00CD2A5A">
      <w:pPr>
        <w:spacing w:after="240"/>
        <w:rPr>
          <w:b/>
          <w:bCs/>
        </w:rPr>
      </w:pPr>
    </w:p>
    <w:p w:rsidR="00CD2A5A" w:rsidRDefault="00CD2A5A" w:rsidP="00CD2A5A">
      <w:pPr>
        <w:pStyle w:val="Figure"/>
      </w:pPr>
      <w:r>
        <w:t>2006</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01"/>
        <w:gridCol w:w="2905"/>
        <w:gridCol w:w="2906"/>
      </w:tblGrid>
      <w:tr w:rsidR="00CD2A5A">
        <w:tblPrEx>
          <w:tblCellMar>
            <w:top w:w="0" w:type="dxa"/>
            <w:bottom w:w="0" w:type="dxa"/>
          </w:tblCellMar>
        </w:tblPrEx>
        <w:trPr>
          <w:trHeight w:val="630"/>
          <w:jc w:val="center"/>
        </w:trPr>
        <w:tc>
          <w:tcPr>
            <w:tcW w:w="3601" w:type="dxa"/>
            <w:vAlign w:val="center"/>
          </w:tcPr>
          <w:p w:rsidR="00CD2A5A" w:rsidRDefault="00CD2A5A">
            <w:pPr>
              <w:spacing w:before="40" w:after="40"/>
              <w:jc w:val="center"/>
              <w:rPr>
                <w:b/>
                <w:i/>
                <w:sz w:val="20"/>
                <w:szCs w:val="20"/>
              </w:rPr>
            </w:pPr>
            <w:r>
              <w:rPr>
                <w:b/>
                <w:i/>
                <w:sz w:val="20"/>
                <w:szCs w:val="20"/>
              </w:rPr>
              <w:t>Ubicación</w:t>
            </w:r>
          </w:p>
        </w:tc>
        <w:tc>
          <w:tcPr>
            <w:tcW w:w="2905" w:type="dxa"/>
            <w:vAlign w:val="center"/>
          </w:tcPr>
          <w:p w:rsidR="00CD2A5A" w:rsidRDefault="00CD2A5A">
            <w:pPr>
              <w:spacing w:before="40" w:after="40"/>
              <w:jc w:val="center"/>
              <w:rPr>
                <w:b/>
                <w:bCs/>
                <w:i/>
                <w:sz w:val="20"/>
                <w:szCs w:val="20"/>
              </w:rPr>
            </w:pPr>
            <w:r>
              <w:rPr>
                <w:b/>
                <w:bCs/>
                <w:i/>
                <w:sz w:val="20"/>
                <w:szCs w:val="20"/>
              </w:rPr>
              <w:t>Número de Centros Educativos</w:t>
            </w:r>
          </w:p>
        </w:tc>
        <w:tc>
          <w:tcPr>
            <w:tcW w:w="2906" w:type="dxa"/>
            <w:vAlign w:val="center"/>
          </w:tcPr>
          <w:p w:rsidR="00CD2A5A" w:rsidRDefault="00CD2A5A">
            <w:pPr>
              <w:spacing w:before="40" w:after="40"/>
              <w:jc w:val="center"/>
              <w:rPr>
                <w:b/>
                <w:bCs/>
                <w:i/>
                <w:sz w:val="20"/>
                <w:szCs w:val="20"/>
              </w:rPr>
            </w:pPr>
            <w:r>
              <w:rPr>
                <w:b/>
                <w:bCs/>
                <w:i/>
                <w:sz w:val="20"/>
                <w:szCs w:val="20"/>
              </w:rPr>
              <w:t>Total matrícula</w:t>
            </w:r>
          </w:p>
        </w:tc>
      </w:tr>
      <w:tr w:rsidR="00CD2A5A">
        <w:tblPrEx>
          <w:tblCellMar>
            <w:top w:w="0" w:type="dxa"/>
            <w:bottom w:w="0" w:type="dxa"/>
          </w:tblCellMar>
        </w:tblPrEx>
        <w:trPr>
          <w:jc w:val="center"/>
        </w:trPr>
        <w:tc>
          <w:tcPr>
            <w:tcW w:w="3601" w:type="dxa"/>
          </w:tcPr>
          <w:p w:rsidR="00CD2A5A" w:rsidRDefault="00CD2A5A">
            <w:pPr>
              <w:spacing w:before="40" w:after="40"/>
              <w:rPr>
                <w:b/>
                <w:sz w:val="20"/>
                <w:szCs w:val="20"/>
              </w:rPr>
            </w:pPr>
            <w:r>
              <w:rPr>
                <w:b/>
                <w:sz w:val="20"/>
                <w:szCs w:val="20"/>
              </w:rPr>
              <w:t>Fuera de ree.</w:t>
            </w:r>
          </w:p>
        </w:tc>
        <w:tc>
          <w:tcPr>
            <w:tcW w:w="2905" w:type="dxa"/>
          </w:tcPr>
          <w:p w:rsidR="00CD2A5A" w:rsidRDefault="00CD2A5A">
            <w:pPr>
              <w:spacing w:before="40" w:after="40"/>
              <w:ind w:right="1049"/>
              <w:jc w:val="right"/>
              <w:rPr>
                <w:b/>
                <w:sz w:val="20"/>
                <w:szCs w:val="20"/>
              </w:rPr>
            </w:pPr>
            <w:r>
              <w:rPr>
                <w:b/>
                <w:sz w:val="20"/>
                <w:szCs w:val="20"/>
              </w:rPr>
              <w:t>1.426</w:t>
            </w:r>
          </w:p>
        </w:tc>
        <w:tc>
          <w:tcPr>
            <w:tcW w:w="2906" w:type="dxa"/>
          </w:tcPr>
          <w:p w:rsidR="00CD2A5A" w:rsidRDefault="00CD2A5A">
            <w:pPr>
              <w:spacing w:before="40" w:after="40"/>
              <w:ind w:right="1049"/>
              <w:jc w:val="right"/>
              <w:rPr>
                <w:b/>
                <w:sz w:val="20"/>
                <w:szCs w:val="20"/>
              </w:rPr>
            </w:pPr>
            <w:r>
              <w:rPr>
                <w:b/>
                <w:sz w:val="20"/>
                <w:szCs w:val="20"/>
              </w:rPr>
              <w:t>90.006</w:t>
            </w:r>
          </w:p>
        </w:tc>
      </w:tr>
      <w:tr w:rsidR="00CD2A5A">
        <w:tblPrEx>
          <w:tblCellMar>
            <w:top w:w="0" w:type="dxa"/>
            <w:bottom w:w="0" w:type="dxa"/>
          </w:tblCellMar>
        </w:tblPrEx>
        <w:trPr>
          <w:jc w:val="center"/>
        </w:trPr>
        <w:tc>
          <w:tcPr>
            <w:tcW w:w="3601" w:type="dxa"/>
          </w:tcPr>
          <w:p w:rsidR="00CD2A5A" w:rsidRDefault="00CD2A5A">
            <w:pPr>
              <w:spacing w:before="40" w:after="40"/>
              <w:rPr>
                <w:b/>
                <w:sz w:val="20"/>
                <w:szCs w:val="20"/>
              </w:rPr>
            </w:pPr>
            <w:r>
              <w:rPr>
                <w:b/>
                <w:sz w:val="20"/>
                <w:szCs w:val="20"/>
              </w:rPr>
              <w:t>Dentro de ree.</w:t>
            </w:r>
          </w:p>
        </w:tc>
        <w:tc>
          <w:tcPr>
            <w:tcW w:w="2905" w:type="dxa"/>
          </w:tcPr>
          <w:p w:rsidR="00CD2A5A" w:rsidRDefault="00CD2A5A">
            <w:pPr>
              <w:spacing w:before="40" w:after="40"/>
              <w:ind w:right="1049"/>
              <w:jc w:val="right"/>
              <w:rPr>
                <w:b/>
                <w:sz w:val="20"/>
                <w:szCs w:val="20"/>
              </w:rPr>
            </w:pPr>
            <w:r>
              <w:rPr>
                <w:b/>
                <w:sz w:val="20"/>
                <w:szCs w:val="20"/>
              </w:rPr>
              <w:t xml:space="preserve">    254</w:t>
            </w:r>
          </w:p>
        </w:tc>
        <w:tc>
          <w:tcPr>
            <w:tcW w:w="2906" w:type="dxa"/>
          </w:tcPr>
          <w:p w:rsidR="00CD2A5A" w:rsidRDefault="00CD2A5A">
            <w:pPr>
              <w:spacing w:before="40" w:after="40"/>
              <w:ind w:right="1049"/>
              <w:jc w:val="right"/>
              <w:rPr>
                <w:b/>
                <w:sz w:val="20"/>
                <w:szCs w:val="20"/>
              </w:rPr>
            </w:pPr>
            <w:r>
              <w:rPr>
                <w:b/>
                <w:sz w:val="20"/>
                <w:szCs w:val="20"/>
              </w:rPr>
              <w:t>42.005</w:t>
            </w:r>
          </w:p>
        </w:tc>
      </w:tr>
      <w:tr w:rsidR="00CD2A5A">
        <w:tblPrEx>
          <w:tblCellMar>
            <w:top w:w="0" w:type="dxa"/>
            <w:bottom w:w="0" w:type="dxa"/>
          </w:tblCellMar>
        </w:tblPrEx>
        <w:trPr>
          <w:jc w:val="center"/>
        </w:trPr>
        <w:tc>
          <w:tcPr>
            <w:tcW w:w="3601" w:type="dxa"/>
          </w:tcPr>
          <w:p w:rsidR="00CD2A5A" w:rsidRDefault="00CD2A5A">
            <w:pPr>
              <w:spacing w:before="40" w:after="40"/>
              <w:rPr>
                <w:b/>
                <w:sz w:val="20"/>
                <w:szCs w:val="20"/>
              </w:rPr>
            </w:pPr>
            <w:r>
              <w:rPr>
                <w:b/>
                <w:sz w:val="20"/>
                <w:szCs w:val="20"/>
              </w:rPr>
              <w:t>Totales</w:t>
            </w:r>
          </w:p>
        </w:tc>
        <w:tc>
          <w:tcPr>
            <w:tcW w:w="2905" w:type="dxa"/>
          </w:tcPr>
          <w:p w:rsidR="00CD2A5A" w:rsidRDefault="00CD2A5A">
            <w:pPr>
              <w:spacing w:before="40" w:after="40"/>
              <w:ind w:right="1049"/>
              <w:jc w:val="right"/>
              <w:rPr>
                <w:b/>
                <w:sz w:val="20"/>
                <w:szCs w:val="20"/>
              </w:rPr>
            </w:pPr>
            <w:r>
              <w:rPr>
                <w:b/>
                <w:sz w:val="20"/>
                <w:szCs w:val="20"/>
              </w:rPr>
              <w:t>1.510</w:t>
            </w:r>
          </w:p>
        </w:tc>
        <w:tc>
          <w:tcPr>
            <w:tcW w:w="2906" w:type="dxa"/>
          </w:tcPr>
          <w:p w:rsidR="00CD2A5A" w:rsidRDefault="00CD2A5A">
            <w:pPr>
              <w:spacing w:before="40" w:after="40"/>
              <w:ind w:right="1049"/>
              <w:jc w:val="right"/>
              <w:rPr>
                <w:b/>
                <w:sz w:val="20"/>
                <w:szCs w:val="20"/>
              </w:rPr>
            </w:pPr>
            <w:r>
              <w:rPr>
                <w:b/>
                <w:sz w:val="20"/>
                <w:szCs w:val="20"/>
              </w:rPr>
              <w:t>132.011</w:t>
            </w:r>
          </w:p>
        </w:tc>
      </w:tr>
    </w:tbl>
    <w:p w:rsidR="00CD2A5A" w:rsidRDefault="00CD2A5A">
      <w:pPr>
        <w:spacing w:after="240"/>
        <w:rPr>
          <w:lang w:val="es-SV"/>
        </w:rPr>
      </w:pPr>
    </w:p>
    <w:p w:rsidR="00CD2A5A" w:rsidRDefault="00CD2A5A">
      <w:pPr>
        <w:pStyle w:val="I"/>
      </w:pPr>
      <w:r>
        <w:br w:type="page"/>
        <w:t>ANEXO XVI</w:t>
      </w:r>
    </w:p>
    <w:p w:rsidR="00CD2A5A" w:rsidRDefault="00CD2A5A">
      <w:pPr>
        <w:pStyle w:val="I"/>
        <w:rPr>
          <w:bCs w:val="0"/>
          <w:lang w:val="es-SV"/>
        </w:rPr>
      </w:pPr>
      <w:r>
        <w:rPr>
          <w:bCs w:val="0"/>
          <w:lang w:val="es-SV"/>
        </w:rPr>
        <w:t>EMBARAZOS Y MATRIMONIOS DE MENORES DE EDAD</w:t>
      </w:r>
    </w:p>
    <w:p w:rsidR="00CD2A5A" w:rsidRDefault="00CD2A5A">
      <w:pPr>
        <w:pStyle w:val="Header"/>
        <w:tabs>
          <w:tab w:val="clear" w:pos="4252"/>
        </w:tabs>
        <w:spacing w:after="240"/>
        <w:ind w:firstLine="567"/>
        <w:rPr>
          <w:lang w:val="es-SV"/>
        </w:rPr>
      </w:pPr>
      <w:r>
        <w:rPr>
          <w:lang w:val="es-SV"/>
        </w:rPr>
        <w:t xml:space="preserve">A pesar de que en el sistema público de educación y en el trabajo de otras instituciones estatales se realizan campañas para prevenir los riesgos de matrimonios y embarazos precoces, para el período se reportan matrimonios de menores de edad en el cuadro que se muestra a continuación. </w:t>
      </w:r>
    </w:p>
    <w:p w:rsidR="00CD2A5A" w:rsidRDefault="00CD2A5A" w:rsidP="00CD2A5A">
      <w:pPr>
        <w:pStyle w:val="Figure"/>
        <w:rPr>
          <w:lang w:val="es-SV"/>
        </w:rPr>
      </w:pPr>
      <w:r>
        <w:t>Matrimonios de menores de edad por grupos de edad y estado civil anterior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9"/>
        <w:gridCol w:w="724"/>
        <w:gridCol w:w="1051"/>
        <w:gridCol w:w="851"/>
        <w:gridCol w:w="1275"/>
        <w:gridCol w:w="709"/>
        <w:gridCol w:w="992"/>
        <w:gridCol w:w="709"/>
        <w:gridCol w:w="1262"/>
      </w:tblGrid>
      <w:tr w:rsidR="00CD2A5A">
        <w:tblPrEx>
          <w:tblCellMar>
            <w:top w:w="0" w:type="dxa"/>
            <w:bottom w:w="0" w:type="dxa"/>
          </w:tblCellMar>
        </w:tblPrEx>
        <w:trPr>
          <w:cantSplit/>
          <w:jc w:val="center"/>
        </w:trPr>
        <w:tc>
          <w:tcPr>
            <w:tcW w:w="1839" w:type="dxa"/>
            <w:vMerge w:val="restart"/>
            <w:vAlign w:val="center"/>
          </w:tcPr>
          <w:p w:rsidR="00CD2A5A" w:rsidRDefault="00CD2A5A">
            <w:pPr>
              <w:spacing w:before="40" w:after="40"/>
              <w:jc w:val="center"/>
              <w:rPr>
                <w:b/>
                <w:bCs/>
                <w:i/>
                <w:sz w:val="20"/>
                <w:szCs w:val="20"/>
                <w:lang w:val="es-SV"/>
              </w:rPr>
            </w:pPr>
            <w:r>
              <w:rPr>
                <w:b/>
                <w:bCs/>
                <w:i/>
                <w:sz w:val="20"/>
                <w:szCs w:val="20"/>
                <w:lang w:val="es-SV"/>
              </w:rPr>
              <w:t>Grupos de Edad</w:t>
            </w:r>
          </w:p>
        </w:tc>
        <w:tc>
          <w:tcPr>
            <w:tcW w:w="7573" w:type="dxa"/>
            <w:gridSpan w:val="8"/>
            <w:vAlign w:val="center"/>
          </w:tcPr>
          <w:p w:rsidR="00CD2A5A" w:rsidRDefault="00CD2A5A">
            <w:pPr>
              <w:spacing w:before="40" w:after="40"/>
              <w:jc w:val="center"/>
              <w:rPr>
                <w:b/>
                <w:bCs/>
                <w:i/>
                <w:sz w:val="20"/>
                <w:szCs w:val="20"/>
                <w:lang w:val="es-SV"/>
              </w:rPr>
            </w:pPr>
            <w:r>
              <w:rPr>
                <w:b/>
                <w:bCs/>
                <w:i/>
                <w:sz w:val="20"/>
                <w:szCs w:val="20"/>
                <w:lang w:val="es-SV"/>
              </w:rPr>
              <w:t>Estado Civil Anterior</w:t>
            </w:r>
          </w:p>
        </w:tc>
      </w:tr>
      <w:tr w:rsidR="00CD2A5A">
        <w:tblPrEx>
          <w:tblCellMar>
            <w:top w:w="0" w:type="dxa"/>
            <w:bottom w:w="0" w:type="dxa"/>
          </w:tblCellMar>
        </w:tblPrEx>
        <w:trPr>
          <w:cantSplit/>
          <w:jc w:val="center"/>
        </w:trPr>
        <w:tc>
          <w:tcPr>
            <w:tcW w:w="1839" w:type="dxa"/>
            <w:vMerge/>
            <w:vAlign w:val="center"/>
          </w:tcPr>
          <w:p w:rsidR="00CD2A5A" w:rsidRDefault="00CD2A5A">
            <w:pPr>
              <w:spacing w:before="40" w:after="40"/>
              <w:jc w:val="center"/>
              <w:rPr>
                <w:b/>
                <w:bCs/>
                <w:i/>
                <w:sz w:val="20"/>
                <w:szCs w:val="20"/>
                <w:lang w:val="es-SV"/>
              </w:rPr>
            </w:pPr>
          </w:p>
        </w:tc>
        <w:tc>
          <w:tcPr>
            <w:tcW w:w="3901" w:type="dxa"/>
            <w:gridSpan w:val="4"/>
            <w:vAlign w:val="center"/>
          </w:tcPr>
          <w:p w:rsidR="00CD2A5A" w:rsidRDefault="00CD2A5A">
            <w:pPr>
              <w:spacing w:before="40" w:after="40"/>
              <w:jc w:val="center"/>
              <w:rPr>
                <w:b/>
                <w:bCs/>
                <w:i/>
                <w:sz w:val="20"/>
                <w:szCs w:val="20"/>
                <w:lang w:val="es-SV"/>
              </w:rPr>
            </w:pPr>
            <w:r>
              <w:rPr>
                <w:b/>
                <w:bCs/>
                <w:i/>
                <w:sz w:val="20"/>
                <w:szCs w:val="20"/>
                <w:lang w:val="es-SV"/>
              </w:rPr>
              <w:t>De la Esposa</w:t>
            </w:r>
          </w:p>
        </w:tc>
        <w:tc>
          <w:tcPr>
            <w:tcW w:w="3672" w:type="dxa"/>
            <w:gridSpan w:val="4"/>
            <w:vAlign w:val="center"/>
          </w:tcPr>
          <w:p w:rsidR="00CD2A5A" w:rsidRDefault="00CD2A5A">
            <w:pPr>
              <w:spacing w:before="40" w:after="40"/>
              <w:jc w:val="center"/>
              <w:rPr>
                <w:b/>
                <w:bCs/>
                <w:i/>
                <w:sz w:val="20"/>
                <w:szCs w:val="20"/>
                <w:lang w:val="es-SV"/>
              </w:rPr>
            </w:pPr>
            <w:r>
              <w:rPr>
                <w:b/>
                <w:bCs/>
                <w:i/>
                <w:sz w:val="20"/>
                <w:szCs w:val="20"/>
                <w:lang w:val="es-SV"/>
              </w:rPr>
              <w:t>Del Esposo</w:t>
            </w:r>
          </w:p>
        </w:tc>
      </w:tr>
      <w:tr w:rsidR="00CD2A5A">
        <w:tblPrEx>
          <w:tblCellMar>
            <w:top w:w="0" w:type="dxa"/>
            <w:bottom w:w="0" w:type="dxa"/>
          </w:tblCellMar>
        </w:tblPrEx>
        <w:trPr>
          <w:cantSplit/>
          <w:jc w:val="center"/>
        </w:trPr>
        <w:tc>
          <w:tcPr>
            <w:tcW w:w="1839" w:type="dxa"/>
            <w:vMerge/>
            <w:vAlign w:val="center"/>
          </w:tcPr>
          <w:p w:rsidR="00CD2A5A" w:rsidRDefault="00CD2A5A">
            <w:pPr>
              <w:spacing w:before="40" w:after="40"/>
              <w:jc w:val="center"/>
              <w:rPr>
                <w:b/>
                <w:bCs/>
                <w:i/>
                <w:sz w:val="20"/>
                <w:szCs w:val="20"/>
                <w:lang w:val="es-SV"/>
              </w:rPr>
            </w:pPr>
          </w:p>
        </w:tc>
        <w:tc>
          <w:tcPr>
            <w:tcW w:w="724" w:type="dxa"/>
            <w:vAlign w:val="center"/>
          </w:tcPr>
          <w:p w:rsidR="00CD2A5A" w:rsidRDefault="00CD2A5A">
            <w:pPr>
              <w:spacing w:before="40" w:after="40"/>
              <w:jc w:val="center"/>
              <w:rPr>
                <w:b/>
                <w:bCs/>
                <w:i/>
                <w:sz w:val="20"/>
                <w:szCs w:val="20"/>
                <w:lang w:val="es-SV"/>
              </w:rPr>
            </w:pPr>
            <w:r>
              <w:rPr>
                <w:b/>
                <w:bCs/>
                <w:i/>
                <w:sz w:val="20"/>
                <w:szCs w:val="20"/>
                <w:lang w:val="es-SV"/>
              </w:rPr>
              <w:t>Total</w:t>
            </w:r>
          </w:p>
        </w:tc>
        <w:tc>
          <w:tcPr>
            <w:tcW w:w="1051" w:type="dxa"/>
            <w:vAlign w:val="center"/>
          </w:tcPr>
          <w:p w:rsidR="00CD2A5A" w:rsidRDefault="00CD2A5A">
            <w:pPr>
              <w:spacing w:before="40" w:after="40"/>
              <w:jc w:val="center"/>
              <w:rPr>
                <w:b/>
                <w:bCs/>
                <w:i/>
                <w:sz w:val="20"/>
                <w:szCs w:val="20"/>
                <w:lang w:val="es-SV"/>
              </w:rPr>
            </w:pPr>
            <w:r>
              <w:rPr>
                <w:b/>
                <w:bCs/>
                <w:i/>
                <w:sz w:val="20"/>
                <w:szCs w:val="20"/>
                <w:lang w:val="es-SV"/>
              </w:rPr>
              <w:t>Soltera</w:t>
            </w:r>
          </w:p>
        </w:tc>
        <w:tc>
          <w:tcPr>
            <w:tcW w:w="851" w:type="dxa"/>
            <w:vAlign w:val="center"/>
          </w:tcPr>
          <w:p w:rsidR="00CD2A5A" w:rsidRDefault="00CD2A5A">
            <w:pPr>
              <w:spacing w:before="40" w:after="40"/>
              <w:jc w:val="center"/>
              <w:rPr>
                <w:b/>
                <w:bCs/>
                <w:i/>
                <w:sz w:val="20"/>
                <w:szCs w:val="20"/>
                <w:lang w:val="es-SV"/>
              </w:rPr>
            </w:pPr>
            <w:r>
              <w:rPr>
                <w:b/>
                <w:bCs/>
                <w:i/>
                <w:sz w:val="20"/>
                <w:szCs w:val="20"/>
                <w:lang w:val="es-SV"/>
              </w:rPr>
              <w:t>Viuda</w:t>
            </w:r>
          </w:p>
        </w:tc>
        <w:tc>
          <w:tcPr>
            <w:tcW w:w="1275" w:type="dxa"/>
            <w:vAlign w:val="center"/>
          </w:tcPr>
          <w:p w:rsidR="00CD2A5A" w:rsidRDefault="00CD2A5A">
            <w:pPr>
              <w:spacing w:before="40" w:after="40"/>
              <w:jc w:val="center"/>
              <w:rPr>
                <w:b/>
                <w:bCs/>
                <w:i/>
                <w:sz w:val="20"/>
                <w:szCs w:val="20"/>
                <w:lang w:val="es-SV"/>
              </w:rPr>
            </w:pPr>
            <w:r>
              <w:rPr>
                <w:b/>
                <w:bCs/>
                <w:i/>
                <w:sz w:val="20"/>
                <w:szCs w:val="20"/>
                <w:lang w:val="es-SV"/>
              </w:rPr>
              <w:t>Divorciada</w:t>
            </w:r>
          </w:p>
        </w:tc>
        <w:tc>
          <w:tcPr>
            <w:tcW w:w="709" w:type="dxa"/>
            <w:vAlign w:val="center"/>
          </w:tcPr>
          <w:p w:rsidR="00CD2A5A" w:rsidRDefault="00CD2A5A">
            <w:pPr>
              <w:spacing w:before="40" w:after="40"/>
              <w:jc w:val="center"/>
              <w:rPr>
                <w:b/>
                <w:bCs/>
                <w:i/>
                <w:sz w:val="20"/>
                <w:szCs w:val="20"/>
                <w:lang w:val="es-SV"/>
              </w:rPr>
            </w:pPr>
            <w:r>
              <w:rPr>
                <w:b/>
                <w:bCs/>
                <w:i/>
                <w:sz w:val="20"/>
                <w:szCs w:val="20"/>
                <w:lang w:val="es-SV"/>
              </w:rPr>
              <w:t>Total</w:t>
            </w:r>
          </w:p>
        </w:tc>
        <w:tc>
          <w:tcPr>
            <w:tcW w:w="992" w:type="dxa"/>
            <w:vAlign w:val="center"/>
          </w:tcPr>
          <w:p w:rsidR="00CD2A5A" w:rsidRDefault="00CD2A5A">
            <w:pPr>
              <w:spacing w:before="40" w:after="40"/>
              <w:jc w:val="center"/>
              <w:rPr>
                <w:b/>
                <w:bCs/>
                <w:i/>
                <w:sz w:val="20"/>
                <w:szCs w:val="20"/>
                <w:lang w:val="es-SV"/>
              </w:rPr>
            </w:pPr>
            <w:r>
              <w:rPr>
                <w:b/>
                <w:bCs/>
                <w:i/>
                <w:sz w:val="20"/>
                <w:szCs w:val="20"/>
                <w:lang w:val="es-SV"/>
              </w:rPr>
              <w:t>Soltero</w:t>
            </w:r>
          </w:p>
        </w:tc>
        <w:tc>
          <w:tcPr>
            <w:tcW w:w="709" w:type="dxa"/>
            <w:vAlign w:val="center"/>
          </w:tcPr>
          <w:p w:rsidR="00CD2A5A" w:rsidRDefault="00CD2A5A">
            <w:pPr>
              <w:spacing w:before="40" w:after="40"/>
              <w:jc w:val="center"/>
              <w:rPr>
                <w:b/>
                <w:bCs/>
                <w:i/>
                <w:sz w:val="20"/>
                <w:szCs w:val="20"/>
                <w:lang w:val="es-SV"/>
              </w:rPr>
            </w:pPr>
            <w:r>
              <w:rPr>
                <w:b/>
                <w:bCs/>
                <w:i/>
                <w:sz w:val="20"/>
                <w:szCs w:val="20"/>
                <w:lang w:val="es-SV"/>
              </w:rPr>
              <w:t>Viudo</w:t>
            </w:r>
          </w:p>
        </w:tc>
        <w:tc>
          <w:tcPr>
            <w:tcW w:w="1262" w:type="dxa"/>
            <w:vAlign w:val="center"/>
          </w:tcPr>
          <w:p w:rsidR="00CD2A5A" w:rsidRDefault="00CD2A5A">
            <w:pPr>
              <w:spacing w:before="40" w:after="40"/>
              <w:jc w:val="center"/>
              <w:rPr>
                <w:b/>
                <w:bCs/>
                <w:i/>
                <w:sz w:val="20"/>
                <w:szCs w:val="20"/>
                <w:lang w:val="es-SV"/>
              </w:rPr>
            </w:pPr>
            <w:r>
              <w:rPr>
                <w:b/>
                <w:bCs/>
                <w:i/>
                <w:sz w:val="20"/>
                <w:szCs w:val="20"/>
                <w:lang w:val="es-SV"/>
              </w:rPr>
              <w:t>Divorciado</w:t>
            </w:r>
          </w:p>
        </w:tc>
      </w:tr>
      <w:tr w:rsidR="00CD2A5A">
        <w:tblPrEx>
          <w:tblCellMar>
            <w:top w:w="0" w:type="dxa"/>
            <w:bottom w:w="0" w:type="dxa"/>
          </w:tblCellMar>
        </w:tblPrEx>
        <w:trPr>
          <w:jc w:val="center"/>
        </w:trPr>
        <w:tc>
          <w:tcPr>
            <w:tcW w:w="1839" w:type="dxa"/>
            <w:vAlign w:val="bottom"/>
          </w:tcPr>
          <w:p w:rsidR="00CD2A5A" w:rsidRDefault="00CD2A5A">
            <w:pPr>
              <w:spacing w:before="40" w:after="40"/>
              <w:rPr>
                <w:sz w:val="20"/>
                <w:szCs w:val="20"/>
                <w:lang w:val="es-SV"/>
              </w:rPr>
            </w:pPr>
            <w:r>
              <w:rPr>
                <w:sz w:val="20"/>
                <w:szCs w:val="20"/>
                <w:lang w:val="es-SV"/>
              </w:rPr>
              <w:t>Total</w:t>
            </w:r>
          </w:p>
        </w:tc>
        <w:tc>
          <w:tcPr>
            <w:tcW w:w="724" w:type="dxa"/>
            <w:vAlign w:val="bottom"/>
          </w:tcPr>
          <w:p w:rsidR="00CD2A5A" w:rsidRDefault="00CD2A5A">
            <w:pPr>
              <w:spacing w:before="40" w:after="40"/>
              <w:ind w:right="113"/>
              <w:jc w:val="right"/>
              <w:rPr>
                <w:sz w:val="20"/>
                <w:szCs w:val="20"/>
                <w:lang w:val="es-SV"/>
              </w:rPr>
            </w:pPr>
            <w:r>
              <w:rPr>
                <w:sz w:val="20"/>
                <w:szCs w:val="20"/>
                <w:lang w:val="es-SV"/>
              </w:rPr>
              <w:t>668</w:t>
            </w:r>
          </w:p>
        </w:tc>
        <w:tc>
          <w:tcPr>
            <w:tcW w:w="1051" w:type="dxa"/>
            <w:vAlign w:val="bottom"/>
          </w:tcPr>
          <w:p w:rsidR="00CD2A5A" w:rsidRDefault="00CD2A5A">
            <w:pPr>
              <w:spacing w:before="40" w:after="40"/>
              <w:ind w:right="113"/>
              <w:jc w:val="right"/>
              <w:rPr>
                <w:sz w:val="20"/>
                <w:szCs w:val="20"/>
                <w:lang w:val="es-SV"/>
              </w:rPr>
            </w:pPr>
            <w:r>
              <w:rPr>
                <w:sz w:val="20"/>
                <w:szCs w:val="20"/>
                <w:lang w:val="es-SV"/>
              </w:rPr>
              <w:t>668</w:t>
            </w:r>
          </w:p>
        </w:tc>
        <w:tc>
          <w:tcPr>
            <w:tcW w:w="851" w:type="dxa"/>
            <w:vAlign w:val="bottom"/>
          </w:tcPr>
          <w:p w:rsidR="00CD2A5A" w:rsidRDefault="00CD2A5A">
            <w:pPr>
              <w:spacing w:before="40" w:after="40"/>
              <w:jc w:val="center"/>
              <w:rPr>
                <w:sz w:val="20"/>
                <w:szCs w:val="20"/>
                <w:lang w:val="es-SV"/>
              </w:rPr>
            </w:pPr>
            <w:r>
              <w:rPr>
                <w:sz w:val="20"/>
                <w:szCs w:val="20"/>
                <w:lang w:val="es-SV"/>
              </w:rPr>
              <w:t>0</w:t>
            </w:r>
          </w:p>
        </w:tc>
        <w:tc>
          <w:tcPr>
            <w:tcW w:w="1275" w:type="dxa"/>
            <w:vAlign w:val="bottom"/>
          </w:tcPr>
          <w:p w:rsidR="00CD2A5A" w:rsidRDefault="00CD2A5A">
            <w:pPr>
              <w:spacing w:before="40" w:after="40"/>
              <w:jc w:val="center"/>
              <w:rPr>
                <w:sz w:val="20"/>
                <w:szCs w:val="20"/>
                <w:lang w:val="es-SV"/>
              </w:rPr>
            </w:pPr>
            <w:r>
              <w:rPr>
                <w:sz w:val="20"/>
                <w:szCs w:val="20"/>
                <w:lang w:val="es-SV"/>
              </w:rPr>
              <w:t>0</w:t>
            </w:r>
          </w:p>
        </w:tc>
        <w:tc>
          <w:tcPr>
            <w:tcW w:w="709" w:type="dxa"/>
            <w:vAlign w:val="bottom"/>
          </w:tcPr>
          <w:p w:rsidR="00CD2A5A" w:rsidRDefault="00CD2A5A">
            <w:pPr>
              <w:spacing w:before="40" w:after="40"/>
              <w:ind w:right="113"/>
              <w:jc w:val="right"/>
              <w:rPr>
                <w:sz w:val="20"/>
                <w:szCs w:val="20"/>
                <w:lang w:val="es-SV"/>
              </w:rPr>
            </w:pPr>
            <w:r>
              <w:rPr>
                <w:sz w:val="20"/>
                <w:szCs w:val="20"/>
                <w:lang w:val="es-SV"/>
              </w:rPr>
              <w:t>70</w:t>
            </w:r>
          </w:p>
        </w:tc>
        <w:tc>
          <w:tcPr>
            <w:tcW w:w="992" w:type="dxa"/>
            <w:vAlign w:val="bottom"/>
          </w:tcPr>
          <w:p w:rsidR="00CD2A5A" w:rsidRDefault="00CD2A5A">
            <w:pPr>
              <w:spacing w:before="40" w:after="40"/>
              <w:ind w:right="113"/>
              <w:jc w:val="right"/>
              <w:rPr>
                <w:sz w:val="20"/>
                <w:szCs w:val="20"/>
                <w:lang w:val="es-SV"/>
              </w:rPr>
            </w:pPr>
            <w:r>
              <w:rPr>
                <w:sz w:val="20"/>
                <w:szCs w:val="20"/>
                <w:lang w:val="es-SV"/>
              </w:rPr>
              <w:t>68</w:t>
            </w:r>
          </w:p>
        </w:tc>
        <w:tc>
          <w:tcPr>
            <w:tcW w:w="709" w:type="dxa"/>
            <w:vAlign w:val="bottom"/>
          </w:tcPr>
          <w:p w:rsidR="00CD2A5A" w:rsidRDefault="00CD2A5A">
            <w:pPr>
              <w:spacing w:before="40" w:after="40"/>
              <w:ind w:right="113"/>
              <w:jc w:val="right"/>
              <w:rPr>
                <w:sz w:val="20"/>
                <w:szCs w:val="20"/>
                <w:lang w:val="es-SV"/>
              </w:rPr>
            </w:pPr>
            <w:r>
              <w:rPr>
                <w:sz w:val="20"/>
                <w:szCs w:val="20"/>
                <w:lang w:val="es-SV"/>
              </w:rPr>
              <w:t>2</w:t>
            </w:r>
          </w:p>
        </w:tc>
        <w:tc>
          <w:tcPr>
            <w:tcW w:w="1262" w:type="dxa"/>
            <w:vAlign w:val="bottom"/>
          </w:tcPr>
          <w:p w:rsidR="00CD2A5A" w:rsidRDefault="00CD2A5A">
            <w:pPr>
              <w:spacing w:before="40" w:after="40"/>
              <w:jc w:val="center"/>
              <w:rPr>
                <w:sz w:val="20"/>
                <w:szCs w:val="20"/>
                <w:lang w:val="es-SV"/>
              </w:rPr>
            </w:pPr>
            <w:r>
              <w:rPr>
                <w:sz w:val="20"/>
                <w:szCs w:val="20"/>
                <w:lang w:val="es-SV"/>
              </w:rPr>
              <w:t>0</w:t>
            </w:r>
          </w:p>
        </w:tc>
      </w:tr>
      <w:tr w:rsidR="00CD2A5A">
        <w:tblPrEx>
          <w:tblCellMar>
            <w:top w:w="0" w:type="dxa"/>
            <w:bottom w:w="0" w:type="dxa"/>
          </w:tblCellMar>
        </w:tblPrEx>
        <w:trPr>
          <w:jc w:val="center"/>
        </w:trPr>
        <w:tc>
          <w:tcPr>
            <w:tcW w:w="1839" w:type="dxa"/>
            <w:vAlign w:val="bottom"/>
          </w:tcPr>
          <w:p w:rsidR="00CD2A5A" w:rsidRDefault="00CD2A5A">
            <w:pPr>
              <w:spacing w:before="40" w:after="40"/>
              <w:rPr>
                <w:sz w:val="20"/>
                <w:szCs w:val="20"/>
                <w:lang w:val="es-SV"/>
              </w:rPr>
            </w:pPr>
            <w:r>
              <w:rPr>
                <w:sz w:val="20"/>
                <w:szCs w:val="20"/>
                <w:lang w:val="es-SV"/>
              </w:rPr>
              <w:t>DE 14 años</w:t>
            </w:r>
          </w:p>
        </w:tc>
        <w:tc>
          <w:tcPr>
            <w:tcW w:w="724" w:type="dxa"/>
            <w:vAlign w:val="bottom"/>
          </w:tcPr>
          <w:p w:rsidR="00CD2A5A" w:rsidRDefault="00CD2A5A">
            <w:pPr>
              <w:spacing w:before="40" w:after="40"/>
              <w:ind w:right="113"/>
              <w:jc w:val="right"/>
              <w:rPr>
                <w:sz w:val="20"/>
                <w:szCs w:val="20"/>
                <w:lang w:val="es-SV"/>
              </w:rPr>
            </w:pPr>
            <w:r>
              <w:rPr>
                <w:sz w:val="20"/>
                <w:szCs w:val="20"/>
                <w:lang w:val="es-SV"/>
              </w:rPr>
              <w:t>30</w:t>
            </w:r>
          </w:p>
        </w:tc>
        <w:tc>
          <w:tcPr>
            <w:tcW w:w="1051" w:type="dxa"/>
            <w:vAlign w:val="bottom"/>
          </w:tcPr>
          <w:p w:rsidR="00CD2A5A" w:rsidRDefault="00CD2A5A">
            <w:pPr>
              <w:spacing w:before="40" w:after="40"/>
              <w:ind w:right="113"/>
              <w:jc w:val="right"/>
              <w:rPr>
                <w:sz w:val="20"/>
                <w:szCs w:val="20"/>
                <w:lang w:val="es-SV"/>
              </w:rPr>
            </w:pPr>
            <w:r>
              <w:rPr>
                <w:sz w:val="20"/>
                <w:szCs w:val="20"/>
                <w:lang w:val="es-SV"/>
              </w:rPr>
              <w:t>30</w:t>
            </w:r>
          </w:p>
        </w:tc>
        <w:tc>
          <w:tcPr>
            <w:tcW w:w="851" w:type="dxa"/>
            <w:vAlign w:val="bottom"/>
          </w:tcPr>
          <w:p w:rsidR="00CD2A5A" w:rsidRDefault="00CD2A5A">
            <w:pPr>
              <w:spacing w:before="40" w:after="40"/>
              <w:jc w:val="center"/>
              <w:rPr>
                <w:sz w:val="20"/>
                <w:szCs w:val="20"/>
                <w:lang w:val="es-SV"/>
              </w:rPr>
            </w:pPr>
            <w:r>
              <w:rPr>
                <w:sz w:val="20"/>
                <w:szCs w:val="20"/>
                <w:lang w:val="es-SV"/>
              </w:rPr>
              <w:t>-</w:t>
            </w:r>
          </w:p>
        </w:tc>
        <w:tc>
          <w:tcPr>
            <w:tcW w:w="1275" w:type="dxa"/>
            <w:vAlign w:val="bottom"/>
          </w:tcPr>
          <w:p w:rsidR="00CD2A5A" w:rsidRDefault="00CD2A5A">
            <w:pPr>
              <w:spacing w:before="40" w:after="40"/>
              <w:jc w:val="center"/>
              <w:rPr>
                <w:sz w:val="20"/>
                <w:szCs w:val="20"/>
                <w:lang w:val="es-SV"/>
              </w:rPr>
            </w:pPr>
            <w:r>
              <w:rPr>
                <w:sz w:val="20"/>
                <w:szCs w:val="20"/>
                <w:lang w:val="es-SV"/>
              </w:rPr>
              <w:t>-</w:t>
            </w:r>
          </w:p>
        </w:tc>
        <w:tc>
          <w:tcPr>
            <w:tcW w:w="709" w:type="dxa"/>
            <w:vAlign w:val="bottom"/>
          </w:tcPr>
          <w:p w:rsidR="00CD2A5A" w:rsidRDefault="00CD2A5A">
            <w:pPr>
              <w:spacing w:before="40" w:after="40"/>
              <w:ind w:right="113"/>
              <w:jc w:val="right"/>
              <w:rPr>
                <w:sz w:val="20"/>
                <w:szCs w:val="20"/>
                <w:lang w:val="es-SV"/>
              </w:rPr>
            </w:pPr>
            <w:r>
              <w:rPr>
                <w:sz w:val="20"/>
                <w:szCs w:val="20"/>
                <w:lang w:val="es-SV"/>
              </w:rPr>
              <w:t>-</w:t>
            </w:r>
          </w:p>
        </w:tc>
        <w:tc>
          <w:tcPr>
            <w:tcW w:w="992" w:type="dxa"/>
            <w:vAlign w:val="bottom"/>
          </w:tcPr>
          <w:p w:rsidR="00CD2A5A" w:rsidRDefault="00CD2A5A">
            <w:pPr>
              <w:spacing w:before="40" w:after="40"/>
              <w:ind w:right="113"/>
              <w:jc w:val="right"/>
              <w:rPr>
                <w:sz w:val="20"/>
                <w:szCs w:val="20"/>
                <w:lang w:val="es-SV"/>
              </w:rPr>
            </w:pPr>
            <w:r>
              <w:rPr>
                <w:sz w:val="20"/>
                <w:szCs w:val="20"/>
                <w:lang w:val="es-SV"/>
              </w:rPr>
              <w:t>-</w:t>
            </w:r>
          </w:p>
        </w:tc>
        <w:tc>
          <w:tcPr>
            <w:tcW w:w="709" w:type="dxa"/>
            <w:vAlign w:val="bottom"/>
          </w:tcPr>
          <w:p w:rsidR="00CD2A5A" w:rsidRDefault="00CD2A5A">
            <w:pPr>
              <w:spacing w:before="40" w:after="40"/>
              <w:ind w:right="113"/>
              <w:jc w:val="right"/>
              <w:rPr>
                <w:sz w:val="20"/>
                <w:szCs w:val="20"/>
                <w:lang w:val="es-SV"/>
              </w:rPr>
            </w:pPr>
            <w:r>
              <w:rPr>
                <w:sz w:val="20"/>
                <w:szCs w:val="20"/>
                <w:lang w:val="es-SV"/>
              </w:rPr>
              <w:t>-</w:t>
            </w:r>
          </w:p>
        </w:tc>
        <w:tc>
          <w:tcPr>
            <w:tcW w:w="1262" w:type="dxa"/>
            <w:vAlign w:val="bottom"/>
          </w:tcPr>
          <w:p w:rsidR="00CD2A5A" w:rsidRDefault="00CD2A5A">
            <w:pPr>
              <w:spacing w:before="40" w:after="40"/>
              <w:jc w:val="center"/>
              <w:rPr>
                <w:sz w:val="20"/>
                <w:szCs w:val="20"/>
                <w:lang w:val="es-SV"/>
              </w:rPr>
            </w:pPr>
            <w:r>
              <w:rPr>
                <w:sz w:val="20"/>
                <w:szCs w:val="20"/>
                <w:lang w:val="es-SV"/>
              </w:rPr>
              <w:t>-</w:t>
            </w:r>
          </w:p>
        </w:tc>
      </w:tr>
      <w:tr w:rsidR="00CD2A5A">
        <w:tblPrEx>
          <w:tblCellMar>
            <w:top w:w="0" w:type="dxa"/>
            <w:bottom w:w="0" w:type="dxa"/>
          </w:tblCellMar>
        </w:tblPrEx>
        <w:trPr>
          <w:jc w:val="center"/>
        </w:trPr>
        <w:tc>
          <w:tcPr>
            <w:tcW w:w="1839" w:type="dxa"/>
            <w:vAlign w:val="bottom"/>
          </w:tcPr>
          <w:p w:rsidR="00CD2A5A" w:rsidRDefault="00CD2A5A">
            <w:pPr>
              <w:spacing w:before="40" w:after="40"/>
              <w:rPr>
                <w:sz w:val="20"/>
                <w:szCs w:val="20"/>
                <w:lang w:val="es-SV"/>
              </w:rPr>
            </w:pPr>
            <w:r>
              <w:rPr>
                <w:sz w:val="20"/>
                <w:szCs w:val="20"/>
                <w:lang w:val="es-SV"/>
              </w:rPr>
              <w:t>DE 15 años</w:t>
            </w:r>
          </w:p>
        </w:tc>
        <w:tc>
          <w:tcPr>
            <w:tcW w:w="724" w:type="dxa"/>
            <w:vAlign w:val="bottom"/>
          </w:tcPr>
          <w:p w:rsidR="00CD2A5A" w:rsidRDefault="00CD2A5A">
            <w:pPr>
              <w:spacing w:before="40" w:after="40"/>
              <w:ind w:right="113"/>
              <w:jc w:val="right"/>
              <w:rPr>
                <w:sz w:val="20"/>
                <w:szCs w:val="20"/>
                <w:lang w:val="es-SV"/>
              </w:rPr>
            </w:pPr>
            <w:r>
              <w:rPr>
                <w:sz w:val="20"/>
                <w:szCs w:val="20"/>
                <w:lang w:val="es-SV"/>
              </w:rPr>
              <w:t>90</w:t>
            </w:r>
          </w:p>
        </w:tc>
        <w:tc>
          <w:tcPr>
            <w:tcW w:w="1051" w:type="dxa"/>
            <w:vAlign w:val="bottom"/>
          </w:tcPr>
          <w:p w:rsidR="00CD2A5A" w:rsidRDefault="00CD2A5A">
            <w:pPr>
              <w:spacing w:before="40" w:after="40"/>
              <w:ind w:right="113"/>
              <w:jc w:val="right"/>
              <w:rPr>
                <w:sz w:val="20"/>
                <w:szCs w:val="20"/>
                <w:lang w:val="es-SV"/>
              </w:rPr>
            </w:pPr>
            <w:r>
              <w:rPr>
                <w:sz w:val="20"/>
                <w:szCs w:val="20"/>
                <w:lang w:val="es-SV"/>
              </w:rPr>
              <w:t>90</w:t>
            </w:r>
          </w:p>
        </w:tc>
        <w:tc>
          <w:tcPr>
            <w:tcW w:w="851" w:type="dxa"/>
            <w:vAlign w:val="bottom"/>
          </w:tcPr>
          <w:p w:rsidR="00CD2A5A" w:rsidRDefault="00CD2A5A">
            <w:pPr>
              <w:spacing w:before="40" w:after="40"/>
              <w:jc w:val="center"/>
              <w:rPr>
                <w:sz w:val="20"/>
                <w:szCs w:val="20"/>
                <w:lang w:val="es-SV"/>
              </w:rPr>
            </w:pPr>
            <w:r>
              <w:rPr>
                <w:sz w:val="20"/>
                <w:szCs w:val="20"/>
                <w:lang w:val="es-SV"/>
              </w:rPr>
              <w:t>-</w:t>
            </w:r>
          </w:p>
        </w:tc>
        <w:tc>
          <w:tcPr>
            <w:tcW w:w="1275" w:type="dxa"/>
            <w:vAlign w:val="bottom"/>
          </w:tcPr>
          <w:p w:rsidR="00CD2A5A" w:rsidRDefault="00CD2A5A">
            <w:pPr>
              <w:spacing w:before="40" w:after="40"/>
              <w:jc w:val="center"/>
              <w:rPr>
                <w:sz w:val="20"/>
                <w:szCs w:val="20"/>
                <w:lang w:val="es-SV"/>
              </w:rPr>
            </w:pPr>
            <w:r>
              <w:rPr>
                <w:sz w:val="20"/>
                <w:szCs w:val="20"/>
                <w:lang w:val="es-SV"/>
              </w:rPr>
              <w:t>-</w:t>
            </w:r>
          </w:p>
        </w:tc>
        <w:tc>
          <w:tcPr>
            <w:tcW w:w="709" w:type="dxa"/>
            <w:vAlign w:val="bottom"/>
          </w:tcPr>
          <w:p w:rsidR="00CD2A5A" w:rsidRDefault="00CD2A5A">
            <w:pPr>
              <w:spacing w:before="40" w:after="40"/>
              <w:ind w:right="113"/>
              <w:jc w:val="right"/>
              <w:rPr>
                <w:sz w:val="20"/>
                <w:szCs w:val="20"/>
                <w:lang w:val="es-SV"/>
              </w:rPr>
            </w:pPr>
            <w:r>
              <w:rPr>
                <w:sz w:val="20"/>
                <w:szCs w:val="20"/>
                <w:lang w:val="es-SV"/>
              </w:rPr>
              <w:t>5</w:t>
            </w:r>
          </w:p>
        </w:tc>
        <w:tc>
          <w:tcPr>
            <w:tcW w:w="992" w:type="dxa"/>
            <w:vAlign w:val="bottom"/>
          </w:tcPr>
          <w:p w:rsidR="00CD2A5A" w:rsidRDefault="00CD2A5A">
            <w:pPr>
              <w:spacing w:before="40" w:after="40"/>
              <w:ind w:right="113"/>
              <w:jc w:val="right"/>
              <w:rPr>
                <w:sz w:val="20"/>
                <w:szCs w:val="20"/>
                <w:lang w:val="es-SV"/>
              </w:rPr>
            </w:pPr>
            <w:r>
              <w:rPr>
                <w:sz w:val="20"/>
                <w:szCs w:val="20"/>
                <w:lang w:val="es-SV"/>
              </w:rPr>
              <w:t>5</w:t>
            </w:r>
          </w:p>
        </w:tc>
        <w:tc>
          <w:tcPr>
            <w:tcW w:w="709" w:type="dxa"/>
            <w:vAlign w:val="bottom"/>
          </w:tcPr>
          <w:p w:rsidR="00CD2A5A" w:rsidRDefault="00CD2A5A">
            <w:pPr>
              <w:spacing w:before="40" w:after="40"/>
              <w:ind w:right="113"/>
              <w:jc w:val="right"/>
              <w:rPr>
                <w:sz w:val="20"/>
                <w:szCs w:val="20"/>
                <w:lang w:val="es-SV"/>
              </w:rPr>
            </w:pPr>
            <w:r>
              <w:rPr>
                <w:sz w:val="20"/>
                <w:szCs w:val="20"/>
                <w:lang w:val="es-SV"/>
              </w:rPr>
              <w:t>-</w:t>
            </w:r>
          </w:p>
        </w:tc>
        <w:tc>
          <w:tcPr>
            <w:tcW w:w="1262" w:type="dxa"/>
            <w:vAlign w:val="bottom"/>
          </w:tcPr>
          <w:p w:rsidR="00CD2A5A" w:rsidRDefault="00CD2A5A">
            <w:pPr>
              <w:spacing w:before="40" w:after="40"/>
              <w:jc w:val="center"/>
              <w:rPr>
                <w:sz w:val="20"/>
                <w:szCs w:val="20"/>
                <w:lang w:val="es-SV"/>
              </w:rPr>
            </w:pPr>
            <w:r>
              <w:rPr>
                <w:sz w:val="20"/>
                <w:szCs w:val="20"/>
                <w:lang w:val="es-SV"/>
              </w:rPr>
              <w:t>-</w:t>
            </w:r>
          </w:p>
        </w:tc>
      </w:tr>
      <w:tr w:rsidR="00CD2A5A">
        <w:tblPrEx>
          <w:tblCellMar>
            <w:top w:w="0" w:type="dxa"/>
            <w:bottom w:w="0" w:type="dxa"/>
          </w:tblCellMar>
        </w:tblPrEx>
        <w:trPr>
          <w:jc w:val="center"/>
        </w:trPr>
        <w:tc>
          <w:tcPr>
            <w:tcW w:w="1839" w:type="dxa"/>
            <w:vAlign w:val="bottom"/>
          </w:tcPr>
          <w:p w:rsidR="00CD2A5A" w:rsidRDefault="00CD2A5A">
            <w:pPr>
              <w:spacing w:before="40" w:after="40"/>
              <w:rPr>
                <w:sz w:val="20"/>
                <w:szCs w:val="20"/>
                <w:lang w:val="es-SV"/>
              </w:rPr>
            </w:pPr>
            <w:r>
              <w:rPr>
                <w:sz w:val="20"/>
                <w:szCs w:val="20"/>
                <w:lang w:val="es-SV"/>
              </w:rPr>
              <w:t>DE 16 años</w:t>
            </w:r>
          </w:p>
        </w:tc>
        <w:tc>
          <w:tcPr>
            <w:tcW w:w="724" w:type="dxa"/>
            <w:vAlign w:val="bottom"/>
          </w:tcPr>
          <w:p w:rsidR="00CD2A5A" w:rsidRDefault="00CD2A5A">
            <w:pPr>
              <w:spacing w:before="40" w:after="40"/>
              <w:ind w:right="113"/>
              <w:jc w:val="right"/>
              <w:rPr>
                <w:sz w:val="20"/>
                <w:szCs w:val="20"/>
                <w:lang w:val="es-SV"/>
              </w:rPr>
            </w:pPr>
            <w:r>
              <w:rPr>
                <w:sz w:val="20"/>
                <w:szCs w:val="20"/>
                <w:lang w:val="es-SV"/>
              </w:rPr>
              <w:t>207</w:t>
            </w:r>
          </w:p>
        </w:tc>
        <w:tc>
          <w:tcPr>
            <w:tcW w:w="1051" w:type="dxa"/>
            <w:vAlign w:val="bottom"/>
          </w:tcPr>
          <w:p w:rsidR="00CD2A5A" w:rsidRDefault="00CD2A5A">
            <w:pPr>
              <w:spacing w:before="40" w:after="40"/>
              <w:ind w:right="113"/>
              <w:jc w:val="right"/>
              <w:rPr>
                <w:sz w:val="20"/>
                <w:szCs w:val="20"/>
                <w:lang w:val="es-SV"/>
              </w:rPr>
            </w:pPr>
            <w:r>
              <w:rPr>
                <w:sz w:val="20"/>
                <w:szCs w:val="20"/>
                <w:lang w:val="es-SV"/>
              </w:rPr>
              <w:t>207</w:t>
            </w:r>
          </w:p>
        </w:tc>
        <w:tc>
          <w:tcPr>
            <w:tcW w:w="851" w:type="dxa"/>
            <w:vAlign w:val="bottom"/>
          </w:tcPr>
          <w:p w:rsidR="00CD2A5A" w:rsidRDefault="00CD2A5A">
            <w:pPr>
              <w:spacing w:before="40" w:after="40"/>
              <w:jc w:val="center"/>
              <w:rPr>
                <w:sz w:val="20"/>
                <w:szCs w:val="20"/>
                <w:lang w:val="es-SV"/>
              </w:rPr>
            </w:pPr>
            <w:r>
              <w:rPr>
                <w:sz w:val="20"/>
                <w:szCs w:val="20"/>
                <w:lang w:val="es-SV"/>
              </w:rPr>
              <w:t>-</w:t>
            </w:r>
          </w:p>
        </w:tc>
        <w:tc>
          <w:tcPr>
            <w:tcW w:w="1275" w:type="dxa"/>
            <w:vAlign w:val="bottom"/>
          </w:tcPr>
          <w:p w:rsidR="00CD2A5A" w:rsidRDefault="00CD2A5A">
            <w:pPr>
              <w:spacing w:before="40" w:after="40"/>
              <w:jc w:val="center"/>
              <w:rPr>
                <w:sz w:val="20"/>
                <w:szCs w:val="20"/>
                <w:lang w:val="es-SV"/>
              </w:rPr>
            </w:pPr>
            <w:r>
              <w:rPr>
                <w:sz w:val="20"/>
                <w:szCs w:val="20"/>
                <w:lang w:val="es-SV"/>
              </w:rPr>
              <w:t>-</w:t>
            </w:r>
          </w:p>
        </w:tc>
        <w:tc>
          <w:tcPr>
            <w:tcW w:w="709" w:type="dxa"/>
            <w:vAlign w:val="bottom"/>
          </w:tcPr>
          <w:p w:rsidR="00CD2A5A" w:rsidRDefault="00CD2A5A">
            <w:pPr>
              <w:spacing w:before="40" w:after="40"/>
              <w:ind w:right="113"/>
              <w:jc w:val="right"/>
              <w:rPr>
                <w:sz w:val="20"/>
                <w:szCs w:val="20"/>
                <w:lang w:val="es-SV"/>
              </w:rPr>
            </w:pPr>
            <w:r>
              <w:rPr>
                <w:sz w:val="20"/>
                <w:szCs w:val="20"/>
                <w:lang w:val="es-SV"/>
              </w:rPr>
              <w:t>22</w:t>
            </w:r>
          </w:p>
        </w:tc>
        <w:tc>
          <w:tcPr>
            <w:tcW w:w="992" w:type="dxa"/>
            <w:vAlign w:val="bottom"/>
          </w:tcPr>
          <w:p w:rsidR="00CD2A5A" w:rsidRDefault="00CD2A5A">
            <w:pPr>
              <w:spacing w:before="40" w:after="40"/>
              <w:ind w:right="113"/>
              <w:jc w:val="right"/>
              <w:rPr>
                <w:sz w:val="20"/>
                <w:szCs w:val="20"/>
                <w:lang w:val="es-SV"/>
              </w:rPr>
            </w:pPr>
            <w:r>
              <w:rPr>
                <w:sz w:val="20"/>
                <w:szCs w:val="20"/>
                <w:lang w:val="es-SV"/>
              </w:rPr>
              <w:t>21</w:t>
            </w:r>
          </w:p>
        </w:tc>
        <w:tc>
          <w:tcPr>
            <w:tcW w:w="709" w:type="dxa"/>
            <w:vAlign w:val="bottom"/>
          </w:tcPr>
          <w:p w:rsidR="00CD2A5A" w:rsidRDefault="00CD2A5A">
            <w:pPr>
              <w:spacing w:before="40" w:after="40"/>
              <w:ind w:right="113"/>
              <w:jc w:val="right"/>
              <w:rPr>
                <w:sz w:val="20"/>
                <w:szCs w:val="20"/>
                <w:lang w:val="es-SV"/>
              </w:rPr>
            </w:pPr>
            <w:r>
              <w:rPr>
                <w:sz w:val="20"/>
                <w:szCs w:val="20"/>
                <w:lang w:val="es-SV"/>
              </w:rPr>
              <w:t>1</w:t>
            </w:r>
          </w:p>
        </w:tc>
        <w:tc>
          <w:tcPr>
            <w:tcW w:w="1262" w:type="dxa"/>
            <w:vAlign w:val="bottom"/>
          </w:tcPr>
          <w:p w:rsidR="00CD2A5A" w:rsidRDefault="00CD2A5A">
            <w:pPr>
              <w:spacing w:before="40" w:after="40"/>
              <w:jc w:val="center"/>
              <w:rPr>
                <w:sz w:val="20"/>
                <w:szCs w:val="20"/>
                <w:lang w:val="es-SV"/>
              </w:rPr>
            </w:pPr>
            <w:r>
              <w:rPr>
                <w:sz w:val="20"/>
                <w:szCs w:val="20"/>
                <w:lang w:val="es-SV"/>
              </w:rPr>
              <w:t>-</w:t>
            </w:r>
          </w:p>
        </w:tc>
      </w:tr>
      <w:tr w:rsidR="00CD2A5A">
        <w:tblPrEx>
          <w:tblCellMar>
            <w:top w:w="0" w:type="dxa"/>
            <w:bottom w:w="0" w:type="dxa"/>
          </w:tblCellMar>
        </w:tblPrEx>
        <w:trPr>
          <w:jc w:val="center"/>
        </w:trPr>
        <w:tc>
          <w:tcPr>
            <w:tcW w:w="1839" w:type="dxa"/>
            <w:vAlign w:val="bottom"/>
          </w:tcPr>
          <w:p w:rsidR="00CD2A5A" w:rsidRDefault="00CD2A5A">
            <w:pPr>
              <w:spacing w:before="40" w:after="40"/>
              <w:rPr>
                <w:sz w:val="20"/>
                <w:szCs w:val="20"/>
                <w:lang w:val="es-SV"/>
              </w:rPr>
            </w:pPr>
            <w:r>
              <w:rPr>
                <w:sz w:val="20"/>
                <w:szCs w:val="20"/>
                <w:lang w:val="es-SV"/>
              </w:rPr>
              <w:t>DE 17 años</w:t>
            </w:r>
          </w:p>
        </w:tc>
        <w:tc>
          <w:tcPr>
            <w:tcW w:w="724" w:type="dxa"/>
            <w:vAlign w:val="bottom"/>
          </w:tcPr>
          <w:p w:rsidR="00CD2A5A" w:rsidRDefault="00CD2A5A">
            <w:pPr>
              <w:spacing w:before="40" w:after="40"/>
              <w:ind w:right="113"/>
              <w:jc w:val="right"/>
              <w:rPr>
                <w:sz w:val="20"/>
                <w:szCs w:val="20"/>
                <w:lang w:val="es-SV"/>
              </w:rPr>
            </w:pPr>
            <w:r>
              <w:rPr>
                <w:sz w:val="20"/>
                <w:szCs w:val="20"/>
                <w:lang w:val="es-SV"/>
              </w:rPr>
              <w:t>341</w:t>
            </w:r>
          </w:p>
        </w:tc>
        <w:tc>
          <w:tcPr>
            <w:tcW w:w="1051" w:type="dxa"/>
            <w:vAlign w:val="bottom"/>
          </w:tcPr>
          <w:p w:rsidR="00CD2A5A" w:rsidRDefault="00CD2A5A">
            <w:pPr>
              <w:spacing w:before="40" w:after="40"/>
              <w:ind w:right="113"/>
              <w:jc w:val="right"/>
              <w:rPr>
                <w:sz w:val="20"/>
                <w:szCs w:val="20"/>
                <w:lang w:val="es-SV"/>
              </w:rPr>
            </w:pPr>
            <w:r>
              <w:rPr>
                <w:sz w:val="20"/>
                <w:szCs w:val="20"/>
                <w:lang w:val="es-SV"/>
              </w:rPr>
              <w:t>341</w:t>
            </w:r>
          </w:p>
        </w:tc>
        <w:tc>
          <w:tcPr>
            <w:tcW w:w="851" w:type="dxa"/>
            <w:vAlign w:val="bottom"/>
          </w:tcPr>
          <w:p w:rsidR="00CD2A5A" w:rsidRDefault="00CD2A5A">
            <w:pPr>
              <w:spacing w:before="40" w:after="40"/>
              <w:jc w:val="center"/>
              <w:rPr>
                <w:sz w:val="20"/>
                <w:szCs w:val="20"/>
                <w:lang w:val="es-SV"/>
              </w:rPr>
            </w:pPr>
            <w:r>
              <w:rPr>
                <w:sz w:val="20"/>
                <w:szCs w:val="20"/>
                <w:lang w:val="es-SV"/>
              </w:rPr>
              <w:t>-</w:t>
            </w:r>
          </w:p>
        </w:tc>
        <w:tc>
          <w:tcPr>
            <w:tcW w:w="1275" w:type="dxa"/>
            <w:vAlign w:val="bottom"/>
          </w:tcPr>
          <w:p w:rsidR="00CD2A5A" w:rsidRDefault="00CD2A5A">
            <w:pPr>
              <w:spacing w:before="40" w:after="40"/>
              <w:jc w:val="center"/>
              <w:rPr>
                <w:sz w:val="20"/>
                <w:szCs w:val="20"/>
                <w:lang w:val="es-SV"/>
              </w:rPr>
            </w:pPr>
            <w:r>
              <w:rPr>
                <w:sz w:val="20"/>
                <w:szCs w:val="20"/>
                <w:lang w:val="es-SV"/>
              </w:rPr>
              <w:t>-</w:t>
            </w:r>
          </w:p>
        </w:tc>
        <w:tc>
          <w:tcPr>
            <w:tcW w:w="709" w:type="dxa"/>
            <w:vAlign w:val="bottom"/>
          </w:tcPr>
          <w:p w:rsidR="00CD2A5A" w:rsidRDefault="00CD2A5A">
            <w:pPr>
              <w:spacing w:before="40" w:after="40"/>
              <w:ind w:right="113"/>
              <w:jc w:val="right"/>
              <w:rPr>
                <w:sz w:val="20"/>
                <w:szCs w:val="20"/>
                <w:lang w:val="es-SV"/>
              </w:rPr>
            </w:pPr>
            <w:r>
              <w:rPr>
                <w:sz w:val="20"/>
                <w:szCs w:val="20"/>
                <w:lang w:val="es-SV"/>
              </w:rPr>
              <w:t>43</w:t>
            </w:r>
          </w:p>
        </w:tc>
        <w:tc>
          <w:tcPr>
            <w:tcW w:w="992" w:type="dxa"/>
            <w:vAlign w:val="bottom"/>
          </w:tcPr>
          <w:p w:rsidR="00CD2A5A" w:rsidRDefault="00CD2A5A">
            <w:pPr>
              <w:spacing w:before="40" w:after="40"/>
              <w:ind w:right="113"/>
              <w:jc w:val="right"/>
              <w:rPr>
                <w:sz w:val="20"/>
                <w:szCs w:val="20"/>
                <w:lang w:val="es-SV"/>
              </w:rPr>
            </w:pPr>
            <w:r>
              <w:rPr>
                <w:sz w:val="20"/>
                <w:szCs w:val="20"/>
                <w:lang w:val="es-SV"/>
              </w:rPr>
              <w:t>42</w:t>
            </w:r>
          </w:p>
        </w:tc>
        <w:tc>
          <w:tcPr>
            <w:tcW w:w="709" w:type="dxa"/>
            <w:vAlign w:val="bottom"/>
          </w:tcPr>
          <w:p w:rsidR="00CD2A5A" w:rsidRDefault="00CD2A5A">
            <w:pPr>
              <w:spacing w:before="40" w:after="40"/>
              <w:ind w:right="113"/>
              <w:jc w:val="right"/>
              <w:rPr>
                <w:sz w:val="20"/>
                <w:szCs w:val="20"/>
                <w:lang w:val="es-SV"/>
              </w:rPr>
            </w:pPr>
            <w:r>
              <w:rPr>
                <w:sz w:val="20"/>
                <w:szCs w:val="20"/>
                <w:lang w:val="es-SV"/>
              </w:rPr>
              <w:t>1</w:t>
            </w:r>
          </w:p>
        </w:tc>
        <w:tc>
          <w:tcPr>
            <w:tcW w:w="1262" w:type="dxa"/>
            <w:vAlign w:val="bottom"/>
          </w:tcPr>
          <w:p w:rsidR="00CD2A5A" w:rsidRDefault="00CD2A5A">
            <w:pPr>
              <w:spacing w:before="40" w:after="40"/>
              <w:jc w:val="center"/>
              <w:rPr>
                <w:sz w:val="20"/>
                <w:szCs w:val="20"/>
                <w:lang w:val="es-SV"/>
              </w:rPr>
            </w:pPr>
            <w:r>
              <w:rPr>
                <w:sz w:val="20"/>
                <w:szCs w:val="20"/>
                <w:lang w:val="es-SV"/>
              </w:rPr>
              <w:t>-</w:t>
            </w:r>
          </w:p>
        </w:tc>
      </w:tr>
    </w:tbl>
    <w:p w:rsidR="00CD2A5A" w:rsidRDefault="00CD2A5A">
      <w:pPr>
        <w:pStyle w:val="Source"/>
        <w:rPr>
          <w:lang w:val="es-ES_tradnl"/>
        </w:rPr>
      </w:pPr>
      <w:r>
        <w:rPr>
          <w:lang w:val="es-ES_tradnl"/>
        </w:rPr>
        <w:t>1/ Incluye los matrimonios realizados en el país, por contrayentes residentes en el extranjero</w:t>
      </w:r>
    </w:p>
    <w:p w:rsidR="00CD2A5A" w:rsidRDefault="00CD2A5A">
      <w:pPr>
        <w:spacing w:after="240"/>
        <w:rPr>
          <w:lang w:val="es-SV"/>
        </w:rPr>
      </w:pPr>
      <w:r>
        <w:rPr>
          <w:lang w:val="es-SV"/>
        </w:rPr>
        <w:t xml:space="preserve">Debe mencionarse que el Código de Familia permite excepcionalmente los matrimonios de menores de 18 años de edad si </w:t>
      </w:r>
      <w:r>
        <w:rPr>
          <w:lang w:val="es-MX"/>
        </w:rPr>
        <w:t>siendo púberes ya tuvieren un hijo en común o si la mujer estuviese embarazada.</w:t>
      </w:r>
    </w:p>
    <w:p w:rsidR="00CD2A5A" w:rsidRDefault="00CD2A5A">
      <w:pPr>
        <w:keepNext/>
        <w:autoSpaceDE w:val="0"/>
        <w:autoSpaceDN w:val="0"/>
        <w:adjustRightInd w:val="0"/>
        <w:spacing w:after="240"/>
        <w:rPr>
          <w:lang w:val="es-MX"/>
        </w:rPr>
      </w:pPr>
      <w:r>
        <w:rPr>
          <w:lang w:val="es-MX"/>
        </w:rPr>
        <w:t xml:space="preserve">El Código de Familia vigente en la República, en su CAPITULO II  “IMPEDIMENTOS Y REGLAS ESPECIALES PARA CONTRAER MATRIMONIO”, en la parte de IMPEDIMENTOS ABSOLUTOS: </w:t>
      </w:r>
    </w:p>
    <w:p w:rsidR="00CD2A5A" w:rsidRDefault="00CD2A5A">
      <w:pPr>
        <w:keepNext/>
        <w:autoSpaceDE w:val="0"/>
        <w:autoSpaceDN w:val="0"/>
        <w:adjustRightInd w:val="0"/>
        <w:spacing w:before="120" w:after="240"/>
        <w:rPr>
          <w:lang w:val="es-MX"/>
        </w:rPr>
      </w:pPr>
      <w:r>
        <w:rPr>
          <w:lang w:val="es-MX"/>
        </w:rPr>
        <w:t xml:space="preserve">Art. 14.- No podrán contraer matrimonio: </w:t>
      </w:r>
    </w:p>
    <w:p w:rsidR="00CD2A5A" w:rsidRDefault="00CD2A5A">
      <w:pPr>
        <w:autoSpaceDE w:val="0"/>
        <w:autoSpaceDN w:val="0"/>
        <w:adjustRightInd w:val="0"/>
        <w:spacing w:before="120" w:after="240"/>
        <w:ind w:firstLine="567"/>
        <w:rPr>
          <w:lang w:val="es-MX"/>
        </w:rPr>
      </w:pPr>
      <w:r>
        <w:rPr>
          <w:lang w:val="es-MX"/>
        </w:rPr>
        <w:t xml:space="preserve">1) </w:t>
      </w:r>
      <w:r>
        <w:rPr>
          <w:lang w:val="es-MX"/>
        </w:rPr>
        <w:tab/>
        <w:t xml:space="preserve">Los menores de dieciocho años de edad; 2) Los ligados por vínculo matrimonial; y, 3) Los que no se hallaren en el pleno uso de su razón y los que no puedan expresar su consentimiento de manera inequívoca. </w:t>
      </w:r>
    </w:p>
    <w:p w:rsidR="00CD2A5A" w:rsidRDefault="00CD2A5A">
      <w:pPr>
        <w:autoSpaceDE w:val="0"/>
        <w:autoSpaceDN w:val="0"/>
        <w:adjustRightInd w:val="0"/>
        <w:spacing w:before="120" w:after="240"/>
        <w:rPr>
          <w:lang w:val="es-MX"/>
        </w:rPr>
      </w:pPr>
      <w:r>
        <w:rPr>
          <w:lang w:val="es-MX"/>
        </w:rPr>
        <w:t xml:space="preserve">No obstante lo dispuesto en el ordinal primero de este artículo, los menores de dieciocho años podrán casarse si siendo púberes, tuvieren ya un hijo en común, o si la mujer estuviere embarazada. </w:t>
      </w:r>
    </w:p>
    <w:p w:rsidR="00CD2A5A" w:rsidRDefault="00CD2A5A">
      <w:pPr>
        <w:autoSpaceDE w:val="0"/>
        <w:autoSpaceDN w:val="0"/>
        <w:adjustRightInd w:val="0"/>
        <w:spacing w:before="120" w:after="240"/>
        <w:rPr>
          <w:b/>
          <w:i/>
          <w:lang w:val="es-MX"/>
        </w:rPr>
      </w:pPr>
      <w:r>
        <w:rPr>
          <w:b/>
          <w:lang w:val="es-MX"/>
        </w:rPr>
        <w:t>Impedimentos</w:t>
      </w:r>
      <w:r>
        <w:rPr>
          <w:b/>
          <w:i/>
          <w:lang w:val="es-MX"/>
        </w:rPr>
        <w:t xml:space="preserve"> relativos </w:t>
      </w:r>
    </w:p>
    <w:p w:rsidR="00CD2A5A" w:rsidRDefault="00CD2A5A">
      <w:pPr>
        <w:keepNext/>
        <w:autoSpaceDE w:val="0"/>
        <w:autoSpaceDN w:val="0"/>
        <w:adjustRightInd w:val="0"/>
        <w:spacing w:before="120" w:after="240"/>
        <w:rPr>
          <w:lang w:val="es-MX"/>
        </w:rPr>
      </w:pPr>
      <w:r>
        <w:rPr>
          <w:lang w:val="es-MX"/>
        </w:rPr>
        <w:t xml:space="preserve">Art. 15.- No podrán contraer matrimonio entre sí: </w:t>
      </w:r>
    </w:p>
    <w:p w:rsidR="00CD2A5A" w:rsidRDefault="00CD2A5A">
      <w:pPr>
        <w:autoSpaceDE w:val="0"/>
        <w:autoSpaceDN w:val="0"/>
        <w:adjustRightInd w:val="0"/>
        <w:spacing w:before="120" w:after="240"/>
        <w:rPr>
          <w:lang w:val="es-MX"/>
        </w:rPr>
      </w:pPr>
      <w:r>
        <w:rPr>
          <w:lang w:val="es-MX"/>
        </w:rPr>
        <w:t>1) Los parientes por consanguinidad en cualquier grado de la línea recta ni los hermanos; 2) El adoptante y su cónyuge con el adoptado o con algún descendiente de éste; el adoptado con los ascendientes o descendientes del adoptante, o con los hijos adoptivos del mismo adoptante; y 3) El condenado como autor o cómplice del homicidio doloso del cónyuge del otro. Si estuviere pendiente juicio por el delito mencionado, no se procederá a la celebración del matrimonio hasta que se pronuncie sentencia absolutoria o sobreseimiento definitivo.</w:t>
      </w:r>
    </w:p>
    <w:p w:rsidR="00CD2A5A" w:rsidRDefault="00CD2A5A">
      <w:pPr>
        <w:pStyle w:val="I"/>
      </w:pPr>
      <w:r>
        <w:t>ANEXO XVII</w:t>
      </w:r>
    </w:p>
    <w:p w:rsidR="00CD2A5A" w:rsidRDefault="00CD2A5A" w:rsidP="00CD2A5A">
      <w:pPr>
        <w:pStyle w:val="Figure"/>
      </w:pPr>
      <w:r>
        <w:t>Población de 6 y mas años de edad, por condición de alfabetismo, según sexo y grupos de edad</w:t>
      </w:r>
    </w:p>
    <w:p w:rsidR="00CD2A5A" w:rsidRDefault="00CD2A5A" w:rsidP="006228EF">
      <w:pPr>
        <w:pStyle w:val="A0"/>
        <w:rPr>
          <w:lang w:val="es-ES_tradnl"/>
        </w:rPr>
      </w:pPr>
      <w:r>
        <w:t>A.  Total país 2004</w:t>
      </w:r>
    </w:p>
    <w:tbl>
      <w:tblPr>
        <w:tblpPr w:tblpXSpec="center"/>
        <w:tblW w:w="9412" w:type="dxa"/>
        <w:jc w:val="center"/>
        <w:tblInd w:w="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743"/>
        <w:gridCol w:w="2114"/>
        <w:gridCol w:w="2880"/>
        <w:gridCol w:w="2675"/>
      </w:tblGrid>
      <w:tr w:rsidR="00CD2A5A">
        <w:trPr>
          <w:cantSplit/>
          <w:jc w:val="center"/>
        </w:trPr>
        <w:tc>
          <w:tcPr>
            <w:tcW w:w="926"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Sexo y</w:t>
            </w:r>
          </w:p>
        </w:tc>
        <w:tc>
          <w:tcPr>
            <w:tcW w:w="1123"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p>
        </w:tc>
        <w:tc>
          <w:tcPr>
            <w:tcW w:w="2951" w:type="pct"/>
            <w:gridSpan w:val="2"/>
            <w:vMerge w:val="restar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Condición de alfabetismo</w:t>
            </w:r>
          </w:p>
        </w:tc>
      </w:tr>
      <w:tr w:rsidR="00CD2A5A">
        <w:trPr>
          <w:cantSplit/>
          <w:jc w:val="center"/>
        </w:trPr>
        <w:tc>
          <w:tcPr>
            <w:tcW w:w="926"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Grupos de</w:t>
            </w:r>
          </w:p>
        </w:tc>
        <w:tc>
          <w:tcPr>
            <w:tcW w:w="1123"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Total</w:t>
            </w:r>
          </w:p>
        </w:tc>
        <w:tc>
          <w:tcPr>
            <w:tcW w:w="2951" w:type="pct"/>
            <w:gridSpan w:val="2"/>
            <w:vMerge/>
            <w:vAlign w:val="center"/>
          </w:tcPr>
          <w:p w:rsidR="00CD2A5A" w:rsidRDefault="00CD2A5A">
            <w:pPr>
              <w:spacing w:before="30" w:after="30"/>
              <w:jc w:val="center"/>
              <w:rPr>
                <w:rFonts w:eastAsia="Arial Unicode MS"/>
                <w:b/>
                <w:bCs/>
                <w:i/>
                <w:sz w:val="20"/>
                <w:szCs w:val="20"/>
              </w:rPr>
            </w:pPr>
          </w:p>
        </w:tc>
      </w:tr>
      <w:tr w:rsidR="00CD2A5A">
        <w:trPr>
          <w:jc w:val="center"/>
        </w:trPr>
        <w:tc>
          <w:tcPr>
            <w:tcW w:w="926"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Edad</w:t>
            </w:r>
          </w:p>
        </w:tc>
        <w:tc>
          <w:tcPr>
            <w:tcW w:w="1123"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p>
        </w:tc>
        <w:tc>
          <w:tcPr>
            <w:tcW w:w="1530"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Alfabetos</w:t>
            </w:r>
          </w:p>
        </w:tc>
        <w:tc>
          <w:tcPr>
            <w:tcW w:w="1421" w:type="pct"/>
            <w:noWrap/>
            <w:tcMar>
              <w:top w:w="17" w:type="dxa"/>
              <w:left w:w="17" w:type="dxa"/>
              <w:bottom w:w="0" w:type="dxa"/>
              <w:right w:w="17" w:type="dxa"/>
            </w:tcMar>
            <w:vAlign w:val="center"/>
          </w:tcPr>
          <w:p w:rsidR="00CD2A5A" w:rsidRDefault="00CD2A5A">
            <w:pPr>
              <w:spacing w:before="30" w:after="30"/>
              <w:jc w:val="center"/>
              <w:rPr>
                <w:rFonts w:eastAsia="Arial Unicode MS"/>
                <w:b/>
                <w:bCs/>
                <w:i/>
                <w:sz w:val="20"/>
                <w:szCs w:val="20"/>
              </w:rPr>
            </w:pPr>
            <w:r>
              <w:rPr>
                <w:b/>
                <w:bCs/>
                <w:i/>
                <w:sz w:val="20"/>
                <w:szCs w:val="20"/>
              </w:rPr>
              <w:t>Analfabetos</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b/>
                <w:bCs/>
                <w:sz w:val="20"/>
                <w:szCs w:val="20"/>
              </w:rPr>
            </w:pPr>
            <w:r>
              <w:rPr>
                <w:b/>
                <w:bCs/>
                <w:sz w:val="20"/>
                <w:szCs w:val="20"/>
              </w:rPr>
              <w:t>Total</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b/>
                <w:bCs/>
                <w:sz w:val="20"/>
                <w:szCs w:val="20"/>
              </w:rPr>
            </w:pPr>
            <w:r>
              <w:rPr>
                <w:b/>
                <w:bCs/>
                <w:sz w:val="20"/>
                <w:szCs w:val="20"/>
              </w:rPr>
              <w:t>5.899.640</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b/>
                <w:bCs/>
                <w:sz w:val="20"/>
                <w:szCs w:val="20"/>
              </w:rPr>
            </w:pPr>
            <w:r>
              <w:rPr>
                <w:b/>
                <w:bCs/>
                <w:sz w:val="20"/>
                <w:szCs w:val="20"/>
              </w:rPr>
              <w:t>4.797.526</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b/>
                <w:bCs/>
                <w:sz w:val="20"/>
                <w:szCs w:val="20"/>
              </w:rPr>
            </w:pPr>
            <w:r>
              <w:rPr>
                <w:b/>
                <w:bCs/>
                <w:sz w:val="20"/>
                <w:szCs w:val="20"/>
              </w:rPr>
              <w:t>1.102.114</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6</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161.711</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21.650</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140.061</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7   -   9</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497.086</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346.768</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150.318</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10   -   12</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475.286</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438.639</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36.647</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13   -   15</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465.831</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442.853</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22.978</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16   -   18</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426.955</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406.063</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20.892</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19   -   23</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625.464</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584.033</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41.431</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24   -   28</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578.542</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527.988</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50.554</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29   -   33</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454.031</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405.072</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48.959</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34   y   MÁS</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2.214.734</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1.624.460</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590.274</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b/>
                <w:bCs/>
                <w:sz w:val="20"/>
                <w:szCs w:val="20"/>
              </w:rPr>
            </w:pPr>
            <w:r>
              <w:rPr>
                <w:b/>
                <w:bCs/>
                <w:sz w:val="20"/>
                <w:szCs w:val="20"/>
              </w:rPr>
              <w:t>Hombres</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b/>
                <w:bCs/>
                <w:sz w:val="20"/>
                <w:szCs w:val="20"/>
              </w:rPr>
            </w:pPr>
            <w:r>
              <w:rPr>
                <w:b/>
                <w:bCs/>
                <w:sz w:val="20"/>
                <w:szCs w:val="20"/>
              </w:rPr>
              <w:t>2.799.201</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b/>
                <w:bCs/>
                <w:sz w:val="20"/>
                <w:szCs w:val="20"/>
              </w:rPr>
            </w:pPr>
            <w:r>
              <w:rPr>
                <w:b/>
                <w:bCs/>
                <w:sz w:val="20"/>
                <w:szCs w:val="20"/>
              </w:rPr>
              <w:t>2.326.972</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b/>
                <w:bCs/>
                <w:sz w:val="20"/>
                <w:szCs w:val="20"/>
              </w:rPr>
            </w:pPr>
            <w:r>
              <w:rPr>
                <w:b/>
                <w:bCs/>
                <w:sz w:val="20"/>
                <w:szCs w:val="20"/>
              </w:rPr>
              <w:t>472.229</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6</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80.062</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9.466</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70.596</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7   -   9</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258.727</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176.278</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82.449</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10   -   12</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246.759</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223.279</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23.480</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13   -   15</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235.574</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222.340</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13.234</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16   -   18</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215.635</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204.519</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11.116</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19   -   23</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297.240</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278.147</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19.093</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24   -   28</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273.038</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250.405</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22.633</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29   -   33</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206.455</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188.133</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18.322</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34   y   MÁS</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985.711</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774.405</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211.306</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b/>
                <w:bCs/>
                <w:sz w:val="20"/>
                <w:szCs w:val="20"/>
              </w:rPr>
            </w:pPr>
            <w:r>
              <w:rPr>
                <w:b/>
                <w:bCs/>
                <w:sz w:val="20"/>
                <w:szCs w:val="20"/>
              </w:rPr>
              <w:t>Mujeres</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b/>
                <w:bCs/>
                <w:sz w:val="20"/>
                <w:szCs w:val="20"/>
              </w:rPr>
            </w:pPr>
            <w:r>
              <w:rPr>
                <w:b/>
                <w:bCs/>
                <w:sz w:val="20"/>
                <w:szCs w:val="20"/>
              </w:rPr>
              <w:t>3.100.439</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b/>
                <w:bCs/>
                <w:sz w:val="20"/>
                <w:szCs w:val="20"/>
              </w:rPr>
            </w:pPr>
            <w:r>
              <w:rPr>
                <w:b/>
                <w:bCs/>
                <w:sz w:val="20"/>
                <w:szCs w:val="20"/>
              </w:rPr>
              <w:t>2.470.554</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b/>
                <w:bCs/>
                <w:sz w:val="20"/>
                <w:szCs w:val="20"/>
              </w:rPr>
            </w:pPr>
            <w:r>
              <w:rPr>
                <w:b/>
                <w:bCs/>
                <w:sz w:val="20"/>
                <w:szCs w:val="20"/>
              </w:rPr>
              <w:t>629.885</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6</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81.649</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12.184</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69.465</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7   -   9</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238.359</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170.490</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67.869</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10   -   12</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228.527</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215.360</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13.167</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13   -   15</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230.257</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220.513</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9.744</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16   -   18</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211.320</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201.544</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9.776</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19   -   23</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328.224</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305.886</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22.338</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24   -   28</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305.504</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277.583</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27.921</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29   -   33</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247.576</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216.939</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30.637</w:t>
            </w:r>
          </w:p>
        </w:tc>
      </w:tr>
      <w:tr w:rsidR="00CD2A5A">
        <w:trPr>
          <w:jc w:val="center"/>
        </w:trPr>
        <w:tc>
          <w:tcPr>
            <w:tcW w:w="926" w:type="pct"/>
            <w:noWrap/>
            <w:tcMar>
              <w:top w:w="17" w:type="dxa"/>
              <w:left w:w="17" w:type="dxa"/>
              <w:bottom w:w="0" w:type="dxa"/>
              <w:right w:w="17" w:type="dxa"/>
            </w:tcMar>
            <w:vAlign w:val="bottom"/>
          </w:tcPr>
          <w:p w:rsidR="00CD2A5A" w:rsidRDefault="00CD2A5A">
            <w:pPr>
              <w:spacing w:before="30" w:after="30"/>
              <w:rPr>
                <w:rFonts w:eastAsia="Arial Unicode MS"/>
                <w:sz w:val="20"/>
                <w:szCs w:val="20"/>
              </w:rPr>
            </w:pPr>
            <w:r>
              <w:rPr>
                <w:sz w:val="20"/>
                <w:szCs w:val="20"/>
              </w:rPr>
              <w:t xml:space="preserve"> 34   y   MÁS</w:t>
            </w:r>
          </w:p>
        </w:tc>
        <w:tc>
          <w:tcPr>
            <w:tcW w:w="1123" w:type="pct"/>
            <w:noWrap/>
            <w:tcMar>
              <w:top w:w="17" w:type="dxa"/>
              <w:left w:w="17" w:type="dxa"/>
              <w:bottom w:w="0" w:type="dxa"/>
              <w:right w:w="17" w:type="dxa"/>
            </w:tcMar>
            <w:vAlign w:val="bottom"/>
          </w:tcPr>
          <w:p w:rsidR="00CD2A5A" w:rsidRDefault="00CD2A5A">
            <w:pPr>
              <w:spacing w:before="30" w:after="30"/>
              <w:ind w:right="721"/>
              <w:jc w:val="right"/>
              <w:rPr>
                <w:rFonts w:eastAsia="Arial Unicode MS"/>
                <w:sz w:val="20"/>
                <w:szCs w:val="20"/>
              </w:rPr>
            </w:pPr>
            <w:r>
              <w:rPr>
                <w:sz w:val="20"/>
                <w:szCs w:val="20"/>
              </w:rPr>
              <w:t>1.229.023</w:t>
            </w:r>
          </w:p>
        </w:tc>
        <w:tc>
          <w:tcPr>
            <w:tcW w:w="1530"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850.055</w:t>
            </w:r>
          </w:p>
        </w:tc>
        <w:tc>
          <w:tcPr>
            <w:tcW w:w="1421" w:type="pct"/>
            <w:noWrap/>
            <w:tcMar>
              <w:top w:w="17" w:type="dxa"/>
              <w:left w:w="17" w:type="dxa"/>
              <w:bottom w:w="0" w:type="dxa"/>
              <w:right w:w="17" w:type="dxa"/>
            </w:tcMar>
            <w:vAlign w:val="bottom"/>
          </w:tcPr>
          <w:p w:rsidR="00CD2A5A" w:rsidRDefault="00CD2A5A">
            <w:pPr>
              <w:spacing w:before="30" w:after="30"/>
              <w:ind w:right="908"/>
              <w:jc w:val="right"/>
              <w:rPr>
                <w:rFonts w:eastAsia="Arial Unicode MS"/>
                <w:sz w:val="20"/>
                <w:szCs w:val="20"/>
              </w:rPr>
            </w:pPr>
            <w:r>
              <w:rPr>
                <w:sz w:val="20"/>
                <w:szCs w:val="20"/>
              </w:rPr>
              <w:t>378.968</w:t>
            </w:r>
          </w:p>
        </w:tc>
      </w:tr>
    </w:tbl>
    <w:p w:rsidR="00CD2A5A" w:rsidRDefault="00CD2A5A">
      <w:pPr>
        <w:spacing w:after="240"/>
      </w:pPr>
    </w:p>
    <w:p w:rsidR="00CD2A5A" w:rsidRDefault="00CD2A5A">
      <w:pPr>
        <w:spacing w:after="240"/>
      </w:pPr>
    </w:p>
    <w:p w:rsidR="00CD2A5A" w:rsidRDefault="00CD2A5A">
      <w:pPr>
        <w:spacing w:after="240"/>
      </w:pPr>
    </w:p>
    <w:p w:rsidR="00CD2A5A" w:rsidRDefault="00CD2A5A" w:rsidP="006228EF">
      <w:pPr>
        <w:pStyle w:val="A0"/>
      </w:pPr>
      <w:r>
        <w:t>B.  Total país urbano 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87"/>
        <w:gridCol w:w="1739"/>
        <w:gridCol w:w="2696"/>
        <w:gridCol w:w="2590"/>
      </w:tblGrid>
      <w:tr w:rsidR="00CD2A5A">
        <w:trPr>
          <w:cantSplit/>
          <w:trHeight w:val="338"/>
          <w:jc w:val="center"/>
        </w:trPr>
        <w:tc>
          <w:tcPr>
            <w:tcW w:w="126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924"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2808" w:type="pct"/>
            <w:gridSpan w:val="2"/>
            <w:vMerge w:val="restar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Condición de alfabetismo</w:t>
            </w:r>
          </w:p>
        </w:tc>
      </w:tr>
      <w:tr w:rsidR="00CD2A5A">
        <w:trPr>
          <w:cantSplit/>
          <w:trHeight w:val="338"/>
          <w:jc w:val="center"/>
        </w:trPr>
        <w:tc>
          <w:tcPr>
            <w:tcW w:w="126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924"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808"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8"/>
          <w:jc w:val="center"/>
        </w:trPr>
        <w:tc>
          <w:tcPr>
            <w:tcW w:w="126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924"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1432"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Alfabetos</w:t>
            </w:r>
          </w:p>
        </w:tc>
        <w:tc>
          <w:tcPr>
            <w:tcW w:w="137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Analfabetos</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Total</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b/>
                <w:bCs/>
                <w:sz w:val="20"/>
                <w:szCs w:val="20"/>
              </w:rPr>
            </w:pPr>
            <w:r>
              <w:rPr>
                <w:b/>
                <w:bCs/>
                <w:sz w:val="20"/>
                <w:szCs w:val="20"/>
              </w:rPr>
              <w:t>3.556.666</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b/>
                <w:bCs/>
                <w:sz w:val="20"/>
                <w:szCs w:val="20"/>
              </w:rPr>
            </w:pPr>
            <w:r>
              <w:rPr>
                <w:b/>
                <w:bCs/>
                <w:sz w:val="20"/>
                <w:szCs w:val="20"/>
              </w:rPr>
              <w:t>3.116.685</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b/>
                <w:bCs/>
                <w:sz w:val="20"/>
                <w:szCs w:val="20"/>
              </w:rPr>
            </w:pPr>
            <w:r>
              <w:rPr>
                <w:b/>
                <w:bCs/>
                <w:sz w:val="20"/>
                <w:szCs w:val="20"/>
              </w:rPr>
              <w:t>439.981</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88.267</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15.649</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72.618</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268.033</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208.334</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59.699</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254.308</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242.058</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12.250</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252.697</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245.166</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7.531</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237.566</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231.777</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5.789</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377.561</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363.530</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14.031</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371.852</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355.862</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15.990</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296.469</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281.719</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14.750</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1.409.913</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1.172.590</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237.323</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b/>
                <w:bCs/>
                <w:sz w:val="20"/>
                <w:szCs w:val="20"/>
              </w:rPr>
            </w:pPr>
            <w:r>
              <w:rPr>
                <w:b/>
                <w:bCs/>
                <w:sz w:val="20"/>
                <w:szCs w:val="20"/>
              </w:rPr>
              <w:t>1.645.112</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b/>
                <w:bCs/>
                <w:sz w:val="20"/>
                <w:szCs w:val="20"/>
              </w:rPr>
            </w:pPr>
            <w:r>
              <w:rPr>
                <w:b/>
                <w:bCs/>
                <w:sz w:val="20"/>
                <w:szCs w:val="20"/>
              </w:rPr>
              <w:t>1.477.768</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b/>
                <w:bCs/>
                <w:sz w:val="20"/>
                <w:szCs w:val="20"/>
              </w:rPr>
            </w:pPr>
            <w:r>
              <w:rPr>
                <w:b/>
                <w:bCs/>
                <w:sz w:val="20"/>
                <w:szCs w:val="20"/>
              </w:rPr>
              <w:t>167.344</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45.365</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7.370</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37.995</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136.534</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104.603</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31.931</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130.915</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124.141</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6.774</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129.693</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125.142</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4.551</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115.176</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112.536</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2.640</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174.299</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168.396</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5.903</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176.578</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170.211</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6.367</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132.578</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128.135</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4.443</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603.974</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537.234</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66.740</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b/>
                <w:bCs/>
                <w:sz w:val="20"/>
                <w:szCs w:val="20"/>
              </w:rPr>
            </w:pPr>
            <w:r>
              <w:rPr>
                <w:b/>
                <w:bCs/>
                <w:sz w:val="20"/>
                <w:szCs w:val="20"/>
              </w:rPr>
              <w:t>1.911.554</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b/>
                <w:bCs/>
                <w:sz w:val="20"/>
                <w:szCs w:val="20"/>
              </w:rPr>
            </w:pPr>
            <w:r>
              <w:rPr>
                <w:b/>
                <w:bCs/>
                <w:sz w:val="20"/>
                <w:szCs w:val="20"/>
              </w:rPr>
              <w:t>1.638.917</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b/>
                <w:bCs/>
                <w:sz w:val="20"/>
                <w:szCs w:val="20"/>
              </w:rPr>
            </w:pPr>
            <w:r>
              <w:rPr>
                <w:b/>
                <w:bCs/>
                <w:sz w:val="20"/>
                <w:szCs w:val="20"/>
              </w:rPr>
              <w:t>272.637</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42.902</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8.279</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34.623</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131.499</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103.731</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27.768</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123.393</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117.917</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5.476</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123.004</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120.024</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2.980</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122.390</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119.241</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3.149</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203.262</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195.134</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8.128</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195.274</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185.651</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9.623</w:t>
            </w:r>
          </w:p>
        </w:tc>
      </w:tr>
      <w:tr w:rsidR="00CD2A5A">
        <w:trPr>
          <w:trHeight w:val="338"/>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163.891</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153.584</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10.307</w:t>
            </w:r>
          </w:p>
        </w:tc>
      </w:tr>
      <w:tr w:rsidR="00CD2A5A">
        <w:trPr>
          <w:trHeight w:val="63"/>
          <w:jc w:val="center"/>
        </w:trPr>
        <w:tc>
          <w:tcPr>
            <w:tcW w:w="1268"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924" w:type="pct"/>
            <w:noWrap/>
            <w:tcMar>
              <w:top w:w="17" w:type="dxa"/>
              <w:left w:w="17" w:type="dxa"/>
              <w:bottom w:w="0" w:type="dxa"/>
              <w:right w:w="17" w:type="dxa"/>
            </w:tcMar>
            <w:vAlign w:val="bottom"/>
          </w:tcPr>
          <w:p w:rsidR="00CD2A5A" w:rsidRDefault="00CD2A5A">
            <w:pPr>
              <w:spacing w:before="40" w:after="40"/>
              <w:ind w:right="548"/>
              <w:jc w:val="right"/>
              <w:rPr>
                <w:rFonts w:eastAsia="Arial Unicode MS"/>
                <w:sz w:val="20"/>
                <w:szCs w:val="20"/>
              </w:rPr>
            </w:pPr>
            <w:r>
              <w:rPr>
                <w:sz w:val="20"/>
                <w:szCs w:val="20"/>
              </w:rPr>
              <w:t>805.939</w:t>
            </w:r>
          </w:p>
        </w:tc>
        <w:tc>
          <w:tcPr>
            <w:tcW w:w="1432"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635.356</w:t>
            </w:r>
          </w:p>
        </w:tc>
        <w:tc>
          <w:tcPr>
            <w:tcW w:w="1376" w:type="pct"/>
            <w:noWrap/>
            <w:tcMar>
              <w:top w:w="17" w:type="dxa"/>
              <w:left w:w="17" w:type="dxa"/>
              <w:bottom w:w="0" w:type="dxa"/>
              <w:right w:w="17" w:type="dxa"/>
            </w:tcMar>
            <w:vAlign w:val="bottom"/>
          </w:tcPr>
          <w:p w:rsidR="00CD2A5A" w:rsidRDefault="00CD2A5A">
            <w:pPr>
              <w:spacing w:before="40" w:after="40"/>
              <w:ind w:right="931"/>
              <w:jc w:val="right"/>
              <w:rPr>
                <w:rFonts w:eastAsia="Arial Unicode MS"/>
                <w:sz w:val="20"/>
                <w:szCs w:val="20"/>
              </w:rPr>
            </w:pPr>
            <w:r>
              <w:rPr>
                <w:sz w:val="20"/>
                <w:szCs w:val="20"/>
              </w:rPr>
              <w:t>170.583</w:t>
            </w:r>
          </w:p>
        </w:tc>
      </w:tr>
    </w:tbl>
    <w:p w:rsidR="00CD2A5A" w:rsidRDefault="00CD2A5A">
      <w:pPr>
        <w:spacing w:after="240"/>
      </w:pPr>
    </w:p>
    <w:p w:rsidR="00CD2A5A" w:rsidRDefault="00CD2A5A" w:rsidP="006228EF">
      <w:pPr>
        <w:pStyle w:val="A0"/>
      </w:pPr>
      <w:r>
        <w:br w:type="page"/>
        <w:t>C.  Total país rural 2004</w:t>
      </w:r>
    </w:p>
    <w:tbl>
      <w:tblPr>
        <w:tblpPr w:tblpXSpec="center"/>
        <w:tblW w:w="9412" w:type="dxa"/>
        <w:jc w:val="center"/>
        <w:tblInd w:w="-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2"/>
        <w:gridCol w:w="2357"/>
        <w:gridCol w:w="2357"/>
        <w:gridCol w:w="2366"/>
      </w:tblGrid>
      <w:tr w:rsidR="00CD2A5A">
        <w:trPr>
          <w:cantSplit/>
          <w:trHeight w:val="338"/>
          <w:jc w:val="center"/>
        </w:trPr>
        <w:tc>
          <w:tcPr>
            <w:tcW w:w="1239"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252"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p>
        </w:tc>
        <w:tc>
          <w:tcPr>
            <w:tcW w:w="2509" w:type="pct"/>
            <w:gridSpan w:val="2"/>
            <w:vMerge w:val="restar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Condición de alfabetismo</w:t>
            </w:r>
          </w:p>
        </w:tc>
      </w:tr>
      <w:tr w:rsidR="00CD2A5A">
        <w:trPr>
          <w:cantSplit/>
          <w:trHeight w:val="338"/>
          <w:jc w:val="center"/>
        </w:trPr>
        <w:tc>
          <w:tcPr>
            <w:tcW w:w="1239"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1252"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509"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8"/>
          <w:jc w:val="center"/>
        </w:trPr>
        <w:tc>
          <w:tcPr>
            <w:tcW w:w="1239"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252"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p>
        </w:tc>
        <w:tc>
          <w:tcPr>
            <w:tcW w:w="1252"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Alfabetos</w:t>
            </w:r>
          </w:p>
        </w:tc>
        <w:tc>
          <w:tcPr>
            <w:tcW w:w="1257"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Analfabetos</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Total</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2.342.974</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1.680.841</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662.133</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6</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73.444</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6.001</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67.443</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229.053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138.434</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90.619</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220.978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196.581</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24.397</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213.134</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197.687</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15.447</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189.389</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174.286</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15.103</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247.903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220.503</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27.400</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206.690</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172.126</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34.564</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157.562</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123.353</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34.209</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804.821</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451.870</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352.951</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1.154.089</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849.204</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304.885</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6</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34.697</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2.096</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32.601</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122.193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71.675</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50.518</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115.844</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99.138</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16.706</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105.881</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97.198</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8.683</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100.459</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91.983</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8.476</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122.941</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109.751</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13.190</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96.460</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80.194</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16.266</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73.877</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59.998</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13.879</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381.737</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237.171</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144.566</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1.188.885</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831.637</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b/>
                <w:bCs/>
                <w:sz w:val="20"/>
                <w:szCs w:val="20"/>
              </w:rPr>
            </w:pPr>
            <w:r>
              <w:rPr>
                <w:b/>
                <w:bCs/>
                <w:sz w:val="20"/>
                <w:szCs w:val="20"/>
              </w:rPr>
              <w:t>357.248</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6</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38.747</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3.905</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34.842</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106.860</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66.759</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40.101</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105.134</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97.443</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7.691</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107.253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100.489</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6.764</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88.930</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82.303</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6.627</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124.962</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110.752</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14.210</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110.230</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91.932</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18.298</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83.685</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63.355</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20.330</w:t>
            </w:r>
          </w:p>
        </w:tc>
      </w:tr>
      <w:tr w:rsidR="00CD2A5A">
        <w:trPr>
          <w:trHeight w:val="338"/>
          <w:jc w:val="center"/>
        </w:trPr>
        <w:tc>
          <w:tcPr>
            <w:tcW w:w="1239"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423.084</w:t>
            </w:r>
          </w:p>
        </w:tc>
        <w:tc>
          <w:tcPr>
            <w:tcW w:w="1252"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214.699</w:t>
            </w:r>
          </w:p>
        </w:tc>
        <w:tc>
          <w:tcPr>
            <w:tcW w:w="1257" w:type="pct"/>
            <w:noWrap/>
            <w:tcMar>
              <w:top w:w="14" w:type="dxa"/>
              <w:left w:w="14" w:type="dxa"/>
              <w:bottom w:w="0" w:type="dxa"/>
              <w:right w:w="14" w:type="dxa"/>
            </w:tcMar>
            <w:vAlign w:val="bottom"/>
          </w:tcPr>
          <w:p w:rsidR="00CD2A5A" w:rsidRDefault="00CD2A5A">
            <w:pPr>
              <w:spacing w:before="40" w:after="40"/>
              <w:ind w:right="830"/>
              <w:jc w:val="right"/>
              <w:rPr>
                <w:rFonts w:eastAsia="Arial Unicode MS"/>
                <w:sz w:val="20"/>
                <w:szCs w:val="20"/>
              </w:rPr>
            </w:pPr>
            <w:r>
              <w:rPr>
                <w:sz w:val="20"/>
                <w:szCs w:val="20"/>
              </w:rPr>
              <w:t>208.385</w:t>
            </w:r>
          </w:p>
        </w:tc>
      </w:tr>
    </w:tbl>
    <w:p w:rsidR="00CD2A5A" w:rsidRDefault="00CD2A5A" w:rsidP="006228EF">
      <w:pPr>
        <w:pStyle w:val="A0"/>
      </w:pPr>
      <w:r>
        <w:br w:type="page"/>
        <w:t>D.  Total país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3"/>
        <w:gridCol w:w="2048"/>
        <w:gridCol w:w="2285"/>
        <w:gridCol w:w="2406"/>
      </w:tblGrid>
      <w:tr w:rsidR="00CD2A5A">
        <w:trPr>
          <w:cantSplit/>
          <w:trHeight w:val="330"/>
          <w:jc w:val="center"/>
        </w:trPr>
        <w:tc>
          <w:tcPr>
            <w:tcW w:w="1420"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08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2492" w:type="pct"/>
            <w:gridSpan w:val="2"/>
            <w:vMerge w:val="restar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Condición de alfabetismo</w:t>
            </w:r>
          </w:p>
        </w:tc>
      </w:tr>
      <w:tr w:rsidR="00CD2A5A">
        <w:trPr>
          <w:cantSplit/>
          <w:trHeight w:val="330"/>
          <w:jc w:val="center"/>
        </w:trPr>
        <w:tc>
          <w:tcPr>
            <w:tcW w:w="1420"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108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492"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0"/>
          <w:jc w:val="center"/>
        </w:trPr>
        <w:tc>
          <w:tcPr>
            <w:tcW w:w="1420"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08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1214"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Alfabetos</w:t>
            </w:r>
          </w:p>
        </w:tc>
        <w:tc>
          <w:tcPr>
            <w:tcW w:w="127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Analfabetos</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Total</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6.025.951</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4.938.913</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1.087.038</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172.566</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30.441</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142.125</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522.984</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369.729</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153.255</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503.495</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474.530</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28.965</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463.163</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443.396</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19.767</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444.939</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427.631</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17.308</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599.490</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566.524</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32.966</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590.101</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546.834</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43.267</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464.985</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419.365</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45.620</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2.264.228</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1.660.463</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603.765</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2.806.740</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2.365.128</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441.612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84.119</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13.447</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70.672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265.466</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183.344</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82.122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256.182</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238.712</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17.470</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235.814</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225.161</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10.653</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226.175</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217.113</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9.062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278.736</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263.894</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14.842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265.353</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247.216</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18.137</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199.577</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184.285</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15.292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995.318</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791.956</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203.362</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3.219.211</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2.573.785</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b/>
                <w:bCs/>
                <w:sz w:val="20"/>
                <w:szCs w:val="20"/>
              </w:rPr>
            </w:pPr>
            <w:r>
              <w:rPr>
                <w:b/>
                <w:bCs/>
                <w:sz w:val="20"/>
                <w:szCs w:val="20"/>
              </w:rPr>
              <w:t>645.426</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88.447</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16.994</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71.453</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257.518</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186.385</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71.133</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247.313</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235.818</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11.495</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227.349</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218.235</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9.114</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218.764</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210.518</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8.246</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320.754</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302.630</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18.124</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324.748</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299.618</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25.130</w:t>
            </w:r>
          </w:p>
        </w:tc>
      </w:tr>
      <w:tr w:rsidR="00CD2A5A">
        <w:trPr>
          <w:trHeight w:val="360"/>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265.408</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235.080</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30.328</w:t>
            </w:r>
          </w:p>
        </w:tc>
      </w:tr>
      <w:tr w:rsidR="00CD2A5A">
        <w:trPr>
          <w:trHeight w:val="63"/>
          <w:jc w:val="center"/>
        </w:trPr>
        <w:tc>
          <w:tcPr>
            <w:tcW w:w="1420"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8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1.268.910</w:t>
            </w:r>
          </w:p>
        </w:tc>
        <w:tc>
          <w:tcPr>
            <w:tcW w:w="1214"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868.507</w:t>
            </w:r>
          </w:p>
        </w:tc>
        <w:tc>
          <w:tcPr>
            <w:tcW w:w="1278" w:type="pct"/>
            <w:noWrap/>
            <w:tcMar>
              <w:top w:w="17" w:type="dxa"/>
              <w:left w:w="17" w:type="dxa"/>
              <w:bottom w:w="0" w:type="dxa"/>
              <w:right w:w="17" w:type="dxa"/>
            </w:tcMar>
            <w:vAlign w:val="bottom"/>
          </w:tcPr>
          <w:p w:rsidR="00CD2A5A" w:rsidRDefault="00CD2A5A">
            <w:pPr>
              <w:spacing w:before="40" w:after="40"/>
              <w:ind w:right="718"/>
              <w:jc w:val="right"/>
              <w:rPr>
                <w:rFonts w:eastAsia="Arial Unicode MS"/>
                <w:sz w:val="20"/>
                <w:szCs w:val="20"/>
              </w:rPr>
            </w:pPr>
            <w:r>
              <w:rPr>
                <w:sz w:val="20"/>
                <w:szCs w:val="20"/>
              </w:rPr>
              <w:t>400.403</w:t>
            </w:r>
          </w:p>
        </w:tc>
      </w:tr>
    </w:tbl>
    <w:p w:rsidR="00CD2A5A" w:rsidRDefault="00CD2A5A" w:rsidP="006228EF">
      <w:pPr>
        <w:pStyle w:val="A0"/>
      </w:pPr>
      <w:r>
        <w:t>E.  Total país urbano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58"/>
        <w:gridCol w:w="1922"/>
        <w:gridCol w:w="2255"/>
        <w:gridCol w:w="2777"/>
      </w:tblGrid>
      <w:tr w:rsidR="00CD2A5A">
        <w:trPr>
          <w:cantSplit/>
          <w:trHeight w:val="330"/>
          <w:jc w:val="center"/>
        </w:trPr>
        <w:tc>
          <w:tcPr>
            <w:tcW w:w="130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02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2673" w:type="pct"/>
            <w:gridSpan w:val="2"/>
            <w:vMerge w:val="restar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Condición de alfabetismo</w:t>
            </w:r>
          </w:p>
        </w:tc>
      </w:tr>
      <w:tr w:rsidR="00CD2A5A">
        <w:trPr>
          <w:cantSplit/>
          <w:trHeight w:val="330"/>
          <w:jc w:val="center"/>
        </w:trPr>
        <w:tc>
          <w:tcPr>
            <w:tcW w:w="130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102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673"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0"/>
          <w:jc w:val="center"/>
        </w:trPr>
        <w:tc>
          <w:tcPr>
            <w:tcW w:w="130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02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1198"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Alfabetos</w:t>
            </w:r>
          </w:p>
        </w:tc>
        <w:tc>
          <w:tcPr>
            <w:tcW w:w="1475"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Analfabetos</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Total</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3.655.899</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3.209.337</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446.562</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89.916</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23.606</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66.310</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286.135</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224.127</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62.008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274.238</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263.679</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10.559</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257.678</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252.144</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5.534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247.022</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242.574</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4.448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356.276</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346.227</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10.049</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379.970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367.899</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12.071</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306.960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291.614</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15.346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1.457.704</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1.197.467</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260.237</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1.674.662</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1.515.382</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159.280</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43.256</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10.291</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32.965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140.320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109.986</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30.334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141.625</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135.116</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6.509</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138.798</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136.163</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2.635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124.377</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122.079</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2.298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162.916</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158.620</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4.296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171.150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166.235</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4.915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130.418</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126.320</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4.098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621.802</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550.572</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71.230</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1.981.237</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1.693.955</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287.282</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46.660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13.315</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33.345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145.815</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114.141</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31.674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132.613</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128.563</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4.050</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118.880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115.981</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2.899</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122.645</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120.495</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2.150</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193.360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187.607</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5.753</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208.820</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201.664</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7.156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176.542</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165.294</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11.248</w:t>
            </w:r>
          </w:p>
        </w:tc>
      </w:tr>
      <w:tr w:rsidR="00CD2A5A">
        <w:trPr>
          <w:trHeight w:val="63"/>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835.902</w:t>
            </w:r>
          </w:p>
        </w:tc>
        <w:tc>
          <w:tcPr>
            <w:tcW w:w="1198"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646.895</w:t>
            </w:r>
          </w:p>
        </w:tc>
        <w:tc>
          <w:tcPr>
            <w:tcW w:w="1475"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189.007</w:t>
            </w:r>
          </w:p>
        </w:tc>
      </w:tr>
    </w:tbl>
    <w:p w:rsidR="00CD2A5A" w:rsidRDefault="00CD2A5A" w:rsidP="006228EF">
      <w:pPr>
        <w:pStyle w:val="A0"/>
      </w:pPr>
      <w:r>
        <w:t>F.  Total país rural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58"/>
        <w:gridCol w:w="1922"/>
        <w:gridCol w:w="2583"/>
        <w:gridCol w:w="2449"/>
      </w:tblGrid>
      <w:tr w:rsidR="00CD2A5A">
        <w:trPr>
          <w:cantSplit/>
          <w:trHeight w:val="330"/>
          <w:jc w:val="center"/>
        </w:trPr>
        <w:tc>
          <w:tcPr>
            <w:tcW w:w="130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02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2673" w:type="pct"/>
            <w:gridSpan w:val="2"/>
            <w:vMerge w:val="restar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Condición de alfabetismo</w:t>
            </w:r>
          </w:p>
        </w:tc>
      </w:tr>
      <w:tr w:rsidR="00CD2A5A">
        <w:trPr>
          <w:cantSplit/>
          <w:trHeight w:val="330"/>
          <w:jc w:val="center"/>
        </w:trPr>
        <w:tc>
          <w:tcPr>
            <w:tcW w:w="130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102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673"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0"/>
          <w:jc w:val="center"/>
        </w:trPr>
        <w:tc>
          <w:tcPr>
            <w:tcW w:w="1306"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02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1372"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Alfabetos</w:t>
            </w:r>
          </w:p>
        </w:tc>
        <w:tc>
          <w:tcPr>
            <w:tcW w:w="130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Analfabetos</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Total</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2.370.052</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1.729.576</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640.476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82.650</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6.835</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75.815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236.849</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145.602</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91.247</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229.257</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210.851</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18.406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205.485</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191.252</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14.233</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197.917</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185.057</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12.860</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243.214</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220.297</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22.917</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210.131</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178.935</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31.196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158.025</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127.751</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30.274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806.524</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462.996</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343.528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1.132.078</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849.746</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282.332</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40.863</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3.156</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37.707</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125.146</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73.358</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51.788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114.557</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103.596</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10.961</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97.016</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88.998</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8.018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101.798</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95.034</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6.764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115.820</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105.274</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10.546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94.203</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80.981</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13.222</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69.159</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57.965</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11.194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373.516</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241.384</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132.132</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1.237.974</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879.830</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b/>
                <w:bCs/>
                <w:sz w:val="20"/>
                <w:szCs w:val="20"/>
              </w:rPr>
            </w:pPr>
            <w:r>
              <w:rPr>
                <w:b/>
                <w:bCs/>
                <w:sz w:val="20"/>
                <w:szCs w:val="20"/>
              </w:rPr>
              <w:t>358.144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6</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41.787</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3.679</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38.108</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111.703</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72.244</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39.459</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114.700</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107.255</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7.445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108.469</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102.254</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6.215</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96.119</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90.023</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6.096</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127.394</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115.023</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12.371</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115.928</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97.954</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17.974</w:t>
            </w:r>
          </w:p>
        </w:tc>
      </w:tr>
      <w:tr w:rsidR="00CD2A5A">
        <w:trPr>
          <w:trHeight w:val="360"/>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88.866</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69.786</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19.080</w:t>
            </w:r>
          </w:p>
        </w:tc>
      </w:tr>
      <w:tr w:rsidR="00CD2A5A">
        <w:trPr>
          <w:trHeight w:val="167"/>
          <w:jc w:val="center"/>
        </w:trPr>
        <w:tc>
          <w:tcPr>
            <w:tcW w:w="1306"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02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433.008</w:t>
            </w:r>
          </w:p>
        </w:tc>
        <w:tc>
          <w:tcPr>
            <w:tcW w:w="1372"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221.612</w:t>
            </w:r>
          </w:p>
        </w:tc>
        <w:tc>
          <w:tcPr>
            <w:tcW w:w="1301" w:type="pct"/>
            <w:noWrap/>
            <w:tcMar>
              <w:top w:w="17" w:type="dxa"/>
              <w:left w:w="17" w:type="dxa"/>
              <w:bottom w:w="0" w:type="dxa"/>
              <w:right w:w="17" w:type="dxa"/>
            </w:tcMar>
            <w:vAlign w:val="bottom"/>
          </w:tcPr>
          <w:p w:rsidR="00CD2A5A" w:rsidRDefault="00CD2A5A">
            <w:pPr>
              <w:spacing w:before="40" w:after="40"/>
              <w:ind w:right="660"/>
              <w:jc w:val="right"/>
              <w:rPr>
                <w:rFonts w:eastAsia="Arial Unicode MS"/>
                <w:sz w:val="20"/>
                <w:szCs w:val="20"/>
              </w:rPr>
            </w:pPr>
            <w:r>
              <w:rPr>
                <w:sz w:val="20"/>
                <w:szCs w:val="20"/>
              </w:rPr>
              <w:t>211.396</w:t>
            </w:r>
          </w:p>
        </w:tc>
      </w:tr>
    </w:tbl>
    <w:p w:rsidR="00CD2A5A" w:rsidRDefault="00CD2A5A">
      <w:pPr>
        <w:pStyle w:val="I"/>
        <w:spacing w:after="200"/>
      </w:pPr>
      <w:r>
        <w:br w:type="page"/>
        <w:t>ANEXO XVIII</w:t>
      </w:r>
    </w:p>
    <w:p w:rsidR="00CD2A5A" w:rsidRDefault="00CD2A5A" w:rsidP="00CD2A5A">
      <w:pPr>
        <w:pStyle w:val="Figure"/>
      </w:pPr>
      <w:r>
        <w:t>POBLACIÓN DE 4 Y MÁS AÑOS DE EDAD, POR ASISTENCIA ESCOLAR, SEGÚN SEXO Y GRUPOS DE EDAD</w:t>
      </w:r>
    </w:p>
    <w:p w:rsidR="00CD2A5A" w:rsidRDefault="00CD2A5A" w:rsidP="006228EF">
      <w:pPr>
        <w:pStyle w:val="A0"/>
        <w:rPr>
          <w:lang w:val="es-MX"/>
        </w:rPr>
      </w:pPr>
      <w:r>
        <w:t>A.  Total país 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03"/>
        <w:gridCol w:w="2170"/>
        <w:gridCol w:w="2170"/>
        <w:gridCol w:w="2169"/>
      </w:tblGrid>
      <w:tr w:rsidR="00CD2A5A">
        <w:trPr>
          <w:cantSplit/>
          <w:trHeight w:val="338"/>
          <w:jc w:val="center"/>
        </w:trPr>
        <w:tc>
          <w:tcPr>
            <w:tcW w:w="1542"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153"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2305" w:type="pct"/>
            <w:gridSpan w:val="2"/>
            <w:vMerge w:val="restar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Asistencia escolar</w:t>
            </w:r>
          </w:p>
        </w:tc>
      </w:tr>
      <w:tr w:rsidR="00CD2A5A">
        <w:trPr>
          <w:cantSplit/>
          <w:trHeight w:val="338"/>
          <w:jc w:val="center"/>
        </w:trPr>
        <w:tc>
          <w:tcPr>
            <w:tcW w:w="1542"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1153"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305"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8"/>
          <w:jc w:val="center"/>
        </w:trPr>
        <w:tc>
          <w:tcPr>
            <w:tcW w:w="1542"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153"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1153"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Si</w:t>
            </w:r>
          </w:p>
        </w:tc>
        <w:tc>
          <w:tcPr>
            <w:tcW w:w="1152"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No</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Total</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6.217.672</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1.982.492</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4.235.180</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479.743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252.255</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227.488</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497.086</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455.767</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41.319</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475.286</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443.407</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31.879</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465.831</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380.820</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85.011</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426.955</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244.944</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182.011</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625.464</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134.015</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491.449</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578.542</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47.085</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531.457</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454.031</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14.629</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439.402</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2.214.734</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9.570</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2.205.164</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2.960.393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1.020.972</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1.939.421</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241.254</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128.131</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113.123</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258.727</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238.214</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20.513</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246.759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229.995</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16.764</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235.574</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195.856</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39.718</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215.635</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126.702</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88.933</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297.240</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66.561</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230.679</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273.038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23.517</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249.521</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206.455</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7.054</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199.401</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985.711</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4.942</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980.769</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3.257.279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961.520</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b/>
                <w:bCs/>
                <w:sz w:val="20"/>
                <w:szCs w:val="20"/>
              </w:rPr>
            </w:pPr>
            <w:r>
              <w:rPr>
                <w:b/>
                <w:bCs/>
                <w:sz w:val="20"/>
                <w:szCs w:val="20"/>
              </w:rPr>
              <w:t>2.295.759</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238.489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124.124</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114.365</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238.359</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217.553</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20.806</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228.527</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213.412</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15.115</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230.257</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184.964</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45.293</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211.320</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118.242</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93.078</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328.224</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67.454</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260.770</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305.504</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23.568</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281.936</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247.576</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7.575</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240.001</w:t>
            </w:r>
          </w:p>
        </w:tc>
      </w:tr>
      <w:tr w:rsidR="00CD2A5A">
        <w:trPr>
          <w:trHeight w:val="300"/>
          <w:jc w:val="center"/>
        </w:trPr>
        <w:tc>
          <w:tcPr>
            <w:tcW w:w="154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1.229.023</w:t>
            </w:r>
          </w:p>
        </w:tc>
        <w:tc>
          <w:tcPr>
            <w:tcW w:w="1153"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4.628</w:t>
            </w:r>
          </w:p>
        </w:tc>
        <w:tc>
          <w:tcPr>
            <w:tcW w:w="1152" w:type="pct"/>
            <w:noWrap/>
            <w:tcMar>
              <w:top w:w="17" w:type="dxa"/>
              <w:left w:w="17" w:type="dxa"/>
              <w:bottom w:w="0" w:type="dxa"/>
              <w:right w:w="17" w:type="dxa"/>
            </w:tcMar>
            <w:vAlign w:val="bottom"/>
          </w:tcPr>
          <w:p w:rsidR="00CD2A5A" w:rsidRDefault="00CD2A5A">
            <w:pPr>
              <w:spacing w:before="40" w:after="40"/>
              <w:ind w:right="786"/>
              <w:jc w:val="right"/>
              <w:rPr>
                <w:rFonts w:eastAsia="Arial Unicode MS"/>
                <w:sz w:val="20"/>
                <w:szCs w:val="20"/>
              </w:rPr>
            </w:pPr>
            <w:r>
              <w:rPr>
                <w:sz w:val="20"/>
                <w:szCs w:val="20"/>
              </w:rPr>
              <w:t>1.224.395</w:t>
            </w:r>
          </w:p>
        </w:tc>
      </w:tr>
    </w:tbl>
    <w:p w:rsidR="00CD2A5A" w:rsidRDefault="00CD2A5A" w:rsidP="006228EF">
      <w:pPr>
        <w:pStyle w:val="A0"/>
      </w:pPr>
      <w:r>
        <w:t>B.  Total país urbano 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12"/>
        <w:gridCol w:w="2165"/>
        <w:gridCol w:w="2165"/>
        <w:gridCol w:w="2170"/>
      </w:tblGrid>
      <w:tr w:rsidR="00CD2A5A">
        <w:trPr>
          <w:cantSplit/>
          <w:trHeight w:val="338"/>
          <w:jc w:val="center"/>
        </w:trPr>
        <w:tc>
          <w:tcPr>
            <w:tcW w:w="1547"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150"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p>
        </w:tc>
        <w:tc>
          <w:tcPr>
            <w:tcW w:w="2303" w:type="pct"/>
            <w:gridSpan w:val="2"/>
            <w:vMerge w:val="restar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Asistencia escolar</w:t>
            </w:r>
          </w:p>
        </w:tc>
      </w:tr>
      <w:tr w:rsidR="00CD2A5A">
        <w:trPr>
          <w:cantSplit/>
          <w:trHeight w:val="338"/>
          <w:jc w:val="center"/>
        </w:trPr>
        <w:tc>
          <w:tcPr>
            <w:tcW w:w="1547"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Grupos de</w:t>
            </w:r>
          </w:p>
        </w:tc>
        <w:tc>
          <w:tcPr>
            <w:tcW w:w="1150"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Total</w:t>
            </w:r>
          </w:p>
        </w:tc>
        <w:tc>
          <w:tcPr>
            <w:tcW w:w="2303"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8"/>
          <w:jc w:val="center"/>
        </w:trPr>
        <w:tc>
          <w:tcPr>
            <w:tcW w:w="1547"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150"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p>
        </w:tc>
        <w:tc>
          <w:tcPr>
            <w:tcW w:w="1150"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Si</w:t>
            </w:r>
          </w:p>
        </w:tc>
        <w:tc>
          <w:tcPr>
            <w:tcW w:w="1153" w:type="pc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No</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Total</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3.733.122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1.215.501</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2.517.621</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264.723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159.274</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105.449</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268.033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252.683</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15.350</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254.308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242.014</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12.294</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252.697</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224.810</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27.887</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237.566</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163.545</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74.021</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377.561</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108.646</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268.915</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371.852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43.192</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328.660</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296.469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12.590</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283.879</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1.409.913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8.747</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1.401.166</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1.734.910</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619.648</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1.115.262</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135.163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83.195</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51.968</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136.534</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127.799</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8.735</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130.915</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124.336</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6.579</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129.693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115.605</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14.088</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115.176</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82.049</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33.127</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174.299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53.991</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120.308</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176.578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22.023</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154.555</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132.578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6.188</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126.390</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603.974</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4.462</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599.512</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1.998.212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595.853</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b/>
                <w:bCs/>
                <w:sz w:val="20"/>
                <w:szCs w:val="20"/>
              </w:rPr>
            </w:pPr>
            <w:r>
              <w:rPr>
                <w:b/>
                <w:bCs/>
                <w:sz w:val="20"/>
                <w:szCs w:val="20"/>
              </w:rPr>
              <w:t>1.402.359</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129.560</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76.079</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53.481</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131.499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124.884</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6.615</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123.393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117.678</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5.715</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123.004</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109.205</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13.799</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122.390</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81.496</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40.894</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203.262</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54.655</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148.607</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195.274</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21.169</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174.105</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163.891</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6.402</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157.489</w:t>
            </w:r>
          </w:p>
        </w:tc>
      </w:tr>
      <w:tr w:rsidR="00CD2A5A">
        <w:trPr>
          <w:trHeight w:val="300"/>
          <w:jc w:val="center"/>
        </w:trPr>
        <w:tc>
          <w:tcPr>
            <w:tcW w:w="1547"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805.939</w:t>
            </w:r>
          </w:p>
        </w:tc>
        <w:tc>
          <w:tcPr>
            <w:tcW w:w="1150"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4.285</w:t>
            </w:r>
          </w:p>
        </w:tc>
        <w:tc>
          <w:tcPr>
            <w:tcW w:w="1153" w:type="pct"/>
            <w:noWrap/>
            <w:tcMar>
              <w:top w:w="14" w:type="dxa"/>
              <w:left w:w="14" w:type="dxa"/>
              <w:bottom w:w="0" w:type="dxa"/>
              <w:right w:w="14" w:type="dxa"/>
            </w:tcMar>
            <w:vAlign w:val="bottom"/>
          </w:tcPr>
          <w:p w:rsidR="00CD2A5A" w:rsidRDefault="00CD2A5A">
            <w:pPr>
              <w:spacing w:before="40" w:after="40"/>
              <w:ind w:right="654"/>
              <w:jc w:val="right"/>
              <w:rPr>
                <w:rFonts w:eastAsia="Arial Unicode MS"/>
                <w:sz w:val="20"/>
                <w:szCs w:val="20"/>
              </w:rPr>
            </w:pPr>
            <w:r>
              <w:rPr>
                <w:sz w:val="20"/>
                <w:szCs w:val="20"/>
              </w:rPr>
              <w:t>801.654</w:t>
            </w:r>
          </w:p>
        </w:tc>
      </w:tr>
    </w:tbl>
    <w:p w:rsidR="00CD2A5A" w:rsidRDefault="00CD2A5A">
      <w:pPr>
        <w:pStyle w:val="Heading9"/>
        <w:numPr>
          <w:ilvl w:val="0"/>
          <w:numId w:val="0"/>
        </w:numPr>
        <w:spacing w:after="240"/>
        <w:rPr>
          <w:sz w:val="24"/>
          <w:szCs w:val="24"/>
        </w:rPr>
      </w:pPr>
    </w:p>
    <w:p w:rsidR="00CD2A5A" w:rsidRDefault="00CD2A5A">
      <w:pPr>
        <w:spacing w:after="240"/>
      </w:pPr>
    </w:p>
    <w:p w:rsidR="00CD2A5A" w:rsidRDefault="00CD2A5A">
      <w:pPr>
        <w:spacing w:after="240"/>
      </w:pPr>
    </w:p>
    <w:p w:rsidR="00CD2A5A" w:rsidRDefault="00CD2A5A" w:rsidP="006228EF">
      <w:pPr>
        <w:pStyle w:val="A0"/>
      </w:pPr>
      <w:r>
        <w:t>C.  Total país rural 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033"/>
        <w:gridCol w:w="2268"/>
        <w:gridCol w:w="1854"/>
        <w:gridCol w:w="2257"/>
      </w:tblGrid>
      <w:tr w:rsidR="00CD2A5A">
        <w:trPr>
          <w:cantSplit/>
          <w:trHeight w:val="338"/>
          <w:jc w:val="center"/>
        </w:trPr>
        <w:tc>
          <w:tcPr>
            <w:tcW w:w="161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Sexo y</w:t>
            </w:r>
          </w:p>
        </w:tc>
        <w:tc>
          <w:tcPr>
            <w:tcW w:w="1205"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2184" w:type="pct"/>
            <w:gridSpan w:val="2"/>
            <w:vMerge w:val="restar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Asistencia escolar</w:t>
            </w:r>
          </w:p>
        </w:tc>
      </w:tr>
      <w:tr w:rsidR="00CD2A5A">
        <w:trPr>
          <w:cantSplit/>
          <w:trHeight w:val="338"/>
          <w:jc w:val="center"/>
        </w:trPr>
        <w:tc>
          <w:tcPr>
            <w:tcW w:w="1611" w:type="pct"/>
            <w:noWrap/>
            <w:tcMar>
              <w:top w:w="17" w:type="dxa"/>
              <w:left w:w="17" w:type="dxa"/>
              <w:bottom w:w="0" w:type="dxa"/>
              <w:right w:w="17" w:type="dxa"/>
            </w:tcMar>
            <w:vAlign w:val="center"/>
          </w:tcPr>
          <w:p w:rsidR="00CD2A5A" w:rsidRDefault="00CD2A5A">
            <w:pPr>
              <w:spacing w:before="40" w:after="40"/>
              <w:rPr>
                <w:rFonts w:eastAsia="Arial Unicode MS"/>
                <w:b/>
                <w:bCs/>
                <w:i/>
                <w:sz w:val="20"/>
                <w:szCs w:val="20"/>
              </w:rPr>
            </w:pPr>
            <w:r>
              <w:rPr>
                <w:b/>
                <w:bCs/>
                <w:i/>
                <w:sz w:val="20"/>
                <w:szCs w:val="20"/>
              </w:rPr>
              <w:t>Grupos de</w:t>
            </w:r>
          </w:p>
        </w:tc>
        <w:tc>
          <w:tcPr>
            <w:tcW w:w="1205" w:type="pct"/>
            <w:noWrap/>
            <w:tcMar>
              <w:top w:w="17" w:type="dxa"/>
              <w:left w:w="17" w:type="dxa"/>
              <w:bottom w:w="0" w:type="dxa"/>
              <w:right w:w="17" w:type="dxa"/>
            </w:tcMar>
            <w:vAlign w:val="center"/>
          </w:tcPr>
          <w:p w:rsidR="00CD2A5A" w:rsidRDefault="00CD2A5A">
            <w:pPr>
              <w:spacing w:before="40" w:after="40"/>
              <w:rPr>
                <w:rFonts w:eastAsia="Arial Unicode MS"/>
                <w:b/>
                <w:bCs/>
                <w:i/>
                <w:sz w:val="20"/>
                <w:szCs w:val="20"/>
              </w:rPr>
            </w:pPr>
            <w:r>
              <w:rPr>
                <w:b/>
                <w:bCs/>
                <w:i/>
                <w:sz w:val="20"/>
                <w:szCs w:val="20"/>
              </w:rPr>
              <w:t>Total</w:t>
            </w:r>
          </w:p>
        </w:tc>
        <w:tc>
          <w:tcPr>
            <w:tcW w:w="2184" w:type="pct"/>
            <w:gridSpan w:val="2"/>
            <w:vMerge/>
            <w:vAlign w:val="center"/>
          </w:tcPr>
          <w:p w:rsidR="00CD2A5A" w:rsidRDefault="00CD2A5A">
            <w:pPr>
              <w:spacing w:before="40" w:after="40"/>
              <w:rPr>
                <w:rFonts w:eastAsia="Arial Unicode MS"/>
                <w:b/>
                <w:bCs/>
                <w:i/>
                <w:sz w:val="20"/>
                <w:szCs w:val="20"/>
              </w:rPr>
            </w:pPr>
          </w:p>
        </w:tc>
      </w:tr>
      <w:tr w:rsidR="00CD2A5A">
        <w:trPr>
          <w:trHeight w:val="338"/>
          <w:jc w:val="center"/>
        </w:trPr>
        <w:tc>
          <w:tcPr>
            <w:tcW w:w="1611"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Edad</w:t>
            </w:r>
          </w:p>
        </w:tc>
        <w:tc>
          <w:tcPr>
            <w:tcW w:w="1205"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p>
        </w:tc>
        <w:tc>
          <w:tcPr>
            <w:tcW w:w="985"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Si</w:t>
            </w:r>
          </w:p>
        </w:tc>
        <w:tc>
          <w:tcPr>
            <w:tcW w:w="1199" w:type="pct"/>
            <w:noWrap/>
            <w:tcMar>
              <w:top w:w="17" w:type="dxa"/>
              <w:left w:w="17" w:type="dxa"/>
              <w:bottom w:w="0" w:type="dxa"/>
              <w:right w:w="17" w:type="dxa"/>
            </w:tcMar>
            <w:vAlign w:val="center"/>
          </w:tcPr>
          <w:p w:rsidR="00CD2A5A" w:rsidRDefault="00CD2A5A">
            <w:pPr>
              <w:spacing w:before="40" w:after="40"/>
              <w:jc w:val="center"/>
              <w:rPr>
                <w:rFonts w:eastAsia="Arial Unicode MS"/>
                <w:b/>
                <w:bCs/>
                <w:i/>
                <w:sz w:val="20"/>
                <w:szCs w:val="20"/>
              </w:rPr>
            </w:pPr>
            <w:r>
              <w:rPr>
                <w:b/>
                <w:bCs/>
                <w:i/>
                <w:sz w:val="20"/>
                <w:szCs w:val="20"/>
              </w:rPr>
              <w:t>No</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Total</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2.484.550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766.991</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1.717.559</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215.020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92.981</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122.039</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229.053</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203.084</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25.969</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220.978</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201.393</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19.585</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213.134</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156.010</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57.124</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189.389</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81.399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107.990</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247.903</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25.369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222.534</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206.690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3.893</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202.797</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157.562</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2.039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155.523</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804.821</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 xml:space="preserve">823 </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803.998</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1.225.483</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401.324</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824.159</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106.091</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44.936</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61.155</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122.193</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110.415</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11.778</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115.844</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105.659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10.185</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105.881</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80.251</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25.630</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100.459</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44.653</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55.806</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122.941</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12.570</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110.371</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96.460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1.494</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94.966</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73.877</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 xml:space="preserve">866 </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73.011</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381.737</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 xml:space="preserve">480 </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381.257</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1.259.067</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365.667</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b/>
                <w:bCs/>
                <w:sz w:val="20"/>
                <w:szCs w:val="20"/>
              </w:rPr>
            </w:pPr>
            <w:r>
              <w:rPr>
                <w:b/>
                <w:bCs/>
                <w:sz w:val="20"/>
                <w:szCs w:val="20"/>
              </w:rPr>
              <w:t>893.400</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108.929</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48.045</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60.884</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106.860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92.669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14.191</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105.134</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95.734</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9.400</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107.253</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75.759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31.494</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88.930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36.746</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52.184</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124.962</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12.799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112.163</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110.230</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2.399</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107.831</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83.685</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1.173</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82.512</w:t>
            </w:r>
          </w:p>
        </w:tc>
      </w:tr>
      <w:tr w:rsidR="00CD2A5A">
        <w:trPr>
          <w:trHeight w:val="300"/>
          <w:jc w:val="center"/>
        </w:trPr>
        <w:tc>
          <w:tcPr>
            <w:tcW w:w="1611"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0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423.084</w:t>
            </w:r>
          </w:p>
        </w:tc>
        <w:tc>
          <w:tcPr>
            <w:tcW w:w="985"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 xml:space="preserve">343 </w:t>
            </w:r>
          </w:p>
        </w:tc>
        <w:tc>
          <w:tcPr>
            <w:tcW w:w="1199" w:type="pct"/>
            <w:noWrap/>
            <w:tcMar>
              <w:top w:w="17" w:type="dxa"/>
              <w:left w:w="17" w:type="dxa"/>
              <w:bottom w:w="0" w:type="dxa"/>
              <w:right w:w="17" w:type="dxa"/>
            </w:tcMar>
            <w:vAlign w:val="bottom"/>
          </w:tcPr>
          <w:p w:rsidR="00CD2A5A" w:rsidRDefault="00CD2A5A">
            <w:pPr>
              <w:spacing w:before="40" w:after="40"/>
              <w:ind w:right="731"/>
              <w:jc w:val="right"/>
              <w:rPr>
                <w:rFonts w:eastAsia="Arial Unicode MS"/>
                <w:sz w:val="20"/>
                <w:szCs w:val="20"/>
              </w:rPr>
            </w:pPr>
            <w:r>
              <w:rPr>
                <w:sz w:val="20"/>
                <w:szCs w:val="20"/>
              </w:rPr>
              <w:t>422.741</w:t>
            </w:r>
          </w:p>
        </w:tc>
      </w:tr>
    </w:tbl>
    <w:p w:rsidR="00CD2A5A" w:rsidRDefault="00CD2A5A">
      <w:pPr>
        <w:spacing w:after="240"/>
      </w:pPr>
    </w:p>
    <w:p w:rsidR="00CD2A5A" w:rsidRDefault="00CD2A5A">
      <w:pPr>
        <w:spacing w:after="240"/>
      </w:pPr>
    </w:p>
    <w:p w:rsidR="00CD2A5A" w:rsidRDefault="00CD2A5A" w:rsidP="006228EF">
      <w:pPr>
        <w:pStyle w:val="A0"/>
      </w:pPr>
      <w:r>
        <w:t>D.  Total país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265"/>
        <w:gridCol w:w="2268"/>
        <w:gridCol w:w="2259"/>
      </w:tblGrid>
      <w:tr w:rsidR="00CD2A5A">
        <w:trPr>
          <w:cantSplit/>
          <w:trHeight w:val="330"/>
          <w:jc w:val="center"/>
        </w:trPr>
        <w:tc>
          <w:tcPr>
            <w:tcW w:w="1392"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Sexo y</w:t>
            </w:r>
          </w:p>
        </w:tc>
        <w:tc>
          <w:tcPr>
            <w:tcW w:w="1203"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p>
        </w:tc>
        <w:tc>
          <w:tcPr>
            <w:tcW w:w="2405" w:type="pct"/>
            <w:gridSpan w:val="2"/>
            <w:vMerge w:val="restar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Asistencia escolar</w:t>
            </w:r>
          </w:p>
        </w:tc>
      </w:tr>
      <w:tr w:rsidR="00CD2A5A">
        <w:trPr>
          <w:cantSplit/>
          <w:trHeight w:val="330"/>
          <w:jc w:val="center"/>
        </w:trPr>
        <w:tc>
          <w:tcPr>
            <w:tcW w:w="1392"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Grupos de</w:t>
            </w:r>
          </w:p>
        </w:tc>
        <w:tc>
          <w:tcPr>
            <w:tcW w:w="1203"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Total</w:t>
            </w:r>
          </w:p>
        </w:tc>
        <w:tc>
          <w:tcPr>
            <w:tcW w:w="2405" w:type="pct"/>
            <w:gridSpan w:val="2"/>
            <w:vMerge/>
            <w:vAlign w:val="center"/>
          </w:tcPr>
          <w:p w:rsidR="00CD2A5A" w:rsidRDefault="00CD2A5A">
            <w:pPr>
              <w:keepNext/>
              <w:spacing w:before="40" w:after="40"/>
              <w:jc w:val="center"/>
              <w:rPr>
                <w:rFonts w:eastAsia="Arial Unicode MS"/>
                <w:b/>
                <w:bCs/>
                <w:i/>
                <w:sz w:val="20"/>
                <w:szCs w:val="20"/>
              </w:rPr>
            </w:pPr>
          </w:p>
        </w:tc>
      </w:tr>
      <w:tr w:rsidR="00CD2A5A">
        <w:trPr>
          <w:trHeight w:val="330"/>
          <w:jc w:val="center"/>
        </w:trPr>
        <w:tc>
          <w:tcPr>
            <w:tcW w:w="1392"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Edad</w:t>
            </w:r>
          </w:p>
        </w:tc>
        <w:tc>
          <w:tcPr>
            <w:tcW w:w="1203"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p>
        </w:tc>
        <w:tc>
          <w:tcPr>
            <w:tcW w:w="1205"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Si</w:t>
            </w:r>
          </w:p>
        </w:tc>
        <w:tc>
          <w:tcPr>
            <w:tcW w:w="1200" w:type="pct"/>
            <w:noWrap/>
            <w:tcMar>
              <w:top w:w="17" w:type="dxa"/>
              <w:left w:w="17" w:type="dxa"/>
              <w:bottom w:w="0" w:type="dxa"/>
              <w:right w:w="17" w:type="dxa"/>
            </w:tcMar>
            <w:vAlign w:val="center"/>
          </w:tcPr>
          <w:p w:rsidR="00CD2A5A" w:rsidRDefault="00CD2A5A">
            <w:pPr>
              <w:keepNext/>
              <w:spacing w:before="40" w:after="40"/>
              <w:jc w:val="center"/>
              <w:rPr>
                <w:rFonts w:eastAsia="Arial Unicode MS"/>
                <w:b/>
                <w:bCs/>
                <w:i/>
                <w:sz w:val="20"/>
                <w:szCs w:val="20"/>
              </w:rPr>
            </w:pPr>
            <w:r>
              <w:rPr>
                <w:b/>
                <w:bCs/>
                <w:i/>
                <w:sz w:val="20"/>
                <w:szCs w:val="20"/>
              </w:rPr>
              <w:t>No</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keepNext/>
              <w:spacing w:before="40" w:after="40"/>
              <w:rPr>
                <w:rFonts w:eastAsia="Arial Unicode MS"/>
                <w:b/>
                <w:bCs/>
                <w:sz w:val="20"/>
                <w:szCs w:val="20"/>
              </w:rPr>
            </w:pPr>
            <w:r>
              <w:rPr>
                <w:b/>
                <w:bCs/>
                <w:sz w:val="20"/>
                <w:szCs w:val="20"/>
              </w:rPr>
              <w:t>Total</w:t>
            </w:r>
          </w:p>
        </w:tc>
        <w:tc>
          <w:tcPr>
            <w:tcW w:w="1203" w:type="pct"/>
            <w:noWrap/>
            <w:tcMar>
              <w:top w:w="17" w:type="dxa"/>
              <w:left w:w="17" w:type="dxa"/>
              <w:bottom w:w="0" w:type="dxa"/>
              <w:right w:w="17" w:type="dxa"/>
            </w:tcMar>
            <w:vAlign w:val="bottom"/>
          </w:tcPr>
          <w:p w:rsidR="00CD2A5A" w:rsidRDefault="00CD2A5A">
            <w:pPr>
              <w:keepNext/>
              <w:spacing w:before="40" w:after="40"/>
              <w:ind w:right="882"/>
              <w:jc w:val="right"/>
              <w:rPr>
                <w:rFonts w:eastAsia="Arial Unicode MS"/>
                <w:b/>
                <w:bCs/>
                <w:sz w:val="20"/>
                <w:szCs w:val="20"/>
              </w:rPr>
            </w:pPr>
            <w:r>
              <w:rPr>
                <w:b/>
                <w:bCs/>
                <w:sz w:val="20"/>
                <w:szCs w:val="20"/>
              </w:rPr>
              <w:t>6.333.192</w:t>
            </w:r>
          </w:p>
        </w:tc>
        <w:tc>
          <w:tcPr>
            <w:tcW w:w="1205" w:type="pct"/>
            <w:noWrap/>
            <w:tcMar>
              <w:top w:w="17" w:type="dxa"/>
              <w:left w:w="17" w:type="dxa"/>
              <w:bottom w:w="0" w:type="dxa"/>
              <w:right w:w="17" w:type="dxa"/>
            </w:tcMar>
            <w:vAlign w:val="bottom"/>
          </w:tcPr>
          <w:p w:rsidR="00CD2A5A" w:rsidRDefault="00CD2A5A">
            <w:pPr>
              <w:keepNext/>
              <w:spacing w:before="40" w:after="40"/>
              <w:ind w:right="882"/>
              <w:jc w:val="right"/>
              <w:rPr>
                <w:rFonts w:eastAsia="Arial Unicode MS"/>
                <w:b/>
                <w:bCs/>
                <w:sz w:val="20"/>
                <w:szCs w:val="20"/>
              </w:rPr>
            </w:pPr>
            <w:r>
              <w:rPr>
                <w:b/>
                <w:bCs/>
                <w:sz w:val="20"/>
                <w:szCs w:val="20"/>
              </w:rPr>
              <w:t>2.053.818</w:t>
            </w:r>
          </w:p>
        </w:tc>
        <w:tc>
          <w:tcPr>
            <w:tcW w:w="1200" w:type="pct"/>
            <w:noWrap/>
            <w:tcMar>
              <w:top w:w="17" w:type="dxa"/>
              <w:left w:w="17" w:type="dxa"/>
              <w:bottom w:w="0" w:type="dxa"/>
              <w:right w:w="17" w:type="dxa"/>
            </w:tcMar>
            <w:vAlign w:val="bottom"/>
          </w:tcPr>
          <w:p w:rsidR="00CD2A5A" w:rsidRDefault="00CD2A5A">
            <w:pPr>
              <w:keepNext/>
              <w:spacing w:before="40" w:after="40"/>
              <w:ind w:right="882"/>
              <w:jc w:val="right"/>
              <w:rPr>
                <w:rFonts w:eastAsia="Arial Unicode MS"/>
                <w:b/>
                <w:bCs/>
                <w:sz w:val="20"/>
                <w:szCs w:val="20"/>
              </w:rPr>
            </w:pPr>
            <w:r>
              <w:rPr>
                <w:b/>
                <w:bCs/>
                <w:sz w:val="20"/>
                <w:szCs w:val="20"/>
              </w:rPr>
              <w:t>4.279.374</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479.807</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259.951</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219.856</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522.984</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486.094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36.890</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503.495</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470.991</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32.504</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463.163</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378.487</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84.676</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444.939</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254.364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190.575</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599.490</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134.018</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465.472</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590.101</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46.724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543.377</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464.985</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13.512</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451.473</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2.264.228</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9.677</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2.254.551</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b/>
                <w:bCs/>
                <w:sz w:val="20"/>
                <w:szCs w:val="20"/>
              </w:rPr>
            </w:pPr>
            <w:r>
              <w:rPr>
                <w:b/>
                <w:bCs/>
                <w:sz w:val="20"/>
                <w:szCs w:val="20"/>
              </w:rPr>
              <w:t>2.972.862</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b/>
                <w:bCs/>
                <w:sz w:val="20"/>
                <w:szCs w:val="20"/>
              </w:rPr>
            </w:pPr>
            <w:r>
              <w:rPr>
                <w:b/>
                <w:bCs/>
                <w:sz w:val="20"/>
                <w:szCs w:val="20"/>
              </w:rPr>
              <w:t>1.035.485</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b/>
                <w:bCs/>
                <w:sz w:val="20"/>
                <w:szCs w:val="20"/>
              </w:rPr>
            </w:pPr>
            <w:r>
              <w:rPr>
                <w:b/>
                <w:bCs/>
                <w:sz w:val="20"/>
                <w:szCs w:val="20"/>
              </w:rPr>
              <w:t>1.937.377</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250.241</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131.447</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118.794</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265.466</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246.930</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18.536</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256.182</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236.367</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19.815</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235.814</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194.993</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40.821</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226.175</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129.558</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96.617</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278.736</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65.067</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213.669</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265.353</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20.186</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245.167</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199.577</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6.411</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193.166</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995.318</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4.526</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990.792</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b/>
                <w:bCs/>
                <w:sz w:val="20"/>
                <w:szCs w:val="20"/>
              </w:rPr>
            </w:pPr>
            <w:r>
              <w:rPr>
                <w:b/>
                <w:bCs/>
                <w:sz w:val="20"/>
                <w:szCs w:val="20"/>
              </w:rPr>
              <w:t>3.360.330</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b/>
                <w:bCs/>
                <w:sz w:val="20"/>
                <w:szCs w:val="20"/>
              </w:rPr>
            </w:pPr>
            <w:r>
              <w:rPr>
                <w:b/>
                <w:bCs/>
                <w:sz w:val="20"/>
                <w:szCs w:val="20"/>
              </w:rPr>
              <w:t>1.018.333</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b/>
                <w:bCs/>
                <w:sz w:val="20"/>
                <w:szCs w:val="20"/>
              </w:rPr>
            </w:pPr>
            <w:r>
              <w:rPr>
                <w:b/>
                <w:bCs/>
                <w:sz w:val="20"/>
                <w:szCs w:val="20"/>
              </w:rPr>
              <w:t>2.341.997</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229.566</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128.504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101.062</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257.518</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239.164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18.354</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247.313</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234.624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12.689</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227.349</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183.494</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43.855</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218.764</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124.806</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93.958</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320.754</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68.951</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251.803</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324.748</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26.538</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298.210</w:t>
            </w:r>
          </w:p>
        </w:tc>
      </w:tr>
      <w:tr w:rsidR="00CD2A5A">
        <w:trPr>
          <w:trHeight w:val="360"/>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265.408</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7.101</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258.307</w:t>
            </w:r>
          </w:p>
        </w:tc>
      </w:tr>
      <w:tr w:rsidR="00CD2A5A">
        <w:trPr>
          <w:trHeight w:val="375"/>
          <w:jc w:val="center"/>
        </w:trPr>
        <w:tc>
          <w:tcPr>
            <w:tcW w:w="1392" w:type="pct"/>
            <w:noWrap/>
            <w:tcMar>
              <w:top w:w="17" w:type="dxa"/>
              <w:left w:w="17" w:type="dxa"/>
              <w:bottom w:w="0" w:type="dxa"/>
              <w:right w:w="17" w:type="dxa"/>
            </w:tcMar>
            <w:vAlign w:val="bottom"/>
          </w:tcPr>
          <w:p w:rsidR="00CD2A5A" w:rsidRDefault="00CD2A5A">
            <w:pPr>
              <w:spacing w:before="40" w:after="40"/>
              <w:rPr>
                <w:rFonts w:eastAsia="Arial Unicode MS"/>
                <w:sz w:val="20"/>
                <w:szCs w:val="20"/>
              </w:rPr>
            </w:pPr>
            <w:r>
              <w:rPr>
                <w:sz w:val="20"/>
                <w:szCs w:val="20"/>
              </w:rPr>
              <w:t xml:space="preserve"> 34  y  más</w:t>
            </w:r>
          </w:p>
        </w:tc>
        <w:tc>
          <w:tcPr>
            <w:tcW w:w="1203"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1.268.910</w:t>
            </w:r>
          </w:p>
        </w:tc>
        <w:tc>
          <w:tcPr>
            <w:tcW w:w="1205"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5.151</w:t>
            </w:r>
          </w:p>
        </w:tc>
        <w:tc>
          <w:tcPr>
            <w:tcW w:w="1200" w:type="pct"/>
            <w:noWrap/>
            <w:tcMar>
              <w:top w:w="17" w:type="dxa"/>
              <w:left w:w="17" w:type="dxa"/>
              <w:bottom w:w="0" w:type="dxa"/>
              <w:right w:w="17" w:type="dxa"/>
            </w:tcMar>
            <w:vAlign w:val="bottom"/>
          </w:tcPr>
          <w:p w:rsidR="00CD2A5A" w:rsidRDefault="00CD2A5A">
            <w:pPr>
              <w:spacing w:before="40" w:after="40"/>
              <w:ind w:right="882"/>
              <w:jc w:val="right"/>
              <w:rPr>
                <w:rFonts w:eastAsia="Arial Unicode MS"/>
                <w:sz w:val="20"/>
                <w:szCs w:val="20"/>
              </w:rPr>
            </w:pPr>
            <w:r>
              <w:rPr>
                <w:sz w:val="20"/>
                <w:szCs w:val="20"/>
              </w:rPr>
              <w:t>1.263.759</w:t>
            </w:r>
          </w:p>
        </w:tc>
      </w:tr>
    </w:tbl>
    <w:p w:rsidR="00CD2A5A" w:rsidRDefault="00CD2A5A" w:rsidP="006228EF">
      <w:pPr>
        <w:pStyle w:val="A0"/>
      </w:pPr>
      <w:r>
        <w:t>E.  Total país urbano 2005</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265"/>
        <w:gridCol w:w="2268"/>
        <w:gridCol w:w="2259"/>
      </w:tblGrid>
      <w:tr w:rsidR="00CD2A5A">
        <w:trPr>
          <w:cantSplit/>
          <w:jc w:val="center"/>
        </w:trPr>
        <w:tc>
          <w:tcPr>
            <w:tcW w:w="1392"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r>
              <w:rPr>
                <w:b/>
                <w:bCs/>
                <w:i/>
                <w:sz w:val="20"/>
                <w:szCs w:val="20"/>
              </w:rPr>
              <w:t>Sexo y</w:t>
            </w:r>
          </w:p>
        </w:tc>
        <w:tc>
          <w:tcPr>
            <w:tcW w:w="1203"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p>
        </w:tc>
        <w:tc>
          <w:tcPr>
            <w:tcW w:w="2405" w:type="pct"/>
            <w:gridSpan w:val="2"/>
            <w:vMerge w:val="restart"/>
            <w:noWrap/>
            <w:tcMar>
              <w:top w:w="17" w:type="dxa"/>
              <w:left w:w="17" w:type="dxa"/>
              <w:bottom w:w="0" w:type="dxa"/>
              <w:right w:w="17" w:type="dxa"/>
            </w:tcMar>
            <w:vAlign w:val="center"/>
          </w:tcPr>
          <w:p w:rsidR="00CD2A5A" w:rsidRDefault="00CD2A5A">
            <w:pPr>
              <w:spacing w:before="40" w:after="20"/>
              <w:jc w:val="center"/>
              <w:rPr>
                <w:rFonts w:eastAsia="Arial Unicode MS"/>
                <w:b/>
                <w:bCs/>
                <w:i/>
                <w:sz w:val="20"/>
                <w:szCs w:val="20"/>
              </w:rPr>
            </w:pPr>
            <w:r>
              <w:rPr>
                <w:b/>
                <w:bCs/>
                <w:i/>
                <w:sz w:val="20"/>
                <w:szCs w:val="20"/>
              </w:rPr>
              <w:t>Asistencia escolar</w:t>
            </w:r>
          </w:p>
        </w:tc>
      </w:tr>
      <w:tr w:rsidR="00CD2A5A">
        <w:trPr>
          <w:cantSplit/>
          <w:jc w:val="center"/>
        </w:trPr>
        <w:tc>
          <w:tcPr>
            <w:tcW w:w="1392"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r>
              <w:rPr>
                <w:b/>
                <w:bCs/>
                <w:i/>
                <w:sz w:val="20"/>
                <w:szCs w:val="20"/>
              </w:rPr>
              <w:t>Grupos de</w:t>
            </w:r>
          </w:p>
        </w:tc>
        <w:tc>
          <w:tcPr>
            <w:tcW w:w="1203"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r>
              <w:rPr>
                <w:b/>
                <w:bCs/>
                <w:i/>
                <w:sz w:val="20"/>
                <w:szCs w:val="20"/>
              </w:rPr>
              <w:t>Total</w:t>
            </w:r>
          </w:p>
        </w:tc>
        <w:tc>
          <w:tcPr>
            <w:tcW w:w="2405" w:type="pct"/>
            <w:gridSpan w:val="2"/>
            <w:vMerge/>
            <w:vAlign w:val="center"/>
          </w:tcPr>
          <w:p w:rsidR="00CD2A5A" w:rsidRDefault="00CD2A5A">
            <w:pPr>
              <w:spacing w:before="40" w:after="20"/>
              <w:jc w:val="center"/>
              <w:rPr>
                <w:rFonts w:eastAsia="Arial Unicode MS"/>
                <w:b/>
                <w:bCs/>
                <w:i/>
                <w:sz w:val="20"/>
                <w:szCs w:val="20"/>
              </w:rPr>
            </w:pP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r>
              <w:rPr>
                <w:b/>
                <w:bCs/>
                <w:i/>
                <w:sz w:val="20"/>
                <w:szCs w:val="20"/>
              </w:rPr>
              <w:t>Edad</w:t>
            </w:r>
          </w:p>
        </w:tc>
        <w:tc>
          <w:tcPr>
            <w:tcW w:w="1203"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p>
        </w:tc>
        <w:tc>
          <w:tcPr>
            <w:tcW w:w="1205"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r>
              <w:rPr>
                <w:b/>
                <w:bCs/>
                <w:i/>
                <w:sz w:val="20"/>
                <w:szCs w:val="20"/>
              </w:rPr>
              <w:t>Si</w:t>
            </w:r>
          </w:p>
        </w:tc>
        <w:tc>
          <w:tcPr>
            <w:tcW w:w="1200" w:type="pct"/>
            <w:noWrap/>
            <w:tcMar>
              <w:top w:w="17" w:type="dxa"/>
              <w:left w:w="17" w:type="dxa"/>
              <w:bottom w:w="0" w:type="dxa"/>
              <w:right w:w="17" w:type="dxa"/>
            </w:tcMar>
            <w:vAlign w:val="bottom"/>
          </w:tcPr>
          <w:p w:rsidR="00CD2A5A" w:rsidRDefault="00CD2A5A">
            <w:pPr>
              <w:spacing w:before="40" w:after="20"/>
              <w:jc w:val="center"/>
              <w:rPr>
                <w:rFonts w:eastAsia="Arial Unicode MS"/>
                <w:b/>
                <w:bCs/>
                <w:i/>
                <w:sz w:val="20"/>
                <w:szCs w:val="20"/>
              </w:rPr>
            </w:pPr>
            <w:r>
              <w:rPr>
                <w:b/>
                <w:bCs/>
                <w:i/>
                <w:sz w:val="20"/>
                <w:szCs w:val="20"/>
              </w:rPr>
              <w:t>No</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b/>
                <w:bCs/>
                <w:sz w:val="20"/>
                <w:szCs w:val="20"/>
              </w:rPr>
            </w:pPr>
            <w:r>
              <w:rPr>
                <w:b/>
                <w:bCs/>
                <w:sz w:val="20"/>
                <w:szCs w:val="20"/>
              </w:rPr>
              <w:t>Total</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3.818.277</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1.263.289</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2.554.988</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4   -   6</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252.294</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158.993</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93.301</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7   -   9</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286.135</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271.280</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14.855</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10  -  12</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274.238</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262.664</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11.574</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13  -  15</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257.678</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228.747</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28.931</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16  -  18</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247.022</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172.368</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74.654</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19  -  23</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356.276</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108.312</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247.964</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24  -  28</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379.970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41.414</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338.556</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29  -  33</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306.960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11.171</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295.789</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34  y  mas</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1.457.704</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8.340</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1.449.364</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b/>
                <w:bCs/>
                <w:sz w:val="20"/>
                <w:szCs w:val="20"/>
              </w:rPr>
            </w:pPr>
            <w:r>
              <w:rPr>
                <w:b/>
                <w:bCs/>
                <w:sz w:val="20"/>
                <w:szCs w:val="20"/>
              </w:rPr>
              <w:t>Hombres</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1.763.341</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638.175</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1.125.166</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4   -   6</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131.935</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81.204</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50.731</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7   -   9</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140.320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134.481</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5.839</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10  -  12</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141.625</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134.111</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7.514</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13  -  15</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138.798</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123.682</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15.116</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16  -  18</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124.377</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86.682</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37.695</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19  -  23</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162.916</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50.498</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112.418</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24  -  28</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171.150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18.322</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152.828</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29  -  33</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130.418</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5.438</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124.980</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34  y  mas</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621.802</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3.757</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618.045</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b/>
                <w:bCs/>
                <w:sz w:val="20"/>
                <w:szCs w:val="20"/>
              </w:rPr>
            </w:pPr>
            <w:r>
              <w:rPr>
                <w:b/>
                <w:bCs/>
                <w:sz w:val="20"/>
                <w:szCs w:val="20"/>
              </w:rPr>
              <w:t>Mujeres</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2.054.936</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625.114</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b/>
                <w:bCs/>
                <w:sz w:val="20"/>
                <w:szCs w:val="20"/>
              </w:rPr>
            </w:pPr>
            <w:r>
              <w:rPr>
                <w:b/>
                <w:bCs/>
                <w:sz w:val="20"/>
                <w:szCs w:val="20"/>
              </w:rPr>
              <w:t>1.429.822</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4   -   6</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120.359</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77.789</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42.570</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7   -   9</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145.815</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136.799</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9.016</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10  -  12</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132.613</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128.553</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4.060</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13  -  15</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118.880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105.065</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13.815</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16  -  18</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122.645</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85.686</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36.959</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19  -  23</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193.360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57.814</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135.546</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24  -  28</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208.820</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23.092</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185.728</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29  -  33</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176.542</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5.733</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170.809</w:t>
            </w:r>
          </w:p>
        </w:tc>
      </w:tr>
      <w:tr w:rsidR="00CD2A5A">
        <w:trPr>
          <w:jc w:val="center"/>
        </w:trPr>
        <w:tc>
          <w:tcPr>
            <w:tcW w:w="1392" w:type="pct"/>
            <w:noWrap/>
            <w:tcMar>
              <w:top w:w="17" w:type="dxa"/>
              <w:left w:w="17" w:type="dxa"/>
              <w:bottom w:w="0" w:type="dxa"/>
              <w:right w:w="17" w:type="dxa"/>
            </w:tcMar>
            <w:vAlign w:val="bottom"/>
          </w:tcPr>
          <w:p w:rsidR="00CD2A5A" w:rsidRDefault="00CD2A5A">
            <w:pPr>
              <w:spacing w:before="40" w:after="20"/>
              <w:rPr>
                <w:rFonts w:eastAsia="Arial Unicode MS"/>
                <w:sz w:val="20"/>
                <w:szCs w:val="20"/>
              </w:rPr>
            </w:pPr>
            <w:r>
              <w:rPr>
                <w:sz w:val="20"/>
                <w:szCs w:val="20"/>
              </w:rPr>
              <w:t xml:space="preserve"> 34  y  mas</w:t>
            </w:r>
          </w:p>
        </w:tc>
        <w:tc>
          <w:tcPr>
            <w:tcW w:w="1203"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835.902</w:t>
            </w:r>
          </w:p>
        </w:tc>
        <w:tc>
          <w:tcPr>
            <w:tcW w:w="1205"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4.583</w:t>
            </w:r>
          </w:p>
        </w:tc>
        <w:tc>
          <w:tcPr>
            <w:tcW w:w="1200" w:type="pct"/>
            <w:noWrap/>
            <w:tcMar>
              <w:top w:w="17" w:type="dxa"/>
              <w:left w:w="17" w:type="dxa"/>
              <w:bottom w:w="0" w:type="dxa"/>
              <w:right w:w="17" w:type="dxa"/>
            </w:tcMar>
            <w:vAlign w:val="bottom"/>
          </w:tcPr>
          <w:p w:rsidR="00CD2A5A" w:rsidRDefault="00CD2A5A">
            <w:pPr>
              <w:spacing w:before="40" w:after="20"/>
              <w:ind w:right="740"/>
              <w:jc w:val="right"/>
              <w:rPr>
                <w:rFonts w:eastAsia="Arial Unicode MS"/>
                <w:sz w:val="20"/>
                <w:szCs w:val="20"/>
              </w:rPr>
            </w:pPr>
            <w:r>
              <w:rPr>
                <w:sz w:val="20"/>
                <w:szCs w:val="20"/>
              </w:rPr>
              <w:t>831.319</w:t>
            </w:r>
          </w:p>
        </w:tc>
      </w:tr>
    </w:tbl>
    <w:p w:rsidR="00CD2A5A" w:rsidRDefault="00CD2A5A" w:rsidP="006228EF">
      <w:pPr>
        <w:pStyle w:val="A0"/>
      </w:pPr>
    </w:p>
    <w:p w:rsidR="00CD2A5A" w:rsidRDefault="00CD2A5A" w:rsidP="006228EF">
      <w:pPr>
        <w:pStyle w:val="A0"/>
      </w:pPr>
      <w:r>
        <w:br w:type="page"/>
        <w:t>F.  Total país rural 2005</w:t>
      </w:r>
    </w:p>
    <w:tbl>
      <w:tblPr>
        <w:tblpPr w:tblpXSpec="center"/>
        <w:tblW w:w="9412" w:type="dxa"/>
        <w:jc w:val="center"/>
        <w:tblInd w:w="-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745"/>
        <w:gridCol w:w="2362"/>
        <w:gridCol w:w="1929"/>
        <w:gridCol w:w="2376"/>
      </w:tblGrid>
      <w:tr w:rsidR="00CD2A5A">
        <w:trPr>
          <w:cantSplit/>
          <w:trHeight w:val="330"/>
          <w:jc w:val="center"/>
        </w:trPr>
        <w:tc>
          <w:tcPr>
            <w:tcW w:w="1458"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r>
              <w:rPr>
                <w:b/>
                <w:bCs/>
                <w:i/>
                <w:sz w:val="20"/>
                <w:szCs w:val="20"/>
              </w:rPr>
              <w:t>Sexo y</w:t>
            </w:r>
          </w:p>
        </w:tc>
        <w:tc>
          <w:tcPr>
            <w:tcW w:w="1255"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p>
        </w:tc>
        <w:tc>
          <w:tcPr>
            <w:tcW w:w="2287" w:type="pct"/>
            <w:gridSpan w:val="2"/>
            <w:vMerge w:val="restart"/>
            <w:noWrap/>
            <w:tcMar>
              <w:top w:w="14" w:type="dxa"/>
              <w:left w:w="14" w:type="dxa"/>
              <w:bottom w:w="0" w:type="dxa"/>
              <w:right w:w="14" w:type="dxa"/>
            </w:tcMar>
            <w:vAlign w:val="center"/>
          </w:tcPr>
          <w:p w:rsidR="00CD2A5A" w:rsidRDefault="00CD2A5A">
            <w:pPr>
              <w:spacing w:before="40" w:after="40"/>
              <w:jc w:val="center"/>
              <w:rPr>
                <w:rFonts w:eastAsia="Arial Unicode MS"/>
                <w:b/>
                <w:bCs/>
                <w:i/>
                <w:sz w:val="20"/>
                <w:szCs w:val="20"/>
              </w:rPr>
            </w:pPr>
            <w:r>
              <w:rPr>
                <w:b/>
                <w:bCs/>
                <w:i/>
                <w:sz w:val="20"/>
                <w:szCs w:val="20"/>
              </w:rPr>
              <w:t>Asistencia escolar</w:t>
            </w:r>
          </w:p>
        </w:tc>
      </w:tr>
      <w:tr w:rsidR="00CD2A5A">
        <w:trPr>
          <w:cantSplit/>
          <w:trHeight w:val="330"/>
          <w:jc w:val="center"/>
        </w:trPr>
        <w:tc>
          <w:tcPr>
            <w:tcW w:w="1458"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r>
              <w:rPr>
                <w:b/>
                <w:bCs/>
                <w:i/>
                <w:sz w:val="20"/>
                <w:szCs w:val="20"/>
              </w:rPr>
              <w:t>Grupos de</w:t>
            </w:r>
          </w:p>
        </w:tc>
        <w:tc>
          <w:tcPr>
            <w:tcW w:w="1255"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r>
              <w:rPr>
                <w:b/>
                <w:bCs/>
                <w:i/>
                <w:sz w:val="20"/>
                <w:szCs w:val="20"/>
              </w:rPr>
              <w:t>Total</w:t>
            </w:r>
          </w:p>
        </w:tc>
        <w:tc>
          <w:tcPr>
            <w:tcW w:w="2287" w:type="pct"/>
            <w:gridSpan w:val="2"/>
            <w:vMerge/>
            <w:vAlign w:val="center"/>
          </w:tcPr>
          <w:p w:rsidR="00CD2A5A" w:rsidRDefault="00CD2A5A">
            <w:pPr>
              <w:spacing w:before="40" w:after="40"/>
              <w:jc w:val="center"/>
              <w:rPr>
                <w:rFonts w:eastAsia="Arial Unicode MS"/>
                <w:b/>
                <w:bCs/>
                <w:i/>
                <w:sz w:val="20"/>
                <w:szCs w:val="20"/>
              </w:rPr>
            </w:pPr>
          </w:p>
        </w:tc>
      </w:tr>
      <w:tr w:rsidR="00CD2A5A">
        <w:trPr>
          <w:trHeight w:val="330"/>
          <w:jc w:val="center"/>
        </w:trPr>
        <w:tc>
          <w:tcPr>
            <w:tcW w:w="1458"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r>
              <w:rPr>
                <w:b/>
                <w:bCs/>
                <w:i/>
                <w:sz w:val="20"/>
                <w:szCs w:val="20"/>
              </w:rPr>
              <w:t>Edad</w:t>
            </w:r>
          </w:p>
        </w:tc>
        <w:tc>
          <w:tcPr>
            <w:tcW w:w="1255"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p>
        </w:tc>
        <w:tc>
          <w:tcPr>
            <w:tcW w:w="1025"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r>
              <w:rPr>
                <w:b/>
                <w:bCs/>
                <w:i/>
                <w:sz w:val="20"/>
                <w:szCs w:val="20"/>
              </w:rPr>
              <w:t>Si</w:t>
            </w:r>
          </w:p>
        </w:tc>
        <w:tc>
          <w:tcPr>
            <w:tcW w:w="1262" w:type="pct"/>
            <w:noWrap/>
            <w:tcMar>
              <w:top w:w="14" w:type="dxa"/>
              <w:left w:w="14" w:type="dxa"/>
              <w:bottom w:w="0" w:type="dxa"/>
              <w:right w:w="14" w:type="dxa"/>
            </w:tcMar>
            <w:vAlign w:val="bottom"/>
          </w:tcPr>
          <w:p w:rsidR="00CD2A5A" w:rsidRDefault="00CD2A5A">
            <w:pPr>
              <w:spacing w:before="40" w:after="40"/>
              <w:jc w:val="center"/>
              <w:rPr>
                <w:rFonts w:eastAsia="Arial Unicode MS"/>
                <w:b/>
                <w:bCs/>
                <w:i/>
                <w:sz w:val="20"/>
                <w:szCs w:val="20"/>
              </w:rPr>
            </w:pPr>
            <w:r>
              <w:rPr>
                <w:b/>
                <w:bCs/>
                <w:i/>
                <w:sz w:val="20"/>
                <w:szCs w:val="20"/>
              </w:rPr>
              <w:t>No</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Total</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2.514.915</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790.529</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1.724.386</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227.513</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100.958</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126.555</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236.849</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214.814</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22.035</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229.257</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208.327</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20.930</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205.485</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149.740</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55.745</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197.917</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81.996</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115.921</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243.214</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25.706</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217.508</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210.131</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5.310</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204.821</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158.025</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2.341</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155.684</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mas</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806.524</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1.337</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805.187</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Hombres</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1.209.521</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397.310</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812.211</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118.306</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50.243</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68.063</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125.146</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112.449</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12.697</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114.557</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102.256</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12.301</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97.016</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71.311</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25.705</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101.798</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42.876</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58.922</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115.820</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14.569</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101.251</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94.203</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1.864</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92.339</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69.159</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973</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68.186</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mas</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373.516</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769</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372.747</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b/>
                <w:bCs/>
                <w:sz w:val="20"/>
                <w:szCs w:val="20"/>
              </w:rPr>
            </w:pPr>
            <w:r>
              <w:rPr>
                <w:b/>
                <w:bCs/>
                <w:sz w:val="20"/>
                <w:szCs w:val="20"/>
              </w:rPr>
              <w:t>Mujeres</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1.305.394</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393.219</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b/>
                <w:bCs/>
                <w:sz w:val="20"/>
                <w:szCs w:val="20"/>
              </w:rPr>
            </w:pPr>
            <w:r>
              <w:rPr>
                <w:b/>
                <w:bCs/>
                <w:sz w:val="20"/>
                <w:szCs w:val="20"/>
              </w:rPr>
              <w:t>912.175</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4   -   6</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109.207</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50.715</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58.492</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7   -   9</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111.703</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102.365</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9.338</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10  -  12</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114.700</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106.071</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8.629</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13  -  15</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108.469</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78.429</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30.040</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16  -  18</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96.119</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39.120</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56.999</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19  -  23</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127.394</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11.137</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116.257</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24  -  28</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115.928</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3.446</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112.482</w:t>
            </w:r>
          </w:p>
        </w:tc>
      </w:tr>
      <w:tr w:rsidR="00CD2A5A">
        <w:trPr>
          <w:trHeight w:val="360"/>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29  -  33</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88.866</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1.368</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87.498</w:t>
            </w:r>
          </w:p>
        </w:tc>
      </w:tr>
      <w:tr w:rsidR="00CD2A5A">
        <w:trPr>
          <w:trHeight w:val="66"/>
          <w:jc w:val="center"/>
        </w:trPr>
        <w:tc>
          <w:tcPr>
            <w:tcW w:w="1458" w:type="pct"/>
            <w:noWrap/>
            <w:tcMar>
              <w:top w:w="14" w:type="dxa"/>
              <w:left w:w="14" w:type="dxa"/>
              <w:bottom w:w="0" w:type="dxa"/>
              <w:right w:w="14" w:type="dxa"/>
            </w:tcMar>
            <w:vAlign w:val="bottom"/>
          </w:tcPr>
          <w:p w:rsidR="00CD2A5A" w:rsidRDefault="00CD2A5A">
            <w:pPr>
              <w:spacing w:before="40" w:after="40"/>
              <w:rPr>
                <w:rFonts w:eastAsia="Arial Unicode MS"/>
                <w:sz w:val="20"/>
                <w:szCs w:val="20"/>
              </w:rPr>
            </w:pPr>
            <w:r>
              <w:rPr>
                <w:sz w:val="20"/>
                <w:szCs w:val="20"/>
              </w:rPr>
              <w:t xml:space="preserve"> 34  y  mas</w:t>
            </w:r>
          </w:p>
        </w:tc>
        <w:tc>
          <w:tcPr>
            <w:tcW w:w="125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433.008</w:t>
            </w:r>
          </w:p>
        </w:tc>
        <w:tc>
          <w:tcPr>
            <w:tcW w:w="1025"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568</w:t>
            </w:r>
          </w:p>
        </w:tc>
        <w:tc>
          <w:tcPr>
            <w:tcW w:w="1262" w:type="pct"/>
            <w:noWrap/>
            <w:tcMar>
              <w:top w:w="14" w:type="dxa"/>
              <w:left w:w="14" w:type="dxa"/>
              <w:bottom w:w="0" w:type="dxa"/>
              <w:right w:w="14" w:type="dxa"/>
            </w:tcMar>
            <w:vAlign w:val="bottom"/>
          </w:tcPr>
          <w:p w:rsidR="00CD2A5A" w:rsidRDefault="00CD2A5A">
            <w:pPr>
              <w:spacing w:before="40" w:after="40"/>
              <w:ind w:right="965"/>
              <w:jc w:val="right"/>
              <w:rPr>
                <w:rFonts w:eastAsia="Arial Unicode MS"/>
                <w:sz w:val="20"/>
                <w:szCs w:val="20"/>
              </w:rPr>
            </w:pPr>
            <w:r>
              <w:rPr>
                <w:sz w:val="20"/>
                <w:szCs w:val="20"/>
              </w:rPr>
              <w:t>432.440</w:t>
            </w:r>
          </w:p>
        </w:tc>
      </w:tr>
    </w:tbl>
    <w:p w:rsidR="00CD2A5A" w:rsidRDefault="00CD2A5A" w:rsidP="00CD2A5A">
      <w:pPr>
        <w:pStyle w:val="Figure"/>
        <w:rPr>
          <w:u w:val="single"/>
        </w:rPr>
      </w:pPr>
      <w:r>
        <w:rPr>
          <w:sz w:val="24"/>
          <w:szCs w:val="24"/>
        </w:rPr>
        <w:br w:type="page"/>
      </w:r>
      <w:r>
        <w:t>EDUCACIÓN ACELERADA DE BÁSICA</w:t>
      </w:r>
      <w:r>
        <w:br/>
        <w:t>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097"/>
        <w:gridCol w:w="5315"/>
      </w:tblGrid>
      <w:tr w:rsidR="00CD2A5A">
        <w:trPr>
          <w:jc w:val="center"/>
        </w:trPr>
        <w:tc>
          <w:tcPr>
            <w:tcW w:w="2899" w:type="dxa"/>
          </w:tcPr>
          <w:p w:rsidR="00CD2A5A" w:rsidRDefault="00CD2A5A">
            <w:pPr>
              <w:pStyle w:val="Title"/>
              <w:spacing w:before="40" w:after="40"/>
              <w:rPr>
                <w:rFonts w:ascii="Times New Roman" w:hAnsi="Times New Roman" w:cs="Times New Roman"/>
                <w:i/>
                <w:sz w:val="20"/>
                <w:szCs w:val="20"/>
              </w:rPr>
            </w:pPr>
            <w:r>
              <w:rPr>
                <w:rFonts w:ascii="Times New Roman" w:hAnsi="Times New Roman" w:cs="Times New Roman"/>
                <w:i/>
                <w:sz w:val="20"/>
                <w:szCs w:val="20"/>
              </w:rPr>
              <w:t>Centros Escolares</w:t>
            </w:r>
          </w:p>
        </w:tc>
        <w:tc>
          <w:tcPr>
            <w:tcW w:w="3761" w:type="dxa"/>
          </w:tcPr>
          <w:p w:rsidR="00CD2A5A" w:rsidRDefault="00CD2A5A">
            <w:pPr>
              <w:pStyle w:val="Title"/>
              <w:spacing w:before="40" w:after="40"/>
              <w:rPr>
                <w:rFonts w:ascii="Times New Roman" w:hAnsi="Times New Roman" w:cs="Times New Roman"/>
                <w:i/>
                <w:sz w:val="20"/>
                <w:szCs w:val="20"/>
              </w:rPr>
            </w:pPr>
            <w:r>
              <w:rPr>
                <w:rFonts w:ascii="Times New Roman" w:hAnsi="Times New Roman" w:cs="Times New Roman"/>
                <w:i/>
                <w:sz w:val="20"/>
                <w:szCs w:val="20"/>
              </w:rPr>
              <w:t>No. de Estudiantes</w:t>
            </w:r>
          </w:p>
        </w:tc>
      </w:tr>
      <w:tr w:rsidR="00CD2A5A">
        <w:trPr>
          <w:trHeight w:val="77"/>
          <w:jc w:val="center"/>
        </w:trPr>
        <w:tc>
          <w:tcPr>
            <w:tcW w:w="2899" w:type="dxa"/>
          </w:tcPr>
          <w:p w:rsidR="00CD2A5A" w:rsidRDefault="00CD2A5A">
            <w:pPr>
              <w:pStyle w:val="Title"/>
              <w:spacing w:before="40" w:after="40"/>
              <w:jc w:val="left"/>
              <w:rPr>
                <w:rFonts w:ascii="Times New Roman" w:hAnsi="Times New Roman" w:cs="Times New Roman"/>
                <w:b w:val="0"/>
                <w:bCs w:val="0"/>
                <w:sz w:val="20"/>
                <w:szCs w:val="20"/>
              </w:rPr>
            </w:pPr>
            <w:r>
              <w:rPr>
                <w:rFonts w:ascii="Times New Roman" w:hAnsi="Times New Roman" w:cs="Times New Roman"/>
                <w:b w:val="0"/>
                <w:bCs w:val="0"/>
                <w:sz w:val="20"/>
                <w:szCs w:val="20"/>
              </w:rPr>
              <w:t>108</w:t>
            </w:r>
          </w:p>
        </w:tc>
        <w:tc>
          <w:tcPr>
            <w:tcW w:w="3761" w:type="dxa"/>
          </w:tcPr>
          <w:p w:rsidR="00CD2A5A" w:rsidRDefault="00CD2A5A">
            <w:pPr>
              <w:pStyle w:val="Title"/>
              <w:spacing w:before="40" w:after="40"/>
              <w:rPr>
                <w:rFonts w:ascii="Times New Roman" w:hAnsi="Times New Roman" w:cs="Times New Roman"/>
                <w:b w:val="0"/>
                <w:bCs w:val="0"/>
                <w:sz w:val="20"/>
                <w:szCs w:val="20"/>
              </w:rPr>
            </w:pPr>
            <w:r>
              <w:rPr>
                <w:rFonts w:ascii="Times New Roman" w:hAnsi="Times New Roman" w:cs="Times New Roman"/>
                <w:b w:val="0"/>
                <w:bCs w:val="0"/>
                <w:sz w:val="20"/>
                <w:szCs w:val="20"/>
              </w:rPr>
              <w:t>2.352</w:t>
            </w:r>
          </w:p>
        </w:tc>
      </w:tr>
    </w:tbl>
    <w:p w:rsidR="00CD2A5A" w:rsidRDefault="00CD2A5A">
      <w:pPr>
        <w:pStyle w:val="Title"/>
        <w:spacing w:after="240"/>
        <w:jc w:val="left"/>
        <w:rPr>
          <w:rFonts w:ascii="Times New Roman" w:hAnsi="Times New Roman" w:cs="Times New Roman"/>
        </w:rPr>
      </w:pPr>
    </w:p>
    <w:p w:rsidR="00CD2A5A" w:rsidRDefault="00CD2A5A" w:rsidP="00CD2A5A">
      <w:pPr>
        <w:pStyle w:val="Figure"/>
      </w:pPr>
      <w:r>
        <w:t>2005</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000"/>
        <w:gridCol w:w="2137"/>
        <w:gridCol w:w="2137"/>
        <w:gridCol w:w="2138"/>
      </w:tblGrid>
      <w:tr w:rsidR="00CD2A5A">
        <w:tblPrEx>
          <w:tblCellMar>
            <w:top w:w="0" w:type="dxa"/>
            <w:bottom w:w="0" w:type="dxa"/>
          </w:tblCellMar>
        </w:tblPrEx>
        <w:trPr>
          <w:jc w:val="center"/>
        </w:trPr>
        <w:tc>
          <w:tcPr>
            <w:tcW w:w="3000" w:type="dxa"/>
            <w:vAlign w:val="center"/>
          </w:tcPr>
          <w:p w:rsidR="00CD2A5A" w:rsidRDefault="00CD2A5A">
            <w:pPr>
              <w:pStyle w:val="Heading4"/>
              <w:spacing w:before="40" w:after="40"/>
              <w:ind w:right="0"/>
              <w:jc w:val="center"/>
              <w:rPr>
                <w:i/>
                <w:sz w:val="20"/>
              </w:rPr>
            </w:pPr>
            <w:r>
              <w:rPr>
                <w:i/>
                <w:sz w:val="20"/>
              </w:rPr>
              <w:t>Ubicación</w:t>
            </w:r>
          </w:p>
        </w:tc>
        <w:tc>
          <w:tcPr>
            <w:tcW w:w="2137" w:type="dxa"/>
            <w:vAlign w:val="center"/>
          </w:tcPr>
          <w:p w:rsidR="00CD2A5A" w:rsidRDefault="00CD2A5A">
            <w:pPr>
              <w:spacing w:before="40" w:after="40"/>
              <w:jc w:val="center"/>
              <w:rPr>
                <w:b/>
                <w:i/>
                <w:sz w:val="20"/>
                <w:szCs w:val="20"/>
              </w:rPr>
            </w:pPr>
            <w:r>
              <w:rPr>
                <w:b/>
                <w:i/>
                <w:sz w:val="20"/>
                <w:szCs w:val="20"/>
              </w:rPr>
              <w:t>Número de Centros Escolares</w:t>
            </w:r>
          </w:p>
        </w:tc>
        <w:tc>
          <w:tcPr>
            <w:tcW w:w="2137" w:type="dxa"/>
            <w:vAlign w:val="center"/>
          </w:tcPr>
          <w:p w:rsidR="00CD2A5A" w:rsidRDefault="00CD2A5A">
            <w:pPr>
              <w:spacing w:before="40" w:after="40"/>
              <w:jc w:val="center"/>
              <w:rPr>
                <w:b/>
                <w:i/>
                <w:sz w:val="20"/>
                <w:szCs w:val="20"/>
              </w:rPr>
            </w:pPr>
            <w:r>
              <w:rPr>
                <w:b/>
                <w:i/>
                <w:sz w:val="20"/>
                <w:szCs w:val="20"/>
              </w:rPr>
              <w:t>Total secciones</w:t>
            </w:r>
          </w:p>
        </w:tc>
        <w:tc>
          <w:tcPr>
            <w:tcW w:w="2138" w:type="dxa"/>
            <w:vAlign w:val="center"/>
          </w:tcPr>
          <w:p w:rsidR="00CD2A5A" w:rsidRDefault="00CD2A5A">
            <w:pPr>
              <w:pStyle w:val="Heading2"/>
              <w:spacing w:before="40" w:after="40"/>
              <w:rPr>
                <w:i/>
                <w:color w:val="auto"/>
                <w:sz w:val="20"/>
                <w:szCs w:val="20"/>
              </w:rPr>
            </w:pPr>
            <w:r>
              <w:rPr>
                <w:i/>
                <w:color w:val="auto"/>
                <w:sz w:val="20"/>
                <w:szCs w:val="20"/>
              </w:rPr>
              <w:t>Total matrícula</w:t>
            </w:r>
          </w:p>
        </w:tc>
      </w:tr>
      <w:tr w:rsidR="00CD2A5A">
        <w:tblPrEx>
          <w:tblCellMar>
            <w:top w:w="0" w:type="dxa"/>
            <w:bottom w:w="0" w:type="dxa"/>
          </w:tblCellMar>
        </w:tblPrEx>
        <w:trPr>
          <w:trHeight w:val="265"/>
          <w:jc w:val="center"/>
        </w:trPr>
        <w:tc>
          <w:tcPr>
            <w:tcW w:w="3000" w:type="dxa"/>
          </w:tcPr>
          <w:p w:rsidR="00CD2A5A" w:rsidRDefault="00CD2A5A">
            <w:pPr>
              <w:spacing w:before="40" w:after="40"/>
              <w:rPr>
                <w:bCs/>
                <w:sz w:val="20"/>
                <w:szCs w:val="20"/>
              </w:rPr>
            </w:pPr>
            <w:r>
              <w:rPr>
                <w:bCs/>
                <w:sz w:val="20"/>
                <w:szCs w:val="20"/>
              </w:rPr>
              <w:t>Fuera de ree.</w:t>
            </w:r>
          </w:p>
        </w:tc>
        <w:tc>
          <w:tcPr>
            <w:tcW w:w="2137" w:type="dxa"/>
          </w:tcPr>
          <w:p w:rsidR="00CD2A5A" w:rsidRDefault="00CD2A5A">
            <w:pPr>
              <w:spacing w:before="40" w:after="40"/>
              <w:ind w:right="884"/>
              <w:jc w:val="right"/>
              <w:rPr>
                <w:bCs/>
                <w:sz w:val="20"/>
                <w:szCs w:val="20"/>
              </w:rPr>
            </w:pPr>
            <w:r>
              <w:rPr>
                <w:bCs/>
                <w:sz w:val="20"/>
                <w:szCs w:val="20"/>
              </w:rPr>
              <w:t>95</w:t>
            </w:r>
          </w:p>
        </w:tc>
        <w:tc>
          <w:tcPr>
            <w:tcW w:w="2137" w:type="dxa"/>
          </w:tcPr>
          <w:p w:rsidR="00CD2A5A" w:rsidRDefault="00CD2A5A">
            <w:pPr>
              <w:spacing w:before="40" w:after="40"/>
              <w:ind w:right="884"/>
              <w:jc w:val="right"/>
              <w:rPr>
                <w:bCs/>
                <w:sz w:val="20"/>
                <w:szCs w:val="20"/>
              </w:rPr>
            </w:pPr>
            <w:r>
              <w:rPr>
                <w:bCs/>
                <w:sz w:val="20"/>
                <w:szCs w:val="20"/>
              </w:rPr>
              <w:t>123</w:t>
            </w:r>
          </w:p>
        </w:tc>
        <w:tc>
          <w:tcPr>
            <w:tcW w:w="2138" w:type="dxa"/>
          </w:tcPr>
          <w:p w:rsidR="00CD2A5A" w:rsidRDefault="00CD2A5A">
            <w:pPr>
              <w:spacing w:before="40" w:after="40"/>
              <w:ind w:right="884"/>
              <w:jc w:val="right"/>
              <w:rPr>
                <w:bCs/>
                <w:sz w:val="20"/>
                <w:szCs w:val="20"/>
              </w:rPr>
            </w:pPr>
            <w:r>
              <w:rPr>
                <w:bCs/>
                <w:sz w:val="20"/>
                <w:szCs w:val="20"/>
              </w:rPr>
              <w:t>2.472</w:t>
            </w:r>
          </w:p>
        </w:tc>
      </w:tr>
      <w:tr w:rsidR="00CD2A5A">
        <w:tblPrEx>
          <w:tblCellMar>
            <w:top w:w="0" w:type="dxa"/>
            <w:bottom w:w="0" w:type="dxa"/>
          </w:tblCellMar>
        </w:tblPrEx>
        <w:trPr>
          <w:jc w:val="center"/>
        </w:trPr>
        <w:tc>
          <w:tcPr>
            <w:tcW w:w="3000" w:type="dxa"/>
          </w:tcPr>
          <w:p w:rsidR="00CD2A5A" w:rsidRDefault="00CD2A5A">
            <w:pPr>
              <w:spacing w:before="40" w:after="40"/>
              <w:rPr>
                <w:bCs/>
                <w:sz w:val="20"/>
                <w:szCs w:val="20"/>
              </w:rPr>
            </w:pPr>
            <w:r>
              <w:rPr>
                <w:bCs/>
                <w:sz w:val="20"/>
                <w:szCs w:val="20"/>
              </w:rPr>
              <w:t>Dentro de ree.</w:t>
            </w:r>
          </w:p>
        </w:tc>
        <w:tc>
          <w:tcPr>
            <w:tcW w:w="2137" w:type="dxa"/>
          </w:tcPr>
          <w:p w:rsidR="00CD2A5A" w:rsidRDefault="00CD2A5A">
            <w:pPr>
              <w:spacing w:before="40" w:after="40"/>
              <w:ind w:right="884"/>
              <w:jc w:val="right"/>
              <w:rPr>
                <w:bCs/>
                <w:sz w:val="20"/>
                <w:szCs w:val="20"/>
              </w:rPr>
            </w:pPr>
            <w:r>
              <w:rPr>
                <w:bCs/>
                <w:sz w:val="20"/>
                <w:szCs w:val="20"/>
              </w:rPr>
              <w:t>22</w:t>
            </w:r>
          </w:p>
        </w:tc>
        <w:tc>
          <w:tcPr>
            <w:tcW w:w="2137" w:type="dxa"/>
          </w:tcPr>
          <w:p w:rsidR="00CD2A5A" w:rsidRDefault="00CD2A5A">
            <w:pPr>
              <w:spacing w:before="40" w:after="40"/>
              <w:ind w:right="884"/>
              <w:jc w:val="right"/>
              <w:rPr>
                <w:bCs/>
                <w:sz w:val="20"/>
                <w:szCs w:val="20"/>
              </w:rPr>
            </w:pPr>
            <w:r>
              <w:rPr>
                <w:bCs/>
                <w:sz w:val="20"/>
                <w:szCs w:val="20"/>
              </w:rPr>
              <w:t>40</w:t>
            </w:r>
          </w:p>
        </w:tc>
        <w:tc>
          <w:tcPr>
            <w:tcW w:w="2138" w:type="dxa"/>
          </w:tcPr>
          <w:p w:rsidR="00CD2A5A" w:rsidRDefault="00CD2A5A">
            <w:pPr>
              <w:spacing w:before="40" w:after="40"/>
              <w:ind w:right="884"/>
              <w:jc w:val="right"/>
              <w:rPr>
                <w:bCs/>
                <w:sz w:val="20"/>
                <w:szCs w:val="20"/>
              </w:rPr>
            </w:pPr>
            <w:r>
              <w:rPr>
                <w:bCs/>
                <w:sz w:val="20"/>
                <w:szCs w:val="20"/>
              </w:rPr>
              <w:t>864</w:t>
            </w:r>
          </w:p>
        </w:tc>
      </w:tr>
      <w:tr w:rsidR="00CD2A5A">
        <w:tblPrEx>
          <w:tblCellMar>
            <w:top w:w="0" w:type="dxa"/>
            <w:bottom w:w="0" w:type="dxa"/>
          </w:tblCellMar>
        </w:tblPrEx>
        <w:trPr>
          <w:jc w:val="center"/>
        </w:trPr>
        <w:tc>
          <w:tcPr>
            <w:tcW w:w="3000" w:type="dxa"/>
          </w:tcPr>
          <w:p w:rsidR="00CD2A5A" w:rsidRDefault="00CD2A5A">
            <w:pPr>
              <w:spacing w:before="40" w:after="40"/>
              <w:rPr>
                <w:bCs/>
                <w:sz w:val="20"/>
                <w:szCs w:val="20"/>
              </w:rPr>
            </w:pPr>
            <w:r>
              <w:rPr>
                <w:bCs/>
                <w:sz w:val="20"/>
                <w:szCs w:val="20"/>
              </w:rPr>
              <w:t>100 municipios de alta pobreza</w:t>
            </w:r>
          </w:p>
        </w:tc>
        <w:tc>
          <w:tcPr>
            <w:tcW w:w="2137" w:type="dxa"/>
          </w:tcPr>
          <w:p w:rsidR="00CD2A5A" w:rsidRDefault="00CD2A5A">
            <w:pPr>
              <w:spacing w:before="40" w:after="40"/>
              <w:ind w:right="884"/>
              <w:jc w:val="right"/>
              <w:rPr>
                <w:bCs/>
                <w:sz w:val="20"/>
                <w:szCs w:val="20"/>
              </w:rPr>
            </w:pPr>
            <w:r>
              <w:rPr>
                <w:bCs/>
                <w:sz w:val="20"/>
                <w:szCs w:val="20"/>
              </w:rPr>
              <w:t>43</w:t>
            </w:r>
          </w:p>
        </w:tc>
        <w:tc>
          <w:tcPr>
            <w:tcW w:w="2137" w:type="dxa"/>
          </w:tcPr>
          <w:p w:rsidR="00CD2A5A" w:rsidRDefault="00CD2A5A">
            <w:pPr>
              <w:spacing w:before="40" w:after="40"/>
              <w:ind w:right="884"/>
              <w:jc w:val="right"/>
              <w:rPr>
                <w:bCs/>
                <w:sz w:val="20"/>
                <w:szCs w:val="20"/>
              </w:rPr>
            </w:pPr>
            <w:r>
              <w:rPr>
                <w:bCs/>
                <w:sz w:val="20"/>
                <w:szCs w:val="20"/>
              </w:rPr>
              <w:t>68</w:t>
            </w:r>
          </w:p>
        </w:tc>
        <w:tc>
          <w:tcPr>
            <w:tcW w:w="2138" w:type="dxa"/>
          </w:tcPr>
          <w:p w:rsidR="00CD2A5A" w:rsidRDefault="00CD2A5A">
            <w:pPr>
              <w:spacing w:before="40" w:after="40"/>
              <w:ind w:right="884"/>
              <w:jc w:val="right"/>
              <w:rPr>
                <w:bCs/>
                <w:sz w:val="20"/>
                <w:szCs w:val="20"/>
              </w:rPr>
            </w:pPr>
            <w:r>
              <w:rPr>
                <w:bCs/>
                <w:sz w:val="20"/>
                <w:szCs w:val="20"/>
              </w:rPr>
              <w:t>1.336</w:t>
            </w:r>
          </w:p>
        </w:tc>
      </w:tr>
      <w:tr w:rsidR="00CD2A5A">
        <w:tblPrEx>
          <w:tblCellMar>
            <w:top w:w="0" w:type="dxa"/>
            <w:bottom w:w="0" w:type="dxa"/>
          </w:tblCellMar>
        </w:tblPrEx>
        <w:trPr>
          <w:jc w:val="center"/>
        </w:trPr>
        <w:tc>
          <w:tcPr>
            <w:tcW w:w="3000" w:type="dxa"/>
          </w:tcPr>
          <w:p w:rsidR="00CD2A5A" w:rsidRDefault="00CD2A5A">
            <w:pPr>
              <w:spacing w:before="40" w:after="40"/>
              <w:rPr>
                <w:bCs/>
                <w:sz w:val="20"/>
                <w:szCs w:val="20"/>
              </w:rPr>
            </w:pPr>
            <w:r>
              <w:rPr>
                <w:bCs/>
                <w:sz w:val="20"/>
                <w:szCs w:val="20"/>
              </w:rPr>
              <w:t xml:space="preserve"> Totales</w:t>
            </w:r>
          </w:p>
        </w:tc>
        <w:tc>
          <w:tcPr>
            <w:tcW w:w="2137" w:type="dxa"/>
          </w:tcPr>
          <w:p w:rsidR="00CD2A5A" w:rsidRDefault="00CD2A5A">
            <w:pPr>
              <w:spacing w:before="40" w:after="40"/>
              <w:ind w:right="884"/>
              <w:jc w:val="right"/>
              <w:rPr>
                <w:bCs/>
                <w:sz w:val="20"/>
                <w:szCs w:val="20"/>
              </w:rPr>
            </w:pPr>
            <w:r>
              <w:rPr>
                <w:bCs/>
                <w:sz w:val="20"/>
                <w:szCs w:val="20"/>
              </w:rPr>
              <w:t>160</w:t>
            </w:r>
          </w:p>
        </w:tc>
        <w:tc>
          <w:tcPr>
            <w:tcW w:w="2137" w:type="dxa"/>
          </w:tcPr>
          <w:p w:rsidR="00CD2A5A" w:rsidRDefault="00CD2A5A">
            <w:pPr>
              <w:spacing w:before="40" w:after="40"/>
              <w:ind w:right="884"/>
              <w:jc w:val="right"/>
              <w:rPr>
                <w:bCs/>
                <w:sz w:val="20"/>
                <w:szCs w:val="20"/>
              </w:rPr>
            </w:pPr>
            <w:r>
              <w:rPr>
                <w:bCs/>
                <w:sz w:val="20"/>
                <w:szCs w:val="20"/>
              </w:rPr>
              <w:t>231</w:t>
            </w:r>
          </w:p>
        </w:tc>
        <w:tc>
          <w:tcPr>
            <w:tcW w:w="2138" w:type="dxa"/>
          </w:tcPr>
          <w:p w:rsidR="00CD2A5A" w:rsidRDefault="00CD2A5A">
            <w:pPr>
              <w:spacing w:before="40" w:after="40"/>
              <w:ind w:right="884"/>
              <w:jc w:val="right"/>
              <w:rPr>
                <w:bCs/>
                <w:sz w:val="20"/>
                <w:szCs w:val="20"/>
              </w:rPr>
            </w:pPr>
            <w:r>
              <w:rPr>
                <w:bCs/>
                <w:sz w:val="20"/>
                <w:szCs w:val="20"/>
              </w:rPr>
              <w:t>4.672</w:t>
            </w:r>
          </w:p>
        </w:tc>
      </w:tr>
    </w:tbl>
    <w:p w:rsidR="00CD2A5A" w:rsidRDefault="00CD2A5A">
      <w:pPr>
        <w:pStyle w:val="Title"/>
        <w:spacing w:after="240"/>
        <w:jc w:val="left"/>
        <w:rPr>
          <w:rFonts w:ascii="Times New Roman" w:hAnsi="Times New Roman" w:cs="Times New Roman"/>
        </w:rPr>
      </w:pPr>
    </w:p>
    <w:p w:rsidR="00CD2A5A" w:rsidRDefault="00CD2A5A" w:rsidP="00CD2A5A">
      <w:pPr>
        <w:pStyle w:val="Figure"/>
      </w:pPr>
      <w:r>
        <w:t>2006</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045"/>
        <w:gridCol w:w="2122"/>
        <w:gridCol w:w="2122"/>
        <w:gridCol w:w="2123"/>
      </w:tblGrid>
      <w:tr w:rsidR="00CD2A5A">
        <w:tblPrEx>
          <w:tblCellMar>
            <w:top w:w="0" w:type="dxa"/>
            <w:bottom w:w="0" w:type="dxa"/>
          </w:tblCellMar>
        </w:tblPrEx>
        <w:trPr>
          <w:trHeight w:val="630"/>
          <w:jc w:val="center"/>
        </w:trPr>
        <w:tc>
          <w:tcPr>
            <w:tcW w:w="3045" w:type="dxa"/>
            <w:vAlign w:val="center"/>
          </w:tcPr>
          <w:p w:rsidR="00CD2A5A" w:rsidRDefault="00CD2A5A">
            <w:pPr>
              <w:pStyle w:val="Heading4"/>
              <w:spacing w:before="40" w:after="40"/>
              <w:ind w:right="0"/>
              <w:jc w:val="center"/>
              <w:rPr>
                <w:i/>
                <w:sz w:val="20"/>
              </w:rPr>
            </w:pPr>
            <w:r>
              <w:rPr>
                <w:i/>
                <w:sz w:val="20"/>
              </w:rPr>
              <w:t>Ubicación</w:t>
            </w:r>
          </w:p>
        </w:tc>
        <w:tc>
          <w:tcPr>
            <w:tcW w:w="2122" w:type="dxa"/>
            <w:vAlign w:val="center"/>
          </w:tcPr>
          <w:p w:rsidR="00CD2A5A" w:rsidRDefault="00CD2A5A">
            <w:pPr>
              <w:spacing w:before="40" w:after="40"/>
              <w:jc w:val="center"/>
              <w:rPr>
                <w:b/>
                <w:i/>
                <w:sz w:val="20"/>
                <w:szCs w:val="20"/>
              </w:rPr>
            </w:pPr>
            <w:r>
              <w:rPr>
                <w:b/>
                <w:i/>
                <w:sz w:val="20"/>
                <w:szCs w:val="20"/>
              </w:rPr>
              <w:t>Número de Centros Escolares</w:t>
            </w:r>
          </w:p>
        </w:tc>
        <w:tc>
          <w:tcPr>
            <w:tcW w:w="2122" w:type="dxa"/>
            <w:vAlign w:val="center"/>
          </w:tcPr>
          <w:p w:rsidR="00CD2A5A" w:rsidRDefault="00CD2A5A">
            <w:pPr>
              <w:spacing w:before="40" w:after="40"/>
              <w:jc w:val="center"/>
              <w:rPr>
                <w:b/>
                <w:i/>
                <w:sz w:val="20"/>
                <w:szCs w:val="20"/>
              </w:rPr>
            </w:pPr>
            <w:r>
              <w:rPr>
                <w:b/>
                <w:i/>
                <w:sz w:val="20"/>
                <w:szCs w:val="20"/>
              </w:rPr>
              <w:t>Total secciones</w:t>
            </w:r>
          </w:p>
        </w:tc>
        <w:tc>
          <w:tcPr>
            <w:tcW w:w="2123" w:type="dxa"/>
            <w:vAlign w:val="center"/>
          </w:tcPr>
          <w:p w:rsidR="00CD2A5A" w:rsidRDefault="00CD2A5A">
            <w:pPr>
              <w:pStyle w:val="Heading2"/>
              <w:spacing w:before="40" w:after="40"/>
              <w:rPr>
                <w:i/>
                <w:color w:val="auto"/>
                <w:sz w:val="20"/>
                <w:szCs w:val="20"/>
              </w:rPr>
            </w:pPr>
            <w:r>
              <w:rPr>
                <w:i/>
                <w:color w:val="auto"/>
                <w:sz w:val="20"/>
                <w:szCs w:val="20"/>
              </w:rPr>
              <w:t>Total matrícula</w:t>
            </w:r>
          </w:p>
        </w:tc>
      </w:tr>
      <w:tr w:rsidR="00CD2A5A">
        <w:tblPrEx>
          <w:tblCellMar>
            <w:top w:w="0" w:type="dxa"/>
            <w:bottom w:w="0" w:type="dxa"/>
          </w:tblCellMar>
        </w:tblPrEx>
        <w:trPr>
          <w:jc w:val="center"/>
        </w:trPr>
        <w:tc>
          <w:tcPr>
            <w:tcW w:w="3045" w:type="dxa"/>
          </w:tcPr>
          <w:p w:rsidR="00CD2A5A" w:rsidRDefault="00CD2A5A">
            <w:pPr>
              <w:spacing w:before="40" w:after="40"/>
              <w:rPr>
                <w:bCs/>
                <w:sz w:val="20"/>
                <w:szCs w:val="20"/>
              </w:rPr>
            </w:pPr>
            <w:r>
              <w:rPr>
                <w:bCs/>
                <w:sz w:val="20"/>
                <w:szCs w:val="20"/>
              </w:rPr>
              <w:t>Fuera de ree.</w:t>
            </w:r>
          </w:p>
        </w:tc>
        <w:tc>
          <w:tcPr>
            <w:tcW w:w="2122" w:type="dxa"/>
          </w:tcPr>
          <w:p w:rsidR="00CD2A5A" w:rsidRDefault="00CD2A5A">
            <w:pPr>
              <w:spacing w:before="40" w:after="40"/>
              <w:ind w:right="844"/>
              <w:jc w:val="right"/>
              <w:rPr>
                <w:bCs/>
                <w:sz w:val="20"/>
                <w:szCs w:val="20"/>
              </w:rPr>
            </w:pPr>
            <w:r>
              <w:rPr>
                <w:bCs/>
                <w:sz w:val="20"/>
                <w:szCs w:val="20"/>
              </w:rPr>
              <w:t>98</w:t>
            </w:r>
          </w:p>
        </w:tc>
        <w:tc>
          <w:tcPr>
            <w:tcW w:w="2122" w:type="dxa"/>
          </w:tcPr>
          <w:p w:rsidR="00CD2A5A" w:rsidRDefault="00CD2A5A">
            <w:pPr>
              <w:spacing w:before="40" w:after="40"/>
              <w:ind w:right="844"/>
              <w:jc w:val="right"/>
              <w:rPr>
                <w:bCs/>
                <w:sz w:val="20"/>
                <w:szCs w:val="20"/>
              </w:rPr>
            </w:pPr>
            <w:r>
              <w:rPr>
                <w:bCs/>
                <w:sz w:val="20"/>
                <w:szCs w:val="20"/>
              </w:rPr>
              <w:t>122</w:t>
            </w:r>
          </w:p>
        </w:tc>
        <w:tc>
          <w:tcPr>
            <w:tcW w:w="2123" w:type="dxa"/>
          </w:tcPr>
          <w:p w:rsidR="00CD2A5A" w:rsidRDefault="00CD2A5A">
            <w:pPr>
              <w:spacing w:before="40" w:after="40"/>
              <w:ind w:right="844"/>
              <w:jc w:val="right"/>
              <w:rPr>
                <w:bCs/>
                <w:sz w:val="20"/>
                <w:szCs w:val="20"/>
              </w:rPr>
            </w:pPr>
            <w:r>
              <w:rPr>
                <w:bCs/>
                <w:sz w:val="20"/>
                <w:szCs w:val="20"/>
              </w:rPr>
              <w:t>2.586</w:t>
            </w:r>
          </w:p>
        </w:tc>
      </w:tr>
      <w:tr w:rsidR="00CD2A5A">
        <w:tblPrEx>
          <w:tblCellMar>
            <w:top w:w="0" w:type="dxa"/>
            <w:bottom w:w="0" w:type="dxa"/>
          </w:tblCellMar>
        </w:tblPrEx>
        <w:trPr>
          <w:jc w:val="center"/>
        </w:trPr>
        <w:tc>
          <w:tcPr>
            <w:tcW w:w="3045" w:type="dxa"/>
          </w:tcPr>
          <w:p w:rsidR="00CD2A5A" w:rsidRDefault="00CD2A5A">
            <w:pPr>
              <w:spacing w:before="40" w:after="40"/>
              <w:rPr>
                <w:bCs/>
                <w:sz w:val="20"/>
                <w:szCs w:val="20"/>
              </w:rPr>
            </w:pPr>
            <w:r>
              <w:rPr>
                <w:bCs/>
                <w:sz w:val="20"/>
                <w:szCs w:val="20"/>
              </w:rPr>
              <w:t>Dentro de ree.</w:t>
            </w:r>
          </w:p>
        </w:tc>
        <w:tc>
          <w:tcPr>
            <w:tcW w:w="2122" w:type="dxa"/>
          </w:tcPr>
          <w:p w:rsidR="00CD2A5A" w:rsidRDefault="00CD2A5A">
            <w:pPr>
              <w:spacing w:before="40" w:after="40"/>
              <w:ind w:right="844"/>
              <w:jc w:val="right"/>
              <w:rPr>
                <w:bCs/>
                <w:sz w:val="20"/>
                <w:szCs w:val="20"/>
              </w:rPr>
            </w:pPr>
            <w:r>
              <w:rPr>
                <w:bCs/>
                <w:sz w:val="20"/>
                <w:szCs w:val="20"/>
              </w:rPr>
              <w:t>23</w:t>
            </w:r>
          </w:p>
        </w:tc>
        <w:tc>
          <w:tcPr>
            <w:tcW w:w="2122" w:type="dxa"/>
          </w:tcPr>
          <w:p w:rsidR="00CD2A5A" w:rsidRDefault="00CD2A5A">
            <w:pPr>
              <w:spacing w:before="40" w:after="40"/>
              <w:ind w:right="844"/>
              <w:jc w:val="right"/>
              <w:rPr>
                <w:bCs/>
                <w:sz w:val="20"/>
                <w:szCs w:val="20"/>
              </w:rPr>
            </w:pPr>
            <w:r>
              <w:rPr>
                <w:bCs/>
                <w:sz w:val="20"/>
                <w:szCs w:val="20"/>
              </w:rPr>
              <w:t>31</w:t>
            </w:r>
          </w:p>
        </w:tc>
        <w:tc>
          <w:tcPr>
            <w:tcW w:w="2123" w:type="dxa"/>
          </w:tcPr>
          <w:p w:rsidR="00CD2A5A" w:rsidRDefault="00CD2A5A">
            <w:pPr>
              <w:spacing w:before="40" w:after="40"/>
              <w:ind w:right="844"/>
              <w:jc w:val="right"/>
              <w:rPr>
                <w:bCs/>
                <w:sz w:val="20"/>
                <w:szCs w:val="20"/>
              </w:rPr>
            </w:pPr>
            <w:r>
              <w:rPr>
                <w:bCs/>
                <w:sz w:val="20"/>
                <w:szCs w:val="20"/>
              </w:rPr>
              <w:t>589</w:t>
            </w:r>
          </w:p>
        </w:tc>
      </w:tr>
      <w:tr w:rsidR="00CD2A5A">
        <w:tblPrEx>
          <w:tblCellMar>
            <w:top w:w="0" w:type="dxa"/>
            <w:bottom w:w="0" w:type="dxa"/>
          </w:tblCellMar>
        </w:tblPrEx>
        <w:trPr>
          <w:trHeight w:val="165"/>
          <w:jc w:val="center"/>
        </w:trPr>
        <w:tc>
          <w:tcPr>
            <w:tcW w:w="3045" w:type="dxa"/>
          </w:tcPr>
          <w:p w:rsidR="00CD2A5A" w:rsidRDefault="00CD2A5A">
            <w:pPr>
              <w:spacing w:before="40" w:after="40"/>
              <w:rPr>
                <w:bCs/>
                <w:sz w:val="20"/>
                <w:szCs w:val="20"/>
              </w:rPr>
            </w:pPr>
            <w:r>
              <w:rPr>
                <w:bCs/>
                <w:sz w:val="20"/>
                <w:szCs w:val="20"/>
              </w:rPr>
              <w:t>100 municipios de alta pobreza</w:t>
            </w:r>
          </w:p>
        </w:tc>
        <w:tc>
          <w:tcPr>
            <w:tcW w:w="2122" w:type="dxa"/>
          </w:tcPr>
          <w:p w:rsidR="00CD2A5A" w:rsidRDefault="00CD2A5A">
            <w:pPr>
              <w:spacing w:before="40" w:after="40"/>
              <w:ind w:right="844"/>
              <w:jc w:val="right"/>
              <w:rPr>
                <w:bCs/>
                <w:sz w:val="20"/>
                <w:szCs w:val="20"/>
              </w:rPr>
            </w:pPr>
            <w:r>
              <w:rPr>
                <w:bCs/>
                <w:sz w:val="20"/>
                <w:szCs w:val="20"/>
              </w:rPr>
              <w:t>43</w:t>
            </w:r>
          </w:p>
        </w:tc>
        <w:tc>
          <w:tcPr>
            <w:tcW w:w="2122" w:type="dxa"/>
          </w:tcPr>
          <w:p w:rsidR="00CD2A5A" w:rsidRDefault="00CD2A5A">
            <w:pPr>
              <w:spacing w:before="40" w:after="40"/>
              <w:ind w:right="844"/>
              <w:jc w:val="right"/>
              <w:rPr>
                <w:bCs/>
                <w:sz w:val="20"/>
                <w:szCs w:val="20"/>
              </w:rPr>
            </w:pPr>
            <w:r>
              <w:rPr>
                <w:bCs/>
                <w:sz w:val="20"/>
                <w:szCs w:val="20"/>
              </w:rPr>
              <w:t>68</w:t>
            </w:r>
          </w:p>
        </w:tc>
        <w:tc>
          <w:tcPr>
            <w:tcW w:w="2123" w:type="dxa"/>
          </w:tcPr>
          <w:p w:rsidR="00CD2A5A" w:rsidRDefault="00CD2A5A">
            <w:pPr>
              <w:spacing w:before="40" w:after="40"/>
              <w:ind w:right="844"/>
              <w:jc w:val="right"/>
              <w:rPr>
                <w:bCs/>
                <w:sz w:val="20"/>
                <w:szCs w:val="20"/>
              </w:rPr>
            </w:pPr>
            <w:r>
              <w:rPr>
                <w:bCs/>
                <w:sz w:val="20"/>
                <w:szCs w:val="20"/>
              </w:rPr>
              <w:t>1.336</w:t>
            </w:r>
          </w:p>
        </w:tc>
      </w:tr>
      <w:tr w:rsidR="00CD2A5A">
        <w:tblPrEx>
          <w:tblCellMar>
            <w:top w:w="0" w:type="dxa"/>
            <w:bottom w:w="0" w:type="dxa"/>
          </w:tblCellMar>
        </w:tblPrEx>
        <w:trPr>
          <w:trHeight w:val="165"/>
          <w:jc w:val="center"/>
        </w:trPr>
        <w:tc>
          <w:tcPr>
            <w:tcW w:w="3045" w:type="dxa"/>
          </w:tcPr>
          <w:p w:rsidR="00CD2A5A" w:rsidRDefault="00CD2A5A">
            <w:pPr>
              <w:spacing w:before="40" w:after="40"/>
              <w:rPr>
                <w:bCs/>
                <w:sz w:val="20"/>
                <w:szCs w:val="20"/>
              </w:rPr>
            </w:pPr>
            <w:r>
              <w:rPr>
                <w:bCs/>
                <w:sz w:val="20"/>
                <w:szCs w:val="20"/>
              </w:rPr>
              <w:t>Totales</w:t>
            </w:r>
          </w:p>
        </w:tc>
        <w:tc>
          <w:tcPr>
            <w:tcW w:w="2122" w:type="dxa"/>
          </w:tcPr>
          <w:p w:rsidR="00CD2A5A" w:rsidRDefault="00CD2A5A">
            <w:pPr>
              <w:spacing w:before="40" w:after="40"/>
              <w:ind w:right="844"/>
              <w:jc w:val="right"/>
              <w:rPr>
                <w:bCs/>
                <w:sz w:val="20"/>
                <w:szCs w:val="20"/>
              </w:rPr>
            </w:pPr>
            <w:r>
              <w:rPr>
                <w:bCs/>
                <w:sz w:val="20"/>
                <w:szCs w:val="20"/>
              </w:rPr>
              <w:t>164</w:t>
            </w:r>
          </w:p>
        </w:tc>
        <w:tc>
          <w:tcPr>
            <w:tcW w:w="2122" w:type="dxa"/>
          </w:tcPr>
          <w:p w:rsidR="00CD2A5A" w:rsidRDefault="00CD2A5A">
            <w:pPr>
              <w:spacing w:before="40" w:after="40"/>
              <w:ind w:right="844"/>
              <w:jc w:val="right"/>
              <w:rPr>
                <w:bCs/>
                <w:sz w:val="20"/>
                <w:szCs w:val="20"/>
              </w:rPr>
            </w:pPr>
            <w:r>
              <w:rPr>
                <w:bCs/>
                <w:sz w:val="20"/>
                <w:szCs w:val="20"/>
              </w:rPr>
              <w:t>221</w:t>
            </w:r>
          </w:p>
        </w:tc>
        <w:tc>
          <w:tcPr>
            <w:tcW w:w="2123" w:type="dxa"/>
          </w:tcPr>
          <w:p w:rsidR="00CD2A5A" w:rsidRDefault="00CD2A5A">
            <w:pPr>
              <w:spacing w:before="40" w:after="40"/>
              <w:ind w:right="844"/>
              <w:jc w:val="right"/>
              <w:rPr>
                <w:bCs/>
                <w:sz w:val="20"/>
                <w:szCs w:val="20"/>
              </w:rPr>
            </w:pPr>
            <w:r>
              <w:rPr>
                <w:bCs/>
                <w:sz w:val="20"/>
                <w:szCs w:val="20"/>
              </w:rPr>
              <w:t>4.511</w:t>
            </w:r>
          </w:p>
        </w:tc>
      </w:tr>
    </w:tbl>
    <w:p w:rsidR="00CD2A5A" w:rsidRDefault="00CD2A5A">
      <w:pPr>
        <w:spacing w:after="240"/>
        <w:rPr>
          <w:lang w:val="es-SV"/>
        </w:rPr>
      </w:pPr>
    </w:p>
    <w:p w:rsidR="00CD2A5A" w:rsidRDefault="00CD2A5A">
      <w:pPr>
        <w:pStyle w:val="I"/>
      </w:pPr>
      <w:r>
        <w:br w:type="page"/>
        <w:t>ANEXO XIX</w:t>
      </w:r>
    </w:p>
    <w:p w:rsidR="00CD2A5A" w:rsidRDefault="00CD2A5A" w:rsidP="00CD2A5A">
      <w:pPr>
        <w:pStyle w:val="Figure"/>
      </w:pPr>
      <w:r>
        <w:t>MENORES DE EDAD DEPORTADOS (2004 – 2005)</w:t>
      </w:r>
    </w:p>
    <w:p w:rsidR="00CD2A5A" w:rsidRDefault="00CD2A5A" w:rsidP="00CD2A5A">
      <w:pPr>
        <w:pStyle w:val="Figure"/>
      </w:pPr>
      <w:r>
        <w:t>Direccion general de migracion y extranjería</w:t>
      </w:r>
    </w:p>
    <w:p w:rsidR="00CD2A5A" w:rsidRDefault="00CD2A5A" w:rsidP="00CD2A5A">
      <w:pPr>
        <w:pStyle w:val="Figure"/>
      </w:pPr>
      <w:r>
        <w:t>Salvadoreños menores de edad deportados Periodo de enero a diciembre de 2004</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14"/>
        <w:gridCol w:w="514"/>
        <w:gridCol w:w="488"/>
        <w:gridCol w:w="589"/>
        <w:gridCol w:w="527"/>
        <w:gridCol w:w="589"/>
        <w:gridCol w:w="488"/>
        <w:gridCol w:w="476"/>
        <w:gridCol w:w="565"/>
        <w:gridCol w:w="463"/>
        <w:gridCol w:w="540"/>
        <w:gridCol w:w="552"/>
        <w:gridCol w:w="463"/>
        <w:gridCol w:w="844"/>
      </w:tblGrid>
      <w:tr w:rsidR="00CD2A5A">
        <w:trPr>
          <w:trHeight w:val="480"/>
          <w:jc w:val="center"/>
        </w:trPr>
        <w:tc>
          <w:tcPr>
            <w:tcW w:w="2314" w:type="dxa"/>
            <w:tcMar>
              <w:top w:w="17" w:type="dxa"/>
              <w:left w:w="17" w:type="dxa"/>
              <w:bottom w:w="0" w:type="dxa"/>
              <w:right w:w="17" w:type="dxa"/>
            </w:tcMar>
            <w:vAlign w:val="center"/>
          </w:tcPr>
          <w:p w:rsidR="00CD2A5A" w:rsidRDefault="00CD2A5A">
            <w:pPr>
              <w:spacing w:before="40" w:after="40"/>
              <w:jc w:val="center"/>
              <w:rPr>
                <w:b/>
                <w:bCs/>
                <w:i/>
                <w:sz w:val="20"/>
                <w:szCs w:val="20"/>
              </w:rPr>
            </w:pPr>
            <w:r>
              <w:rPr>
                <w:b/>
                <w:bCs/>
                <w:i/>
                <w:sz w:val="20"/>
                <w:szCs w:val="20"/>
              </w:rPr>
              <w:t>Puesto migratorio</w:t>
            </w:r>
          </w:p>
        </w:tc>
        <w:tc>
          <w:tcPr>
            <w:tcW w:w="514" w:type="dxa"/>
            <w:noWrap/>
            <w:tcMar>
              <w:top w:w="17" w:type="dxa"/>
              <w:left w:w="17" w:type="dxa"/>
              <w:bottom w:w="0" w:type="dxa"/>
              <w:right w:w="17" w:type="dxa"/>
            </w:tcMar>
            <w:vAlign w:val="center"/>
          </w:tcPr>
          <w:p w:rsidR="00CD2A5A" w:rsidRDefault="00CD2A5A">
            <w:pPr>
              <w:spacing w:before="40" w:after="40"/>
              <w:jc w:val="center"/>
              <w:rPr>
                <w:b/>
                <w:bCs/>
                <w:i/>
                <w:sz w:val="20"/>
                <w:szCs w:val="20"/>
              </w:rPr>
            </w:pPr>
            <w:r>
              <w:rPr>
                <w:b/>
                <w:bCs/>
                <w:i/>
                <w:sz w:val="20"/>
                <w:szCs w:val="20"/>
              </w:rPr>
              <w:t>Ene</w:t>
            </w:r>
          </w:p>
        </w:tc>
        <w:tc>
          <w:tcPr>
            <w:tcW w:w="488" w:type="dxa"/>
            <w:noWrap/>
            <w:tcMar>
              <w:top w:w="17" w:type="dxa"/>
              <w:left w:w="17" w:type="dxa"/>
              <w:bottom w:w="0" w:type="dxa"/>
              <w:right w:w="17" w:type="dxa"/>
            </w:tcMar>
            <w:vAlign w:val="center"/>
          </w:tcPr>
          <w:p w:rsidR="00CD2A5A" w:rsidRDefault="00CD2A5A">
            <w:pPr>
              <w:spacing w:before="40" w:after="40"/>
              <w:jc w:val="center"/>
              <w:rPr>
                <w:b/>
                <w:bCs/>
                <w:i/>
                <w:sz w:val="20"/>
                <w:szCs w:val="20"/>
              </w:rPr>
            </w:pPr>
            <w:r>
              <w:rPr>
                <w:b/>
                <w:bCs/>
                <w:i/>
                <w:sz w:val="20"/>
                <w:szCs w:val="20"/>
              </w:rPr>
              <w:t>Feb</w:t>
            </w:r>
          </w:p>
        </w:tc>
        <w:tc>
          <w:tcPr>
            <w:tcW w:w="589" w:type="dxa"/>
            <w:noWrap/>
            <w:tcMar>
              <w:top w:w="17" w:type="dxa"/>
              <w:left w:w="17" w:type="dxa"/>
              <w:bottom w:w="0" w:type="dxa"/>
              <w:right w:w="17" w:type="dxa"/>
            </w:tcMar>
            <w:vAlign w:val="center"/>
          </w:tcPr>
          <w:p w:rsidR="00CD2A5A" w:rsidRDefault="00CD2A5A">
            <w:pPr>
              <w:spacing w:before="40" w:after="40"/>
              <w:jc w:val="center"/>
              <w:rPr>
                <w:b/>
                <w:bCs/>
                <w:i/>
                <w:sz w:val="20"/>
                <w:szCs w:val="20"/>
              </w:rPr>
            </w:pPr>
            <w:r>
              <w:rPr>
                <w:b/>
                <w:bCs/>
                <w:i/>
                <w:sz w:val="20"/>
                <w:szCs w:val="20"/>
              </w:rPr>
              <w:t>Mar</w:t>
            </w:r>
          </w:p>
        </w:tc>
        <w:tc>
          <w:tcPr>
            <w:tcW w:w="527" w:type="dxa"/>
            <w:noWrap/>
            <w:tcMar>
              <w:top w:w="17" w:type="dxa"/>
              <w:left w:w="17" w:type="dxa"/>
              <w:bottom w:w="0" w:type="dxa"/>
              <w:right w:w="17" w:type="dxa"/>
            </w:tcMar>
            <w:vAlign w:val="center"/>
          </w:tcPr>
          <w:p w:rsidR="00CD2A5A" w:rsidRDefault="00CD2A5A">
            <w:pPr>
              <w:spacing w:before="40" w:after="40"/>
              <w:jc w:val="center"/>
              <w:rPr>
                <w:b/>
                <w:bCs/>
                <w:i/>
                <w:sz w:val="20"/>
                <w:szCs w:val="20"/>
              </w:rPr>
            </w:pPr>
            <w:r>
              <w:rPr>
                <w:b/>
                <w:bCs/>
                <w:i/>
                <w:sz w:val="20"/>
                <w:szCs w:val="20"/>
              </w:rPr>
              <w:t>Abr</w:t>
            </w:r>
          </w:p>
        </w:tc>
        <w:tc>
          <w:tcPr>
            <w:tcW w:w="589"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May</w:t>
            </w:r>
          </w:p>
        </w:tc>
        <w:tc>
          <w:tcPr>
            <w:tcW w:w="488"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Jun</w:t>
            </w:r>
          </w:p>
        </w:tc>
        <w:tc>
          <w:tcPr>
            <w:tcW w:w="476"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Jul</w:t>
            </w:r>
          </w:p>
        </w:tc>
        <w:tc>
          <w:tcPr>
            <w:tcW w:w="565"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Ago</w:t>
            </w:r>
          </w:p>
        </w:tc>
        <w:tc>
          <w:tcPr>
            <w:tcW w:w="463"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Sep</w:t>
            </w:r>
          </w:p>
        </w:tc>
        <w:tc>
          <w:tcPr>
            <w:tcW w:w="540"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Oct</w:t>
            </w:r>
          </w:p>
        </w:tc>
        <w:tc>
          <w:tcPr>
            <w:tcW w:w="552"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Nov</w:t>
            </w:r>
          </w:p>
        </w:tc>
        <w:tc>
          <w:tcPr>
            <w:tcW w:w="463"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Dic</w:t>
            </w:r>
          </w:p>
        </w:tc>
        <w:tc>
          <w:tcPr>
            <w:tcW w:w="844" w:type="dxa"/>
            <w:noWrap/>
            <w:tcMar>
              <w:top w:w="17" w:type="dxa"/>
              <w:left w:w="17" w:type="dxa"/>
              <w:bottom w:w="0" w:type="dxa"/>
              <w:right w:w="17" w:type="dxa"/>
            </w:tcMar>
            <w:vAlign w:val="center"/>
          </w:tcPr>
          <w:p w:rsidR="00CD2A5A" w:rsidRDefault="00CD2A5A">
            <w:pPr>
              <w:spacing w:before="40" w:after="40"/>
              <w:jc w:val="center"/>
              <w:rPr>
                <w:b/>
                <w:bCs/>
                <w:i/>
                <w:sz w:val="20"/>
                <w:szCs w:val="20"/>
                <w:lang w:val="en-US"/>
              </w:rPr>
            </w:pPr>
            <w:r>
              <w:rPr>
                <w:b/>
                <w:bCs/>
                <w:i/>
                <w:sz w:val="20"/>
                <w:szCs w:val="20"/>
                <w:lang w:val="en-US"/>
              </w:rPr>
              <w:t>Total</w:t>
            </w:r>
          </w:p>
        </w:tc>
      </w:tr>
      <w:tr w:rsidR="00CD2A5A">
        <w:trPr>
          <w:trHeight w:val="360"/>
          <w:jc w:val="center"/>
        </w:trPr>
        <w:tc>
          <w:tcPr>
            <w:tcW w:w="2314"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Ae. El salvador</w:t>
            </w:r>
          </w:p>
        </w:tc>
        <w:tc>
          <w:tcPr>
            <w:tcW w:w="51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w:t>
            </w:r>
          </w:p>
        </w:tc>
        <w:tc>
          <w:tcPr>
            <w:tcW w:w="48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8</w:t>
            </w:r>
          </w:p>
        </w:tc>
        <w:tc>
          <w:tcPr>
            <w:tcW w:w="589"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15</w:t>
            </w:r>
          </w:p>
        </w:tc>
        <w:tc>
          <w:tcPr>
            <w:tcW w:w="527"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12</w:t>
            </w:r>
          </w:p>
        </w:tc>
        <w:tc>
          <w:tcPr>
            <w:tcW w:w="589"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24</w:t>
            </w:r>
          </w:p>
        </w:tc>
        <w:tc>
          <w:tcPr>
            <w:tcW w:w="48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14</w:t>
            </w:r>
          </w:p>
        </w:tc>
        <w:tc>
          <w:tcPr>
            <w:tcW w:w="47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22</w:t>
            </w:r>
          </w:p>
        </w:tc>
        <w:tc>
          <w:tcPr>
            <w:tcW w:w="565"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14</w:t>
            </w:r>
          </w:p>
        </w:tc>
        <w:tc>
          <w:tcPr>
            <w:tcW w:w="46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16</w:t>
            </w:r>
          </w:p>
        </w:tc>
        <w:tc>
          <w:tcPr>
            <w:tcW w:w="54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38</w:t>
            </w: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13</w:t>
            </w:r>
          </w:p>
        </w:tc>
        <w:tc>
          <w:tcPr>
            <w:tcW w:w="46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20</w:t>
            </w:r>
          </w:p>
        </w:tc>
        <w:tc>
          <w:tcPr>
            <w:tcW w:w="844"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197</w:t>
            </w:r>
          </w:p>
        </w:tc>
      </w:tr>
      <w:tr w:rsidR="00CD2A5A">
        <w:trPr>
          <w:trHeight w:val="360"/>
          <w:jc w:val="center"/>
        </w:trPr>
        <w:tc>
          <w:tcPr>
            <w:tcW w:w="2314"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 </w:t>
            </w:r>
          </w:p>
        </w:tc>
        <w:tc>
          <w:tcPr>
            <w:tcW w:w="514"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488"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589"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527"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589"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488"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476"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565"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463"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540"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463" w:type="dxa"/>
            <w:noWrap/>
            <w:tcMar>
              <w:top w:w="17" w:type="dxa"/>
              <w:left w:w="17" w:type="dxa"/>
              <w:bottom w:w="0" w:type="dxa"/>
              <w:right w:w="17" w:type="dxa"/>
            </w:tcMar>
            <w:vAlign w:val="bottom"/>
          </w:tcPr>
          <w:p w:rsidR="00CD2A5A" w:rsidRDefault="00CD2A5A">
            <w:pPr>
              <w:spacing w:before="40" w:after="40"/>
              <w:jc w:val="center"/>
              <w:rPr>
                <w:sz w:val="20"/>
                <w:szCs w:val="20"/>
              </w:rPr>
            </w:pPr>
          </w:p>
        </w:tc>
        <w:tc>
          <w:tcPr>
            <w:tcW w:w="844" w:type="dxa"/>
            <w:noWrap/>
            <w:tcMar>
              <w:top w:w="17" w:type="dxa"/>
              <w:left w:w="17" w:type="dxa"/>
              <w:bottom w:w="0" w:type="dxa"/>
              <w:right w:w="17" w:type="dxa"/>
            </w:tcMar>
            <w:vAlign w:val="bottom"/>
          </w:tcPr>
          <w:p w:rsidR="00CD2A5A" w:rsidRDefault="00CD2A5A">
            <w:pPr>
              <w:spacing w:before="40" w:after="40"/>
              <w:jc w:val="center"/>
              <w:rPr>
                <w:b/>
                <w:bCs/>
                <w:sz w:val="20"/>
                <w:szCs w:val="20"/>
              </w:rPr>
            </w:pPr>
          </w:p>
        </w:tc>
      </w:tr>
      <w:tr w:rsidR="00CD2A5A">
        <w:trPr>
          <w:trHeight w:val="360"/>
          <w:jc w:val="center"/>
        </w:trPr>
        <w:tc>
          <w:tcPr>
            <w:tcW w:w="2314" w:type="dxa"/>
            <w:noWrap/>
            <w:tcMar>
              <w:top w:w="17" w:type="dxa"/>
              <w:left w:w="17" w:type="dxa"/>
              <w:bottom w:w="0" w:type="dxa"/>
              <w:right w:w="17" w:type="dxa"/>
            </w:tcMar>
            <w:vAlign w:val="bottom"/>
          </w:tcPr>
          <w:p w:rsidR="00CD2A5A" w:rsidRDefault="00CD2A5A">
            <w:pPr>
              <w:spacing w:before="40" w:after="40"/>
              <w:rPr>
                <w:b/>
                <w:bCs/>
                <w:sz w:val="20"/>
                <w:szCs w:val="20"/>
              </w:rPr>
            </w:pPr>
            <w:r>
              <w:rPr>
                <w:b/>
                <w:bCs/>
                <w:sz w:val="20"/>
                <w:szCs w:val="20"/>
              </w:rPr>
              <w:t>Total</w:t>
            </w:r>
          </w:p>
        </w:tc>
        <w:tc>
          <w:tcPr>
            <w:tcW w:w="514"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w:t>
            </w:r>
          </w:p>
        </w:tc>
        <w:tc>
          <w:tcPr>
            <w:tcW w:w="488"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8</w:t>
            </w:r>
          </w:p>
        </w:tc>
        <w:tc>
          <w:tcPr>
            <w:tcW w:w="589"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15</w:t>
            </w:r>
          </w:p>
        </w:tc>
        <w:tc>
          <w:tcPr>
            <w:tcW w:w="527"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12</w:t>
            </w:r>
          </w:p>
        </w:tc>
        <w:tc>
          <w:tcPr>
            <w:tcW w:w="589"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24</w:t>
            </w:r>
          </w:p>
        </w:tc>
        <w:tc>
          <w:tcPr>
            <w:tcW w:w="488"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14</w:t>
            </w:r>
          </w:p>
        </w:tc>
        <w:tc>
          <w:tcPr>
            <w:tcW w:w="476"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22</w:t>
            </w:r>
          </w:p>
        </w:tc>
        <w:tc>
          <w:tcPr>
            <w:tcW w:w="565"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14</w:t>
            </w:r>
          </w:p>
        </w:tc>
        <w:tc>
          <w:tcPr>
            <w:tcW w:w="463"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16</w:t>
            </w:r>
          </w:p>
        </w:tc>
        <w:tc>
          <w:tcPr>
            <w:tcW w:w="540"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38</w:t>
            </w:r>
          </w:p>
        </w:tc>
        <w:tc>
          <w:tcPr>
            <w:tcW w:w="552"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13</w:t>
            </w:r>
          </w:p>
        </w:tc>
        <w:tc>
          <w:tcPr>
            <w:tcW w:w="463"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20</w:t>
            </w:r>
          </w:p>
        </w:tc>
        <w:tc>
          <w:tcPr>
            <w:tcW w:w="844" w:type="dxa"/>
            <w:noWrap/>
            <w:tcMar>
              <w:top w:w="17" w:type="dxa"/>
              <w:left w:w="17" w:type="dxa"/>
              <w:bottom w:w="0" w:type="dxa"/>
              <w:right w:w="17" w:type="dxa"/>
            </w:tcMar>
            <w:vAlign w:val="bottom"/>
          </w:tcPr>
          <w:p w:rsidR="00CD2A5A" w:rsidRDefault="00CD2A5A">
            <w:pPr>
              <w:spacing w:before="40" w:after="40"/>
              <w:jc w:val="center"/>
              <w:rPr>
                <w:b/>
                <w:bCs/>
                <w:sz w:val="20"/>
                <w:szCs w:val="20"/>
              </w:rPr>
            </w:pPr>
            <w:r>
              <w:rPr>
                <w:b/>
                <w:bCs/>
                <w:sz w:val="20"/>
                <w:szCs w:val="20"/>
              </w:rPr>
              <w:t>197</w:t>
            </w:r>
          </w:p>
        </w:tc>
      </w:tr>
    </w:tbl>
    <w:p w:rsidR="00CD2A5A" w:rsidRDefault="00CD2A5A">
      <w:pPr>
        <w:spacing w:after="240"/>
        <w:rPr>
          <w:lang w:val="es-SV"/>
        </w:rPr>
      </w:pPr>
    </w:p>
    <w:p w:rsidR="00CD2A5A" w:rsidRDefault="00CD2A5A" w:rsidP="00CD2A5A">
      <w:pPr>
        <w:pStyle w:val="Figure"/>
      </w:pPr>
      <w:r>
        <w:t>Direccion general de migracion y extranjería</w:t>
      </w:r>
    </w:p>
    <w:p w:rsidR="00CD2A5A" w:rsidRDefault="00CD2A5A" w:rsidP="00CD2A5A">
      <w:pPr>
        <w:pStyle w:val="Figure"/>
      </w:pPr>
      <w:r>
        <w:t>Salvadoreños menores de edad deportados Periodo de enero a diciembre de 2005</w:t>
      </w:r>
    </w:p>
    <w:p w:rsidR="00CD2A5A" w:rsidRDefault="00CD2A5A">
      <w:pPr>
        <w:spacing w:after="240"/>
        <w:rPr>
          <w:lang w:val="es-SV"/>
        </w:rPr>
      </w:pPr>
    </w:p>
    <w:tbl>
      <w:tblPr>
        <w:tblpPr w:leftFromText="141" w:rightFromText="141" w:vertAnchor="text" w:horzAnchor="margin" w:tblpXSpec="center" w:tblpY="177"/>
        <w:tblW w:w="94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06"/>
        <w:gridCol w:w="516"/>
        <w:gridCol w:w="491"/>
        <w:gridCol w:w="552"/>
        <w:gridCol w:w="516"/>
        <w:gridCol w:w="541"/>
        <w:gridCol w:w="490"/>
        <w:gridCol w:w="454"/>
        <w:gridCol w:w="554"/>
        <w:gridCol w:w="503"/>
        <w:gridCol w:w="528"/>
        <w:gridCol w:w="541"/>
        <w:gridCol w:w="440"/>
        <w:gridCol w:w="780"/>
      </w:tblGrid>
      <w:tr w:rsidR="00CD2A5A">
        <w:trPr>
          <w:trHeight w:val="480"/>
        </w:trPr>
        <w:tc>
          <w:tcPr>
            <w:tcW w:w="2506" w:type="dxa"/>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Puesto migratorio</w:t>
            </w:r>
          </w:p>
        </w:tc>
        <w:tc>
          <w:tcPr>
            <w:tcW w:w="516" w:type="dxa"/>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Ene</w:t>
            </w:r>
          </w:p>
        </w:tc>
        <w:tc>
          <w:tcPr>
            <w:tcW w:w="491" w:type="dxa"/>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Feb</w:t>
            </w:r>
          </w:p>
        </w:tc>
        <w:tc>
          <w:tcPr>
            <w:tcW w:w="552" w:type="dxa"/>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Mar</w:t>
            </w:r>
          </w:p>
        </w:tc>
        <w:tc>
          <w:tcPr>
            <w:tcW w:w="516" w:type="dxa"/>
            <w:noWrap/>
            <w:tcMar>
              <w:top w:w="17" w:type="dxa"/>
              <w:left w:w="17" w:type="dxa"/>
              <w:bottom w:w="0" w:type="dxa"/>
              <w:right w:w="17" w:type="dxa"/>
            </w:tcMar>
            <w:vAlign w:val="center"/>
          </w:tcPr>
          <w:p w:rsidR="00CD2A5A" w:rsidRDefault="00CD2A5A">
            <w:pPr>
              <w:spacing w:before="40" w:after="40"/>
              <w:jc w:val="center"/>
              <w:rPr>
                <w:b/>
                <w:i/>
                <w:sz w:val="20"/>
                <w:szCs w:val="20"/>
              </w:rPr>
            </w:pPr>
            <w:r>
              <w:rPr>
                <w:b/>
                <w:i/>
                <w:sz w:val="20"/>
                <w:szCs w:val="20"/>
              </w:rPr>
              <w:t>Abr</w:t>
            </w:r>
          </w:p>
        </w:tc>
        <w:tc>
          <w:tcPr>
            <w:tcW w:w="541"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May</w:t>
            </w:r>
          </w:p>
        </w:tc>
        <w:tc>
          <w:tcPr>
            <w:tcW w:w="490"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Jun</w:t>
            </w:r>
          </w:p>
        </w:tc>
        <w:tc>
          <w:tcPr>
            <w:tcW w:w="454"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Jul</w:t>
            </w:r>
          </w:p>
        </w:tc>
        <w:tc>
          <w:tcPr>
            <w:tcW w:w="554"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Ago</w:t>
            </w:r>
          </w:p>
        </w:tc>
        <w:tc>
          <w:tcPr>
            <w:tcW w:w="503"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Sep</w:t>
            </w:r>
          </w:p>
        </w:tc>
        <w:tc>
          <w:tcPr>
            <w:tcW w:w="528"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Oct</w:t>
            </w:r>
          </w:p>
        </w:tc>
        <w:tc>
          <w:tcPr>
            <w:tcW w:w="541"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Nov</w:t>
            </w:r>
          </w:p>
        </w:tc>
        <w:tc>
          <w:tcPr>
            <w:tcW w:w="440"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Dic</w:t>
            </w:r>
          </w:p>
        </w:tc>
        <w:tc>
          <w:tcPr>
            <w:tcW w:w="780" w:type="dxa"/>
            <w:noWrap/>
            <w:tcMar>
              <w:top w:w="17" w:type="dxa"/>
              <w:left w:w="17" w:type="dxa"/>
              <w:bottom w:w="0" w:type="dxa"/>
              <w:right w:w="17" w:type="dxa"/>
            </w:tcMar>
            <w:vAlign w:val="center"/>
          </w:tcPr>
          <w:p w:rsidR="00CD2A5A" w:rsidRDefault="00CD2A5A">
            <w:pPr>
              <w:spacing w:before="40" w:after="40"/>
              <w:jc w:val="center"/>
              <w:rPr>
                <w:b/>
                <w:i/>
                <w:sz w:val="20"/>
                <w:szCs w:val="20"/>
                <w:lang w:val="pt-BR"/>
              </w:rPr>
            </w:pPr>
            <w:r>
              <w:rPr>
                <w:b/>
                <w:i/>
                <w:sz w:val="20"/>
                <w:szCs w:val="20"/>
                <w:lang w:val="pt-BR"/>
              </w:rPr>
              <w:t>Total</w:t>
            </w:r>
          </w:p>
        </w:tc>
      </w:tr>
      <w:tr w:rsidR="00CD2A5A">
        <w:trPr>
          <w:trHeight w:val="360"/>
        </w:trPr>
        <w:tc>
          <w:tcPr>
            <w:tcW w:w="2506"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La hachadura</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86</w:t>
            </w:r>
          </w:p>
        </w:tc>
        <w:tc>
          <w:tcPr>
            <w:tcW w:w="49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116</w:t>
            </w: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355</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212</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179</w:t>
            </w:r>
          </w:p>
        </w:tc>
        <w:tc>
          <w:tcPr>
            <w:tcW w:w="49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207</w:t>
            </w:r>
          </w:p>
        </w:tc>
        <w:tc>
          <w:tcPr>
            <w:tcW w:w="4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191</w:t>
            </w:r>
          </w:p>
        </w:tc>
        <w:tc>
          <w:tcPr>
            <w:tcW w:w="5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161</w:t>
            </w:r>
          </w:p>
        </w:tc>
        <w:tc>
          <w:tcPr>
            <w:tcW w:w="50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229</w:t>
            </w:r>
          </w:p>
        </w:tc>
        <w:tc>
          <w:tcPr>
            <w:tcW w:w="52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38</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13</w:t>
            </w:r>
          </w:p>
        </w:tc>
        <w:tc>
          <w:tcPr>
            <w:tcW w:w="44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88</w:t>
            </w:r>
          </w:p>
        </w:tc>
        <w:tc>
          <w:tcPr>
            <w:tcW w:w="78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1.875</w:t>
            </w:r>
          </w:p>
        </w:tc>
      </w:tr>
      <w:tr w:rsidR="00CD2A5A">
        <w:trPr>
          <w:trHeight w:val="360"/>
        </w:trPr>
        <w:tc>
          <w:tcPr>
            <w:tcW w:w="2506"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Las chinamas</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9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5</w:t>
            </w:r>
          </w:p>
        </w:tc>
        <w:tc>
          <w:tcPr>
            <w:tcW w:w="49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w:t>
            </w:r>
          </w:p>
        </w:tc>
        <w:tc>
          <w:tcPr>
            <w:tcW w:w="4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7</w:t>
            </w:r>
          </w:p>
        </w:tc>
        <w:tc>
          <w:tcPr>
            <w:tcW w:w="5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0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2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w:t>
            </w:r>
          </w:p>
        </w:tc>
        <w:tc>
          <w:tcPr>
            <w:tcW w:w="44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78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15</w:t>
            </w:r>
          </w:p>
        </w:tc>
      </w:tr>
      <w:tr w:rsidR="00CD2A5A">
        <w:trPr>
          <w:trHeight w:val="360"/>
        </w:trPr>
        <w:tc>
          <w:tcPr>
            <w:tcW w:w="2506"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San cristobal</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9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6</w:t>
            </w: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9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0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2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4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78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6</w:t>
            </w:r>
          </w:p>
        </w:tc>
      </w:tr>
      <w:tr w:rsidR="00CD2A5A">
        <w:trPr>
          <w:trHeight w:val="360"/>
        </w:trPr>
        <w:tc>
          <w:tcPr>
            <w:tcW w:w="2506"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Anguiatu</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9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9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0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52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44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0</w:t>
            </w:r>
          </w:p>
        </w:tc>
        <w:tc>
          <w:tcPr>
            <w:tcW w:w="78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w:t>
            </w:r>
          </w:p>
        </w:tc>
      </w:tr>
      <w:tr w:rsidR="00CD2A5A">
        <w:trPr>
          <w:trHeight w:val="360"/>
        </w:trPr>
        <w:tc>
          <w:tcPr>
            <w:tcW w:w="2506" w:type="dxa"/>
            <w:noWrap/>
            <w:tcMar>
              <w:top w:w="17" w:type="dxa"/>
              <w:left w:w="17" w:type="dxa"/>
              <w:bottom w:w="0" w:type="dxa"/>
              <w:right w:w="17" w:type="dxa"/>
            </w:tcMar>
            <w:vAlign w:val="bottom"/>
          </w:tcPr>
          <w:p w:rsidR="00CD2A5A" w:rsidRDefault="00CD2A5A">
            <w:pPr>
              <w:spacing w:before="40" w:after="40"/>
              <w:rPr>
                <w:sz w:val="20"/>
                <w:szCs w:val="20"/>
              </w:rPr>
            </w:pPr>
            <w:r>
              <w:rPr>
                <w:sz w:val="20"/>
                <w:szCs w:val="20"/>
              </w:rPr>
              <w:t>Ae. El salvador</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12</w:t>
            </w:r>
          </w:p>
        </w:tc>
        <w:tc>
          <w:tcPr>
            <w:tcW w:w="49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11</w:t>
            </w:r>
          </w:p>
        </w:tc>
        <w:tc>
          <w:tcPr>
            <w:tcW w:w="552"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14</w:t>
            </w:r>
          </w:p>
        </w:tc>
        <w:tc>
          <w:tcPr>
            <w:tcW w:w="516"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12</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20</w:t>
            </w:r>
          </w:p>
        </w:tc>
        <w:tc>
          <w:tcPr>
            <w:tcW w:w="49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25</w:t>
            </w:r>
          </w:p>
        </w:tc>
        <w:tc>
          <w:tcPr>
            <w:tcW w:w="4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33</w:t>
            </w:r>
          </w:p>
        </w:tc>
        <w:tc>
          <w:tcPr>
            <w:tcW w:w="554"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17</w:t>
            </w:r>
          </w:p>
        </w:tc>
        <w:tc>
          <w:tcPr>
            <w:tcW w:w="503"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28</w:t>
            </w:r>
          </w:p>
        </w:tc>
        <w:tc>
          <w:tcPr>
            <w:tcW w:w="528"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40</w:t>
            </w:r>
          </w:p>
        </w:tc>
        <w:tc>
          <w:tcPr>
            <w:tcW w:w="541"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30</w:t>
            </w:r>
          </w:p>
        </w:tc>
        <w:tc>
          <w:tcPr>
            <w:tcW w:w="44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30</w:t>
            </w:r>
          </w:p>
        </w:tc>
        <w:tc>
          <w:tcPr>
            <w:tcW w:w="780" w:type="dxa"/>
            <w:noWrap/>
            <w:tcMar>
              <w:top w:w="17" w:type="dxa"/>
              <w:left w:w="17" w:type="dxa"/>
              <w:bottom w:w="0" w:type="dxa"/>
              <w:right w:w="17" w:type="dxa"/>
            </w:tcMar>
            <w:vAlign w:val="bottom"/>
          </w:tcPr>
          <w:p w:rsidR="00CD2A5A" w:rsidRDefault="00CD2A5A">
            <w:pPr>
              <w:spacing w:before="40" w:after="40"/>
              <w:jc w:val="center"/>
              <w:rPr>
                <w:sz w:val="20"/>
                <w:szCs w:val="20"/>
              </w:rPr>
            </w:pPr>
            <w:r>
              <w:rPr>
                <w:sz w:val="20"/>
                <w:szCs w:val="20"/>
              </w:rPr>
              <w:t>272</w:t>
            </w:r>
          </w:p>
        </w:tc>
      </w:tr>
      <w:tr w:rsidR="00CD2A5A">
        <w:trPr>
          <w:trHeight w:val="360"/>
        </w:trPr>
        <w:tc>
          <w:tcPr>
            <w:tcW w:w="2506" w:type="dxa"/>
            <w:noWrap/>
            <w:tcMar>
              <w:top w:w="17" w:type="dxa"/>
              <w:left w:w="17" w:type="dxa"/>
              <w:bottom w:w="0" w:type="dxa"/>
              <w:right w:w="17" w:type="dxa"/>
            </w:tcMar>
            <w:vAlign w:val="bottom"/>
          </w:tcPr>
          <w:p w:rsidR="00CD2A5A" w:rsidRDefault="00CD2A5A">
            <w:pPr>
              <w:spacing w:before="40" w:after="40"/>
              <w:rPr>
                <w:b/>
                <w:sz w:val="20"/>
                <w:szCs w:val="20"/>
              </w:rPr>
            </w:pPr>
            <w:r>
              <w:rPr>
                <w:b/>
                <w:sz w:val="20"/>
                <w:szCs w:val="20"/>
              </w:rPr>
              <w:t>Total</w:t>
            </w:r>
          </w:p>
        </w:tc>
        <w:tc>
          <w:tcPr>
            <w:tcW w:w="516"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98</w:t>
            </w:r>
          </w:p>
        </w:tc>
        <w:tc>
          <w:tcPr>
            <w:tcW w:w="491"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133</w:t>
            </w:r>
          </w:p>
        </w:tc>
        <w:tc>
          <w:tcPr>
            <w:tcW w:w="552"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369</w:t>
            </w:r>
          </w:p>
        </w:tc>
        <w:tc>
          <w:tcPr>
            <w:tcW w:w="516"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224</w:t>
            </w:r>
          </w:p>
        </w:tc>
        <w:tc>
          <w:tcPr>
            <w:tcW w:w="541"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204</w:t>
            </w:r>
          </w:p>
        </w:tc>
        <w:tc>
          <w:tcPr>
            <w:tcW w:w="490"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234</w:t>
            </w:r>
          </w:p>
        </w:tc>
        <w:tc>
          <w:tcPr>
            <w:tcW w:w="454"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231</w:t>
            </w:r>
          </w:p>
        </w:tc>
        <w:tc>
          <w:tcPr>
            <w:tcW w:w="554"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178</w:t>
            </w:r>
          </w:p>
        </w:tc>
        <w:tc>
          <w:tcPr>
            <w:tcW w:w="503"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257</w:t>
            </w:r>
          </w:p>
        </w:tc>
        <w:tc>
          <w:tcPr>
            <w:tcW w:w="528"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79</w:t>
            </w:r>
          </w:p>
        </w:tc>
        <w:tc>
          <w:tcPr>
            <w:tcW w:w="541"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44</w:t>
            </w:r>
          </w:p>
        </w:tc>
        <w:tc>
          <w:tcPr>
            <w:tcW w:w="440"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118</w:t>
            </w:r>
          </w:p>
        </w:tc>
        <w:tc>
          <w:tcPr>
            <w:tcW w:w="780" w:type="dxa"/>
            <w:noWrap/>
            <w:tcMar>
              <w:top w:w="17" w:type="dxa"/>
              <w:left w:w="17" w:type="dxa"/>
              <w:bottom w:w="0" w:type="dxa"/>
              <w:right w:w="17" w:type="dxa"/>
            </w:tcMar>
            <w:vAlign w:val="bottom"/>
          </w:tcPr>
          <w:p w:rsidR="00CD2A5A" w:rsidRDefault="00CD2A5A">
            <w:pPr>
              <w:spacing w:before="40" w:after="40"/>
              <w:jc w:val="center"/>
              <w:rPr>
                <w:b/>
                <w:sz w:val="20"/>
                <w:szCs w:val="20"/>
              </w:rPr>
            </w:pPr>
            <w:r>
              <w:rPr>
                <w:b/>
                <w:sz w:val="20"/>
                <w:szCs w:val="20"/>
              </w:rPr>
              <w:t>2.169</w:t>
            </w:r>
          </w:p>
        </w:tc>
      </w:tr>
    </w:tbl>
    <w:p w:rsidR="00CD2A5A" w:rsidRDefault="00CD2A5A">
      <w:pPr>
        <w:spacing w:after="240"/>
        <w:rPr>
          <w:lang w:val="es-SV"/>
        </w:rPr>
      </w:pPr>
    </w:p>
    <w:p w:rsidR="00CD2A5A" w:rsidRDefault="00CD2A5A">
      <w:pPr>
        <w:spacing w:after="240"/>
        <w:rPr>
          <w:lang w:val="es-SV"/>
        </w:rPr>
      </w:pPr>
      <w:r>
        <w:rPr>
          <w:lang w:val="es-SV"/>
        </w:rPr>
        <w:t xml:space="preserve"> </w:t>
      </w:r>
    </w:p>
    <w:p w:rsidR="00CD2A5A" w:rsidRDefault="00CD2A5A">
      <w:pPr>
        <w:spacing w:after="240"/>
        <w:jc w:val="center"/>
        <w:rPr>
          <w:b/>
        </w:rPr>
      </w:pPr>
      <w:r>
        <w:rPr>
          <w:b/>
        </w:rPr>
        <w:br w:type="page"/>
        <w:t>ANEXO XX</w:t>
      </w:r>
    </w:p>
    <w:p w:rsidR="00CD2A5A" w:rsidRDefault="00CD2A5A">
      <w:pPr>
        <w:spacing w:after="240"/>
        <w:jc w:val="center"/>
        <w:rPr>
          <w:b/>
        </w:rPr>
      </w:pPr>
      <w:r>
        <w:rPr>
          <w:b/>
        </w:rPr>
        <w:t>ATENCIÓN A VÍCTIMAS DE TRATA</w:t>
      </w:r>
    </w:p>
    <w:p w:rsidR="00CD2A5A" w:rsidRDefault="00CD2A5A">
      <w:pPr>
        <w:spacing w:after="240"/>
        <w:jc w:val="center"/>
        <w:rPr>
          <w:b/>
        </w:rPr>
      </w:pPr>
      <w:r>
        <w:rPr>
          <w:b/>
        </w:rPr>
        <w:t>Hogar Huellas de Esperanza, Fundación Huellas</w:t>
      </w:r>
    </w:p>
    <w:p w:rsidR="00CD2A5A" w:rsidRDefault="00CD2A5A">
      <w:pPr>
        <w:keepNext/>
        <w:spacing w:after="240"/>
        <w:ind w:left="567"/>
      </w:pPr>
      <w:r>
        <w:t>Fecha de apertura del hogar: 1 de mayo 2006</w:t>
      </w:r>
    </w:p>
    <w:p w:rsidR="00CD2A5A" w:rsidRDefault="00CD2A5A">
      <w:pPr>
        <w:keepNext/>
        <w:spacing w:after="240"/>
        <w:ind w:left="567"/>
        <w:rPr>
          <w:lang w:val="pt-BR"/>
        </w:rPr>
      </w:pPr>
      <w:r>
        <w:rPr>
          <w:lang w:val="pt-BR"/>
        </w:rPr>
        <w:t xml:space="preserve">Total de víctimas atendidas: 99 </w:t>
      </w:r>
    </w:p>
    <w:p w:rsidR="00CD2A5A" w:rsidRDefault="00CD2A5A">
      <w:pPr>
        <w:keepNext/>
        <w:spacing w:after="240"/>
        <w:ind w:left="567"/>
        <w:rPr>
          <w:lang w:val="pt-BR"/>
        </w:rPr>
      </w:pPr>
      <w:r>
        <w:rPr>
          <w:lang w:val="pt-BR"/>
        </w:rPr>
        <w:t>Sexo masculino: 6</w:t>
      </w:r>
    </w:p>
    <w:p w:rsidR="00CD2A5A" w:rsidRDefault="00CD2A5A">
      <w:pPr>
        <w:keepNext/>
        <w:spacing w:after="240"/>
        <w:ind w:left="567"/>
        <w:rPr>
          <w:lang w:val="pt-BR"/>
        </w:rPr>
      </w:pPr>
      <w:r>
        <w:rPr>
          <w:lang w:val="pt-BR"/>
        </w:rPr>
        <w:t>Sexo femenino: 93</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1"/>
        <w:gridCol w:w="4471"/>
      </w:tblGrid>
      <w:tr w:rsidR="00CD2A5A">
        <w:trPr>
          <w:jc w:val="center"/>
        </w:trPr>
        <w:tc>
          <w:tcPr>
            <w:tcW w:w="2520" w:type="dxa"/>
            <w:vAlign w:val="center"/>
          </w:tcPr>
          <w:p w:rsidR="00CD2A5A" w:rsidRDefault="00CD2A5A">
            <w:pPr>
              <w:spacing w:before="40" w:after="40"/>
              <w:jc w:val="center"/>
              <w:rPr>
                <w:b/>
                <w:i/>
                <w:sz w:val="20"/>
                <w:szCs w:val="20"/>
              </w:rPr>
            </w:pPr>
            <w:r>
              <w:rPr>
                <w:b/>
                <w:i/>
                <w:sz w:val="20"/>
                <w:szCs w:val="20"/>
              </w:rPr>
              <w:t>Grupos de edad</w:t>
            </w:r>
          </w:p>
        </w:tc>
        <w:tc>
          <w:tcPr>
            <w:tcW w:w="2280" w:type="dxa"/>
            <w:vAlign w:val="center"/>
          </w:tcPr>
          <w:p w:rsidR="00CD2A5A" w:rsidRDefault="00CD2A5A">
            <w:pPr>
              <w:spacing w:before="40" w:after="40"/>
              <w:jc w:val="center"/>
              <w:rPr>
                <w:b/>
                <w:i/>
                <w:sz w:val="20"/>
                <w:szCs w:val="20"/>
              </w:rPr>
            </w:pPr>
            <w:r>
              <w:rPr>
                <w:b/>
                <w:i/>
                <w:sz w:val="20"/>
                <w:szCs w:val="20"/>
              </w:rPr>
              <w:t>Número de víctimas</w:t>
            </w:r>
          </w:p>
        </w:tc>
      </w:tr>
      <w:tr w:rsidR="00CD2A5A">
        <w:trPr>
          <w:jc w:val="center"/>
        </w:trPr>
        <w:tc>
          <w:tcPr>
            <w:tcW w:w="2520" w:type="dxa"/>
          </w:tcPr>
          <w:p w:rsidR="00CD2A5A" w:rsidRDefault="00CD2A5A">
            <w:pPr>
              <w:spacing w:before="40" w:after="40"/>
              <w:rPr>
                <w:sz w:val="20"/>
                <w:szCs w:val="20"/>
              </w:rPr>
            </w:pPr>
            <w:r>
              <w:rPr>
                <w:sz w:val="20"/>
                <w:szCs w:val="20"/>
              </w:rPr>
              <w:t>De 0 a 3 años</w:t>
            </w:r>
          </w:p>
        </w:tc>
        <w:tc>
          <w:tcPr>
            <w:tcW w:w="2280" w:type="dxa"/>
          </w:tcPr>
          <w:p w:rsidR="00CD2A5A" w:rsidRDefault="00CD2A5A">
            <w:pPr>
              <w:tabs>
                <w:tab w:val="decimal" w:pos="1178"/>
              </w:tabs>
              <w:spacing w:before="40" w:after="40"/>
              <w:ind w:right="2074"/>
              <w:jc w:val="right"/>
              <w:rPr>
                <w:sz w:val="20"/>
                <w:szCs w:val="20"/>
              </w:rPr>
            </w:pPr>
            <w:r>
              <w:rPr>
                <w:sz w:val="20"/>
                <w:szCs w:val="20"/>
              </w:rPr>
              <w:t>9</w:t>
            </w:r>
          </w:p>
        </w:tc>
      </w:tr>
      <w:tr w:rsidR="00CD2A5A">
        <w:trPr>
          <w:jc w:val="center"/>
        </w:trPr>
        <w:tc>
          <w:tcPr>
            <w:tcW w:w="2520" w:type="dxa"/>
          </w:tcPr>
          <w:p w:rsidR="00CD2A5A" w:rsidRDefault="00CD2A5A">
            <w:pPr>
              <w:spacing w:before="40" w:after="40"/>
              <w:rPr>
                <w:sz w:val="20"/>
                <w:szCs w:val="20"/>
              </w:rPr>
            </w:pPr>
            <w:r>
              <w:rPr>
                <w:sz w:val="20"/>
                <w:szCs w:val="20"/>
              </w:rPr>
              <w:t>De 3 a 6 años</w:t>
            </w:r>
          </w:p>
        </w:tc>
        <w:tc>
          <w:tcPr>
            <w:tcW w:w="2280" w:type="dxa"/>
          </w:tcPr>
          <w:p w:rsidR="00CD2A5A" w:rsidRDefault="00CD2A5A">
            <w:pPr>
              <w:tabs>
                <w:tab w:val="decimal" w:pos="1178"/>
              </w:tabs>
              <w:spacing w:before="40" w:after="40"/>
              <w:ind w:right="2074"/>
              <w:jc w:val="right"/>
              <w:rPr>
                <w:sz w:val="20"/>
                <w:szCs w:val="20"/>
              </w:rPr>
            </w:pPr>
            <w:r>
              <w:rPr>
                <w:sz w:val="20"/>
                <w:szCs w:val="20"/>
              </w:rPr>
              <w:t>4</w:t>
            </w:r>
          </w:p>
        </w:tc>
      </w:tr>
      <w:tr w:rsidR="00CD2A5A">
        <w:trPr>
          <w:jc w:val="center"/>
        </w:trPr>
        <w:tc>
          <w:tcPr>
            <w:tcW w:w="2520" w:type="dxa"/>
          </w:tcPr>
          <w:p w:rsidR="00CD2A5A" w:rsidRDefault="00CD2A5A">
            <w:pPr>
              <w:spacing w:before="40" w:after="40"/>
              <w:rPr>
                <w:sz w:val="20"/>
                <w:szCs w:val="20"/>
              </w:rPr>
            </w:pPr>
            <w:r>
              <w:rPr>
                <w:sz w:val="20"/>
                <w:szCs w:val="20"/>
              </w:rPr>
              <w:t>De 6 a 9 años</w:t>
            </w:r>
          </w:p>
        </w:tc>
        <w:tc>
          <w:tcPr>
            <w:tcW w:w="2280" w:type="dxa"/>
          </w:tcPr>
          <w:p w:rsidR="00CD2A5A" w:rsidRDefault="00CD2A5A">
            <w:pPr>
              <w:tabs>
                <w:tab w:val="decimal" w:pos="1178"/>
              </w:tabs>
              <w:spacing w:before="40" w:after="40"/>
              <w:ind w:right="2074"/>
              <w:jc w:val="right"/>
              <w:rPr>
                <w:sz w:val="20"/>
                <w:szCs w:val="20"/>
              </w:rPr>
            </w:pPr>
            <w:r>
              <w:rPr>
                <w:sz w:val="20"/>
                <w:szCs w:val="20"/>
              </w:rPr>
              <w:t>3</w:t>
            </w:r>
          </w:p>
        </w:tc>
      </w:tr>
      <w:tr w:rsidR="00CD2A5A">
        <w:trPr>
          <w:jc w:val="center"/>
        </w:trPr>
        <w:tc>
          <w:tcPr>
            <w:tcW w:w="2520" w:type="dxa"/>
          </w:tcPr>
          <w:p w:rsidR="00CD2A5A" w:rsidRDefault="00CD2A5A">
            <w:pPr>
              <w:spacing w:before="40" w:after="40"/>
              <w:rPr>
                <w:sz w:val="20"/>
                <w:szCs w:val="20"/>
              </w:rPr>
            </w:pPr>
            <w:r>
              <w:rPr>
                <w:sz w:val="20"/>
                <w:szCs w:val="20"/>
              </w:rPr>
              <w:t>De 9 a 12 años</w:t>
            </w:r>
          </w:p>
        </w:tc>
        <w:tc>
          <w:tcPr>
            <w:tcW w:w="2280" w:type="dxa"/>
          </w:tcPr>
          <w:p w:rsidR="00CD2A5A" w:rsidRDefault="00CD2A5A">
            <w:pPr>
              <w:tabs>
                <w:tab w:val="decimal" w:pos="1178"/>
              </w:tabs>
              <w:spacing w:before="40" w:after="40"/>
              <w:ind w:right="2074"/>
              <w:jc w:val="right"/>
              <w:rPr>
                <w:sz w:val="20"/>
                <w:szCs w:val="20"/>
              </w:rPr>
            </w:pPr>
            <w:r>
              <w:rPr>
                <w:sz w:val="20"/>
                <w:szCs w:val="20"/>
              </w:rPr>
              <w:t>6</w:t>
            </w:r>
          </w:p>
        </w:tc>
      </w:tr>
      <w:tr w:rsidR="00CD2A5A">
        <w:trPr>
          <w:jc w:val="center"/>
        </w:trPr>
        <w:tc>
          <w:tcPr>
            <w:tcW w:w="2520" w:type="dxa"/>
          </w:tcPr>
          <w:p w:rsidR="00CD2A5A" w:rsidRDefault="00CD2A5A">
            <w:pPr>
              <w:spacing w:before="40" w:after="40"/>
              <w:rPr>
                <w:sz w:val="20"/>
                <w:szCs w:val="20"/>
              </w:rPr>
            </w:pPr>
            <w:r>
              <w:rPr>
                <w:sz w:val="20"/>
                <w:szCs w:val="20"/>
              </w:rPr>
              <w:t>De 12 a 15 años</w:t>
            </w:r>
          </w:p>
        </w:tc>
        <w:tc>
          <w:tcPr>
            <w:tcW w:w="2280" w:type="dxa"/>
          </w:tcPr>
          <w:p w:rsidR="00CD2A5A" w:rsidRDefault="00CD2A5A">
            <w:pPr>
              <w:tabs>
                <w:tab w:val="decimal" w:pos="1178"/>
              </w:tabs>
              <w:spacing w:before="40" w:after="40"/>
              <w:ind w:right="2074"/>
              <w:jc w:val="right"/>
              <w:rPr>
                <w:sz w:val="20"/>
                <w:szCs w:val="20"/>
              </w:rPr>
            </w:pPr>
            <w:r>
              <w:rPr>
                <w:sz w:val="20"/>
                <w:szCs w:val="20"/>
              </w:rPr>
              <w:t>25</w:t>
            </w:r>
          </w:p>
        </w:tc>
      </w:tr>
      <w:tr w:rsidR="00CD2A5A">
        <w:trPr>
          <w:jc w:val="center"/>
        </w:trPr>
        <w:tc>
          <w:tcPr>
            <w:tcW w:w="2520" w:type="dxa"/>
          </w:tcPr>
          <w:p w:rsidR="00CD2A5A" w:rsidRDefault="00CD2A5A">
            <w:pPr>
              <w:spacing w:before="40" w:after="40"/>
              <w:rPr>
                <w:sz w:val="20"/>
                <w:szCs w:val="20"/>
              </w:rPr>
            </w:pPr>
            <w:r>
              <w:rPr>
                <w:sz w:val="20"/>
                <w:szCs w:val="20"/>
              </w:rPr>
              <w:t>De 15 a 18 años</w:t>
            </w:r>
          </w:p>
        </w:tc>
        <w:tc>
          <w:tcPr>
            <w:tcW w:w="2280" w:type="dxa"/>
          </w:tcPr>
          <w:p w:rsidR="00CD2A5A" w:rsidRDefault="00CD2A5A">
            <w:pPr>
              <w:tabs>
                <w:tab w:val="decimal" w:pos="1178"/>
              </w:tabs>
              <w:spacing w:before="40" w:after="40"/>
              <w:ind w:right="2074"/>
              <w:jc w:val="right"/>
              <w:rPr>
                <w:sz w:val="20"/>
                <w:szCs w:val="20"/>
              </w:rPr>
            </w:pPr>
            <w:r>
              <w:rPr>
                <w:sz w:val="20"/>
                <w:szCs w:val="20"/>
              </w:rPr>
              <w:t>42</w:t>
            </w:r>
          </w:p>
        </w:tc>
      </w:tr>
      <w:tr w:rsidR="00CD2A5A">
        <w:trPr>
          <w:jc w:val="center"/>
        </w:trPr>
        <w:tc>
          <w:tcPr>
            <w:tcW w:w="2520" w:type="dxa"/>
          </w:tcPr>
          <w:p w:rsidR="00CD2A5A" w:rsidRDefault="00CD2A5A">
            <w:pPr>
              <w:spacing w:before="40" w:after="40"/>
              <w:rPr>
                <w:sz w:val="20"/>
                <w:szCs w:val="20"/>
              </w:rPr>
            </w:pPr>
            <w:r>
              <w:rPr>
                <w:sz w:val="20"/>
                <w:szCs w:val="20"/>
              </w:rPr>
              <w:t>De 18 a 21 años</w:t>
            </w:r>
          </w:p>
        </w:tc>
        <w:tc>
          <w:tcPr>
            <w:tcW w:w="2280" w:type="dxa"/>
          </w:tcPr>
          <w:p w:rsidR="00CD2A5A" w:rsidRDefault="00CD2A5A">
            <w:pPr>
              <w:tabs>
                <w:tab w:val="decimal" w:pos="1178"/>
              </w:tabs>
              <w:spacing w:before="40" w:after="40"/>
              <w:ind w:right="2074"/>
              <w:jc w:val="right"/>
              <w:rPr>
                <w:sz w:val="20"/>
                <w:szCs w:val="20"/>
              </w:rPr>
            </w:pPr>
            <w:r>
              <w:rPr>
                <w:sz w:val="20"/>
                <w:szCs w:val="20"/>
              </w:rPr>
              <w:t>5</w:t>
            </w:r>
          </w:p>
        </w:tc>
      </w:tr>
      <w:tr w:rsidR="00CD2A5A">
        <w:trPr>
          <w:jc w:val="center"/>
        </w:trPr>
        <w:tc>
          <w:tcPr>
            <w:tcW w:w="2520" w:type="dxa"/>
          </w:tcPr>
          <w:p w:rsidR="00CD2A5A" w:rsidRDefault="00CD2A5A">
            <w:pPr>
              <w:spacing w:before="40" w:after="40"/>
              <w:rPr>
                <w:sz w:val="20"/>
                <w:szCs w:val="20"/>
              </w:rPr>
            </w:pPr>
            <w:r>
              <w:rPr>
                <w:sz w:val="20"/>
                <w:szCs w:val="20"/>
              </w:rPr>
              <w:t>De 21 a 24 años</w:t>
            </w:r>
          </w:p>
        </w:tc>
        <w:tc>
          <w:tcPr>
            <w:tcW w:w="2280" w:type="dxa"/>
          </w:tcPr>
          <w:p w:rsidR="00CD2A5A" w:rsidRDefault="00CD2A5A">
            <w:pPr>
              <w:tabs>
                <w:tab w:val="decimal" w:pos="1178"/>
              </w:tabs>
              <w:spacing w:before="40" w:after="40"/>
              <w:ind w:right="2074"/>
              <w:jc w:val="right"/>
              <w:rPr>
                <w:sz w:val="20"/>
                <w:szCs w:val="20"/>
              </w:rPr>
            </w:pPr>
            <w:r>
              <w:rPr>
                <w:sz w:val="20"/>
                <w:szCs w:val="20"/>
              </w:rPr>
              <w:t>3</w:t>
            </w:r>
          </w:p>
        </w:tc>
      </w:tr>
      <w:tr w:rsidR="00CD2A5A">
        <w:trPr>
          <w:jc w:val="center"/>
        </w:trPr>
        <w:tc>
          <w:tcPr>
            <w:tcW w:w="2520" w:type="dxa"/>
          </w:tcPr>
          <w:p w:rsidR="00CD2A5A" w:rsidRDefault="00CD2A5A">
            <w:pPr>
              <w:spacing w:before="40" w:after="40"/>
              <w:rPr>
                <w:sz w:val="20"/>
                <w:szCs w:val="20"/>
              </w:rPr>
            </w:pPr>
            <w:r>
              <w:rPr>
                <w:sz w:val="20"/>
                <w:szCs w:val="20"/>
              </w:rPr>
              <w:t>De 24 a 27 años</w:t>
            </w:r>
          </w:p>
        </w:tc>
        <w:tc>
          <w:tcPr>
            <w:tcW w:w="2280" w:type="dxa"/>
          </w:tcPr>
          <w:p w:rsidR="00CD2A5A" w:rsidRDefault="00CD2A5A">
            <w:pPr>
              <w:tabs>
                <w:tab w:val="decimal" w:pos="1178"/>
              </w:tabs>
              <w:spacing w:before="40" w:after="40"/>
              <w:ind w:right="2074"/>
              <w:jc w:val="right"/>
              <w:rPr>
                <w:sz w:val="20"/>
                <w:szCs w:val="20"/>
              </w:rPr>
            </w:pPr>
            <w:r>
              <w:rPr>
                <w:sz w:val="20"/>
                <w:szCs w:val="20"/>
              </w:rPr>
              <w:t>2</w:t>
            </w:r>
          </w:p>
        </w:tc>
      </w:tr>
      <w:tr w:rsidR="00CD2A5A">
        <w:trPr>
          <w:jc w:val="center"/>
        </w:trPr>
        <w:tc>
          <w:tcPr>
            <w:tcW w:w="2520" w:type="dxa"/>
          </w:tcPr>
          <w:p w:rsidR="00CD2A5A" w:rsidRDefault="00CD2A5A">
            <w:pPr>
              <w:spacing w:before="40" w:after="40"/>
              <w:rPr>
                <w:sz w:val="20"/>
                <w:szCs w:val="20"/>
              </w:rPr>
            </w:pPr>
            <w:r>
              <w:rPr>
                <w:sz w:val="20"/>
                <w:szCs w:val="20"/>
              </w:rPr>
              <w:t>De 27 a 30 años</w:t>
            </w:r>
          </w:p>
        </w:tc>
        <w:tc>
          <w:tcPr>
            <w:tcW w:w="2280" w:type="dxa"/>
          </w:tcPr>
          <w:p w:rsidR="00CD2A5A" w:rsidRDefault="00CD2A5A">
            <w:pPr>
              <w:tabs>
                <w:tab w:val="decimal" w:pos="1178"/>
              </w:tabs>
              <w:spacing w:before="40" w:after="40"/>
              <w:ind w:right="2074"/>
              <w:jc w:val="right"/>
              <w:rPr>
                <w:sz w:val="20"/>
                <w:szCs w:val="20"/>
              </w:rPr>
            </w:pPr>
            <w:r>
              <w:rPr>
                <w:sz w:val="20"/>
                <w:szCs w:val="20"/>
              </w:rPr>
              <w:t>0</w:t>
            </w:r>
          </w:p>
        </w:tc>
      </w:tr>
      <w:tr w:rsidR="00CD2A5A">
        <w:trPr>
          <w:jc w:val="center"/>
        </w:trPr>
        <w:tc>
          <w:tcPr>
            <w:tcW w:w="2520" w:type="dxa"/>
          </w:tcPr>
          <w:p w:rsidR="00CD2A5A" w:rsidRDefault="00CD2A5A">
            <w:pPr>
              <w:spacing w:before="40" w:after="40"/>
              <w:rPr>
                <w:sz w:val="20"/>
                <w:szCs w:val="20"/>
              </w:rPr>
            </w:pPr>
            <w:r>
              <w:rPr>
                <w:sz w:val="20"/>
                <w:szCs w:val="20"/>
              </w:rPr>
              <w:t>Más de 30 años</w:t>
            </w:r>
          </w:p>
        </w:tc>
        <w:tc>
          <w:tcPr>
            <w:tcW w:w="2280" w:type="dxa"/>
          </w:tcPr>
          <w:p w:rsidR="00CD2A5A" w:rsidRDefault="00CD2A5A">
            <w:pPr>
              <w:tabs>
                <w:tab w:val="decimal" w:pos="1178"/>
              </w:tabs>
              <w:spacing w:before="40" w:after="40"/>
              <w:ind w:right="2074"/>
              <w:jc w:val="right"/>
              <w:rPr>
                <w:sz w:val="20"/>
                <w:szCs w:val="20"/>
              </w:rPr>
            </w:pPr>
          </w:p>
        </w:tc>
      </w:tr>
      <w:tr w:rsidR="00CD2A5A">
        <w:trPr>
          <w:jc w:val="center"/>
        </w:trPr>
        <w:tc>
          <w:tcPr>
            <w:tcW w:w="2520" w:type="dxa"/>
          </w:tcPr>
          <w:p w:rsidR="00CD2A5A" w:rsidRDefault="00CD2A5A">
            <w:pPr>
              <w:spacing w:before="40" w:after="40"/>
              <w:rPr>
                <w:b/>
                <w:sz w:val="20"/>
                <w:szCs w:val="20"/>
              </w:rPr>
            </w:pPr>
            <w:r>
              <w:rPr>
                <w:b/>
                <w:sz w:val="20"/>
                <w:szCs w:val="20"/>
              </w:rPr>
              <w:tab/>
              <w:t>Total</w:t>
            </w:r>
          </w:p>
        </w:tc>
        <w:tc>
          <w:tcPr>
            <w:tcW w:w="2280" w:type="dxa"/>
          </w:tcPr>
          <w:p w:rsidR="00CD2A5A" w:rsidRDefault="00CD2A5A">
            <w:pPr>
              <w:spacing w:before="40" w:after="40"/>
              <w:ind w:right="2074"/>
              <w:jc w:val="right"/>
              <w:rPr>
                <w:sz w:val="20"/>
                <w:szCs w:val="20"/>
              </w:rPr>
            </w:pPr>
            <w:r>
              <w:rPr>
                <w:sz w:val="20"/>
                <w:szCs w:val="20"/>
              </w:rPr>
              <w:t>99</w:t>
            </w:r>
          </w:p>
        </w:tc>
      </w:tr>
    </w:tbl>
    <w:p w:rsidR="00CD2A5A" w:rsidRDefault="00CD2A5A">
      <w:pPr>
        <w:spacing w:after="240"/>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3146"/>
      </w:tblGrid>
      <w:tr w:rsidR="00CD2A5A">
        <w:trPr>
          <w:jc w:val="center"/>
        </w:trPr>
        <w:tc>
          <w:tcPr>
            <w:tcW w:w="3658" w:type="dxa"/>
            <w:vAlign w:val="center"/>
          </w:tcPr>
          <w:p w:rsidR="00CD2A5A" w:rsidRDefault="00CD2A5A">
            <w:pPr>
              <w:spacing w:before="40" w:after="40"/>
              <w:jc w:val="center"/>
              <w:rPr>
                <w:b/>
                <w:i/>
                <w:sz w:val="20"/>
                <w:szCs w:val="20"/>
              </w:rPr>
            </w:pPr>
            <w:r>
              <w:rPr>
                <w:b/>
                <w:i/>
                <w:sz w:val="20"/>
                <w:szCs w:val="20"/>
              </w:rPr>
              <w:t>Nacionalidad de las víctimas</w:t>
            </w:r>
          </w:p>
        </w:tc>
        <w:tc>
          <w:tcPr>
            <w:tcW w:w="3146" w:type="dxa"/>
            <w:vAlign w:val="center"/>
          </w:tcPr>
          <w:p w:rsidR="00CD2A5A" w:rsidRDefault="00CD2A5A">
            <w:pPr>
              <w:spacing w:before="40" w:after="40"/>
              <w:jc w:val="center"/>
              <w:rPr>
                <w:b/>
                <w:i/>
                <w:sz w:val="20"/>
                <w:szCs w:val="20"/>
              </w:rPr>
            </w:pPr>
            <w:r>
              <w:rPr>
                <w:b/>
                <w:i/>
                <w:sz w:val="20"/>
                <w:szCs w:val="20"/>
              </w:rPr>
              <w:t>Número de víctimas</w:t>
            </w:r>
          </w:p>
        </w:tc>
      </w:tr>
      <w:tr w:rsidR="00CD2A5A">
        <w:trPr>
          <w:jc w:val="center"/>
        </w:trPr>
        <w:tc>
          <w:tcPr>
            <w:tcW w:w="3658" w:type="dxa"/>
          </w:tcPr>
          <w:p w:rsidR="00CD2A5A" w:rsidRDefault="00CD2A5A">
            <w:pPr>
              <w:spacing w:before="40" w:after="40"/>
              <w:rPr>
                <w:sz w:val="20"/>
                <w:szCs w:val="20"/>
              </w:rPr>
            </w:pPr>
            <w:r>
              <w:rPr>
                <w:sz w:val="20"/>
                <w:szCs w:val="20"/>
              </w:rPr>
              <w:t xml:space="preserve">Salvadoreñas </w:t>
            </w:r>
          </w:p>
        </w:tc>
        <w:tc>
          <w:tcPr>
            <w:tcW w:w="3146" w:type="dxa"/>
          </w:tcPr>
          <w:p w:rsidR="00CD2A5A" w:rsidRDefault="00CD2A5A">
            <w:pPr>
              <w:spacing w:before="40" w:after="40"/>
              <w:ind w:right="1337"/>
              <w:jc w:val="right"/>
              <w:rPr>
                <w:sz w:val="20"/>
                <w:szCs w:val="20"/>
              </w:rPr>
            </w:pPr>
            <w:r>
              <w:rPr>
                <w:sz w:val="20"/>
                <w:szCs w:val="20"/>
              </w:rPr>
              <w:t>52</w:t>
            </w:r>
          </w:p>
        </w:tc>
      </w:tr>
      <w:tr w:rsidR="00CD2A5A">
        <w:trPr>
          <w:jc w:val="center"/>
        </w:trPr>
        <w:tc>
          <w:tcPr>
            <w:tcW w:w="3658" w:type="dxa"/>
          </w:tcPr>
          <w:p w:rsidR="00CD2A5A" w:rsidRDefault="00CD2A5A">
            <w:pPr>
              <w:spacing w:before="40" w:after="40"/>
              <w:rPr>
                <w:sz w:val="20"/>
                <w:szCs w:val="20"/>
              </w:rPr>
            </w:pPr>
            <w:r>
              <w:rPr>
                <w:sz w:val="20"/>
                <w:szCs w:val="20"/>
              </w:rPr>
              <w:t>Guatemaltecas</w:t>
            </w:r>
          </w:p>
        </w:tc>
        <w:tc>
          <w:tcPr>
            <w:tcW w:w="3146" w:type="dxa"/>
          </w:tcPr>
          <w:p w:rsidR="00CD2A5A" w:rsidRDefault="00CD2A5A">
            <w:pPr>
              <w:spacing w:before="40" w:after="40"/>
              <w:ind w:right="1337"/>
              <w:jc w:val="right"/>
              <w:rPr>
                <w:sz w:val="20"/>
                <w:szCs w:val="20"/>
              </w:rPr>
            </w:pPr>
            <w:r>
              <w:rPr>
                <w:sz w:val="20"/>
                <w:szCs w:val="20"/>
              </w:rPr>
              <w:t>8</w:t>
            </w:r>
          </w:p>
        </w:tc>
      </w:tr>
      <w:tr w:rsidR="00CD2A5A">
        <w:trPr>
          <w:jc w:val="center"/>
        </w:trPr>
        <w:tc>
          <w:tcPr>
            <w:tcW w:w="3658" w:type="dxa"/>
          </w:tcPr>
          <w:p w:rsidR="00CD2A5A" w:rsidRDefault="00CD2A5A">
            <w:pPr>
              <w:spacing w:before="40" w:after="40"/>
              <w:rPr>
                <w:sz w:val="20"/>
                <w:szCs w:val="20"/>
              </w:rPr>
            </w:pPr>
            <w:r>
              <w:rPr>
                <w:sz w:val="20"/>
                <w:szCs w:val="20"/>
              </w:rPr>
              <w:t>Nicaragüense</w:t>
            </w:r>
          </w:p>
        </w:tc>
        <w:tc>
          <w:tcPr>
            <w:tcW w:w="3146" w:type="dxa"/>
          </w:tcPr>
          <w:p w:rsidR="00CD2A5A" w:rsidRDefault="00CD2A5A">
            <w:pPr>
              <w:spacing w:before="40" w:after="40"/>
              <w:ind w:right="1337"/>
              <w:jc w:val="right"/>
              <w:rPr>
                <w:sz w:val="20"/>
                <w:szCs w:val="20"/>
              </w:rPr>
            </w:pPr>
            <w:r>
              <w:rPr>
                <w:sz w:val="20"/>
                <w:szCs w:val="20"/>
              </w:rPr>
              <w:t>12</w:t>
            </w:r>
          </w:p>
        </w:tc>
      </w:tr>
      <w:tr w:rsidR="00CD2A5A">
        <w:trPr>
          <w:jc w:val="center"/>
        </w:trPr>
        <w:tc>
          <w:tcPr>
            <w:tcW w:w="3658" w:type="dxa"/>
          </w:tcPr>
          <w:p w:rsidR="00CD2A5A" w:rsidRDefault="00CD2A5A">
            <w:pPr>
              <w:spacing w:before="40" w:after="40"/>
              <w:rPr>
                <w:sz w:val="20"/>
                <w:szCs w:val="20"/>
              </w:rPr>
            </w:pPr>
            <w:r>
              <w:rPr>
                <w:sz w:val="20"/>
                <w:szCs w:val="20"/>
              </w:rPr>
              <w:t>Hondureños</w:t>
            </w:r>
          </w:p>
        </w:tc>
        <w:tc>
          <w:tcPr>
            <w:tcW w:w="3146" w:type="dxa"/>
          </w:tcPr>
          <w:p w:rsidR="00CD2A5A" w:rsidRDefault="00CD2A5A">
            <w:pPr>
              <w:spacing w:before="40" w:after="40"/>
              <w:ind w:right="1337"/>
              <w:jc w:val="right"/>
              <w:rPr>
                <w:sz w:val="20"/>
                <w:szCs w:val="20"/>
              </w:rPr>
            </w:pPr>
            <w:r>
              <w:rPr>
                <w:sz w:val="20"/>
                <w:szCs w:val="20"/>
              </w:rPr>
              <w:t>7</w:t>
            </w:r>
          </w:p>
        </w:tc>
      </w:tr>
      <w:tr w:rsidR="00CD2A5A">
        <w:trPr>
          <w:jc w:val="center"/>
        </w:trPr>
        <w:tc>
          <w:tcPr>
            <w:tcW w:w="3658" w:type="dxa"/>
          </w:tcPr>
          <w:p w:rsidR="00CD2A5A" w:rsidRDefault="00CD2A5A">
            <w:pPr>
              <w:spacing w:before="40" w:after="40"/>
              <w:rPr>
                <w:sz w:val="20"/>
                <w:szCs w:val="20"/>
              </w:rPr>
            </w:pPr>
            <w:r>
              <w:rPr>
                <w:sz w:val="20"/>
                <w:szCs w:val="20"/>
              </w:rPr>
              <w:t>Mexicanos</w:t>
            </w:r>
          </w:p>
        </w:tc>
        <w:tc>
          <w:tcPr>
            <w:tcW w:w="3146" w:type="dxa"/>
          </w:tcPr>
          <w:p w:rsidR="00CD2A5A" w:rsidRDefault="00CD2A5A">
            <w:pPr>
              <w:spacing w:before="40" w:after="40"/>
              <w:ind w:right="1337"/>
              <w:jc w:val="right"/>
              <w:rPr>
                <w:sz w:val="20"/>
                <w:szCs w:val="20"/>
              </w:rPr>
            </w:pPr>
            <w:r>
              <w:rPr>
                <w:sz w:val="20"/>
                <w:szCs w:val="20"/>
              </w:rPr>
              <w:t>10</w:t>
            </w:r>
          </w:p>
        </w:tc>
      </w:tr>
      <w:tr w:rsidR="00CD2A5A">
        <w:trPr>
          <w:jc w:val="center"/>
        </w:trPr>
        <w:tc>
          <w:tcPr>
            <w:tcW w:w="3658" w:type="dxa"/>
          </w:tcPr>
          <w:p w:rsidR="00CD2A5A" w:rsidRDefault="00CD2A5A">
            <w:pPr>
              <w:spacing w:before="40" w:after="40"/>
              <w:rPr>
                <w:sz w:val="20"/>
                <w:szCs w:val="20"/>
              </w:rPr>
            </w:pPr>
            <w:r>
              <w:rPr>
                <w:sz w:val="20"/>
                <w:szCs w:val="20"/>
              </w:rPr>
              <w:t>Colombianos</w:t>
            </w:r>
          </w:p>
        </w:tc>
        <w:tc>
          <w:tcPr>
            <w:tcW w:w="3146" w:type="dxa"/>
          </w:tcPr>
          <w:p w:rsidR="00CD2A5A" w:rsidRDefault="00CD2A5A">
            <w:pPr>
              <w:spacing w:before="40" w:after="40"/>
              <w:ind w:right="1337"/>
              <w:jc w:val="right"/>
              <w:rPr>
                <w:sz w:val="20"/>
                <w:szCs w:val="20"/>
              </w:rPr>
            </w:pPr>
            <w:r>
              <w:rPr>
                <w:sz w:val="20"/>
                <w:szCs w:val="20"/>
              </w:rPr>
              <w:t>4</w:t>
            </w:r>
          </w:p>
        </w:tc>
      </w:tr>
    </w:tbl>
    <w:p w:rsidR="00CD2A5A" w:rsidRDefault="00CD2A5A">
      <w:pPr>
        <w:spacing w:after="240"/>
      </w:pPr>
    </w:p>
    <w:p w:rsidR="00CD2A5A" w:rsidRDefault="00CD2A5A">
      <w:pPr>
        <w:spacing w:after="240"/>
        <w:ind w:firstLine="567"/>
      </w:pPr>
      <w:r>
        <w:t>El albergue de Víctimas de Trata esta a cargo de la Dirección General de Migración y Extranjería, y administración por la Fundación Huellas.</w:t>
      </w:r>
    </w:p>
    <w:p w:rsidR="00CD2A5A" w:rsidRDefault="00CD2A5A">
      <w:pPr>
        <w:spacing w:after="240"/>
        <w:ind w:firstLine="567"/>
      </w:pPr>
      <w:r>
        <w:t>Es un albergue especializado para la atención directa a víctimas de Trata. Se administra por Fundación Huellas mediante un memorando de entendimiento entre el Gobierno de El Salvador y la Organización Internacional para las Migraciones (OIM).</w:t>
      </w:r>
    </w:p>
    <w:p w:rsidR="00CD2A5A" w:rsidRDefault="00CD2A5A">
      <w:pPr>
        <w:spacing w:after="240"/>
        <w:ind w:firstLine="567"/>
      </w:pPr>
      <w:r>
        <w:rPr>
          <w:lang w:val="es-CR"/>
        </w:rPr>
        <w:t xml:space="preserve">Objetivo del Albergue: proporcionar un espacio transitorio, seguro y confiable, para la protección de personas víctimas de Trata, en el que se brinde una atención directa integral </w:t>
      </w:r>
      <w:r>
        <w:rPr>
          <w:lang w:val="es-ES_tradnl"/>
        </w:rPr>
        <w:t xml:space="preserve"> con base en abordajes oportunos, basado en derechos y con parámetros de calidad y credibilidad tanto para las nacionales como para las extranjeras. E</w:t>
      </w:r>
      <w:r>
        <w:t xml:space="preserve">l proyecto contempla cubrir las necesidades básicas de las víctimas: alimentación, techo y vestido, así como una serie de asistencias especificas propias de cada área de atención. </w:t>
      </w:r>
    </w:p>
    <w:p w:rsidR="00CD2A5A" w:rsidRDefault="00CD2A5A">
      <w:pPr>
        <w:spacing w:after="240"/>
        <w:ind w:firstLine="567"/>
      </w:pPr>
      <w:r>
        <w:t>Se cuenta con seis áreas de atención íntimamente relacionadas: atención médica; asistencia directa de problemas de salud de las víctimas, así como coordinaciones para atenciones especializadas con organizaciones gubernamentales y no gubernamentales relacionadas en salud; atención psicológica; asistencia directa en el fortalecimiento y seguimiento del proyecto personal de vida, atendiendo situaciones especificas de superar conflictos, estados de depresión, mejorando autoestima, orientando atención a valoración y abordaje de riesgos; auto cuido; atención de situaciones individuales; alternativa educativa y vocacional; retorno al hogar; reinserción social; atención social; investigación socio económica de cada caso de victimas nacionales identificadas, y la mayor parte de datos que se pudieran obtener de las extranjeras que colaboran en el abordaje integral de las víctimas; atención legal; asesoría legal y preparación para enfrentar procedimientos judiciales, educación en derechos y deberes, seguimiento de cada caso; atención educativa; plan individual de atención educativa tanto formal como informal (talleres vocacionales de alternativa productiva); atención espiritual; derecho a sentirse confortado según su propia creencia; otras atenciones como asistencia a actividades recreativas, visitas familiares y  realización de diferentes actividades no lúdicas.</w:t>
      </w:r>
    </w:p>
    <w:p w:rsidR="00CD2A5A" w:rsidRDefault="00CD2A5A">
      <w:pPr>
        <w:pStyle w:val="I"/>
      </w:pPr>
      <w:r>
        <w:rPr>
          <w:lang w:val="es-ES_tradnl"/>
        </w:rPr>
        <w:br w:type="page"/>
      </w:r>
      <w:r>
        <w:t>ANEXO XXI</w:t>
      </w:r>
    </w:p>
    <w:p w:rsidR="00CD2A5A" w:rsidRDefault="00CD2A5A" w:rsidP="006228EF">
      <w:pPr>
        <w:pStyle w:val="A0"/>
      </w:pPr>
      <w:r>
        <w:t>A.  DELITOS PRESUNTAMENTE COMETIDOS POR PERSONAS MENORES</w:t>
      </w:r>
      <w:r>
        <w:br/>
        <w:t xml:space="preserve">DE 18 AÑOS DE EDAD, 2006 </w:t>
      </w:r>
    </w:p>
    <w:p w:rsidR="00CD2A5A" w:rsidRDefault="00CD2A5A">
      <w:pPr>
        <w:pStyle w:val="Heading5"/>
        <w:spacing w:after="240"/>
        <w:jc w:val="center"/>
        <w:rPr>
          <w:b w:val="0"/>
          <w:color w:val="auto"/>
          <w:szCs w:val="24"/>
        </w:rPr>
      </w:pPr>
      <w:r>
        <w:rPr>
          <w:b w:val="0"/>
          <w:color w:val="auto"/>
          <w:szCs w:val="24"/>
        </w:rPr>
        <w:t>(Fiscalía General de la República)</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380"/>
        <w:gridCol w:w="2032"/>
      </w:tblGrid>
      <w:tr w:rsidR="00CD2A5A">
        <w:trPr>
          <w:cantSplit/>
          <w:trHeight w:val="270"/>
          <w:tblHeader/>
          <w:jc w:val="center"/>
        </w:trPr>
        <w:tc>
          <w:tcPr>
            <w:tcW w:w="7380" w:type="dxa"/>
            <w:vMerge w:val="restart"/>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b/>
                <w:i/>
                <w:sz w:val="20"/>
                <w:szCs w:val="20"/>
              </w:rPr>
              <w:t>Tipo de delito</w:t>
            </w:r>
          </w:p>
        </w:tc>
        <w:tc>
          <w:tcPr>
            <w:tcW w:w="2032" w:type="dxa"/>
            <w:vMerge w:val="restart"/>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b/>
                <w:i/>
                <w:sz w:val="20"/>
                <w:szCs w:val="20"/>
              </w:rPr>
              <w:t>Total</w:t>
            </w:r>
          </w:p>
        </w:tc>
      </w:tr>
      <w:tr w:rsidR="00CD2A5A">
        <w:trPr>
          <w:cantSplit/>
          <w:trHeight w:val="310"/>
          <w:tblHeader/>
          <w:jc w:val="center"/>
        </w:trPr>
        <w:tc>
          <w:tcPr>
            <w:tcW w:w="7380" w:type="dxa"/>
            <w:vMerge/>
            <w:vAlign w:val="center"/>
          </w:tcPr>
          <w:p w:rsidR="00CD2A5A" w:rsidRDefault="00CD2A5A">
            <w:pPr>
              <w:spacing w:before="40" w:after="40"/>
              <w:rPr>
                <w:rFonts w:eastAsia="Arial Unicode MS"/>
                <w:sz w:val="20"/>
                <w:szCs w:val="20"/>
              </w:rPr>
            </w:pPr>
          </w:p>
        </w:tc>
        <w:tc>
          <w:tcPr>
            <w:tcW w:w="2032" w:type="dxa"/>
            <w:vMerge/>
            <w:vAlign w:val="center"/>
          </w:tcPr>
          <w:p w:rsidR="00CD2A5A" w:rsidRDefault="00CD2A5A">
            <w:pPr>
              <w:spacing w:before="40" w:after="40"/>
              <w:rPr>
                <w:rFonts w:eastAsia="Arial Unicode MS"/>
                <w:sz w:val="20"/>
                <w:szCs w:val="20"/>
              </w:rPr>
            </w:pP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Homicidio Simple</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61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Homicidio Agravado</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113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Homicidio Culposo</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Aborto Consentido y Propio</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Aborto Culposo</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Lesiones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503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Lesiones Graves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Lesiones Muy Graves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Lesiones Agravadas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Lesiones Culposas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Privación de Libertad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65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Secuestro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Coacción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Amenazas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374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Violación</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80</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en Menor o Incapaz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108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Otras Agresiones Sexuales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Agresión Sexual en Menor e Incapaz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74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y Agresión Sexual Agravada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Estupro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Estupro por Prevalimiento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Acoso Sexual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Inducción, Promoción y Favorecimiento de Actos Sexuales o Eróticos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Exhibiciones Obscenas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Utilización de Personas Menores de Dieciocho Años e Incapaces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Abandono y Desamparo de Persona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Violencia Intrafamiliar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Incumplimiento de los Deberes de Asistencia Económica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Inducción al Abandono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Maltrato Infantil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Hurto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370</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Hurto Agravado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222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Robo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169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Robo Agravado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449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Extorsión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172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Estafa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Estafa Agravada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Apropiación o Retención Indebidas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Daños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181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Daños Agravados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de Derechos de Autor y Derechos Conexos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Contaminación Ambiental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Depredación de Flora Protegida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Depredación de Fauna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Incendio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Fabricación y Comercio de Alimentos Nocivos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Envenenamiento, Contaminación o Adulteración de Aguas y Sustancias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Falsificación, Tenencia o Alteración de Moneda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Venta o Circulación de Moneda, Estampilla o Especies Fiscales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Falsedad Material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Supresión, Destrucción u Ocultación de Documentos Verdaderos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Uso y Tenencia de Documentos Falsos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Uso Falso de Documento de Identidad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Denuncia o Acusación Calumniosa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Falso Testimonio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Encubrimiento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Desobediencia a Mandato Judicial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Patrocinio Infiel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Evasión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Favorecimiento de la Evasión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Cohecho Impropio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Resistencia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448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Desobediencia de Particulares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Actos de Terrorismo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Agrupaciones Ilícitas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2.408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Tenencia, Portación o Conducción de Armas de Guerra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Comercio Ilegal y Depósito de Armas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Desórdenes Públicos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366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Lesiones y Golpes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27</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Amenazas Leves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Hurto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Daños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Tenencia Injustificada de Ganzúas o Llaves Falsas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Suministro Indebido de Bebidas Alcohólicas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Actos Contrarios a las Buenas Costumbres y al Decoro Público</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Inobservancia de las Providencias de la Autoridad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Perturbación de la Tranquilidad Pública o Privada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Homicidio Simple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Disparo de Arma de Fuego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Amenazas con Agravación Especial</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91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Agravada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en Menor o Incapaz Agravada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7</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en Menor o Incapaz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Agresión Sexual en Menor e Incapaz Agravada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Homicidio Agravado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Hurto Agravado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Robo Agravado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45</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Extorsión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Receptación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108</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Conducción de Mercaderías de Dudosa Procedencia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4</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Remoción o Alteración de Linderos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Falsificación de Señas y Marcas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Desobediencia en Caso de Violencia Intrafamiliar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17</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Fabricación, Portación, Tenencia o Comercio Ilegal de Armas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Tenencia, Portación o Conducción Ilegal de Armas de Fuego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203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Tráfico Ilegal de Personas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Comercio, Tráfico y Almacenamiento Ilícito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Posesión y Tenencia de Drogas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180</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Exhibición Intencional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Cooperación en el Trafico de Drogas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Asociaciones Delictivas</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Tráfico Ilícito de Drogas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20</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Venta de Elementos Aptos para la Violencia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Contrabando de Mercaderías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10</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Evasión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Otras Agresiones Sexuales Agravadas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Robo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26</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Agravada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Conducción Temeraria de Vehículo de Motor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10</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Utilización u Ocupación Ilegal de Inmuebles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9</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Asociaciones Ilícitas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397</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Hurto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Violación Agravada en Menor o Incapaz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 xml:space="preserve">Determinación a la Prostitución en Grado de Tentativa </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3</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Sin Registro</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1</w:t>
            </w:r>
          </w:p>
        </w:tc>
      </w:tr>
      <w:tr w:rsidR="00CD2A5A">
        <w:trPr>
          <w:jc w:val="center"/>
        </w:trPr>
        <w:tc>
          <w:tcPr>
            <w:tcW w:w="7380" w:type="dxa"/>
            <w:tcMar>
              <w:top w:w="15" w:type="dxa"/>
              <w:left w:w="15" w:type="dxa"/>
              <w:bottom w:w="0" w:type="dxa"/>
              <w:right w:w="15" w:type="dxa"/>
            </w:tcMar>
          </w:tcPr>
          <w:p w:rsidR="00CD2A5A" w:rsidRDefault="00CD2A5A">
            <w:pPr>
              <w:spacing w:before="40" w:after="40"/>
              <w:rPr>
                <w:rFonts w:eastAsia="Arial Unicode MS"/>
                <w:sz w:val="20"/>
                <w:szCs w:val="20"/>
              </w:rPr>
            </w:pPr>
            <w:r>
              <w:rPr>
                <w:sz w:val="20"/>
                <w:szCs w:val="20"/>
              </w:rPr>
              <w:t>Total</w:t>
            </w:r>
          </w:p>
        </w:tc>
        <w:tc>
          <w:tcPr>
            <w:tcW w:w="2032" w:type="dxa"/>
            <w:tcMar>
              <w:top w:w="15" w:type="dxa"/>
              <w:left w:w="15" w:type="dxa"/>
              <w:bottom w:w="0" w:type="dxa"/>
              <w:right w:w="15" w:type="dxa"/>
            </w:tcMar>
            <w:vAlign w:val="center"/>
          </w:tcPr>
          <w:p w:rsidR="00CD2A5A" w:rsidRDefault="00CD2A5A">
            <w:pPr>
              <w:spacing w:before="40" w:after="40"/>
              <w:ind w:right="892"/>
              <w:jc w:val="right"/>
              <w:rPr>
                <w:rFonts w:eastAsia="Arial Unicode MS"/>
                <w:sz w:val="20"/>
                <w:szCs w:val="20"/>
              </w:rPr>
            </w:pPr>
            <w:r>
              <w:rPr>
                <w:sz w:val="20"/>
                <w:szCs w:val="20"/>
              </w:rPr>
              <w:t>7.953</w:t>
            </w:r>
          </w:p>
        </w:tc>
      </w:tr>
    </w:tbl>
    <w:p w:rsidR="00CD2A5A" w:rsidRDefault="00CD2A5A">
      <w:pPr>
        <w:spacing w:after="240"/>
        <w:rPr>
          <w:lang w:val="es-SV"/>
        </w:rPr>
      </w:pPr>
    </w:p>
    <w:p w:rsidR="00CD2A5A" w:rsidRDefault="00CD2A5A" w:rsidP="006228EF">
      <w:pPr>
        <w:pStyle w:val="A0"/>
      </w:pPr>
      <w:r>
        <w:t>B.  Delitos contra la vida cometidos contra menores de edad (2004 – 2006)</w:t>
      </w:r>
    </w:p>
    <w:p w:rsidR="00CD2A5A" w:rsidRDefault="00CD2A5A">
      <w:pPr>
        <w:spacing w:after="240"/>
        <w:jc w:val="center"/>
        <w:rPr>
          <w:bCs/>
          <w:lang w:val="es-SV"/>
        </w:rPr>
      </w:pPr>
      <w:r>
        <w:rPr>
          <w:bCs/>
          <w:lang w:val="es-SV"/>
        </w:rPr>
        <w:t>(Fiscalía General de la República)</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6520"/>
        <w:gridCol w:w="930"/>
        <w:gridCol w:w="1045"/>
        <w:gridCol w:w="917"/>
      </w:tblGrid>
      <w:tr w:rsidR="00CD2A5A">
        <w:trPr>
          <w:cantSplit/>
          <w:trHeight w:val="271"/>
          <w:tblHeader/>
          <w:jc w:val="center"/>
        </w:trPr>
        <w:tc>
          <w:tcPr>
            <w:tcW w:w="6520" w:type="dxa"/>
            <w:vMerge w:val="restart"/>
            <w:noWrap/>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rFonts w:eastAsia="Arial Unicode MS"/>
                <w:b/>
                <w:i/>
                <w:sz w:val="20"/>
                <w:szCs w:val="20"/>
              </w:rPr>
              <w:t>Año</w:t>
            </w:r>
          </w:p>
        </w:tc>
        <w:tc>
          <w:tcPr>
            <w:tcW w:w="1975" w:type="dxa"/>
            <w:gridSpan w:val="2"/>
            <w:noWrap/>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rFonts w:eastAsia="Arial Unicode MS"/>
                <w:b/>
                <w:i/>
                <w:sz w:val="20"/>
                <w:szCs w:val="20"/>
              </w:rPr>
              <w:t>Edad de víctima y número de casos</w:t>
            </w:r>
          </w:p>
        </w:tc>
        <w:tc>
          <w:tcPr>
            <w:tcW w:w="917" w:type="dxa"/>
            <w:vMerge w:val="restart"/>
            <w:noWrap/>
            <w:tcMar>
              <w:top w:w="15" w:type="dxa"/>
              <w:left w:w="15" w:type="dxa"/>
              <w:bottom w:w="0" w:type="dxa"/>
              <w:right w:w="15" w:type="dxa"/>
            </w:tcMar>
            <w:vAlign w:val="center"/>
          </w:tcPr>
          <w:p w:rsidR="00CD2A5A" w:rsidRDefault="00CD2A5A">
            <w:pPr>
              <w:spacing w:before="40" w:after="40"/>
              <w:jc w:val="center"/>
              <w:rPr>
                <w:rFonts w:eastAsia="Arial Unicode MS"/>
                <w:b/>
                <w:i/>
                <w:sz w:val="20"/>
                <w:szCs w:val="20"/>
              </w:rPr>
            </w:pPr>
            <w:r>
              <w:rPr>
                <w:b/>
                <w:i/>
                <w:sz w:val="20"/>
                <w:szCs w:val="20"/>
              </w:rPr>
              <w:t>Total</w:t>
            </w:r>
          </w:p>
        </w:tc>
      </w:tr>
      <w:tr w:rsidR="00CD2A5A">
        <w:trPr>
          <w:cantSplit/>
          <w:trHeight w:val="286"/>
          <w:tblHeader/>
          <w:jc w:val="center"/>
        </w:trPr>
        <w:tc>
          <w:tcPr>
            <w:tcW w:w="6520" w:type="dxa"/>
            <w:vMerge/>
            <w:noWrap/>
            <w:tcMar>
              <w:top w:w="15" w:type="dxa"/>
              <w:left w:w="15" w:type="dxa"/>
              <w:bottom w:w="0" w:type="dxa"/>
              <w:right w:w="15" w:type="dxa"/>
            </w:tcMar>
            <w:vAlign w:val="bottom"/>
          </w:tcPr>
          <w:p w:rsidR="00CD2A5A" w:rsidRDefault="00CD2A5A">
            <w:pPr>
              <w:spacing w:before="40" w:after="40"/>
              <w:rPr>
                <w:rFonts w:eastAsia="Arial Unicode MS"/>
                <w:sz w:val="20"/>
                <w:szCs w:val="20"/>
              </w:rPr>
            </w:pPr>
          </w:p>
        </w:tc>
        <w:tc>
          <w:tcPr>
            <w:tcW w:w="930" w:type="dxa"/>
            <w:tcMar>
              <w:top w:w="15" w:type="dxa"/>
              <w:left w:w="15" w:type="dxa"/>
              <w:bottom w:w="0" w:type="dxa"/>
              <w:right w:w="15" w:type="dxa"/>
            </w:tcMar>
            <w:vAlign w:val="center"/>
          </w:tcPr>
          <w:p w:rsidR="00CD2A5A" w:rsidRDefault="00CD2A5A">
            <w:pPr>
              <w:spacing w:before="40" w:after="40"/>
              <w:rPr>
                <w:rFonts w:eastAsia="Arial Unicode MS"/>
                <w:b/>
                <w:i/>
                <w:sz w:val="20"/>
                <w:szCs w:val="20"/>
              </w:rPr>
            </w:pPr>
            <w:r>
              <w:rPr>
                <w:b/>
                <w:i/>
                <w:sz w:val="20"/>
                <w:szCs w:val="20"/>
              </w:rPr>
              <w:t>0-10 años</w:t>
            </w:r>
          </w:p>
        </w:tc>
        <w:tc>
          <w:tcPr>
            <w:tcW w:w="1045" w:type="dxa"/>
            <w:tcMar>
              <w:top w:w="15" w:type="dxa"/>
              <w:left w:w="15" w:type="dxa"/>
              <w:bottom w:w="0" w:type="dxa"/>
              <w:right w:w="15" w:type="dxa"/>
            </w:tcMar>
            <w:vAlign w:val="center"/>
          </w:tcPr>
          <w:p w:rsidR="00CD2A5A" w:rsidRDefault="00CD2A5A">
            <w:pPr>
              <w:spacing w:before="40" w:after="40"/>
              <w:rPr>
                <w:rFonts w:eastAsia="Arial Unicode MS"/>
                <w:b/>
                <w:i/>
                <w:sz w:val="20"/>
                <w:szCs w:val="20"/>
              </w:rPr>
            </w:pPr>
            <w:r>
              <w:rPr>
                <w:b/>
                <w:i/>
                <w:sz w:val="20"/>
                <w:szCs w:val="20"/>
              </w:rPr>
              <w:t>11-18 años</w:t>
            </w:r>
          </w:p>
        </w:tc>
        <w:tc>
          <w:tcPr>
            <w:tcW w:w="917" w:type="dxa"/>
            <w:vMerge/>
            <w:tcMar>
              <w:top w:w="15" w:type="dxa"/>
              <w:left w:w="15" w:type="dxa"/>
              <w:bottom w:w="0" w:type="dxa"/>
              <w:right w:w="15" w:type="dxa"/>
            </w:tcMar>
            <w:vAlign w:val="center"/>
          </w:tcPr>
          <w:p w:rsidR="00CD2A5A" w:rsidRDefault="00CD2A5A">
            <w:pPr>
              <w:spacing w:before="40" w:after="40"/>
              <w:rPr>
                <w:rFonts w:eastAsia="Arial Unicode MS"/>
                <w:sz w:val="20"/>
                <w:szCs w:val="20"/>
              </w:rPr>
            </w:pPr>
          </w:p>
        </w:tc>
      </w:tr>
      <w:tr w:rsidR="00CD2A5A">
        <w:trPr>
          <w:trHeight w:val="271"/>
          <w:jc w:val="center"/>
        </w:trPr>
        <w:tc>
          <w:tcPr>
            <w:tcW w:w="9412" w:type="dxa"/>
            <w:gridSpan w:val="4"/>
            <w:noWrap/>
            <w:tcMar>
              <w:top w:w="15" w:type="dxa"/>
              <w:left w:w="15" w:type="dxa"/>
              <w:bottom w:w="0" w:type="dxa"/>
              <w:right w:w="15" w:type="dxa"/>
            </w:tcMar>
            <w:vAlign w:val="bottom"/>
          </w:tcPr>
          <w:p w:rsidR="00CD2A5A" w:rsidRDefault="00CD2A5A">
            <w:pPr>
              <w:spacing w:before="40" w:after="40"/>
              <w:rPr>
                <w:sz w:val="20"/>
                <w:szCs w:val="20"/>
              </w:rPr>
            </w:pPr>
            <w:r>
              <w:rPr>
                <w:sz w:val="20"/>
                <w:szCs w:val="20"/>
              </w:rPr>
              <w:t>Año 2004</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Simple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63</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260</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323</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Agravado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17</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52</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69</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Inducción o Ayuda al Suicidio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Culposo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115</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83</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198</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Simple en Grado de Tentativa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75</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95</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Proposición y Conspiración en el Delito de Homicidio Agravado</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Agravado en Grado de Tentativa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19</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21</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Total</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218</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492</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710</w:t>
            </w:r>
          </w:p>
        </w:tc>
      </w:tr>
      <w:tr w:rsidR="00CD2A5A">
        <w:trPr>
          <w:trHeight w:val="286"/>
          <w:jc w:val="center"/>
        </w:trPr>
        <w:tc>
          <w:tcPr>
            <w:tcW w:w="9412" w:type="dxa"/>
            <w:gridSpan w:val="4"/>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Año 2005</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Agravado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96</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106</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Simple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9</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171</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180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Inducción o Ayuda al Suicidio</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Culposo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99</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80</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179</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Simple en Grado de Tentativa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16</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91</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107</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Encubrimiento en el delito de Homicidio Agravado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Complicidad en el delito de Homicidio Agravado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Proposición y Conspiración en el Delito de Homicidio Agravado</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Agravado en Grado de Tentativa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7</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23</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30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Total</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141</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467</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608</w:t>
            </w:r>
          </w:p>
        </w:tc>
      </w:tr>
      <w:tr w:rsidR="00CD2A5A">
        <w:trPr>
          <w:trHeight w:val="286"/>
          <w:jc w:val="center"/>
        </w:trPr>
        <w:tc>
          <w:tcPr>
            <w:tcW w:w="9412" w:type="dxa"/>
            <w:gridSpan w:val="4"/>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Año 2006 (hasta agosto)</w:t>
            </w:r>
          </w:p>
        </w:tc>
      </w:tr>
      <w:tr w:rsidR="00CD2A5A">
        <w:trPr>
          <w:trHeight w:val="256"/>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Simple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 </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 </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Agravado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 </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 </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Inducción o Ayuda al Suicidio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Culposo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56</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38</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94</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Simple en Grado de Tentativa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36</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46</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Proposición y Conspiración en el Delito de Homicidio Agravado</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0</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 xml:space="preserve">Homicidio Agravado en Grado de Tentativa </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8</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13</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21</w:t>
            </w:r>
          </w:p>
        </w:tc>
      </w:tr>
      <w:tr w:rsidR="00CD2A5A">
        <w:trPr>
          <w:trHeight w:val="271"/>
          <w:jc w:val="center"/>
        </w:trPr>
        <w:tc>
          <w:tcPr>
            <w:tcW w:w="6520" w:type="dxa"/>
            <w:noWrap/>
            <w:tcMar>
              <w:top w:w="15" w:type="dxa"/>
              <w:left w:w="15" w:type="dxa"/>
              <w:bottom w:w="0" w:type="dxa"/>
              <w:right w:w="15" w:type="dxa"/>
            </w:tcMar>
            <w:vAlign w:val="bottom"/>
          </w:tcPr>
          <w:p w:rsidR="00CD2A5A" w:rsidRDefault="00CD2A5A">
            <w:pPr>
              <w:spacing w:before="40" w:after="40"/>
              <w:rPr>
                <w:rFonts w:eastAsia="Arial Unicode MS"/>
                <w:sz w:val="20"/>
                <w:szCs w:val="20"/>
              </w:rPr>
            </w:pPr>
            <w:r>
              <w:rPr>
                <w:sz w:val="20"/>
                <w:szCs w:val="20"/>
              </w:rPr>
              <w:t>Total</w:t>
            </w:r>
          </w:p>
        </w:tc>
        <w:tc>
          <w:tcPr>
            <w:tcW w:w="930"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101</w:t>
            </w:r>
          </w:p>
        </w:tc>
        <w:tc>
          <w:tcPr>
            <w:tcW w:w="1045"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306</w:t>
            </w:r>
          </w:p>
        </w:tc>
        <w:tc>
          <w:tcPr>
            <w:tcW w:w="917" w:type="dxa"/>
            <w:noWrap/>
            <w:tcMar>
              <w:top w:w="15" w:type="dxa"/>
              <w:left w:w="15" w:type="dxa"/>
              <w:bottom w:w="0" w:type="dxa"/>
              <w:right w:w="15" w:type="dxa"/>
            </w:tcMar>
            <w:vAlign w:val="bottom"/>
          </w:tcPr>
          <w:p w:rsidR="00CD2A5A" w:rsidRDefault="00CD2A5A">
            <w:pPr>
              <w:spacing w:before="40" w:after="40"/>
              <w:ind w:right="170"/>
              <w:jc w:val="right"/>
              <w:rPr>
                <w:rFonts w:eastAsia="Arial Unicode MS"/>
                <w:sz w:val="20"/>
                <w:szCs w:val="20"/>
              </w:rPr>
            </w:pPr>
            <w:r>
              <w:rPr>
                <w:sz w:val="20"/>
                <w:szCs w:val="20"/>
              </w:rPr>
              <w:t>407</w:t>
            </w:r>
          </w:p>
        </w:tc>
      </w:tr>
    </w:tbl>
    <w:p w:rsidR="00CD2A5A" w:rsidRDefault="00CD2A5A">
      <w:pPr>
        <w:spacing w:after="240"/>
        <w:rPr>
          <w:lang w:val="es-SV"/>
        </w:rPr>
      </w:pPr>
    </w:p>
    <w:p w:rsidR="00CD2A5A" w:rsidRDefault="00CD2A5A">
      <w:pPr>
        <w:pStyle w:val="I"/>
      </w:pPr>
      <w:r>
        <w:br w:type="page"/>
        <w:t>ANEXO XXII</w:t>
      </w:r>
    </w:p>
    <w:p w:rsidR="00CD2A5A" w:rsidRDefault="00CD2A5A" w:rsidP="00CD2A5A">
      <w:pPr>
        <w:pStyle w:val="Figure"/>
      </w:pPr>
      <w:r>
        <w:t>Programa de Desarrollo Continuo para Inspectores de Trabajo, Años 2004 y 2005</w:t>
      </w:r>
    </w:p>
    <w:tbl>
      <w:tblPr>
        <w:tblpPr w:tblpXSpec="center"/>
        <w:tblW w:w="95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87"/>
        <w:gridCol w:w="4867"/>
        <w:gridCol w:w="2295"/>
        <w:gridCol w:w="1277"/>
      </w:tblGrid>
      <w:tr w:rsidR="00CD2A5A">
        <w:tblPrEx>
          <w:tblCellMar>
            <w:top w:w="0" w:type="dxa"/>
            <w:bottom w:w="0" w:type="dxa"/>
          </w:tblCellMar>
        </w:tblPrEx>
        <w:trPr>
          <w:tblHeader/>
          <w:jc w:val="center"/>
        </w:trPr>
        <w:tc>
          <w:tcPr>
            <w:tcW w:w="1073" w:type="dxa"/>
            <w:noWrap/>
            <w:vAlign w:val="center"/>
          </w:tcPr>
          <w:p w:rsidR="00CD2A5A" w:rsidRDefault="00CD2A5A">
            <w:pPr>
              <w:pStyle w:val="Header"/>
              <w:tabs>
                <w:tab w:val="clear" w:pos="4252"/>
              </w:tabs>
              <w:jc w:val="center"/>
              <w:rPr>
                <w:b/>
                <w:bCs/>
                <w:i/>
                <w:sz w:val="20"/>
                <w:szCs w:val="20"/>
              </w:rPr>
            </w:pPr>
            <w:r>
              <w:rPr>
                <w:b/>
                <w:bCs/>
                <w:i/>
                <w:sz w:val="20"/>
                <w:szCs w:val="20"/>
              </w:rPr>
              <w:t>Numero</w:t>
            </w:r>
          </w:p>
        </w:tc>
        <w:tc>
          <w:tcPr>
            <w:tcW w:w="4809" w:type="dxa"/>
            <w:noWrap/>
            <w:vAlign w:val="center"/>
          </w:tcPr>
          <w:p w:rsidR="00CD2A5A" w:rsidRDefault="00CD2A5A">
            <w:pPr>
              <w:jc w:val="center"/>
              <w:rPr>
                <w:b/>
                <w:bCs/>
                <w:i/>
                <w:sz w:val="20"/>
                <w:szCs w:val="20"/>
              </w:rPr>
            </w:pPr>
            <w:r>
              <w:rPr>
                <w:b/>
                <w:bCs/>
                <w:i/>
                <w:sz w:val="20"/>
                <w:szCs w:val="20"/>
              </w:rPr>
              <w:t>Temas</w:t>
            </w:r>
          </w:p>
        </w:tc>
        <w:tc>
          <w:tcPr>
            <w:tcW w:w="2268" w:type="dxa"/>
            <w:noWrap/>
            <w:vAlign w:val="center"/>
          </w:tcPr>
          <w:p w:rsidR="00CD2A5A" w:rsidRDefault="00CD2A5A">
            <w:pPr>
              <w:jc w:val="center"/>
              <w:rPr>
                <w:b/>
                <w:bCs/>
                <w:i/>
                <w:sz w:val="20"/>
                <w:szCs w:val="20"/>
              </w:rPr>
            </w:pPr>
            <w:r>
              <w:rPr>
                <w:b/>
                <w:bCs/>
                <w:i/>
                <w:sz w:val="20"/>
                <w:szCs w:val="20"/>
              </w:rPr>
              <w:t>Fechas</w:t>
            </w:r>
          </w:p>
        </w:tc>
        <w:tc>
          <w:tcPr>
            <w:tcW w:w="1262" w:type="dxa"/>
            <w:noWrap/>
            <w:vAlign w:val="center"/>
          </w:tcPr>
          <w:p w:rsidR="00CD2A5A" w:rsidRDefault="00CD2A5A">
            <w:pPr>
              <w:jc w:val="center"/>
              <w:rPr>
                <w:b/>
                <w:bCs/>
                <w:i/>
                <w:sz w:val="20"/>
                <w:szCs w:val="20"/>
              </w:rPr>
            </w:pPr>
            <w:r>
              <w:rPr>
                <w:b/>
                <w:bCs/>
                <w:i/>
                <w:sz w:val="20"/>
                <w:szCs w:val="20"/>
              </w:rPr>
              <w:t>Numero de personal</w:t>
            </w:r>
          </w:p>
        </w:tc>
      </w:tr>
      <w:tr w:rsidR="00CD2A5A">
        <w:tblPrEx>
          <w:tblCellMar>
            <w:top w:w="0" w:type="dxa"/>
            <w:bottom w:w="0" w:type="dxa"/>
          </w:tblCellMar>
        </w:tblPrEx>
        <w:trPr>
          <w:trHeight w:val="567"/>
          <w:jc w:val="center"/>
        </w:trPr>
        <w:tc>
          <w:tcPr>
            <w:tcW w:w="1073" w:type="dxa"/>
            <w:noWrap/>
            <w:vAlign w:val="center"/>
          </w:tcPr>
          <w:p w:rsidR="00CD2A5A" w:rsidRDefault="00CD2A5A">
            <w:pPr>
              <w:pStyle w:val="Header"/>
              <w:tabs>
                <w:tab w:val="clear" w:pos="4252"/>
              </w:tabs>
              <w:rPr>
                <w:sz w:val="19"/>
                <w:szCs w:val="19"/>
              </w:rPr>
            </w:pPr>
            <w:r>
              <w:rPr>
                <w:sz w:val="19"/>
                <w:szCs w:val="19"/>
              </w:rPr>
              <w:t>1</w:t>
            </w:r>
          </w:p>
        </w:tc>
        <w:tc>
          <w:tcPr>
            <w:tcW w:w="4809" w:type="dxa"/>
            <w:noWrap/>
          </w:tcPr>
          <w:p w:rsidR="00CD2A5A" w:rsidRDefault="00CD2A5A">
            <w:pPr>
              <w:rPr>
                <w:sz w:val="18"/>
                <w:szCs w:val="18"/>
              </w:rPr>
            </w:pPr>
            <w:r>
              <w:rPr>
                <w:sz w:val="18"/>
                <w:szCs w:val="18"/>
              </w:rPr>
              <w:t>Seminario sobre Convenio 81 de la OIT Relativo a la Inspección de Trabajo en la Industria y Comercio</w:t>
            </w:r>
          </w:p>
        </w:tc>
        <w:tc>
          <w:tcPr>
            <w:tcW w:w="2268" w:type="dxa"/>
            <w:noWrap/>
            <w:vAlign w:val="center"/>
          </w:tcPr>
          <w:p w:rsidR="00CD2A5A" w:rsidRDefault="00CD2A5A">
            <w:pPr>
              <w:rPr>
                <w:sz w:val="18"/>
                <w:szCs w:val="18"/>
              </w:rPr>
            </w:pPr>
            <w:r>
              <w:rPr>
                <w:sz w:val="18"/>
                <w:szCs w:val="18"/>
              </w:rPr>
              <w:t>Febrero 2004</w:t>
            </w:r>
          </w:p>
        </w:tc>
        <w:tc>
          <w:tcPr>
            <w:tcW w:w="1262" w:type="dxa"/>
            <w:noWrap/>
            <w:vAlign w:val="center"/>
          </w:tcPr>
          <w:p w:rsidR="00CD2A5A" w:rsidRDefault="00CD2A5A">
            <w:pPr>
              <w:pStyle w:val="Header"/>
              <w:tabs>
                <w:tab w:val="clear" w:pos="4252"/>
              </w:tabs>
              <w:ind w:right="397"/>
              <w:jc w:val="right"/>
              <w:rPr>
                <w:sz w:val="19"/>
                <w:szCs w:val="19"/>
              </w:rPr>
            </w:pPr>
            <w:r>
              <w:rPr>
                <w:sz w:val="19"/>
                <w:szCs w:val="19"/>
              </w:rPr>
              <w:t>50</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2</w:t>
            </w:r>
          </w:p>
        </w:tc>
        <w:tc>
          <w:tcPr>
            <w:tcW w:w="4809" w:type="dxa"/>
            <w:noWrap/>
          </w:tcPr>
          <w:p w:rsidR="00CD2A5A" w:rsidRDefault="00CD2A5A">
            <w:pPr>
              <w:rPr>
                <w:sz w:val="18"/>
                <w:szCs w:val="18"/>
              </w:rPr>
            </w:pPr>
            <w:r>
              <w:rPr>
                <w:sz w:val="18"/>
                <w:szCs w:val="18"/>
              </w:rPr>
              <w:t>Seminario sobre Convenio 129 de la OIT relativo a la Inspección de Trabajo en la Agricultura</w:t>
            </w:r>
          </w:p>
        </w:tc>
        <w:tc>
          <w:tcPr>
            <w:tcW w:w="2268" w:type="dxa"/>
            <w:noWrap/>
            <w:vAlign w:val="center"/>
          </w:tcPr>
          <w:p w:rsidR="00CD2A5A" w:rsidRDefault="00CD2A5A">
            <w:pPr>
              <w:rPr>
                <w:sz w:val="18"/>
                <w:szCs w:val="18"/>
              </w:rPr>
            </w:pPr>
            <w:r>
              <w:rPr>
                <w:sz w:val="18"/>
                <w:szCs w:val="18"/>
              </w:rPr>
              <w:t>Febrero 2004</w:t>
            </w:r>
          </w:p>
        </w:tc>
        <w:tc>
          <w:tcPr>
            <w:tcW w:w="1262" w:type="dxa"/>
            <w:noWrap/>
            <w:vAlign w:val="center"/>
          </w:tcPr>
          <w:p w:rsidR="00CD2A5A" w:rsidRDefault="00CD2A5A">
            <w:pPr>
              <w:ind w:right="397"/>
              <w:jc w:val="right"/>
              <w:rPr>
                <w:sz w:val="19"/>
                <w:szCs w:val="19"/>
              </w:rPr>
            </w:pPr>
            <w:r>
              <w:rPr>
                <w:sz w:val="19"/>
                <w:szCs w:val="19"/>
              </w:rPr>
              <w:t>50</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3</w:t>
            </w:r>
          </w:p>
        </w:tc>
        <w:tc>
          <w:tcPr>
            <w:tcW w:w="4809" w:type="dxa"/>
            <w:noWrap/>
          </w:tcPr>
          <w:p w:rsidR="00CD2A5A" w:rsidRDefault="00CD2A5A">
            <w:pPr>
              <w:rPr>
                <w:sz w:val="18"/>
                <w:szCs w:val="18"/>
              </w:rPr>
            </w:pPr>
            <w:r>
              <w:rPr>
                <w:sz w:val="18"/>
                <w:szCs w:val="18"/>
              </w:rPr>
              <w:t>Seminario sobre “El nuevo enfoque de la Inspección Preventiva”</w:t>
            </w:r>
          </w:p>
        </w:tc>
        <w:tc>
          <w:tcPr>
            <w:tcW w:w="2268" w:type="dxa"/>
            <w:noWrap/>
            <w:vAlign w:val="center"/>
          </w:tcPr>
          <w:p w:rsidR="00CD2A5A" w:rsidRDefault="00CD2A5A">
            <w:pPr>
              <w:rPr>
                <w:sz w:val="18"/>
                <w:szCs w:val="18"/>
              </w:rPr>
            </w:pPr>
            <w:r>
              <w:rPr>
                <w:sz w:val="18"/>
                <w:szCs w:val="18"/>
              </w:rPr>
              <w:t>17  al 21 de Mayo 2004</w:t>
            </w:r>
          </w:p>
        </w:tc>
        <w:tc>
          <w:tcPr>
            <w:tcW w:w="1262" w:type="dxa"/>
            <w:noWrap/>
            <w:vAlign w:val="center"/>
          </w:tcPr>
          <w:p w:rsidR="00CD2A5A" w:rsidRDefault="00CD2A5A">
            <w:pPr>
              <w:ind w:right="397"/>
              <w:jc w:val="right"/>
              <w:rPr>
                <w:sz w:val="19"/>
                <w:szCs w:val="19"/>
              </w:rPr>
            </w:pPr>
            <w:r>
              <w:rPr>
                <w:sz w:val="19"/>
                <w:szCs w:val="19"/>
              </w:rPr>
              <w:t>30</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4</w:t>
            </w:r>
          </w:p>
        </w:tc>
        <w:tc>
          <w:tcPr>
            <w:tcW w:w="4809" w:type="dxa"/>
            <w:noWrap/>
          </w:tcPr>
          <w:p w:rsidR="00CD2A5A" w:rsidRDefault="00CD2A5A">
            <w:pPr>
              <w:rPr>
                <w:sz w:val="18"/>
                <w:szCs w:val="18"/>
              </w:rPr>
            </w:pPr>
            <w:r>
              <w:rPr>
                <w:sz w:val="18"/>
                <w:szCs w:val="18"/>
              </w:rPr>
              <w:t>Formación de Conciliadores en materia Laboral dirigido a Inspectores de Trabajo</w:t>
            </w:r>
          </w:p>
        </w:tc>
        <w:tc>
          <w:tcPr>
            <w:tcW w:w="2268" w:type="dxa"/>
            <w:noWrap/>
            <w:vAlign w:val="center"/>
          </w:tcPr>
          <w:p w:rsidR="00CD2A5A" w:rsidRDefault="00CD2A5A">
            <w:pPr>
              <w:rPr>
                <w:sz w:val="18"/>
                <w:szCs w:val="18"/>
              </w:rPr>
            </w:pPr>
            <w:r>
              <w:rPr>
                <w:sz w:val="18"/>
                <w:szCs w:val="18"/>
              </w:rPr>
              <w:t>9 al 13 de Agosto 2004</w:t>
            </w:r>
          </w:p>
        </w:tc>
        <w:tc>
          <w:tcPr>
            <w:tcW w:w="1262" w:type="dxa"/>
            <w:noWrap/>
            <w:vAlign w:val="center"/>
          </w:tcPr>
          <w:p w:rsidR="00CD2A5A" w:rsidRDefault="00CD2A5A">
            <w:pPr>
              <w:ind w:right="397"/>
              <w:jc w:val="right"/>
              <w:rPr>
                <w:sz w:val="19"/>
                <w:szCs w:val="19"/>
              </w:rPr>
            </w:pPr>
            <w:r>
              <w:rPr>
                <w:sz w:val="19"/>
                <w:szCs w:val="19"/>
              </w:rPr>
              <w:t>26</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5</w:t>
            </w:r>
          </w:p>
        </w:tc>
        <w:tc>
          <w:tcPr>
            <w:tcW w:w="4809" w:type="dxa"/>
            <w:noWrap/>
          </w:tcPr>
          <w:p w:rsidR="00CD2A5A" w:rsidRDefault="00CD2A5A">
            <w:pPr>
              <w:rPr>
                <w:sz w:val="18"/>
                <w:szCs w:val="18"/>
              </w:rPr>
            </w:pPr>
            <w:r>
              <w:rPr>
                <w:sz w:val="18"/>
                <w:szCs w:val="18"/>
              </w:rPr>
              <w:t>Seminario sobre mejoras Practicas “ Mayor respeto a los derechos laborales internacionalmente reconocidos y los derivados de las negociaciones Comerciales con los Estados Unidos de América</w:t>
            </w:r>
          </w:p>
        </w:tc>
        <w:tc>
          <w:tcPr>
            <w:tcW w:w="2268" w:type="dxa"/>
            <w:noWrap/>
            <w:vAlign w:val="center"/>
          </w:tcPr>
          <w:p w:rsidR="00CD2A5A" w:rsidRDefault="00CD2A5A">
            <w:pPr>
              <w:rPr>
                <w:sz w:val="18"/>
                <w:szCs w:val="18"/>
              </w:rPr>
            </w:pPr>
            <w:r>
              <w:rPr>
                <w:sz w:val="18"/>
                <w:szCs w:val="18"/>
              </w:rPr>
              <w:t>19 y 20 de Agosto de 2004</w:t>
            </w:r>
          </w:p>
        </w:tc>
        <w:tc>
          <w:tcPr>
            <w:tcW w:w="1262" w:type="dxa"/>
            <w:noWrap/>
            <w:vAlign w:val="center"/>
          </w:tcPr>
          <w:p w:rsidR="00CD2A5A" w:rsidRDefault="00CD2A5A">
            <w:pPr>
              <w:pStyle w:val="Header"/>
              <w:tabs>
                <w:tab w:val="clear" w:pos="4252"/>
              </w:tabs>
              <w:ind w:right="397"/>
              <w:jc w:val="right"/>
              <w:rPr>
                <w:sz w:val="19"/>
                <w:szCs w:val="19"/>
              </w:rPr>
            </w:pPr>
            <w:r>
              <w:rPr>
                <w:sz w:val="19"/>
                <w:szCs w:val="19"/>
              </w:rPr>
              <w:t>20</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6</w:t>
            </w:r>
          </w:p>
        </w:tc>
        <w:tc>
          <w:tcPr>
            <w:tcW w:w="4809" w:type="dxa"/>
            <w:noWrap/>
          </w:tcPr>
          <w:p w:rsidR="00CD2A5A" w:rsidRDefault="00CD2A5A">
            <w:pPr>
              <w:rPr>
                <w:sz w:val="18"/>
                <w:szCs w:val="18"/>
              </w:rPr>
            </w:pPr>
            <w:r>
              <w:rPr>
                <w:sz w:val="18"/>
                <w:szCs w:val="18"/>
              </w:rPr>
              <w:t xml:space="preserve">Desafíos del MINTRAB ante el TLC con los Estados Unidos de América  </w:t>
            </w:r>
          </w:p>
        </w:tc>
        <w:tc>
          <w:tcPr>
            <w:tcW w:w="2268" w:type="dxa"/>
            <w:noWrap/>
            <w:vAlign w:val="center"/>
          </w:tcPr>
          <w:p w:rsidR="00CD2A5A" w:rsidRDefault="00CD2A5A">
            <w:pPr>
              <w:rPr>
                <w:sz w:val="18"/>
                <w:szCs w:val="18"/>
              </w:rPr>
            </w:pPr>
            <w:r>
              <w:rPr>
                <w:sz w:val="18"/>
                <w:szCs w:val="18"/>
              </w:rPr>
              <w:t>10 y 11 de Diciembre2004</w:t>
            </w:r>
          </w:p>
        </w:tc>
        <w:tc>
          <w:tcPr>
            <w:tcW w:w="1262" w:type="dxa"/>
            <w:noWrap/>
            <w:vAlign w:val="center"/>
          </w:tcPr>
          <w:p w:rsidR="00CD2A5A" w:rsidRDefault="00CD2A5A">
            <w:pPr>
              <w:ind w:right="397"/>
              <w:jc w:val="right"/>
              <w:rPr>
                <w:sz w:val="19"/>
                <w:szCs w:val="19"/>
              </w:rPr>
            </w:pPr>
            <w:r>
              <w:rPr>
                <w:sz w:val="19"/>
                <w:szCs w:val="19"/>
              </w:rPr>
              <w:t>15</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7</w:t>
            </w:r>
          </w:p>
        </w:tc>
        <w:tc>
          <w:tcPr>
            <w:tcW w:w="4809" w:type="dxa"/>
            <w:noWrap/>
          </w:tcPr>
          <w:p w:rsidR="00CD2A5A" w:rsidRDefault="00CD2A5A">
            <w:pPr>
              <w:rPr>
                <w:sz w:val="18"/>
                <w:szCs w:val="18"/>
              </w:rPr>
            </w:pPr>
            <w:r>
              <w:rPr>
                <w:sz w:val="18"/>
                <w:szCs w:val="18"/>
              </w:rPr>
              <w:t>Trabajo Decente e Inserción Social de Jóvenes a Través del Deporte</w:t>
            </w:r>
          </w:p>
        </w:tc>
        <w:tc>
          <w:tcPr>
            <w:tcW w:w="2268" w:type="dxa"/>
            <w:noWrap/>
            <w:vAlign w:val="center"/>
          </w:tcPr>
          <w:p w:rsidR="00CD2A5A" w:rsidRDefault="00CD2A5A">
            <w:pPr>
              <w:rPr>
                <w:sz w:val="18"/>
                <w:szCs w:val="18"/>
              </w:rPr>
            </w:pPr>
            <w:r>
              <w:rPr>
                <w:sz w:val="18"/>
                <w:szCs w:val="18"/>
              </w:rPr>
              <w:t>13 y 14 de Enero 2005</w:t>
            </w:r>
          </w:p>
        </w:tc>
        <w:tc>
          <w:tcPr>
            <w:tcW w:w="1262" w:type="dxa"/>
            <w:noWrap/>
            <w:vAlign w:val="center"/>
          </w:tcPr>
          <w:p w:rsidR="00CD2A5A" w:rsidRDefault="00CD2A5A">
            <w:pPr>
              <w:ind w:right="397"/>
              <w:jc w:val="right"/>
              <w:rPr>
                <w:sz w:val="19"/>
                <w:szCs w:val="19"/>
              </w:rPr>
            </w:pPr>
            <w:r>
              <w:rPr>
                <w:sz w:val="19"/>
                <w:szCs w:val="19"/>
              </w:rPr>
              <w:t>8</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8</w:t>
            </w:r>
          </w:p>
        </w:tc>
        <w:tc>
          <w:tcPr>
            <w:tcW w:w="4809" w:type="dxa"/>
            <w:noWrap/>
          </w:tcPr>
          <w:p w:rsidR="00CD2A5A" w:rsidRDefault="00CD2A5A">
            <w:pPr>
              <w:rPr>
                <w:sz w:val="18"/>
                <w:szCs w:val="18"/>
              </w:rPr>
            </w:pPr>
            <w:r>
              <w:rPr>
                <w:sz w:val="18"/>
                <w:szCs w:val="18"/>
              </w:rPr>
              <w:t>Taller sobre Trabajo Decente y Buenas Prácticas Laborales</w:t>
            </w:r>
          </w:p>
        </w:tc>
        <w:tc>
          <w:tcPr>
            <w:tcW w:w="2268" w:type="dxa"/>
            <w:noWrap/>
            <w:vAlign w:val="center"/>
          </w:tcPr>
          <w:p w:rsidR="00CD2A5A" w:rsidRDefault="00CD2A5A">
            <w:pPr>
              <w:rPr>
                <w:sz w:val="18"/>
                <w:szCs w:val="18"/>
              </w:rPr>
            </w:pPr>
            <w:r>
              <w:rPr>
                <w:sz w:val="18"/>
                <w:szCs w:val="18"/>
              </w:rPr>
              <w:t>27 y 28 de Abril 2005</w:t>
            </w:r>
          </w:p>
        </w:tc>
        <w:tc>
          <w:tcPr>
            <w:tcW w:w="1262" w:type="dxa"/>
            <w:noWrap/>
            <w:vAlign w:val="center"/>
          </w:tcPr>
          <w:p w:rsidR="00CD2A5A" w:rsidRDefault="00CD2A5A">
            <w:pPr>
              <w:ind w:right="397"/>
              <w:jc w:val="right"/>
              <w:rPr>
                <w:sz w:val="19"/>
                <w:szCs w:val="19"/>
              </w:rPr>
            </w:pPr>
            <w:r>
              <w:rPr>
                <w:sz w:val="19"/>
                <w:szCs w:val="19"/>
              </w:rPr>
              <w:t>20</w:t>
            </w:r>
          </w:p>
        </w:tc>
      </w:tr>
      <w:tr w:rsidR="00CD2A5A">
        <w:tblPrEx>
          <w:tblCellMar>
            <w:top w:w="0" w:type="dxa"/>
            <w:bottom w:w="0" w:type="dxa"/>
          </w:tblCellMar>
        </w:tblPrEx>
        <w:trPr>
          <w:jc w:val="center"/>
        </w:trPr>
        <w:tc>
          <w:tcPr>
            <w:tcW w:w="1073" w:type="dxa"/>
            <w:noWrap/>
            <w:vAlign w:val="center"/>
          </w:tcPr>
          <w:p w:rsidR="00CD2A5A" w:rsidRDefault="00CD2A5A">
            <w:pPr>
              <w:pStyle w:val="Header"/>
              <w:tabs>
                <w:tab w:val="clear" w:pos="4252"/>
              </w:tabs>
              <w:rPr>
                <w:sz w:val="19"/>
                <w:szCs w:val="19"/>
              </w:rPr>
            </w:pPr>
            <w:r>
              <w:rPr>
                <w:sz w:val="19"/>
                <w:szCs w:val="19"/>
              </w:rPr>
              <w:t>9</w:t>
            </w:r>
          </w:p>
        </w:tc>
        <w:tc>
          <w:tcPr>
            <w:tcW w:w="4809" w:type="dxa"/>
            <w:noWrap/>
          </w:tcPr>
          <w:p w:rsidR="00CD2A5A" w:rsidRDefault="00CD2A5A">
            <w:pPr>
              <w:rPr>
                <w:sz w:val="18"/>
                <w:szCs w:val="18"/>
              </w:rPr>
            </w:pPr>
            <w:r>
              <w:rPr>
                <w:sz w:val="18"/>
                <w:szCs w:val="18"/>
              </w:rPr>
              <w:t xml:space="preserve">La Inspección de Trabajo frente a la Implementación exitosa del CAFTA Retos y Compromisos. </w:t>
            </w:r>
          </w:p>
        </w:tc>
        <w:tc>
          <w:tcPr>
            <w:tcW w:w="2268" w:type="dxa"/>
            <w:noWrap/>
            <w:vAlign w:val="center"/>
          </w:tcPr>
          <w:p w:rsidR="00CD2A5A" w:rsidRDefault="00CD2A5A">
            <w:pPr>
              <w:rPr>
                <w:sz w:val="18"/>
                <w:szCs w:val="18"/>
              </w:rPr>
            </w:pPr>
            <w:r>
              <w:rPr>
                <w:sz w:val="18"/>
                <w:szCs w:val="18"/>
              </w:rPr>
              <w:t>20 al 21 de Julio 2005</w:t>
            </w:r>
          </w:p>
        </w:tc>
        <w:tc>
          <w:tcPr>
            <w:tcW w:w="1262" w:type="dxa"/>
            <w:noWrap/>
            <w:vAlign w:val="center"/>
          </w:tcPr>
          <w:p w:rsidR="00CD2A5A" w:rsidRDefault="00CD2A5A">
            <w:pPr>
              <w:ind w:right="397"/>
              <w:jc w:val="right"/>
              <w:rPr>
                <w:sz w:val="19"/>
                <w:szCs w:val="19"/>
              </w:rPr>
            </w:pPr>
            <w:r>
              <w:rPr>
                <w:sz w:val="19"/>
                <w:szCs w:val="19"/>
              </w:rPr>
              <w:t>29</w:t>
            </w: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1</w:t>
            </w:r>
          </w:p>
        </w:tc>
        <w:tc>
          <w:tcPr>
            <w:tcW w:w="4809" w:type="dxa"/>
            <w:noWrap/>
            <w:vAlign w:val="center"/>
          </w:tcPr>
          <w:p w:rsidR="00CD2A5A" w:rsidRDefault="00CD2A5A">
            <w:pPr>
              <w:pStyle w:val="Header"/>
              <w:tabs>
                <w:tab w:val="clear" w:pos="4252"/>
              </w:tabs>
              <w:rPr>
                <w:sz w:val="18"/>
                <w:szCs w:val="18"/>
              </w:rPr>
            </w:pPr>
            <w:r>
              <w:rPr>
                <w:sz w:val="18"/>
                <w:szCs w:val="18"/>
              </w:rPr>
              <w:t xml:space="preserve">El arte de la Posibilidad </w:t>
            </w:r>
          </w:p>
        </w:tc>
        <w:tc>
          <w:tcPr>
            <w:tcW w:w="2268" w:type="dxa"/>
            <w:noWrap/>
            <w:vAlign w:val="center"/>
          </w:tcPr>
          <w:p w:rsidR="00CD2A5A" w:rsidRDefault="00CD2A5A">
            <w:pPr>
              <w:rPr>
                <w:sz w:val="18"/>
                <w:szCs w:val="18"/>
              </w:rPr>
            </w:pPr>
            <w:r>
              <w:rPr>
                <w:sz w:val="18"/>
                <w:szCs w:val="18"/>
              </w:rPr>
              <w:t>10 Y 13 de Agosto 2005  (1G)</w:t>
            </w:r>
          </w:p>
          <w:p w:rsidR="00CD2A5A" w:rsidRDefault="00CD2A5A">
            <w:pPr>
              <w:pStyle w:val="Header"/>
              <w:tabs>
                <w:tab w:val="clear" w:pos="4252"/>
              </w:tabs>
              <w:rPr>
                <w:sz w:val="18"/>
                <w:szCs w:val="18"/>
              </w:rPr>
            </w:pPr>
            <w:r>
              <w:rPr>
                <w:sz w:val="18"/>
                <w:szCs w:val="18"/>
              </w:rPr>
              <w:t>17 Y 20 de Agosto de 2005 (2G)</w:t>
            </w:r>
          </w:p>
        </w:tc>
        <w:tc>
          <w:tcPr>
            <w:tcW w:w="1262" w:type="dxa"/>
            <w:vMerge w:val="restart"/>
            <w:noWrap/>
            <w:vAlign w:val="center"/>
          </w:tcPr>
          <w:p w:rsidR="00CD2A5A" w:rsidRDefault="00CD2A5A">
            <w:pPr>
              <w:ind w:right="397"/>
              <w:jc w:val="right"/>
              <w:rPr>
                <w:sz w:val="19"/>
                <w:szCs w:val="19"/>
              </w:rPr>
            </w:pPr>
            <w:r>
              <w:rPr>
                <w:sz w:val="19"/>
                <w:szCs w:val="19"/>
              </w:rPr>
              <w:t>108</w:t>
            </w: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2</w:t>
            </w:r>
          </w:p>
        </w:tc>
        <w:tc>
          <w:tcPr>
            <w:tcW w:w="4809" w:type="dxa"/>
            <w:noWrap/>
            <w:vAlign w:val="center"/>
          </w:tcPr>
          <w:p w:rsidR="00CD2A5A" w:rsidRDefault="00CD2A5A">
            <w:pPr>
              <w:rPr>
                <w:sz w:val="18"/>
                <w:szCs w:val="18"/>
              </w:rPr>
            </w:pPr>
            <w:r>
              <w:rPr>
                <w:sz w:val="18"/>
                <w:szCs w:val="18"/>
              </w:rPr>
              <w:t>Desarrollo de Habilidades de Trabajo</w:t>
            </w:r>
          </w:p>
        </w:tc>
        <w:tc>
          <w:tcPr>
            <w:tcW w:w="2268" w:type="dxa"/>
            <w:noWrap/>
            <w:vAlign w:val="center"/>
          </w:tcPr>
          <w:p w:rsidR="00CD2A5A" w:rsidRDefault="00CD2A5A">
            <w:pPr>
              <w:rPr>
                <w:sz w:val="18"/>
                <w:szCs w:val="18"/>
              </w:rPr>
            </w:pPr>
            <w:r>
              <w:rPr>
                <w:sz w:val="18"/>
                <w:szCs w:val="18"/>
              </w:rPr>
              <w:t>26 Y 27 de Agosto 2005 (1G)</w:t>
            </w:r>
          </w:p>
          <w:p w:rsidR="00CD2A5A" w:rsidRDefault="00CD2A5A">
            <w:pPr>
              <w:rPr>
                <w:sz w:val="18"/>
                <w:szCs w:val="18"/>
              </w:rPr>
            </w:pPr>
            <w:r>
              <w:rPr>
                <w:sz w:val="18"/>
                <w:szCs w:val="18"/>
              </w:rPr>
              <w:t>02 Y 03 de Septiembre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3</w:t>
            </w:r>
          </w:p>
        </w:tc>
        <w:tc>
          <w:tcPr>
            <w:tcW w:w="4809" w:type="dxa"/>
            <w:noWrap/>
            <w:vAlign w:val="center"/>
          </w:tcPr>
          <w:p w:rsidR="00CD2A5A" w:rsidRDefault="00CD2A5A">
            <w:pPr>
              <w:rPr>
                <w:sz w:val="18"/>
                <w:szCs w:val="18"/>
              </w:rPr>
            </w:pPr>
            <w:r>
              <w:rPr>
                <w:sz w:val="18"/>
                <w:szCs w:val="18"/>
              </w:rPr>
              <w:t>Técnicas de Redacción de Informes Técnicos</w:t>
            </w:r>
          </w:p>
        </w:tc>
        <w:tc>
          <w:tcPr>
            <w:tcW w:w="2268" w:type="dxa"/>
            <w:noWrap/>
            <w:vAlign w:val="center"/>
          </w:tcPr>
          <w:p w:rsidR="00CD2A5A" w:rsidRDefault="00CD2A5A">
            <w:pPr>
              <w:rPr>
                <w:sz w:val="18"/>
                <w:szCs w:val="18"/>
              </w:rPr>
            </w:pPr>
            <w:r>
              <w:rPr>
                <w:sz w:val="18"/>
                <w:szCs w:val="18"/>
              </w:rPr>
              <w:t>09 Y 10 de Septiembre 2005 (1G)</w:t>
            </w:r>
          </w:p>
          <w:p w:rsidR="00CD2A5A" w:rsidRDefault="00CD2A5A">
            <w:pPr>
              <w:rPr>
                <w:sz w:val="18"/>
                <w:szCs w:val="18"/>
              </w:rPr>
            </w:pPr>
            <w:r>
              <w:rPr>
                <w:sz w:val="18"/>
                <w:szCs w:val="18"/>
              </w:rPr>
              <w:t>16 Y 17 de Septiembre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4</w:t>
            </w:r>
          </w:p>
        </w:tc>
        <w:tc>
          <w:tcPr>
            <w:tcW w:w="4809" w:type="dxa"/>
            <w:noWrap/>
            <w:vAlign w:val="center"/>
          </w:tcPr>
          <w:p w:rsidR="00CD2A5A" w:rsidRDefault="00CD2A5A">
            <w:pPr>
              <w:rPr>
                <w:sz w:val="18"/>
                <w:szCs w:val="18"/>
              </w:rPr>
            </w:pPr>
            <w:r>
              <w:rPr>
                <w:sz w:val="18"/>
                <w:szCs w:val="18"/>
              </w:rPr>
              <w:t>Gestión y Mejora de la Calidad del Servicio</w:t>
            </w:r>
          </w:p>
        </w:tc>
        <w:tc>
          <w:tcPr>
            <w:tcW w:w="2268" w:type="dxa"/>
            <w:noWrap/>
            <w:vAlign w:val="center"/>
          </w:tcPr>
          <w:p w:rsidR="00CD2A5A" w:rsidRDefault="00CD2A5A">
            <w:pPr>
              <w:rPr>
                <w:sz w:val="18"/>
                <w:szCs w:val="18"/>
              </w:rPr>
            </w:pPr>
            <w:r>
              <w:rPr>
                <w:sz w:val="18"/>
                <w:szCs w:val="18"/>
              </w:rPr>
              <w:t>30 Sept. y 01 Octubre 2005 (1G)</w:t>
            </w:r>
          </w:p>
          <w:p w:rsidR="00CD2A5A" w:rsidRDefault="00CD2A5A">
            <w:pPr>
              <w:rPr>
                <w:sz w:val="18"/>
                <w:szCs w:val="18"/>
              </w:rPr>
            </w:pPr>
            <w:r>
              <w:rPr>
                <w:sz w:val="18"/>
                <w:szCs w:val="18"/>
              </w:rPr>
              <w:t>07 y 08 de Octubre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5</w:t>
            </w:r>
          </w:p>
        </w:tc>
        <w:tc>
          <w:tcPr>
            <w:tcW w:w="4809" w:type="dxa"/>
            <w:noWrap/>
            <w:vAlign w:val="center"/>
          </w:tcPr>
          <w:p w:rsidR="00CD2A5A" w:rsidRDefault="00CD2A5A">
            <w:pPr>
              <w:pStyle w:val="Header"/>
              <w:tabs>
                <w:tab w:val="clear" w:pos="4252"/>
              </w:tabs>
              <w:rPr>
                <w:sz w:val="18"/>
                <w:szCs w:val="18"/>
              </w:rPr>
            </w:pPr>
            <w:r>
              <w:rPr>
                <w:sz w:val="18"/>
                <w:szCs w:val="18"/>
              </w:rPr>
              <w:t>Formación y Dirección de Equipos Efectivos</w:t>
            </w:r>
          </w:p>
        </w:tc>
        <w:tc>
          <w:tcPr>
            <w:tcW w:w="2268" w:type="dxa"/>
            <w:noWrap/>
            <w:vAlign w:val="center"/>
          </w:tcPr>
          <w:p w:rsidR="00CD2A5A" w:rsidRDefault="00CD2A5A">
            <w:pPr>
              <w:rPr>
                <w:sz w:val="18"/>
                <w:szCs w:val="18"/>
              </w:rPr>
            </w:pPr>
            <w:r>
              <w:rPr>
                <w:sz w:val="18"/>
                <w:szCs w:val="18"/>
              </w:rPr>
              <w:t>14 y 15 de Octubre 2005 (1G)</w:t>
            </w:r>
          </w:p>
          <w:p w:rsidR="00CD2A5A" w:rsidRDefault="00CD2A5A">
            <w:pPr>
              <w:rPr>
                <w:sz w:val="18"/>
                <w:szCs w:val="18"/>
              </w:rPr>
            </w:pPr>
            <w:r>
              <w:rPr>
                <w:sz w:val="18"/>
                <w:szCs w:val="18"/>
              </w:rPr>
              <w:t>21 y 22 de Octubre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6</w:t>
            </w:r>
          </w:p>
        </w:tc>
        <w:tc>
          <w:tcPr>
            <w:tcW w:w="4809" w:type="dxa"/>
            <w:noWrap/>
            <w:vAlign w:val="center"/>
          </w:tcPr>
          <w:p w:rsidR="00CD2A5A" w:rsidRDefault="00CD2A5A">
            <w:pPr>
              <w:rPr>
                <w:sz w:val="18"/>
                <w:szCs w:val="18"/>
              </w:rPr>
            </w:pPr>
            <w:r>
              <w:rPr>
                <w:sz w:val="18"/>
                <w:szCs w:val="18"/>
              </w:rPr>
              <w:t>Sistema de Información Gerencial I</w:t>
            </w:r>
          </w:p>
        </w:tc>
        <w:tc>
          <w:tcPr>
            <w:tcW w:w="2268" w:type="dxa"/>
            <w:noWrap/>
            <w:vAlign w:val="center"/>
          </w:tcPr>
          <w:p w:rsidR="00CD2A5A" w:rsidRDefault="00CD2A5A">
            <w:pPr>
              <w:rPr>
                <w:sz w:val="18"/>
                <w:szCs w:val="18"/>
              </w:rPr>
            </w:pPr>
            <w:r>
              <w:rPr>
                <w:sz w:val="18"/>
                <w:szCs w:val="18"/>
              </w:rPr>
              <w:t>28 y 29 de Octubre 2005 (1G)</w:t>
            </w:r>
          </w:p>
          <w:p w:rsidR="00CD2A5A" w:rsidRDefault="00CD2A5A">
            <w:pPr>
              <w:rPr>
                <w:sz w:val="18"/>
                <w:szCs w:val="18"/>
              </w:rPr>
            </w:pPr>
            <w:r>
              <w:rPr>
                <w:sz w:val="18"/>
                <w:szCs w:val="18"/>
              </w:rPr>
              <w:t>04 y 05 de Noviembre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7</w:t>
            </w:r>
          </w:p>
        </w:tc>
        <w:tc>
          <w:tcPr>
            <w:tcW w:w="4809" w:type="dxa"/>
            <w:noWrap/>
            <w:vAlign w:val="center"/>
          </w:tcPr>
          <w:p w:rsidR="00CD2A5A" w:rsidRDefault="00CD2A5A">
            <w:pPr>
              <w:pStyle w:val="Header"/>
              <w:tabs>
                <w:tab w:val="clear" w:pos="4252"/>
              </w:tabs>
              <w:rPr>
                <w:sz w:val="18"/>
                <w:szCs w:val="18"/>
              </w:rPr>
            </w:pPr>
            <w:r>
              <w:rPr>
                <w:sz w:val="18"/>
                <w:szCs w:val="18"/>
              </w:rPr>
              <w:t>Sistema de Información Gerencial II</w:t>
            </w:r>
          </w:p>
        </w:tc>
        <w:tc>
          <w:tcPr>
            <w:tcW w:w="2268" w:type="dxa"/>
            <w:noWrap/>
            <w:vAlign w:val="center"/>
          </w:tcPr>
          <w:p w:rsidR="00CD2A5A" w:rsidRDefault="00CD2A5A">
            <w:pPr>
              <w:rPr>
                <w:sz w:val="18"/>
                <w:szCs w:val="18"/>
              </w:rPr>
            </w:pPr>
            <w:r>
              <w:rPr>
                <w:sz w:val="18"/>
                <w:szCs w:val="18"/>
              </w:rPr>
              <w:t>25 y 26 de Noviembre 2005 (1G)</w:t>
            </w:r>
          </w:p>
          <w:p w:rsidR="00CD2A5A" w:rsidRDefault="00CD2A5A">
            <w:pPr>
              <w:rPr>
                <w:sz w:val="18"/>
                <w:szCs w:val="18"/>
              </w:rPr>
            </w:pPr>
            <w:r>
              <w:rPr>
                <w:sz w:val="18"/>
                <w:szCs w:val="18"/>
              </w:rPr>
              <w:t>02 y 03 de Diciembre 2005(2G)</w:t>
            </w:r>
          </w:p>
        </w:tc>
        <w:tc>
          <w:tcPr>
            <w:tcW w:w="1262" w:type="dxa"/>
            <w:vMerge/>
            <w:noWrap/>
            <w:vAlign w:val="center"/>
          </w:tcPr>
          <w:p w:rsidR="00CD2A5A" w:rsidRDefault="00CD2A5A">
            <w:pPr>
              <w:pStyle w:val="Header"/>
              <w:tabs>
                <w:tab w:val="clear" w:pos="4252"/>
              </w:tabs>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8</w:t>
            </w:r>
          </w:p>
        </w:tc>
        <w:tc>
          <w:tcPr>
            <w:tcW w:w="4809" w:type="dxa"/>
            <w:noWrap/>
            <w:vAlign w:val="center"/>
          </w:tcPr>
          <w:p w:rsidR="00CD2A5A" w:rsidRDefault="00CD2A5A">
            <w:pPr>
              <w:rPr>
                <w:sz w:val="18"/>
                <w:szCs w:val="18"/>
              </w:rPr>
            </w:pPr>
            <w:r>
              <w:rPr>
                <w:sz w:val="18"/>
                <w:szCs w:val="18"/>
              </w:rPr>
              <w:t>Modelo de Servicio Atención al Usuario I</w:t>
            </w:r>
          </w:p>
        </w:tc>
        <w:tc>
          <w:tcPr>
            <w:tcW w:w="2268" w:type="dxa"/>
            <w:noWrap/>
            <w:vAlign w:val="center"/>
          </w:tcPr>
          <w:p w:rsidR="00CD2A5A" w:rsidRDefault="00CD2A5A">
            <w:pPr>
              <w:rPr>
                <w:sz w:val="18"/>
                <w:szCs w:val="18"/>
              </w:rPr>
            </w:pPr>
            <w:r>
              <w:rPr>
                <w:sz w:val="18"/>
                <w:szCs w:val="18"/>
              </w:rPr>
              <w:t>11 y 12 de Noviembre 2005 (1G)</w:t>
            </w:r>
          </w:p>
          <w:p w:rsidR="00CD2A5A" w:rsidRDefault="00CD2A5A">
            <w:pPr>
              <w:rPr>
                <w:sz w:val="18"/>
                <w:szCs w:val="18"/>
              </w:rPr>
            </w:pPr>
            <w:r>
              <w:rPr>
                <w:sz w:val="18"/>
                <w:szCs w:val="18"/>
              </w:rPr>
              <w:t>18y 19 de Noviembre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cantSplit/>
          <w:jc w:val="center"/>
        </w:trPr>
        <w:tc>
          <w:tcPr>
            <w:tcW w:w="1073" w:type="dxa"/>
            <w:noWrap/>
          </w:tcPr>
          <w:p w:rsidR="00CD2A5A" w:rsidRDefault="00CD2A5A">
            <w:pPr>
              <w:pStyle w:val="Header"/>
              <w:tabs>
                <w:tab w:val="clear" w:pos="4252"/>
              </w:tabs>
              <w:rPr>
                <w:sz w:val="19"/>
                <w:szCs w:val="19"/>
              </w:rPr>
            </w:pPr>
            <w:r>
              <w:rPr>
                <w:sz w:val="19"/>
                <w:szCs w:val="19"/>
              </w:rPr>
              <w:t>9</w:t>
            </w:r>
          </w:p>
        </w:tc>
        <w:tc>
          <w:tcPr>
            <w:tcW w:w="4809" w:type="dxa"/>
            <w:noWrap/>
            <w:vAlign w:val="center"/>
          </w:tcPr>
          <w:p w:rsidR="00CD2A5A" w:rsidRDefault="00CD2A5A">
            <w:pPr>
              <w:rPr>
                <w:sz w:val="18"/>
                <w:szCs w:val="18"/>
              </w:rPr>
            </w:pPr>
            <w:r>
              <w:rPr>
                <w:sz w:val="18"/>
                <w:szCs w:val="18"/>
              </w:rPr>
              <w:t>Modelo de Servicio Atención al Usuario II</w:t>
            </w:r>
          </w:p>
        </w:tc>
        <w:tc>
          <w:tcPr>
            <w:tcW w:w="2268" w:type="dxa"/>
            <w:noWrap/>
            <w:vAlign w:val="center"/>
          </w:tcPr>
          <w:p w:rsidR="00CD2A5A" w:rsidRDefault="00CD2A5A">
            <w:pPr>
              <w:rPr>
                <w:sz w:val="18"/>
                <w:szCs w:val="18"/>
              </w:rPr>
            </w:pPr>
            <w:r>
              <w:rPr>
                <w:sz w:val="18"/>
                <w:szCs w:val="18"/>
              </w:rPr>
              <w:t>09 y 15 de Diciembre 2005  (1G)</w:t>
            </w:r>
          </w:p>
          <w:p w:rsidR="00CD2A5A" w:rsidRDefault="00CD2A5A">
            <w:pPr>
              <w:rPr>
                <w:sz w:val="18"/>
                <w:szCs w:val="18"/>
              </w:rPr>
            </w:pPr>
            <w:r>
              <w:rPr>
                <w:sz w:val="18"/>
                <w:szCs w:val="18"/>
              </w:rPr>
              <w:t>16 y 17 de Diciembre 2005 (2G)</w:t>
            </w:r>
          </w:p>
        </w:tc>
        <w:tc>
          <w:tcPr>
            <w:tcW w:w="1262" w:type="dxa"/>
            <w:vMerge/>
            <w:noWrap/>
            <w:vAlign w:val="center"/>
          </w:tcPr>
          <w:p w:rsidR="00CD2A5A" w:rsidRDefault="00CD2A5A">
            <w:pPr>
              <w:rPr>
                <w:sz w:val="19"/>
                <w:szCs w:val="19"/>
              </w:rPr>
            </w:pPr>
          </w:p>
        </w:tc>
      </w:tr>
      <w:tr w:rsidR="00CD2A5A">
        <w:tblPrEx>
          <w:tblCellMar>
            <w:top w:w="0" w:type="dxa"/>
            <w:bottom w:w="0" w:type="dxa"/>
          </w:tblCellMar>
        </w:tblPrEx>
        <w:trPr>
          <w:jc w:val="center"/>
        </w:trPr>
        <w:tc>
          <w:tcPr>
            <w:tcW w:w="8150" w:type="dxa"/>
            <w:gridSpan w:val="3"/>
            <w:noWrap/>
          </w:tcPr>
          <w:p w:rsidR="00CD2A5A" w:rsidRDefault="00CD2A5A">
            <w:pPr>
              <w:pStyle w:val="Heading1"/>
              <w:jc w:val="left"/>
              <w:rPr>
                <w:color w:val="auto"/>
                <w:sz w:val="20"/>
                <w:szCs w:val="20"/>
              </w:rPr>
            </w:pPr>
            <w:r>
              <w:rPr>
                <w:color w:val="auto"/>
                <w:sz w:val="20"/>
                <w:szCs w:val="20"/>
              </w:rPr>
              <w:t xml:space="preserve">Total de Participantes </w:t>
            </w:r>
          </w:p>
        </w:tc>
        <w:tc>
          <w:tcPr>
            <w:tcW w:w="1262" w:type="dxa"/>
            <w:noWrap/>
            <w:vAlign w:val="center"/>
          </w:tcPr>
          <w:p w:rsidR="00CD2A5A" w:rsidRDefault="00CD2A5A">
            <w:pPr>
              <w:ind w:right="908"/>
              <w:jc w:val="right"/>
              <w:rPr>
                <w:b/>
                <w:bCs/>
                <w:sz w:val="20"/>
                <w:szCs w:val="20"/>
              </w:rPr>
            </w:pPr>
            <w:r>
              <w:rPr>
                <w:b/>
                <w:bCs/>
                <w:sz w:val="20"/>
                <w:szCs w:val="20"/>
              </w:rPr>
              <w:t>356</w:t>
            </w:r>
          </w:p>
        </w:tc>
      </w:tr>
    </w:tbl>
    <w:p w:rsidR="00CD2A5A" w:rsidRDefault="00CD2A5A">
      <w:pPr>
        <w:spacing w:after="240"/>
        <w:rPr>
          <w:b/>
          <w:bCs/>
          <w:sz w:val="20"/>
          <w:szCs w:val="20"/>
        </w:rPr>
      </w:pPr>
    </w:p>
    <w:p w:rsidR="00CD2A5A" w:rsidRDefault="00CD2A5A">
      <w:pPr>
        <w:spacing w:after="240"/>
        <w:rPr>
          <w:b/>
          <w:bCs/>
          <w:sz w:val="20"/>
          <w:szCs w:val="20"/>
        </w:rPr>
      </w:pPr>
    </w:p>
    <w:p w:rsidR="00CD2A5A" w:rsidRDefault="00CD2A5A">
      <w:pPr>
        <w:spacing w:after="240"/>
        <w:rPr>
          <w:b/>
          <w:bCs/>
          <w:sz w:val="20"/>
          <w:szCs w:val="20"/>
        </w:rPr>
      </w:pPr>
    </w:p>
    <w:p w:rsidR="00CD2A5A" w:rsidRDefault="00CD2A5A">
      <w:pPr>
        <w:spacing w:after="240"/>
        <w:rPr>
          <w:b/>
          <w:bCs/>
          <w:sz w:val="20"/>
          <w:szCs w:val="20"/>
        </w:rPr>
      </w:pPr>
    </w:p>
    <w:p w:rsidR="00CD2A5A" w:rsidRDefault="00CD2A5A">
      <w:pPr>
        <w:spacing w:after="240"/>
        <w:jc w:val="center"/>
      </w:pPr>
      <w:r>
        <w:rPr>
          <w:b/>
          <w:bCs/>
        </w:rPr>
        <w:t>“Programa de Desarrollo Continuo para Inspectores”,  Año 2006</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65"/>
        <w:gridCol w:w="3889"/>
        <w:gridCol w:w="2403"/>
        <w:gridCol w:w="2155"/>
      </w:tblGrid>
      <w:tr w:rsidR="00CD2A5A">
        <w:tblPrEx>
          <w:tblCellMar>
            <w:top w:w="0" w:type="dxa"/>
            <w:bottom w:w="0" w:type="dxa"/>
          </w:tblCellMar>
        </w:tblPrEx>
        <w:trPr>
          <w:jc w:val="center"/>
        </w:trPr>
        <w:tc>
          <w:tcPr>
            <w:tcW w:w="1330" w:type="dxa"/>
            <w:vAlign w:val="center"/>
          </w:tcPr>
          <w:p w:rsidR="00CD2A5A" w:rsidRDefault="00CD2A5A">
            <w:pPr>
              <w:spacing w:before="20" w:after="20"/>
              <w:jc w:val="center"/>
              <w:rPr>
                <w:b/>
                <w:bCs/>
                <w:i/>
                <w:sz w:val="20"/>
                <w:szCs w:val="20"/>
              </w:rPr>
            </w:pPr>
            <w:r>
              <w:rPr>
                <w:b/>
                <w:bCs/>
                <w:i/>
                <w:sz w:val="20"/>
                <w:szCs w:val="20"/>
              </w:rPr>
              <w:t>Numero</w:t>
            </w:r>
          </w:p>
        </w:tc>
        <w:tc>
          <w:tcPr>
            <w:tcW w:w="5580" w:type="dxa"/>
            <w:vAlign w:val="center"/>
          </w:tcPr>
          <w:p w:rsidR="00CD2A5A" w:rsidRDefault="00CD2A5A">
            <w:pPr>
              <w:spacing w:before="20" w:after="20"/>
              <w:jc w:val="center"/>
              <w:rPr>
                <w:b/>
                <w:bCs/>
                <w:i/>
                <w:sz w:val="20"/>
                <w:szCs w:val="20"/>
              </w:rPr>
            </w:pPr>
            <w:r>
              <w:rPr>
                <w:b/>
                <w:bCs/>
                <w:i/>
                <w:sz w:val="20"/>
                <w:szCs w:val="20"/>
              </w:rPr>
              <w:t>Nombre</w:t>
            </w:r>
          </w:p>
        </w:tc>
        <w:tc>
          <w:tcPr>
            <w:tcW w:w="3420" w:type="dxa"/>
            <w:vAlign w:val="center"/>
          </w:tcPr>
          <w:p w:rsidR="00CD2A5A" w:rsidRDefault="00CD2A5A">
            <w:pPr>
              <w:spacing w:before="20" w:after="20"/>
              <w:jc w:val="center"/>
              <w:rPr>
                <w:b/>
                <w:bCs/>
                <w:i/>
                <w:sz w:val="20"/>
                <w:szCs w:val="20"/>
              </w:rPr>
            </w:pPr>
            <w:r>
              <w:rPr>
                <w:b/>
                <w:bCs/>
                <w:i/>
                <w:sz w:val="20"/>
                <w:szCs w:val="20"/>
              </w:rPr>
              <w:t>Fecha</w:t>
            </w:r>
          </w:p>
        </w:tc>
        <w:tc>
          <w:tcPr>
            <w:tcW w:w="3060" w:type="dxa"/>
            <w:vAlign w:val="center"/>
          </w:tcPr>
          <w:p w:rsidR="00CD2A5A" w:rsidRDefault="00CD2A5A">
            <w:pPr>
              <w:spacing w:before="20" w:after="20"/>
              <w:jc w:val="center"/>
              <w:rPr>
                <w:b/>
                <w:bCs/>
                <w:i/>
                <w:sz w:val="20"/>
                <w:szCs w:val="20"/>
              </w:rPr>
            </w:pPr>
            <w:r>
              <w:rPr>
                <w:b/>
                <w:bCs/>
                <w:i/>
                <w:sz w:val="20"/>
                <w:szCs w:val="20"/>
              </w:rPr>
              <w:t>Numero de participantes</w:t>
            </w:r>
          </w:p>
        </w:tc>
      </w:tr>
      <w:tr w:rsidR="00CD2A5A">
        <w:tblPrEx>
          <w:tblCellMar>
            <w:top w:w="0" w:type="dxa"/>
            <w:bottom w:w="0" w:type="dxa"/>
          </w:tblCellMar>
        </w:tblPrEx>
        <w:trPr>
          <w:cantSplit/>
          <w:jc w:val="center"/>
        </w:trPr>
        <w:tc>
          <w:tcPr>
            <w:tcW w:w="1330" w:type="dxa"/>
            <w:vAlign w:val="center"/>
          </w:tcPr>
          <w:p w:rsidR="00CD2A5A" w:rsidRDefault="00CD2A5A">
            <w:pPr>
              <w:spacing w:before="20" w:after="20"/>
              <w:rPr>
                <w:sz w:val="20"/>
                <w:szCs w:val="20"/>
              </w:rPr>
            </w:pPr>
            <w:r>
              <w:rPr>
                <w:sz w:val="20"/>
                <w:szCs w:val="20"/>
              </w:rPr>
              <w:t>1</w:t>
            </w:r>
          </w:p>
        </w:tc>
        <w:tc>
          <w:tcPr>
            <w:tcW w:w="5580" w:type="dxa"/>
          </w:tcPr>
          <w:p w:rsidR="00CD2A5A" w:rsidRDefault="00CD2A5A">
            <w:pPr>
              <w:spacing w:before="20" w:after="20"/>
              <w:rPr>
                <w:sz w:val="20"/>
                <w:szCs w:val="20"/>
              </w:rPr>
            </w:pPr>
            <w:r>
              <w:rPr>
                <w:sz w:val="20"/>
                <w:szCs w:val="20"/>
              </w:rPr>
              <w:t>Sistema de Inspección de Trabajo Básico</w:t>
            </w:r>
          </w:p>
        </w:tc>
        <w:tc>
          <w:tcPr>
            <w:tcW w:w="3420" w:type="dxa"/>
          </w:tcPr>
          <w:p w:rsidR="00CD2A5A" w:rsidRDefault="00CD2A5A">
            <w:pPr>
              <w:spacing w:before="20" w:after="20"/>
              <w:rPr>
                <w:sz w:val="20"/>
                <w:szCs w:val="20"/>
              </w:rPr>
            </w:pPr>
            <w:r>
              <w:rPr>
                <w:sz w:val="20"/>
                <w:szCs w:val="20"/>
              </w:rPr>
              <w:t>19 y 20 de Enero 2006 (1G)</w:t>
            </w:r>
          </w:p>
          <w:p w:rsidR="00CD2A5A" w:rsidRDefault="00CD2A5A">
            <w:pPr>
              <w:spacing w:before="20" w:after="20"/>
              <w:rPr>
                <w:sz w:val="20"/>
                <w:szCs w:val="20"/>
              </w:rPr>
            </w:pPr>
            <w:r>
              <w:rPr>
                <w:sz w:val="20"/>
                <w:szCs w:val="20"/>
              </w:rPr>
              <w:t>27 y 28 de Enero 2006 (2G)</w:t>
            </w:r>
          </w:p>
        </w:tc>
        <w:tc>
          <w:tcPr>
            <w:tcW w:w="3060" w:type="dxa"/>
            <w:vMerge w:val="restart"/>
            <w:vAlign w:val="center"/>
          </w:tcPr>
          <w:p w:rsidR="00CD2A5A" w:rsidRDefault="00CD2A5A">
            <w:pPr>
              <w:spacing w:before="20" w:after="20"/>
              <w:ind w:right="1050"/>
              <w:jc w:val="right"/>
              <w:rPr>
                <w:sz w:val="20"/>
                <w:szCs w:val="20"/>
              </w:rPr>
            </w:pPr>
            <w:r>
              <w:rPr>
                <w:sz w:val="20"/>
                <w:szCs w:val="20"/>
              </w:rPr>
              <w:t>60</w:t>
            </w:r>
          </w:p>
        </w:tc>
      </w:tr>
      <w:tr w:rsidR="00CD2A5A">
        <w:tblPrEx>
          <w:tblCellMar>
            <w:top w:w="0" w:type="dxa"/>
            <w:bottom w:w="0" w:type="dxa"/>
          </w:tblCellMar>
        </w:tblPrEx>
        <w:trPr>
          <w:cantSplit/>
          <w:jc w:val="center"/>
        </w:trPr>
        <w:tc>
          <w:tcPr>
            <w:tcW w:w="1330" w:type="dxa"/>
            <w:vAlign w:val="center"/>
          </w:tcPr>
          <w:p w:rsidR="00CD2A5A" w:rsidRDefault="00CD2A5A">
            <w:pPr>
              <w:spacing w:before="20" w:after="20"/>
              <w:rPr>
                <w:sz w:val="20"/>
                <w:szCs w:val="20"/>
              </w:rPr>
            </w:pPr>
            <w:r>
              <w:rPr>
                <w:sz w:val="20"/>
                <w:szCs w:val="20"/>
              </w:rPr>
              <w:t>2</w:t>
            </w:r>
          </w:p>
        </w:tc>
        <w:tc>
          <w:tcPr>
            <w:tcW w:w="5580" w:type="dxa"/>
          </w:tcPr>
          <w:p w:rsidR="00CD2A5A" w:rsidRDefault="00CD2A5A">
            <w:pPr>
              <w:spacing w:before="20" w:after="20"/>
              <w:rPr>
                <w:sz w:val="20"/>
                <w:szCs w:val="20"/>
              </w:rPr>
            </w:pPr>
            <w:r>
              <w:rPr>
                <w:sz w:val="20"/>
                <w:szCs w:val="20"/>
              </w:rPr>
              <w:t>Sistema de Inspección de Trabajo Intermedio</w:t>
            </w:r>
          </w:p>
        </w:tc>
        <w:tc>
          <w:tcPr>
            <w:tcW w:w="3420" w:type="dxa"/>
          </w:tcPr>
          <w:p w:rsidR="00CD2A5A" w:rsidRDefault="00CD2A5A">
            <w:pPr>
              <w:spacing w:before="20" w:after="20"/>
              <w:rPr>
                <w:sz w:val="20"/>
                <w:szCs w:val="20"/>
              </w:rPr>
            </w:pPr>
            <w:r>
              <w:rPr>
                <w:sz w:val="20"/>
                <w:szCs w:val="20"/>
              </w:rPr>
              <w:t>02 y 03 de Febrero 2006 (1G)</w:t>
            </w:r>
          </w:p>
          <w:p w:rsidR="00CD2A5A" w:rsidRDefault="00CD2A5A">
            <w:pPr>
              <w:spacing w:before="20" w:after="20"/>
              <w:rPr>
                <w:sz w:val="20"/>
                <w:szCs w:val="20"/>
              </w:rPr>
            </w:pPr>
            <w:r>
              <w:rPr>
                <w:sz w:val="20"/>
                <w:szCs w:val="20"/>
              </w:rPr>
              <w:t>09 y 10 de Febrero 2006 (2G)</w:t>
            </w:r>
          </w:p>
        </w:tc>
        <w:tc>
          <w:tcPr>
            <w:tcW w:w="3060" w:type="dxa"/>
            <w:vMerge/>
          </w:tcPr>
          <w:p w:rsidR="00CD2A5A" w:rsidRDefault="00CD2A5A">
            <w:pPr>
              <w:spacing w:before="20" w:after="20"/>
              <w:ind w:right="1050"/>
              <w:jc w:val="right"/>
              <w:rPr>
                <w:sz w:val="20"/>
                <w:szCs w:val="20"/>
              </w:rPr>
            </w:pPr>
          </w:p>
        </w:tc>
      </w:tr>
      <w:tr w:rsidR="00CD2A5A">
        <w:tblPrEx>
          <w:tblCellMar>
            <w:top w:w="0" w:type="dxa"/>
            <w:bottom w:w="0" w:type="dxa"/>
          </w:tblCellMar>
        </w:tblPrEx>
        <w:trPr>
          <w:cantSplit/>
          <w:jc w:val="center"/>
        </w:trPr>
        <w:tc>
          <w:tcPr>
            <w:tcW w:w="1330" w:type="dxa"/>
            <w:vAlign w:val="center"/>
          </w:tcPr>
          <w:p w:rsidR="00CD2A5A" w:rsidRDefault="00CD2A5A">
            <w:pPr>
              <w:spacing w:before="20" w:after="20"/>
              <w:rPr>
                <w:sz w:val="20"/>
                <w:szCs w:val="20"/>
              </w:rPr>
            </w:pPr>
            <w:r>
              <w:rPr>
                <w:sz w:val="20"/>
                <w:szCs w:val="20"/>
              </w:rPr>
              <w:t>3</w:t>
            </w:r>
          </w:p>
        </w:tc>
        <w:tc>
          <w:tcPr>
            <w:tcW w:w="5580" w:type="dxa"/>
          </w:tcPr>
          <w:p w:rsidR="00CD2A5A" w:rsidRDefault="00CD2A5A">
            <w:pPr>
              <w:spacing w:before="20" w:after="20"/>
              <w:rPr>
                <w:sz w:val="20"/>
                <w:szCs w:val="20"/>
              </w:rPr>
            </w:pPr>
            <w:r>
              <w:rPr>
                <w:sz w:val="20"/>
                <w:szCs w:val="20"/>
              </w:rPr>
              <w:t xml:space="preserve">Sistema de Inspección de Trabajo Avanzado </w:t>
            </w:r>
          </w:p>
        </w:tc>
        <w:tc>
          <w:tcPr>
            <w:tcW w:w="3420" w:type="dxa"/>
          </w:tcPr>
          <w:p w:rsidR="00CD2A5A" w:rsidRDefault="00CD2A5A">
            <w:pPr>
              <w:spacing w:before="20" w:after="20"/>
              <w:rPr>
                <w:sz w:val="20"/>
                <w:szCs w:val="20"/>
              </w:rPr>
            </w:pPr>
            <w:r>
              <w:rPr>
                <w:sz w:val="20"/>
                <w:szCs w:val="20"/>
              </w:rPr>
              <w:t>16 de Febrero 2006 (1G)</w:t>
            </w:r>
          </w:p>
          <w:p w:rsidR="00CD2A5A" w:rsidRDefault="00CD2A5A">
            <w:pPr>
              <w:spacing w:before="20" w:after="20"/>
              <w:rPr>
                <w:sz w:val="20"/>
                <w:szCs w:val="20"/>
              </w:rPr>
            </w:pPr>
            <w:r>
              <w:rPr>
                <w:sz w:val="20"/>
                <w:szCs w:val="20"/>
              </w:rPr>
              <w:t>17 de Febrero 2006(2G)</w:t>
            </w:r>
          </w:p>
        </w:tc>
        <w:tc>
          <w:tcPr>
            <w:tcW w:w="3060" w:type="dxa"/>
            <w:vMerge/>
          </w:tcPr>
          <w:p w:rsidR="00CD2A5A" w:rsidRDefault="00CD2A5A">
            <w:pPr>
              <w:spacing w:before="20" w:after="20"/>
              <w:ind w:right="1050"/>
              <w:jc w:val="right"/>
              <w:rPr>
                <w:sz w:val="20"/>
                <w:szCs w:val="20"/>
              </w:rPr>
            </w:pPr>
          </w:p>
        </w:tc>
      </w:tr>
      <w:tr w:rsidR="00CD2A5A">
        <w:tblPrEx>
          <w:tblCellMar>
            <w:top w:w="0" w:type="dxa"/>
            <w:bottom w:w="0" w:type="dxa"/>
          </w:tblCellMar>
        </w:tblPrEx>
        <w:trPr>
          <w:cantSplit/>
          <w:jc w:val="center"/>
        </w:trPr>
        <w:tc>
          <w:tcPr>
            <w:tcW w:w="1330" w:type="dxa"/>
            <w:vAlign w:val="center"/>
          </w:tcPr>
          <w:p w:rsidR="00CD2A5A" w:rsidRDefault="00CD2A5A">
            <w:pPr>
              <w:spacing w:before="20" w:after="20"/>
              <w:rPr>
                <w:sz w:val="20"/>
                <w:szCs w:val="20"/>
              </w:rPr>
            </w:pPr>
            <w:r>
              <w:rPr>
                <w:sz w:val="20"/>
                <w:szCs w:val="20"/>
              </w:rPr>
              <w:t>4</w:t>
            </w:r>
          </w:p>
        </w:tc>
        <w:tc>
          <w:tcPr>
            <w:tcW w:w="5580" w:type="dxa"/>
          </w:tcPr>
          <w:p w:rsidR="00CD2A5A" w:rsidRDefault="00CD2A5A">
            <w:pPr>
              <w:spacing w:before="20" w:after="20"/>
              <w:rPr>
                <w:sz w:val="20"/>
                <w:szCs w:val="20"/>
              </w:rPr>
            </w:pPr>
            <w:r>
              <w:rPr>
                <w:sz w:val="20"/>
                <w:szCs w:val="20"/>
              </w:rPr>
              <w:t>Reingeniería de Procesos</w:t>
            </w:r>
          </w:p>
        </w:tc>
        <w:tc>
          <w:tcPr>
            <w:tcW w:w="3420" w:type="dxa"/>
          </w:tcPr>
          <w:p w:rsidR="00CD2A5A" w:rsidRDefault="00CD2A5A">
            <w:pPr>
              <w:spacing w:before="20" w:after="20"/>
              <w:rPr>
                <w:sz w:val="20"/>
                <w:szCs w:val="20"/>
              </w:rPr>
            </w:pPr>
            <w:r>
              <w:rPr>
                <w:sz w:val="20"/>
                <w:szCs w:val="20"/>
              </w:rPr>
              <w:t>23 y 24 de Febrero 2006 (1G)</w:t>
            </w:r>
          </w:p>
          <w:p w:rsidR="00CD2A5A" w:rsidRDefault="00CD2A5A">
            <w:pPr>
              <w:spacing w:before="20" w:after="20"/>
              <w:rPr>
                <w:sz w:val="20"/>
                <w:szCs w:val="20"/>
              </w:rPr>
            </w:pPr>
            <w:r>
              <w:rPr>
                <w:sz w:val="20"/>
                <w:szCs w:val="20"/>
              </w:rPr>
              <w:t>02 y 03 de Marzo 2006 (2G)</w:t>
            </w:r>
          </w:p>
        </w:tc>
        <w:tc>
          <w:tcPr>
            <w:tcW w:w="3060" w:type="dxa"/>
            <w:vMerge/>
          </w:tcPr>
          <w:p w:rsidR="00CD2A5A" w:rsidRDefault="00CD2A5A">
            <w:pPr>
              <w:spacing w:before="20" w:after="20"/>
              <w:ind w:right="1050"/>
              <w:jc w:val="right"/>
              <w:rPr>
                <w:sz w:val="20"/>
                <w:szCs w:val="20"/>
              </w:rPr>
            </w:pP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5</w:t>
            </w:r>
          </w:p>
        </w:tc>
        <w:tc>
          <w:tcPr>
            <w:tcW w:w="5580" w:type="dxa"/>
            <w:vAlign w:val="center"/>
          </w:tcPr>
          <w:p w:rsidR="00CD2A5A" w:rsidRDefault="00CD2A5A">
            <w:pPr>
              <w:pStyle w:val="Header"/>
              <w:tabs>
                <w:tab w:val="clear" w:pos="4252"/>
              </w:tabs>
              <w:spacing w:before="20" w:after="20"/>
              <w:rPr>
                <w:sz w:val="20"/>
                <w:szCs w:val="20"/>
              </w:rPr>
            </w:pPr>
            <w:r>
              <w:rPr>
                <w:sz w:val="20"/>
                <w:szCs w:val="20"/>
              </w:rPr>
              <w:t>La Discriminación en el Trabajo (FLA)</w:t>
            </w:r>
          </w:p>
        </w:tc>
        <w:tc>
          <w:tcPr>
            <w:tcW w:w="3420" w:type="dxa"/>
            <w:vAlign w:val="center"/>
          </w:tcPr>
          <w:p w:rsidR="00CD2A5A" w:rsidRDefault="00CD2A5A">
            <w:pPr>
              <w:spacing w:before="20" w:after="20"/>
              <w:rPr>
                <w:sz w:val="20"/>
                <w:szCs w:val="20"/>
              </w:rPr>
            </w:pPr>
            <w:r>
              <w:rPr>
                <w:sz w:val="20"/>
                <w:szCs w:val="20"/>
              </w:rPr>
              <w:t>18 y 19 de Mayo 2006</w:t>
            </w:r>
          </w:p>
        </w:tc>
        <w:tc>
          <w:tcPr>
            <w:tcW w:w="3060" w:type="dxa"/>
            <w:vAlign w:val="center"/>
          </w:tcPr>
          <w:p w:rsidR="00CD2A5A" w:rsidRDefault="00CD2A5A">
            <w:pPr>
              <w:spacing w:before="20" w:after="20"/>
              <w:ind w:right="1050"/>
              <w:jc w:val="right"/>
              <w:rPr>
                <w:sz w:val="20"/>
                <w:szCs w:val="20"/>
              </w:rPr>
            </w:pPr>
            <w:r>
              <w:rPr>
                <w:sz w:val="20"/>
                <w:szCs w:val="20"/>
              </w:rPr>
              <w:t>26</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6</w:t>
            </w:r>
          </w:p>
        </w:tc>
        <w:tc>
          <w:tcPr>
            <w:tcW w:w="5580" w:type="dxa"/>
            <w:vAlign w:val="center"/>
          </w:tcPr>
          <w:p w:rsidR="00CD2A5A" w:rsidRDefault="00CD2A5A">
            <w:pPr>
              <w:spacing w:before="20" w:after="20"/>
              <w:rPr>
                <w:sz w:val="20"/>
                <w:szCs w:val="20"/>
              </w:rPr>
            </w:pPr>
            <w:r>
              <w:rPr>
                <w:sz w:val="20"/>
                <w:szCs w:val="20"/>
              </w:rPr>
              <w:t>Conferencia Sobre la Inspección de Trabajo en la Republica Dominicana y su Sistema Informático</w:t>
            </w:r>
          </w:p>
        </w:tc>
        <w:tc>
          <w:tcPr>
            <w:tcW w:w="3420" w:type="dxa"/>
            <w:vAlign w:val="center"/>
          </w:tcPr>
          <w:p w:rsidR="00CD2A5A" w:rsidRDefault="00CD2A5A">
            <w:pPr>
              <w:spacing w:before="20" w:after="20"/>
              <w:rPr>
                <w:sz w:val="20"/>
                <w:szCs w:val="20"/>
              </w:rPr>
            </w:pPr>
            <w:r>
              <w:rPr>
                <w:sz w:val="20"/>
                <w:szCs w:val="20"/>
              </w:rPr>
              <w:t>06 de Junio 2006</w:t>
            </w:r>
          </w:p>
        </w:tc>
        <w:tc>
          <w:tcPr>
            <w:tcW w:w="3060" w:type="dxa"/>
            <w:vAlign w:val="center"/>
          </w:tcPr>
          <w:p w:rsidR="00CD2A5A" w:rsidRDefault="00CD2A5A">
            <w:pPr>
              <w:spacing w:before="20" w:after="20"/>
              <w:ind w:right="1050"/>
              <w:jc w:val="right"/>
              <w:rPr>
                <w:sz w:val="20"/>
                <w:szCs w:val="20"/>
              </w:rPr>
            </w:pPr>
            <w:r>
              <w:rPr>
                <w:sz w:val="20"/>
                <w:szCs w:val="20"/>
              </w:rPr>
              <w:t>100</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7</w:t>
            </w:r>
          </w:p>
        </w:tc>
        <w:tc>
          <w:tcPr>
            <w:tcW w:w="5580" w:type="dxa"/>
            <w:vAlign w:val="center"/>
          </w:tcPr>
          <w:p w:rsidR="00CD2A5A" w:rsidRDefault="00CD2A5A">
            <w:pPr>
              <w:spacing w:before="20" w:after="20"/>
              <w:rPr>
                <w:sz w:val="20"/>
                <w:szCs w:val="20"/>
              </w:rPr>
            </w:pPr>
            <w:r>
              <w:rPr>
                <w:sz w:val="20"/>
                <w:szCs w:val="20"/>
              </w:rPr>
              <w:t>Seminario Sobre Auditoria Social para INSPECTORES DE TRABAJO</w:t>
            </w:r>
          </w:p>
        </w:tc>
        <w:tc>
          <w:tcPr>
            <w:tcW w:w="3420" w:type="dxa"/>
            <w:vAlign w:val="center"/>
          </w:tcPr>
          <w:p w:rsidR="00CD2A5A" w:rsidRDefault="00CD2A5A">
            <w:pPr>
              <w:spacing w:before="20" w:after="20"/>
              <w:rPr>
                <w:sz w:val="20"/>
                <w:szCs w:val="20"/>
              </w:rPr>
            </w:pPr>
            <w:r>
              <w:rPr>
                <w:sz w:val="20"/>
                <w:szCs w:val="20"/>
              </w:rPr>
              <w:t>17 al 19 de Julio 2006</w:t>
            </w:r>
          </w:p>
        </w:tc>
        <w:tc>
          <w:tcPr>
            <w:tcW w:w="3060" w:type="dxa"/>
            <w:vAlign w:val="center"/>
          </w:tcPr>
          <w:p w:rsidR="00CD2A5A" w:rsidRDefault="00CD2A5A">
            <w:pPr>
              <w:spacing w:before="20" w:after="20"/>
              <w:ind w:right="1050"/>
              <w:jc w:val="right"/>
              <w:rPr>
                <w:sz w:val="20"/>
                <w:szCs w:val="20"/>
              </w:rPr>
            </w:pPr>
            <w:r>
              <w:rPr>
                <w:sz w:val="20"/>
                <w:szCs w:val="20"/>
              </w:rPr>
              <w:t>38</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8</w:t>
            </w:r>
          </w:p>
        </w:tc>
        <w:tc>
          <w:tcPr>
            <w:tcW w:w="5580" w:type="dxa"/>
            <w:vAlign w:val="center"/>
          </w:tcPr>
          <w:p w:rsidR="00CD2A5A" w:rsidRDefault="00CD2A5A">
            <w:pPr>
              <w:spacing w:before="20" w:after="20"/>
              <w:rPr>
                <w:sz w:val="20"/>
                <w:szCs w:val="20"/>
              </w:rPr>
            </w:pPr>
            <w:r>
              <w:rPr>
                <w:sz w:val="20"/>
                <w:szCs w:val="20"/>
              </w:rPr>
              <w:t>Auditoria Social para Inspectores de Trabajo</w:t>
            </w:r>
          </w:p>
        </w:tc>
        <w:tc>
          <w:tcPr>
            <w:tcW w:w="3420" w:type="dxa"/>
            <w:vAlign w:val="center"/>
          </w:tcPr>
          <w:p w:rsidR="00CD2A5A" w:rsidRDefault="00CD2A5A">
            <w:pPr>
              <w:spacing w:before="20" w:after="20"/>
              <w:rPr>
                <w:sz w:val="20"/>
                <w:szCs w:val="20"/>
              </w:rPr>
            </w:pPr>
            <w:r>
              <w:rPr>
                <w:sz w:val="20"/>
                <w:szCs w:val="20"/>
              </w:rPr>
              <w:t>20 al 22 de Julio 2006</w:t>
            </w:r>
          </w:p>
        </w:tc>
        <w:tc>
          <w:tcPr>
            <w:tcW w:w="3060" w:type="dxa"/>
            <w:vAlign w:val="center"/>
          </w:tcPr>
          <w:p w:rsidR="00CD2A5A" w:rsidRDefault="00CD2A5A">
            <w:pPr>
              <w:spacing w:before="20" w:after="20"/>
              <w:ind w:right="1050"/>
              <w:jc w:val="right"/>
              <w:rPr>
                <w:sz w:val="20"/>
                <w:szCs w:val="20"/>
              </w:rPr>
            </w:pPr>
            <w:r>
              <w:rPr>
                <w:sz w:val="20"/>
                <w:szCs w:val="20"/>
              </w:rPr>
              <w:t>39</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9</w:t>
            </w:r>
          </w:p>
        </w:tc>
        <w:tc>
          <w:tcPr>
            <w:tcW w:w="5580" w:type="dxa"/>
            <w:vAlign w:val="center"/>
          </w:tcPr>
          <w:p w:rsidR="00CD2A5A" w:rsidRDefault="00CD2A5A">
            <w:pPr>
              <w:spacing w:before="20" w:after="20"/>
              <w:rPr>
                <w:sz w:val="20"/>
                <w:szCs w:val="20"/>
              </w:rPr>
            </w:pPr>
            <w:r>
              <w:rPr>
                <w:sz w:val="20"/>
                <w:szCs w:val="20"/>
              </w:rPr>
              <w:t xml:space="preserve">Instrucción al Sistema de Información de Datos MASTER LEX </w:t>
            </w:r>
          </w:p>
        </w:tc>
        <w:tc>
          <w:tcPr>
            <w:tcW w:w="3420" w:type="dxa"/>
            <w:vAlign w:val="center"/>
          </w:tcPr>
          <w:p w:rsidR="00CD2A5A" w:rsidRDefault="00CD2A5A">
            <w:pPr>
              <w:spacing w:before="20" w:after="20"/>
              <w:rPr>
                <w:sz w:val="20"/>
                <w:szCs w:val="20"/>
              </w:rPr>
            </w:pPr>
            <w:r>
              <w:rPr>
                <w:sz w:val="20"/>
                <w:szCs w:val="20"/>
              </w:rPr>
              <w:t>6 al 14 de Septiembre 2006</w:t>
            </w:r>
          </w:p>
        </w:tc>
        <w:tc>
          <w:tcPr>
            <w:tcW w:w="3060" w:type="dxa"/>
            <w:vAlign w:val="center"/>
          </w:tcPr>
          <w:p w:rsidR="00CD2A5A" w:rsidRDefault="00CD2A5A">
            <w:pPr>
              <w:spacing w:before="20" w:after="20"/>
              <w:ind w:right="1050"/>
              <w:jc w:val="right"/>
              <w:rPr>
                <w:sz w:val="20"/>
                <w:szCs w:val="20"/>
              </w:rPr>
            </w:pPr>
            <w:r>
              <w:rPr>
                <w:sz w:val="20"/>
                <w:szCs w:val="20"/>
              </w:rPr>
              <w:t>30</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10</w:t>
            </w:r>
          </w:p>
        </w:tc>
        <w:tc>
          <w:tcPr>
            <w:tcW w:w="5580" w:type="dxa"/>
            <w:vAlign w:val="center"/>
          </w:tcPr>
          <w:p w:rsidR="00CD2A5A" w:rsidRDefault="00CD2A5A">
            <w:pPr>
              <w:spacing w:before="20" w:after="20"/>
              <w:rPr>
                <w:sz w:val="20"/>
                <w:szCs w:val="20"/>
              </w:rPr>
            </w:pPr>
            <w:r>
              <w:rPr>
                <w:sz w:val="20"/>
                <w:szCs w:val="20"/>
              </w:rPr>
              <w:t>Modelo de Equidad de Genero</w:t>
            </w:r>
          </w:p>
        </w:tc>
        <w:tc>
          <w:tcPr>
            <w:tcW w:w="3420" w:type="dxa"/>
            <w:vAlign w:val="center"/>
          </w:tcPr>
          <w:p w:rsidR="00CD2A5A" w:rsidRDefault="00CD2A5A">
            <w:pPr>
              <w:spacing w:before="20" w:after="20"/>
              <w:rPr>
                <w:sz w:val="20"/>
                <w:szCs w:val="20"/>
              </w:rPr>
            </w:pPr>
            <w:r>
              <w:rPr>
                <w:sz w:val="20"/>
                <w:szCs w:val="20"/>
              </w:rPr>
              <w:t>21 al 23 de Septiembre 2006</w:t>
            </w:r>
          </w:p>
        </w:tc>
        <w:tc>
          <w:tcPr>
            <w:tcW w:w="3060" w:type="dxa"/>
            <w:vAlign w:val="center"/>
          </w:tcPr>
          <w:p w:rsidR="00CD2A5A" w:rsidRDefault="00CD2A5A">
            <w:pPr>
              <w:spacing w:before="20" w:after="20"/>
              <w:ind w:right="1050"/>
              <w:jc w:val="right"/>
              <w:rPr>
                <w:sz w:val="20"/>
                <w:szCs w:val="20"/>
              </w:rPr>
            </w:pPr>
            <w:r>
              <w:rPr>
                <w:sz w:val="20"/>
                <w:szCs w:val="20"/>
              </w:rPr>
              <w:t>28</w:t>
            </w:r>
          </w:p>
        </w:tc>
      </w:tr>
      <w:tr w:rsidR="00CD2A5A">
        <w:tblPrEx>
          <w:tblCellMar>
            <w:top w:w="0" w:type="dxa"/>
            <w:bottom w:w="0" w:type="dxa"/>
          </w:tblCellMar>
        </w:tblPrEx>
        <w:trPr>
          <w:trHeight w:val="107"/>
          <w:jc w:val="center"/>
        </w:trPr>
        <w:tc>
          <w:tcPr>
            <w:tcW w:w="1330" w:type="dxa"/>
            <w:vAlign w:val="center"/>
          </w:tcPr>
          <w:p w:rsidR="00CD2A5A" w:rsidRDefault="00CD2A5A">
            <w:pPr>
              <w:spacing w:before="20" w:after="20"/>
              <w:rPr>
                <w:sz w:val="20"/>
                <w:szCs w:val="20"/>
              </w:rPr>
            </w:pPr>
            <w:r>
              <w:rPr>
                <w:sz w:val="20"/>
                <w:szCs w:val="20"/>
              </w:rPr>
              <w:t>11</w:t>
            </w:r>
          </w:p>
        </w:tc>
        <w:tc>
          <w:tcPr>
            <w:tcW w:w="5580" w:type="dxa"/>
            <w:vAlign w:val="center"/>
          </w:tcPr>
          <w:p w:rsidR="00CD2A5A" w:rsidRDefault="00CD2A5A">
            <w:pPr>
              <w:spacing w:before="20" w:after="20"/>
              <w:rPr>
                <w:sz w:val="20"/>
                <w:szCs w:val="20"/>
              </w:rPr>
            </w:pPr>
            <w:r>
              <w:rPr>
                <w:sz w:val="20"/>
                <w:szCs w:val="20"/>
              </w:rPr>
              <w:t>Diplomado en Especializado en Legislación Laboral</w:t>
            </w:r>
          </w:p>
          <w:p w:rsidR="00CD2A5A" w:rsidRDefault="00CD2A5A">
            <w:pPr>
              <w:spacing w:before="20" w:after="20"/>
              <w:rPr>
                <w:sz w:val="20"/>
                <w:szCs w:val="20"/>
              </w:rPr>
            </w:pPr>
          </w:p>
        </w:tc>
        <w:tc>
          <w:tcPr>
            <w:tcW w:w="3420" w:type="dxa"/>
          </w:tcPr>
          <w:p w:rsidR="00CD2A5A" w:rsidRDefault="00CD2A5A">
            <w:pPr>
              <w:spacing w:before="20" w:after="20"/>
              <w:rPr>
                <w:sz w:val="20"/>
                <w:szCs w:val="20"/>
              </w:rPr>
            </w:pPr>
            <w:r>
              <w:rPr>
                <w:sz w:val="20"/>
                <w:szCs w:val="20"/>
              </w:rPr>
              <w:t>16 al 20  de Noviembre 2006</w:t>
            </w:r>
          </w:p>
          <w:p w:rsidR="00CD2A5A" w:rsidRDefault="00CD2A5A">
            <w:pPr>
              <w:spacing w:before="20" w:after="20"/>
              <w:rPr>
                <w:sz w:val="20"/>
                <w:szCs w:val="20"/>
              </w:rPr>
            </w:pPr>
            <w:r>
              <w:rPr>
                <w:sz w:val="20"/>
                <w:szCs w:val="20"/>
              </w:rPr>
              <w:t xml:space="preserve">20 al 22 de Diciembre 2006 </w:t>
            </w:r>
          </w:p>
          <w:p w:rsidR="00CD2A5A" w:rsidRDefault="00CD2A5A">
            <w:pPr>
              <w:spacing w:before="20" w:after="20"/>
              <w:rPr>
                <w:sz w:val="20"/>
                <w:szCs w:val="20"/>
              </w:rPr>
            </w:pPr>
            <w:r>
              <w:rPr>
                <w:sz w:val="20"/>
                <w:szCs w:val="20"/>
              </w:rPr>
              <w:t xml:space="preserve"> 06 al 08 de Diciembre 2006</w:t>
            </w:r>
          </w:p>
        </w:tc>
        <w:tc>
          <w:tcPr>
            <w:tcW w:w="3060" w:type="dxa"/>
            <w:vAlign w:val="center"/>
          </w:tcPr>
          <w:p w:rsidR="00CD2A5A" w:rsidRDefault="00CD2A5A">
            <w:pPr>
              <w:spacing w:before="20" w:after="20"/>
              <w:ind w:right="1050"/>
              <w:jc w:val="right"/>
              <w:rPr>
                <w:sz w:val="20"/>
                <w:szCs w:val="20"/>
              </w:rPr>
            </w:pPr>
            <w:r>
              <w:rPr>
                <w:sz w:val="20"/>
                <w:szCs w:val="20"/>
              </w:rPr>
              <w:t>89</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12</w:t>
            </w:r>
          </w:p>
        </w:tc>
        <w:tc>
          <w:tcPr>
            <w:tcW w:w="5580" w:type="dxa"/>
            <w:vAlign w:val="center"/>
          </w:tcPr>
          <w:p w:rsidR="00CD2A5A" w:rsidRDefault="00CD2A5A">
            <w:pPr>
              <w:spacing w:before="20" w:after="20"/>
              <w:rPr>
                <w:sz w:val="20"/>
                <w:szCs w:val="20"/>
              </w:rPr>
            </w:pPr>
            <w:r>
              <w:rPr>
                <w:sz w:val="20"/>
                <w:szCs w:val="20"/>
              </w:rPr>
              <w:t>Auditoria Social para Inspectores de Trabajo</w:t>
            </w:r>
          </w:p>
        </w:tc>
        <w:tc>
          <w:tcPr>
            <w:tcW w:w="3420" w:type="dxa"/>
            <w:vAlign w:val="center"/>
          </w:tcPr>
          <w:p w:rsidR="00CD2A5A" w:rsidRDefault="00CD2A5A">
            <w:pPr>
              <w:spacing w:before="20" w:after="20"/>
              <w:rPr>
                <w:sz w:val="20"/>
                <w:szCs w:val="20"/>
              </w:rPr>
            </w:pPr>
            <w:r>
              <w:rPr>
                <w:sz w:val="20"/>
                <w:szCs w:val="20"/>
              </w:rPr>
              <w:t>27al 29 de Noviembre 2006</w:t>
            </w:r>
          </w:p>
        </w:tc>
        <w:tc>
          <w:tcPr>
            <w:tcW w:w="3060" w:type="dxa"/>
            <w:vAlign w:val="center"/>
          </w:tcPr>
          <w:p w:rsidR="00CD2A5A" w:rsidRDefault="00CD2A5A">
            <w:pPr>
              <w:spacing w:before="20" w:after="20"/>
              <w:ind w:right="1050"/>
              <w:jc w:val="right"/>
              <w:rPr>
                <w:sz w:val="20"/>
                <w:szCs w:val="20"/>
              </w:rPr>
            </w:pPr>
            <w:r>
              <w:rPr>
                <w:sz w:val="20"/>
                <w:szCs w:val="20"/>
              </w:rPr>
              <w:t>38</w:t>
            </w:r>
          </w:p>
        </w:tc>
      </w:tr>
      <w:tr w:rsidR="00CD2A5A">
        <w:tblPrEx>
          <w:tblCellMar>
            <w:top w:w="0" w:type="dxa"/>
            <w:bottom w:w="0" w:type="dxa"/>
          </w:tblCellMar>
        </w:tblPrEx>
        <w:trPr>
          <w:jc w:val="center"/>
        </w:trPr>
        <w:tc>
          <w:tcPr>
            <w:tcW w:w="1330" w:type="dxa"/>
            <w:vAlign w:val="center"/>
          </w:tcPr>
          <w:p w:rsidR="00CD2A5A" w:rsidRDefault="00CD2A5A">
            <w:pPr>
              <w:spacing w:before="20" w:after="20"/>
              <w:rPr>
                <w:sz w:val="20"/>
                <w:szCs w:val="20"/>
              </w:rPr>
            </w:pPr>
            <w:r>
              <w:rPr>
                <w:sz w:val="20"/>
                <w:szCs w:val="20"/>
              </w:rPr>
              <w:t>13</w:t>
            </w:r>
          </w:p>
        </w:tc>
        <w:tc>
          <w:tcPr>
            <w:tcW w:w="5580" w:type="dxa"/>
            <w:vAlign w:val="center"/>
          </w:tcPr>
          <w:p w:rsidR="00CD2A5A" w:rsidRDefault="00CD2A5A">
            <w:pPr>
              <w:spacing w:before="20" w:after="20"/>
              <w:rPr>
                <w:sz w:val="20"/>
                <w:szCs w:val="20"/>
              </w:rPr>
            </w:pPr>
            <w:r>
              <w:rPr>
                <w:sz w:val="20"/>
                <w:szCs w:val="20"/>
              </w:rPr>
              <w:t>Auditoria Social para Inspectores de Trabajo</w:t>
            </w:r>
          </w:p>
        </w:tc>
        <w:tc>
          <w:tcPr>
            <w:tcW w:w="3420" w:type="dxa"/>
          </w:tcPr>
          <w:p w:rsidR="00CD2A5A" w:rsidRDefault="00CD2A5A">
            <w:pPr>
              <w:spacing w:before="20" w:after="20"/>
              <w:rPr>
                <w:sz w:val="20"/>
                <w:szCs w:val="20"/>
              </w:rPr>
            </w:pPr>
            <w:r>
              <w:rPr>
                <w:sz w:val="20"/>
                <w:szCs w:val="20"/>
              </w:rPr>
              <w:t>30 de Noviembre 2006 al 02 de Diciembre 2006</w:t>
            </w:r>
          </w:p>
        </w:tc>
        <w:tc>
          <w:tcPr>
            <w:tcW w:w="3060" w:type="dxa"/>
            <w:vAlign w:val="center"/>
          </w:tcPr>
          <w:p w:rsidR="00CD2A5A" w:rsidRDefault="00CD2A5A">
            <w:pPr>
              <w:spacing w:before="20" w:after="20"/>
              <w:ind w:right="1050"/>
              <w:jc w:val="right"/>
              <w:rPr>
                <w:sz w:val="20"/>
                <w:szCs w:val="20"/>
              </w:rPr>
            </w:pPr>
            <w:r>
              <w:rPr>
                <w:sz w:val="20"/>
                <w:szCs w:val="20"/>
              </w:rPr>
              <w:t>36</w:t>
            </w:r>
          </w:p>
        </w:tc>
      </w:tr>
      <w:tr w:rsidR="00CD2A5A">
        <w:tblPrEx>
          <w:tblCellMar>
            <w:top w:w="0" w:type="dxa"/>
            <w:bottom w:w="0" w:type="dxa"/>
          </w:tblCellMar>
        </w:tblPrEx>
        <w:trPr>
          <w:trHeight w:val="385"/>
          <w:jc w:val="center"/>
        </w:trPr>
        <w:tc>
          <w:tcPr>
            <w:tcW w:w="10330" w:type="dxa"/>
            <w:gridSpan w:val="3"/>
            <w:vAlign w:val="center"/>
          </w:tcPr>
          <w:p w:rsidR="00CD2A5A" w:rsidRDefault="00CD2A5A">
            <w:pPr>
              <w:pStyle w:val="Heading1"/>
              <w:spacing w:before="20" w:after="20"/>
              <w:jc w:val="left"/>
              <w:rPr>
                <w:color w:val="auto"/>
                <w:sz w:val="20"/>
                <w:szCs w:val="20"/>
              </w:rPr>
            </w:pPr>
            <w:r>
              <w:rPr>
                <w:color w:val="auto"/>
                <w:sz w:val="20"/>
                <w:szCs w:val="20"/>
              </w:rPr>
              <w:t>Total de Participantes</w:t>
            </w:r>
          </w:p>
        </w:tc>
        <w:tc>
          <w:tcPr>
            <w:tcW w:w="3060" w:type="dxa"/>
            <w:vAlign w:val="center"/>
          </w:tcPr>
          <w:p w:rsidR="00CD2A5A" w:rsidRDefault="00CD2A5A">
            <w:pPr>
              <w:spacing w:before="20" w:after="20"/>
              <w:ind w:right="1050"/>
              <w:jc w:val="right"/>
              <w:rPr>
                <w:b/>
                <w:bCs/>
                <w:sz w:val="20"/>
                <w:szCs w:val="20"/>
              </w:rPr>
            </w:pPr>
            <w:r>
              <w:rPr>
                <w:b/>
                <w:bCs/>
                <w:sz w:val="20"/>
                <w:szCs w:val="20"/>
              </w:rPr>
              <w:t>484</w:t>
            </w:r>
          </w:p>
        </w:tc>
      </w:tr>
    </w:tbl>
    <w:p w:rsidR="00CD2A5A" w:rsidRDefault="00CD2A5A">
      <w:pPr>
        <w:spacing w:after="240"/>
        <w:rPr>
          <w:b/>
          <w:bCs/>
        </w:rPr>
      </w:pPr>
    </w:p>
    <w:p w:rsidR="00CD2A5A" w:rsidRDefault="00CD2A5A">
      <w:pPr>
        <w:keepNext/>
        <w:spacing w:after="240"/>
        <w:jc w:val="center"/>
        <w:rPr>
          <w:b/>
          <w:bCs/>
        </w:rPr>
      </w:pPr>
      <w:r>
        <w:rPr>
          <w:b/>
          <w:bCs/>
        </w:rPr>
        <w:t>“Programa de Desarrollo Continuo para Inspectores”, Marzo a junio de 2007</w:t>
      </w:r>
    </w:p>
    <w:tbl>
      <w:tblPr>
        <w:tblpPr w:tblpXSpec="cente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07"/>
        <w:gridCol w:w="3599"/>
        <w:gridCol w:w="2353"/>
        <w:gridCol w:w="2353"/>
      </w:tblGrid>
      <w:tr w:rsidR="00CD2A5A">
        <w:tblPrEx>
          <w:tblCellMar>
            <w:top w:w="0" w:type="dxa"/>
            <w:bottom w:w="0" w:type="dxa"/>
          </w:tblCellMar>
        </w:tblPrEx>
        <w:trPr>
          <w:jc w:val="center"/>
        </w:trPr>
        <w:tc>
          <w:tcPr>
            <w:tcW w:w="1510" w:type="dxa"/>
          </w:tcPr>
          <w:p w:rsidR="00CD2A5A" w:rsidRDefault="00CD2A5A">
            <w:pPr>
              <w:pStyle w:val="Header"/>
              <w:keepNext/>
              <w:tabs>
                <w:tab w:val="clear" w:pos="4252"/>
              </w:tabs>
              <w:spacing w:before="20" w:after="20"/>
              <w:jc w:val="center"/>
              <w:rPr>
                <w:b/>
                <w:bCs/>
                <w:i/>
                <w:sz w:val="20"/>
                <w:szCs w:val="20"/>
              </w:rPr>
            </w:pPr>
            <w:r>
              <w:rPr>
                <w:b/>
                <w:bCs/>
                <w:i/>
                <w:sz w:val="20"/>
                <w:szCs w:val="20"/>
              </w:rPr>
              <w:t>Numero</w:t>
            </w:r>
          </w:p>
        </w:tc>
        <w:tc>
          <w:tcPr>
            <w:tcW w:w="5062" w:type="dxa"/>
          </w:tcPr>
          <w:p w:rsidR="00CD2A5A" w:rsidRDefault="00CD2A5A">
            <w:pPr>
              <w:keepNext/>
              <w:spacing w:before="20" w:after="20"/>
              <w:jc w:val="center"/>
              <w:rPr>
                <w:b/>
                <w:bCs/>
                <w:i/>
                <w:sz w:val="20"/>
                <w:szCs w:val="20"/>
              </w:rPr>
            </w:pPr>
            <w:r>
              <w:rPr>
                <w:b/>
                <w:bCs/>
                <w:i/>
                <w:sz w:val="20"/>
                <w:szCs w:val="20"/>
              </w:rPr>
              <w:t>Temas</w:t>
            </w:r>
          </w:p>
        </w:tc>
        <w:tc>
          <w:tcPr>
            <w:tcW w:w="3286" w:type="dxa"/>
          </w:tcPr>
          <w:p w:rsidR="00CD2A5A" w:rsidRDefault="00CD2A5A">
            <w:pPr>
              <w:keepNext/>
              <w:spacing w:before="20" w:after="20"/>
              <w:jc w:val="center"/>
              <w:rPr>
                <w:b/>
                <w:bCs/>
                <w:i/>
                <w:sz w:val="20"/>
                <w:szCs w:val="20"/>
              </w:rPr>
            </w:pPr>
            <w:r>
              <w:rPr>
                <w:b/>
                <w:bCs/>
                <w:i/>
                <w:sz w:val="20"/>
                <w:szCs w:val="20"/>
              </w:rPr>
              <w:t>Fechas</w:t>
            </w:r>
          </w:p>
        </w:tc>
        <w:tc>
          <w:tcPr>
            <w:tcW w:w="3286" w:type="dxa"/>
          </w:tcPr>
          <w:p w:rsidR="00CD2A5A" w:rsidRDefault="00CD2A5A">
            <w:pPr>
              <w:keepNext/>
              <w:spacing w:before="20" w:after="20"/>
              <w:jc w:val="center"/>
              <w:rPr>
                <w:b/>
                <w:bCs/>
                <w:i/>
                <w:sz w:val="20"/>
                <w:szCs w:val="20"/>
              </w:rPr>
            </w:pPr>
            <w:r>
              <w:rPr>
                <w:b/>
                <w:bCs/>
                <w:i/>
                <w:sz w:val="20"/>
                <w:szCs w:val="20"/>
              </w:rPr>
              <w:t>Numero de personal</w:t>
            </w:r>
          </w:p>
        </w:tc>
      </w:tr>
      <w:tr w:rsidR="00CD2A5A">
        <w:tblPrEx>
          <w:tblCellMar>
            <w:top w:w="0" w:type="dxa"/>
            <w:bottom w:w="0" w:type="dxa"/>
          </w:tblCellMar>
        </w:tblPrEx>
        <w:trPr>
          <w:jc w:val="center"/>
        </w:trPr>
        <w:tc>
          <w:tcPr>
            <w:tcW w:w="1510" w:type="dxa"/>
            <w:vAlign w:val="center"/>
          </w:tcPr>
          <w:p w:rsidR="00CD2A5A" w:rsidRDefault="00CD2A5A">
            <w:pPr>
              <w:pStyle w:val="Header"/>
              <w:keepNext/>
              <w:tabs>
                <w:tab w:val="clear" w:pos="4252"/>
              </w:tabs>
              <w:spacing w:before="20" w:after="20"/>
              <w:rPr>
                <w:sz w:val="20"/>
                <w:szCs w:val="20"/>
              </w:rPr>
            </w:pPr>
            <w:r>
              <w:rPr>
                <w:sz w:val="20"/>
                <w:szCs w:val="20"/>
              </w:rPr>
              <w:t>1</w:t>
            </w:r>
          </w:p>
        </w:tc>
        <w:tc>
          <w:tcPr>
            <w:tcW w:w="5062" w:type="dxa"/>
          </w:tcPr>
          <w:p w:rsidR="00CD2A5A" w:rsidRDefault="00CD2A5A">
            <w:pPr>
              <w:keepNext/>
              <w:spacing w:before="20" w:after="20"/>
              <w:rPr>
                <w:sz w:val="20"/>
                <w:szCs w:val="20"/>
              </w:rPr>
            </w:pPr>
            <w:r>
              <w:rPr>
                <w:sz w:val="20"/>
                <w:szCs w:val="20"/>
              </w:rPr>
              <w:t>Taller sobre ley de Equiparación de Oportunidades para las personas con DISCAPACIDADES</w:t>
            </w:r>
          </w:p>
        </w:tc>
        <w:tc>
          <w:tcPr>
            <w:tcW w:w="3286" w:type="dxa"/>
            <w:vAlign w:val="center"/>
          </w:tcPr>
          <w:p w:rsidR="00CD2A5A" w:rsidRDefault="00CD2A5A">
            <w:pPr>
              <w:keepNext/>
              <w:spacing w:before="20" w:after="20"/>
              <w:rPr>
                <w:sz w:val="20"/>
                <w:szCs w:val="20"/>
              </w:rPr>
            </w:pPr>
            <w:r>
              <w:rPr>
                <w:sz w:val="20"/>
                <w:szCs w:val="20"/>
              </w:rPr>
              <w:t>7,8 Y 15 de Marzo</w:t>
            </w:r>
          </w:p>
        </w:tc>
        <w:tc>
          <w:tcPr>
            <w:tcW w:w="3286" w:type="dxa"/>
            <w:vAlign w:val="center"/>
          </w:tcPr>
          <w:p w:rsidR="00CD2A5A" w:rsidRDefault="00CD2A5A">
            <w:pPr>
              <w:pStyle w:val="Header"/>
              <w:keepNext/>
              <w:tabs>
                <w:tab w:val="clear" w:pos="4252"/>
              </w:tabs>
              <w:spacing w:before="20" w:after="20"/>
              <w:rPr>
                <w:sz w:val="20"/>
                <w:szCs w:val="20"/>
              </w:rPr>
            </w:pPr>
            <w:r>
              <w:rPr>
                <w:sz w:val="20"/>
                <w:szCs w:val="20"/>
              </w:rPr>
              <w:t>85</w:t>
            </w:r>
          </w:p>
        </w:tc>
      </w:tr>
      <w:tr w:rsidR="00CD2A5A">
        <w:tblPrEx>
          <w:tblCellMar>
            <w:top w:w="0" w:type="dxa"/>
            <w:bottom w:w="0" w:type="dxa"/>
          </w:tblCellMar>
        </w:tblPrEx>
        <w:trPr>
          <w:jc w:val="center"/>
        </w:trPr>
        <w:tc>
          <w:tcPr>
            <w:tcW w:w="1510" w:type="dxa"/>
            <w:vAlign w:val="center"/>
          </w:tcPr>
          <w:p w:rsidR="00CD2A5A" w:rsidRDefault="00CD2A5A">
            <w:pPr>
              <w:pStyle w:val="Header"/>
              <w:keepNext/>
              <w:tabs>
                <w:tab w:val="clear" w:pos="4252"/>
              </w:tabs>
              <w:spacing w:before="20" w:after="20"/>
              <w:rPr>
                <w:sz w:val="20"/>
                <w:szCs w:val="20"/>
              </w:rPr>
            </w:pPr>
            <w:r>
              <w:rPr>
                <w:sz w:val="20"/>
                <w:szCs w:val="20"/>
              </w:rPr>
              <w:t>2</w:t>
            </w:r>
          </w:p>
        </w:tc>
        <w:tc>
          <w:tcPr>
            <w:tcW w:w="5062" w:type="dxa"/>
          </w:tcPr>
          <w:p w:rsidR="00CD2A5A" w:rsidRDefault="00CD2A5A">
            <w:pPr>
              <w:keepNext/>
              <w:spacing w:before="20" w:after="20"/>
              <w:rPr>
                <w:sz w:val="20"/>
                <w:szCs w:val="20"/>
              </w:rPr>
            </w:pPr>
            <w:r>
              <w:rPr>
                <w:sz w:val="20"/>
                <w:szCs w:val="20"/>
              </w:rPr>
              <w:t xml:space="preserve">Taller sobre la Ley de Equiparación de Oportunidades para personal con Discapacidades </w:t>
            </w:r>
          </w:p>
        </w:tc>
        <w:tc>
          <w:tcPr>
            <w:tcW w:w="3286" w:type="dxa"/>
          </w:tcPr>
          <w:p w:rsidR="00CD2A5A" w:rsidRDefault="00CD2A5A">
            <w:pPr>
              <w:keepNext/>
              <w:spacing w:before="20" w:after="20"/>
              <w:rPr>
                <w:sz w:val="20"/>
                <w:szCs w:val="20"/>
              </w:rPr>
            </w:pPr>
            <w:r>
              <w:rPr>
                <w:sz w:val="20"/>
                <w:szCs w:val="20"/>
              </w:rPr>
              <w:t>13 de Abril</w:t>
            </w:r>
          </w:p>
          <w:p w:rsidR="00CD2A5A" w:rsidRDefault="00CD2A5A">
            <w:pPr>
              <w:keepNext/>
              <w:spacing w:before="20" w:after="20"/>
              <w:rPr>
                <w:sz w:val="20"/>
                <w:szCs w:val="20"/>
              </w:rPr>
            </w:pPr>
          </w:p>
        </w:tc>
        <w:tc>
          <w:tcPr>
            <w:tcW w:w="3286" w:type="dxa"/>
            <w:vAlign w:val="center"/>
          </w:tcPr>
          <w:p w:rsidR="00CD2A5A" w:rsidRDefault="00CD2A5A">
            <w:pPr>
              <w:keepNext/>
              <w:spacing w:before="20" w:after="20"/>
              <w:rPr>
                <w:sz w:val="20"/>
                <w:szCs w:val="20"/>
              </w:rPr>
            </w:pPr>
            <w:r>
              <w:rPr>
                <w:sz w:val="20"/>
                <w:szCs w:val="20"/>
              </w:rPr>
              <w:t>25</w:t>
            </w:r>
          </w:p>
        </w:tc>
      </w:tr>
      <w:tr w:rsidR="00CD2A5A">
        <w:tblPrEx>
          <w:tblCellMar>
            <w:top w:w="0" w:type="dxa"/>
            <w:bottom w:w="0" w:type="dxa"/>
          </w:tblCellMar>
        </w:tblPrEx>
        <w:trPr>
          <w:jc w:val="center"/>
        </w:trPr>
        <w:tc>
          <w:tcPr>
            <w:tcW w:w="1510" w:type="dxa"/>
            <w:vAlign w:val="center"/>
          </w:tcPr>
          <w:p w:rsidR="00CD2A5A" w:rsidRDefault="00CD2A5A">
            <w:pPr>
              <w:pStyle w:val="Header"/>
              <w:tabs>
                <w:tab w:val="clear" w:pos="4252"/>
              </w:tabs>
              <w:spacing w:before="20" w:after="20"/>
              <w:rPr>
                <w:sz w:val="20"/>
                <w:szCs w:val="20"/>
              </w:rPr>
            </w:pPr>
            <w:r>
              <w:rPr>
                <w:sz w:val="20"/>
                <w:szCs w:val="20"/>
              </w:rPr>
              <w:t>3</w:t>
            </w:r>
          </w:p>
        </w:tc>
        <w:tc>
          <w:tcPr>
            <w:tcW w:w="5062" w:type="dxa"/>
          </w:tcPr>
          <w:p w:rsidR="00CD2A5A" w:rsidRDefault="00CD2A5A">
            <w:pPr>
              <w:spacing w:before="20" w:after="20"/>
              <w:rPr>
                <w:sz w:val="20"/>
                <w:szCs w:val="20"/>
              </w:rPr>
            </w:pPr>
            <w:r>
              <w:rPr>
                <w:sz w:val="20"/>
                <w:szCs w:val="20"/>
              </w:rPr>
              <w:t>Seminario Taller Explotación Sexual Comercial de Niños(as) y Adolescentes</w:t>
            </w:r>
          </w:p>
        </w:tc>
        <w:tc>
          <w:tcPr>
            <w:tcW w:w="3286" w:type="dxa"/>
            <w:vAlign w:val="center"/>
          </w:tcPr>
          <w:p w:rsidR="00CD2A5A" w:rsidRDefault="00CD2A5A">
            <w:pPr>
              <w:spacing w:before="20" w:after="20"/>
              <w:rPr>
                <w:sz w:val="20"/>
                <w:szCs w:val="20"/>
              </w:rPr>
            </w:pPr>
            <w:r>
              <w:rPr>
                <w:sz w:val="20"/>
                <w:szCs w:val="20"/>
              </w:rPr>
              <w:t>18 y 25 de Mayo y 01 de Junio</w:t>
            </w:r>
          </w:p>
        </w:tc>
        <w:tc>
          <w:tcPr>
            <w:tcW w:w="3286" w:type="dxa"/>
            <w:vAlign w:val="center"/>
          </w:tcPr>
          <w:p w:rsidR="00CD2A5A" w:rsidRDefault="00CD2A5A">
            <w:pPr>
              <w:spacing w:before="20" w:after="20"/>
              <w:rPr>
                <w:sz w:val="20"/>
                <w:szCs w:val="20"/>
              </w:rPr>
            </w:pPr>
            <w:r>
              <w:rPr>
                <w:sz w:val="20"/>
                <w:szCs w:val="20"/>
              </w:rPr>
              <w:t>90</w:t>
            </w:r>
          </w:p>
        </w:tc>
      </w:tr>
      <w:tr w:rsidR="00CD2A5A">
        <w:tblPrEx>
          <w:tblCellMar>
            <w:top w:w="0" w:type="dxa"/>
            <w:bottom w:w="0" w:type="dxa"/>
          </w:tblCellMar>
        </w:tblPrEx>
        <w:trPr>
          <w:jc w:val="center"/>
        </w:trPr>
        <w:tc>
          <w:tcPr>
            <w:tcW w:w="6572" w:type="dxa"/>
            <w:gridSpan w:val="2"/>
          </w:tcPr>
          <w:p w:rsidR="00CD2A5A" w:rsidRDefault="00CD2A5A">
            <w:pPr>
              <w:pStyle w:val="Heading1"/>
              <w:spacing w:before="20" w:after="20"/>
              <w:jc w:val="left"/>
              <w:rPr>
                <w:color w:val="auto"/>
                <w:sz w:val="20"/>
                <w:szCs w:val="20"/>
              </w:rPr>
            </w:pPr>
            <w:r>
              <w:rPr>
                <w:color w:val="auto"/>
                <w:sz w:val="20"/>
                <w:szCs w:val="20"/>
              </w:rPr>
              <w:t>Total</w:t>
            </w:r>
          </w:p>
        </w:tc>
        <w:tc>
          <w:tcPr>
            <w:tcW w:w="3286" w:type="dxa"/>
          </w:tcPr>
          <w:p w:rsidR="00CD2A5A" w:rsidRDefault="00CD2A5A">
            <w:pPr>
              <w:spacing w:before="20" w:after="20"/>
              <w:rPr>
                <w:b/>
                <w:bCs/>
                <w:sz w:val="20"/>
                <w:szCs w:val="20"/>
              </w:rPr>
            </w:pPr>
          </w:p>
        </w:tc>
        <w:tc>
          <w:tcPr>
            <w:tcW w:w="3286" w:type="dxa"/>
          </w:tcPr>
          <w:p w:rsidR="00CD2A5A" w:rsidRDefault="00CD2A5A">
            <w:pPr>
              <w:spacing w:before="20" w:after="20"/>
              <w:rPr>
                <w:b/>
                <w:bCs/>
                <w:sz w:val="20"/>
                <w:szCs w:val="20"/>
              </w:rPr>
            </w:pPr>
            <w:r>
              <w:rPr>
                <w:b/>
                <w:bCs/>
                <w:sz w:val="20"/>
                <w:szCs w:val="20"/>
              </w:rPr>
              <w:t>200</w:t>
            </w:r>
          </w:p>
        </w:tc>
      </w:tr>
    </w:tbl>
    <w:p w:rsidR="00CD2A5A" w:rsidRDefault="00CD2A5A">
      <w:pPr>
        <w:pStyle w:val="I"/>
      </w:pPr>
      <w:r>
        <w:br w:type="page"/>
        <w:t>ANEXO XXIII</w:t>
      </w:r>
    </w:p>
    <w:p w:rsidR="00CD2A5A" w:rsidRDefault="00CD2A5A">
      <w:pPr>
        <w:jc w:val="center"/>
        <w:rPr>
          <w:b/>
        </w:rPr>
      </w:pPr>
      <w:r>
        <w:rPr>
          <w:b/>
        </w:rPr>
        <w:t>PROGRAMA DE PREVENCIÓN</w:t>
      </w:r>
    </w:p>
    <w:p w:rsidR="00CD2A5A" w:rsidRDefault="00CD2A5A" w:rsidP="00CD2A5A">
      <w:pPr>
        <w:pStyle w:val="Figure"/>
      </w:pPr>
      <w:r>
        <w:t xml:space="preserve">Estimación de los recursos utilizados en programas preventivos dirigidos </w:t>
      </w:r>
      <w:r>
        <w:br/>
        <w:t>a niños(as) y adolescentes</w:t>
      </w:r>
    </w:p>
    <w:p w:rsidR="00CD2A5A" w:rsidRDefault="00CD2A5A">
      <w:pPr>
        <w:jc w:val="center"/>
        <w:rPr>
          <w:sz w:val="20"/>
          <w:szCs w:val="20"/>
        </w:rPr>
      </w:pPr>
      <w:r>
        <w:rPr>
          <w:sz w:val="20"/>
          <w:szCs w:val="20"/>
        </w:rPr>
        <w:t>(Monto en dólares de los ee.uu.)</w:t>
      </w:r>
    </w:p>
    <w:p w:rsidR="00CD2A5A" w:rsidRDefault="00CD2A5A">
      <w:pPr>
        <w:jc w:val="center"/>
        <w:rPr>
          <w:sz w:val="20"/>
          <w:szCs w:val="20"/>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953"/>
        <w:gridCol w:w="1191"/>
        <w:gridCol w:w="1388"/>
        <w:gridCol w:w="1009"/>
        <w:gridCol w:w="1474"/>
      </w:tblGrid>
      <w:tr w:rsidR="00CD2A5A">
        <w:trPr>
          <w:jc w:val="center"/>
        </w:trPr>
        <w:tc>
          <w:tcPr>
            <w:tcW w:w="3397" w:type="dxa"/>
            <w:vAlign w:val="center"/>
          </w:tcPr>
          <w:p w:rsidR="00CD2A5A" w:rsidRDefault="00CD2A5A">
            <w:pPr>
              <w:jc w:val="center"/>
              <w:rPr>
                <w:b/>
                <w:bCs/>
                <w:i/>
                <w:sz w:val="18"/>
                <w:szCs w:val="18"/>
              </w:rPr>
            </w:pPr>
            <w:r>
              <w:rPr>
                <w:b/>
                <w:bCs/>
                <w:i/>
                <w:sz w:val="18"/>
                <w:szCs w:val="18"/>
              </w:rPr>
              <w:t>Nombre del proyecto/acciones</w:t>
            </w:r>
          </w:p>
        </w:tc>
        <w:tc>
          <w:tcPr>
            <w:tcW w:w="953" w:type="dxa"/>
            <w:vAlign w:val="center"/>
          </w:tcPr>
          <w:p w:rsidR="00CD2A5A" w:rsidRDefault="00CD2A5A">
            <w:pPr>
              <w:jc w:val="center"/>
              <w:rPr>
                <w:b/>
                <w:bCs/>
                <w:i/>
                <w:sz w:val="18"/>
                <w:szCs w:val="18"/>
              </w:rPr>
            </w:pPr>
            <w:r>
              <w:rPr>
                <w:b/>
                <w:bCs/>
                <w:i/>
                <w:sz w:val="18"/>
                <w:szCs w:val="18"/>
              </w:rPr>
              <w:t>Aporte del Gobierno</w:t>
            </w:r>
          </w:p>
        </w:tc>
        <w:tc>
          <w:tcPr>
            <w:tcW w:w="1191" w:type="dxa"/>
            <w:vAlign w:val="center"/>
          </w:tcPr>
          <w:p w:rsidR="00CD2A5A" w:rsidRDefault="00CD2A5A">
            <w:pPr>
              <w:jc w:val="center"/>
              <w:rPr>
                <w:b/>
                <w:bCs/>
                <w:i/>
                <w:spacing w:val="-2"/>
                <w:sz w:val="18"/>
                <w:szCs w:val="18"/>
              </w:rPr>
            </w:pPr>
            <w:r>
              <w:rPr>
                <w:b/>
                <w:bCs/>
                <w:i/>
                <w:spacing w:val="-2"/>
                <w:sz w:val="18"/>
                <w:szCs w:val="18"/>
              </w:rPr>
              <w:t>Aporte de la empresa privada</w:t>
            </w:r>
          </w:p>
        </w:tc>
        <w:tc>
          <w:tcPr>
            <w:tcW w:w="1388" w:type="dxa"/>
            <w:vAlign w:val="center"/>
          </w:tcPr>
          <w:p w:rsidR="00CD2A5A" w:rsidRDefault="00CD2A5A">
            <w:pPr>
              <w:jc w:val="center"/>
              <w:rPr>
                <w:b/>
                <w:bCs/>
                <w:i/>
                <w:spacing w:val="-3"/>
                <w:sz w:val="18"/>
                <w:szCs w:val="18"/>
              </w:rPr>
            </w:pPr>
            <w:r>
              <w:rPr>
                <w:b/>
                <w:bCs/>
                <w:i/>
                <w:spacing w:val="-3"/>
                <w:sz w:val="18"/>
                <w:szCs w:val="18"/>
              </w:rPr>
              <w:t>Donación de organismos internacionales</w:t>
            </w:r>
          </w:p>
        </w:tc>
        <w:tc>
          <w:tcPr>
            <w:tcW w:w="1009" w:type="dxa"/>
            <w:vAlign w:val="center"/>
          </w:tcPr>
          <w:p w:rsidR="00CD2A5A" w:rsidRDefault="00CD2A5A">
            <w:pPr>
              <w:jc w:val="center"/>
              <w:rPr>
                <w:b/>
                <w:bCs/>
                <w:i/>
                <w:sz w:val="18"/>
                <w:szCs w:val="18"/>
              </w:rPr>
            </w:pPr>
            <w:r>
              <w:rPr>
                <w:b/>
                <w:bCs/>
                <w:i/>
                <w:sz w:val="18"/>
                <w:szCs w:val="18"/>
              </w:rPr>
              <w:t>Total</w:t>
            </w:r>
          </w:p>
        </w:tc>
        <w:tc>
          <w:tcPr>
            <w:tcW w:w="1474" w:type="dxa"/>
            <w:vAlign w:val="center"/>
          </w:tcPr>
          <w:p w:rsidR="00CD2A5A" w:rsidRDefault="00CD2A5A">
            <w:pPr>
              <w:jc w:val="center"/>
              <w:rPr>
                <w:b/>
                <w:bCs/>
                <w:i/>
                <w:sz w:val="18"/>
                <w:szCs w:val="18"/>
              </w:rPr>
            </w:pPr>
            <w:r>
              <w:rPr>
                <w:b/>
                <w:bCs/>
                <w:i/>
                <w:sz w:val="18"/>
                <w:szCs w:val="18"/>
              </w:rPr>
              <w:t>Comentarios</w:t>
            </w:r>
          </w:p>
        </w:tc>
      </w:tr>
      <w:tr w:rsidR="00CD2A5A">
        <w:trPr>
          <w:jc w:val="center"/>
        </w:trPr>
        <w:tc>
          <w:tcPr>
            <w:tcW w:w="3397" w:type="dxa"/>
          </w:tcPr>
          <w:p w:rsidR="00CD2A5A" w:rsidRDefault="00CD2A5A">
            <w:pPr>
              <w:rPr>
                <w:b/>
                <w:bCs/>
                <w:sz w:val="18"/>
                <w:szCs w:val="18"/>
              </w:rPr>
            </w:pPr>
            <w:r>
              <w:rPr>
                <w:b/>
                <w:bCs/>
                <w:sz w:val="18"/>
                <w:szCs w:val="18"/>
              </w:rPr>
              <w:t>2004</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Cs/>
                <w:sz w:val="18"/>
                <w:szCs w:val="18"/>
              </w:rPr>
            </w:pPr>
          </w:p>
        </w:tc>
        <w:tc>
          <w:tcPr>
            <w:tcW w:w="1474" w:type="dxa"/>
          </w:tcPr>
          <w:p w:rsidR="00CD2A5A" w:rsidRDefault="00CD2A5A">
            <w:pPr>
              <w:jc w:val="center"/>
              <w:rPr>
                <w:bCs/>
                <w:sz w:val="18"/>
                <w:szCs w:val="18"/>
              </w:rPr>
            </w:pPr>
          </w:p>
        </w:tc>
      </w:tr>
      <w:tr w:rsidR="00CD2A5A">
        <w:trPr>
          <w:jc w:val="center"/>
        </w:trPr>
        <w:tc>
          <w:tcPr>
            <w:tcW w:w="3397" w:type="dxa"/>
          </w:tcPr>
          <w:p w:rsidR="00CD2A5A" w:rsidRDefault="00CD2A5A">
            <w:pPr>
              <w:rPr>
                <w:bCs/>
                <w:sz w:val="18"/>
                <w:szCs w:val="18"/>
              </w:rPr>
            </w:pPr>
            <w:r>
              <w:rPr>
                <w:bCs/>
                <w:sz w:val="18"/>
                <w:szCs w:val="18"/>
              </w:rPr>
              <w:t>Comisión Nacional Antidrogas</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Cs/>
                <w:sz w:val="18"/>
                <w:szCs w:val="18"/>
              </w:rPr>
            </w:pPr>
          </w:p>
        </w:tc>
        <w:tc>
          <w:tcPr>
            <w:tcW w:w="1474" w:type="dxa"/>
          </w:tcPr>
          <w:p w:rsidR="00CD2A5A" w:rsidRDefault="00CD2A5A">
            <w:pPr>
              <w:jc w:val="cente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Programa de acercamiento a jóvenes en riesgo en el municipio de Soyapango, durante los meses de enero a mayo de 2004</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r>
              <w:rPr>
                <w:bCs/>
                <w:sz w:val="18"/>
                <w:szCs w:val="18"/>
              </w:rPr>
              <w:t>6.937,5</w:t>
            </w:r>
          </w:p>
        </w:tc>
        <w:tc>
          <w:tcPr>
            <w:tcW w:w="1388" w:type="dxa"/>
          </w:tcPr>
          <w:p w:rsidR="00CD2A5A" w:rsidRDefault="00CD2A5A">
            <w:pPr>
              <w:tabs>
                <w:tab w:val="decimal" w:pos="767"/>
              </w:tabs>
              <w:rPr>
                <w:bCs/>
                <w:sz w:val="18"/>
                <w:szCs w:val="18"/>
              </w:rPr>
            </w:pPr>
            <w:r>
              <w:rPr>
                <w:bCs/>
                <w:sz w:val="18"/>
                <w:szCs w:val="18"/>
              </w:rPr>
              <w:t>4.999,0</w:t>
            </w:r>
          </w:p>
        </w:tc>
        <w:tc>
          <w:tcPr>
            <w:tcW w:w="1009" w:type="dxa"/>
          </w:tcPr>
          <w:p w:rsidR="00CD2A5A" w:rsidRDefault="00CD2A5A">
            <w:pPr>
              <w:tabs>
                <w:tab w:val="decimal" w:pos="637"/>
              </w:tabs>
              <w:rPr>
                <w:b/>
                <w:bCs/>
                <w:sz w:val="18"/>
                <w:szCs w:val="18"/>
              </w:rPr>
            </w:pPr>
            <w:r>
              <w:rPr>
                <w:b/>
                <w:bCs/>
                <w:sz w:val="18"/>
                <w:szCs w:val="18"/>
              </w:rPr>
              <w:t>11.936,5</w:t>
            </w:r>
          </w:p>
        </w:tc>
        <w:tc>
          <w:tcPr>
            <w:tcW w:w="1474" w:type="dxa"/>
          </w:tcPr>
          <w:p w:rsidR="00CD2A5A" w:rsidRDefault="00CD2A5A">
            <w:pPr>
              <w:rPr>
                <w:bCs/>
                <w:spacing w:val="-2"/>
                <w:sz w:val="18"/>
                <w:szCs w:val="18"/>
              </w:rPr>
            </w:pPr>
            <w:r>
              <w:rPr>
                <w:bCs/>
                <w:spacing w:val="-2"/>
                <w:sz w:val="18"/>
                <w:szCs w:val="18"/>
              </w:rPr>
              <w:t xml:space="preserve">Fundación Salvador del Mundo (FUS) </w:t>
            </w:r>
          </w:p>
        </w:tc>
      </w:tr>
      <w:tr w:rsidR="00CD2A5A">
        <w:trPr>
          <w:jc w:val="center"/>
        </w:trPr>
        <w:tc>
          <w:tcPr>
            <w:tcW w:w="3397" w:type="dxa"/>
          </w:tcPr>
          <w:p w:rsidR="00CD2A5A" w:rsidRDefault="00CD2A5A">
            <w:pPr>
              <w:ind w:left="284"/>
              <w:rPr>
                <w:bCs/>
                <w:spacing w:val="-2"/>
                <w:sz w:val="18"/>
                <w:szCs w:val="18"/>
              </w:rPr>
            </w:pPr>
            <w:r>
              <w:rPr>
                <w:bCs/>
                <w:spacing w:val="-2"/>
                <w:sz w:val="18"/>
                <w:szCs w:val="18"/>
              </w:rPr>
              <w:t>Encuentro nacional de jóvenes para la prevención del consumo de drogas marzo de 2004</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r>
              <w:rPr>
                <w:bCs/>
                <w:sz w:val="18"/>
                <w:szCs w:val="18"/>
              </w:rPr>
              <w:t>670,8</w:t>
            </w:r>
          </w:p>
        </w:tc>
        <w:tc>
          <w:tcPr>
            <w:tcW w:w="1009" w:type="dxa"/>
          </w:tcPr>
          <w:p w:rsidR="00CD2A5A" w:rsidRDefault="00CD2A5A">
            <w:pPr>
              <w:tabs>
                <w:tab w:val="decimal" w:pos="637"/>
              </w:tabs>
              <w:rPr>
                <w:b/>
                <w:bCs/>
                <w:sz w:val="18"/>
                <w:szCs w:val="18"/>
              </w:rPr>
            </w:pPr>
            <w:r>
              <w:rPr>
                <w:b/>
                <w:bCs/>
                <w:sz w:val="18"/>
                <w:szCs w:val="18"/>
              </w:rPr>
              <w:t>670,8</w:t>
            </w:r>
          </w:p>
        </w:tc>
        <w:tc>
          <w:tcPr>
            <w:tcW w:w="1474" w:type="dxa"/>
          </w:tcPr>
          <w:p w:rsidR="00CD2A5A" w:rsidRDefault="00CD2A5A">
            <w:pPr>
              <w:rPr>
                <w:bCs/>
                <w:sz w:val="18"/>
                <w:szCs w:val="18"/>
              </w:rPr>
            </w:pPr>
            <w:r>
              <w:rPr>
                <w:bCs/>
                <w:spacing w:val="-2"/>
                <w:sz w:val="18"/>
                <w:szCs w:val="18"/>
              </w:rPr>
              <w:t xml:space="preserve">Aporte del Programa de Naciones </w:t>
            </w:r>
          </w:p>
        </w:tc>
      </w:tr>
      <w:tr w:rsidR="00CD2A5A">
        <w:trPr>
          <w:jc w:val="center"/>
        </w:trPr>
        <w:tc>
          <w:tcPr>
            <w:tcW w:w="3397" w:type="dxa"/>
          </w:tcPr>
          <w:p w:rsidR="00CD2A5A" w:rsidRDefault="00CD2A5A">
            <w:pPr>
              <w:ind w:left="284"/>
              <w:rPr>
                <w:bCs/>
                <w:sz w:val="18"/>
                <w:szCs w:val="18"/>
              </w:rPr>
            </w:pPr>
            <w:r>
              <w:rPr>
                <w:bCs/>
                <w:sz w:val="18"/>
                <w:szCs w:val="18"/>
              </w:rPr>
              <w:t>Celebración de la Semana Nacional de la Lucha contra las Drogas en los departamentos de Santa Ana, Cabañas, Usulután y Apopa Soyapango del 18 al 30 de junio de 2004</w:t>
            </w:r>
          </w:p>
        </w:tc>
        <w:tc>
          <w:tcPr>
            <w:tcW w:w="953" w:type="dxa"/>
          </w:tcPr>
          <w:p w:rsidR="00CD2A5A" w:rsidRDefault="00CD2A5A">
            <w:pPr>
              <w:tabs>
                <w:tab w:val="decimal" w:pos="632"/>
              </w:tabs>
              <w:rPr>
                <w:bCs/>
                <w:sz w:val="18"/>
                <w:szCs w:val="18"/>
              </w:rPr>
            </w:pPr>
            <w:r>
              <w:rPr>
                <w:bCs/>
                <w:sz w:val="18"/>
                <w:szCs w:val="18"/>
              </w:rPr>
              <w:t>4.964,7</w:t>
            </w:r>
          </w:p>
        </w:tc>
        <w:tc>
          <w:tcPr>
            <w:tcW w:w="1191" w:type="dxa"/>
          </w:tcPr>
          <w:p w:rsidR="00CD2A5A" w:rsidRDefault="00CD2A5A">
            <w:pPr>
              <w:tabs>
                <w:tab w:val="decimal" w:pos="722"/>
              </w:tabs>
              <w:rPr>
                <w:bCs/>
                <w:sz w:val="18"/>
                <w:szCs w:val="18"/>
              </w:rPr>
            </w:pPr>
            <w:r>
              <w:rPr>
                <w:bCs/>
                <w:sz w:val="18"/>
                <w:szCs w:val="18"/>
              </w:rPr>
              <w:t>4.120,0</w:t>
            </w: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
                <w:bCs/>
                <w:sz w:val="18"/>
                <w:szCs w:val="18"/>
              </w:rPr>
            </w:pPr>
            <w:r>
              <w:rPr>
                <w:b/>
                <w:bCs/>
                <w:sz w:val="18"/>
                <w:szCs w:val="18"/>
              </w:rPr>
              <w:t>9.084,7</w:t>
            </w:r>
          </w:p>
        </w:tc>
        <w:tc>
          <w:tcPr>
            <w:tcW w:w="1474" w:type="dxa"/>
          </w:tcPr>
          <w:p w:rsidR="00CD2A5A" w:rsidRDefault="00CD2A5A">
            <w:pPr>
              <w:rPr>
                <w:bCs/>
                <w:sz w:val="18"/>
                <w:szCs w:val="18"/>
              </w:rPr>
            </w:pPr>
            <w:r>
              <w:rPr>
                <w:bCs/>
                <w:sz w:val="18"/>
                <w:szCs w:val="18"/>
              </w:rPr>
              <w:t>Aporte de la empresa privada</w:t>
            </w:r>
          </w:p>
        </w:tc>
      </w:tr>
      <w:tr w:rsidR="00CD2A5A">
        <w:trPr>
          <w:jc w:val="center"/>
        </w:trPr>
        <w:tc>
          <w:tcPr>
            <w:tcW w:w="3397" w:type="dxa"/>
          </w:tcPr>
          <w:p w:rsidR="00CD2A5A" w:rsidRDefault="00CD2A5A">
            <w:pPr>
              <w:rPr>
                <w:bCs/>
                <w:sz w:val="18"/>
                <w:szCs w:val="18"/>
              </w:rPr>
            </w:pPr>
            <w:r>
              <w:rPr>
                <w:bCs/>
                <w:sz w:val="18"/>
                <w:szCs w:val="18"/>
              </w:rPr>
              <w:t>Dirección General de Seguridad Ciudadana</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Cs/>
                <w:sz w:val="18"/>
                <w:szCs w:val="18"/>
              </w:rPr>
            </w:pPr>
          </w:p>
        </w:tc>
        <w:tc>
          <w:tcPr>
            <w:tcW w:w="1474" w:type="dxa"/>
          </w:tcPr>
          <w:p w:rsidR="00CD2A5A" w:rsidRDefault="00CD2A5A">
            <w:pP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Fomento del esparcimiento para promover una juventud sana (Deportevías)</w:t>
            </w:r>
          </w:p>
        </w:tc>
        <w:tc>
          <w:tcPr>
            <w:tcW w:w="953" w:type="dxa"/>
          </w:tcPr>
          <w:p w:rsidR="00CD2A5A" w:rsidRDefault="00CD2A5A">
            <w:pPr>
              <w:tabs>
                <w:tab w:val="decimal" w:pos="632"/>
              </w:tabs>
              <w:rPr>
                <w:bCs/>
                <w:sz w:val="18"/>
                <w:szCs w:val="18"/>
              </w:rPr>
            </w:pPr>
            <w:r>
              <w:rPr>
                <w:bCs/>
                <w:sz w:val="18"/>
                <w:szCs w:val="18"/>
              </w:rPr>
              <w:t>20.000,0</w:t>
            </w: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
                <w:bCs/>
                <w:sz w:val="18"/>
                <w:szCs w:val="18"/>
              </w:rPr>
            </w:pPr>
            <w:r>
              <w:rPr>
                <w:b/>
                <w:bCs/>
                <w:sz w:val="18"/>
                <w:szCs w:val="18"/>
              </w:rPr>
              <w:t>20.000,0</w:t>
            </w:r>
          </w:p>
        </w:tc>
        <w:tc>
          <w:tcPr>
            <w:tcW w:w="1474" w:type="dxa"/>
          </w:tcPr>
          <w:p w:rsidR="00CD2A5A" w:rsidRDefault="00CD2A5A">
            <w:pP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Fomento para el incremento de la seguridad ciudadana (apoyo actividades deportivas)</w:t>
            </w:r>
          </w:p>
        </w:tc>
        <w:tc>
          <w:tcPr>
            <w:tcW w:w="953" w:type="dxa"/>
          </w:tcPr>
          <w:p w:rsidR="00CD2A5A" w:rsidRDefault="00CD2A5A">
            <w:pPr>
              <w:tabs>
                <w:tab w:val="decimal" w:pos="632"/>
              </w:tabs>
              <w:rPr>
                <w:bCs/>
                <w:sz w:val="18"/>
                <w:szCs w:val="18"/>
              </w:rPr>
            </w:pPr>
            <w:r>
              <w:rPr>
                <w:bCs/>
                <w:sz w:val="18"/>
                <w:szCs w:val="18"/>
              </w:rPr>
              <w:t>149.635,4</w:t>
            </w: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
                <w:bCs/>
                <w:sz w:val="18"/>
                <w:szCs w:val="18"/>
              </w:rPr>
            </w:pPr>
            <w:r>
              <w:rPr>
                <w:b/>
                <w:bCs/>
                <w:sz w:val="18"/>
                <w:szCs w:val="18"/>
              </w:rPr>
              <w:t>149.635,4</w:t>
            </w:r>
          </w:p>
        </w:tc>
        <w:tc>
          <w:tcPr>
            <w:tcW w:w="1474" w:type="dxa"/>
          </w:tcPr>
          <w:p w:rsidR="00CD2A5A" w:rsidRDefault="00CD2A5A">
            <w:pP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Promoción del desarrollo comunitario, (charlas, centros escolares, actividades, recreativas, papelería membretada)</w:t>
            </w:r>
          </w:p>
        </w:tc>
        <w:tc>
          <w:tcPr>
            <w:tcW w:w="953" w:type="dxa"/>
          </w:tcPr>
          <w:p w:rsidR="00CD2A5A" w:rsidRDefault="00CD2A5A">
            <w:pPr>
              <w:tabs>
                <w:tab w:val="decimal" w:pos="632"/>
              </w:tabs>
              <w:rPr>
                <w:bCs/>
                <w:sz w:val="18"/>
                <w:szCs w:val="18"/>
              </w:rPr>
            </w:pPr>
            <w:r>
              <w:rPr>
                <w:bCs/>
                <w:sz w:val="18"/>
                <w:szCs w:val="18"/>
              </w:rPr>
              <w:t>61.870,0</w:t>
            </w: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
                <w:bCs/>
                <w:sz w:val="18"/>
                <w:szCs w:val="18"/>
              </w:rPr>
            </w:pPr>
            <w:r>
              <w:rPr>
                <w:b/>
                <w:bCs/>
                <w:sz w:val="18"/>
                <w:szCs w:val="18"/>
              </w:rPr>
              <w:t>61.870,0</w:t>
            </w:r>
          </w:p>
        </w:tc>
        <w:tc>
          <w:tcPr>
            <w:tcW w:w="1474" w:type="dxa"/>
          </w:tcPr>
          <w:p w:rsidR="00CD2A5A" w:rsidRDefault="00CD2A5A">
            <w:pPr>
              <w:rPr>
                <w:bCs/>
                <w:sz w:val="18"/>
                <w:szCs w:val="18"/>
              </w:rPr>
            </w:pPr>
          </w:p>
        </w:tc>
      </w:tr>
      <w:tr w:rsidR="00CD2A5A">
        <w:trPr>
          <w:jc w:val="center"/>
        </w:trPr>
        <w:tc>
          <w:tcPr>
            <w:tcW w:w="3397" w:type="dxa"/>
          </w:tcPr>
          <w:p w:rsidR="00CD2A5A" w:rsidRDefault="00CD2A5A">
            <w:pPr>
              <w:rPr>
                <w:bCs/>
                <w:sz w:val="18"/>
                <w:szCs w:val="18"/>
              </w:rPr>
            </w:pPr>
            <w:r>
              <w:rPr>
                <w:bCs/>
                <w:sz w:val="18"/>
                <w:szCs w:val="18"/>
              </w:rPr>
              <w:t>Dirección General de Centros Penales</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Cs/>
                <w:sz w:val="18"/>
                <w:szCs w:val="18"/>
              </w:rPr>
            </w:pPr>
          </w:p>
        </w:tc>
        <w:tc>
          <w:tcPr>
            <w:tcW w:w="1474" w:type="dxa"/>
          </w:tcPr>
          <w:p w:rsidR="00CD2A5A" w:rsidRDefault="00CD2A5A">
            <w:pP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Servicio de alimentación a los niños y niñas de 0 a 7 años de edad, hijos e hijas de las internas recluidas en el sistema penitenciario</w:t>
            </w:r>
          </w:p>
        </w:tc>
        <w:tc>
          <w:tcPr>
            <w:tcW w:w="953" w:type="dxa"/>
          </w:tcPr>
          <w:p w:rsidR="00CD2A5A" w:rsidRDefault="00CD2A5A">
            <w:pPr>
              <w:tabs>
                <w:tab w:val="decimal" w:pos="632"/>
              </w:tabs>
              <w:rPr>
                <w:bCs/>
                <w:sz w:val="18"/>
                <w:szCs w:val="18"/>
              </w:rPr>
            </w:pPr>
            <w:r>
              <w:rPr>
                <w:bCs/>
                <w:sz w:val="18"/>
                <w:szCs w:val="18"/>
              </w:rPr>
              <w:t>16.644,0</w:t>
            </w: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
                <w:bCs/>
                <w:sz w:val="18"/>
                <w:szCs w:val="18"/>
              </w:rPr>
            </w:pPr>
            <w:r>
              <w:rPr>
                <w:b/>
                <w:bCs/>
                <w:sz w:val="18"/>
                <w:szCs w:val="18"/>
              </w:rPr>
              <w:t>16.644,0</w:t>
            </w:r>
          </w:p>
        </w:tc>
        <w:tc>
          <w:tcPr>
            <w:tcW w:w="1474" w:type="dxa"/>
          </w:tcPr>
          <w:p w:rsidR="00CD2A5A" w:rsidRDefault="00CD2A5A">
            <w:pPr>
              <w:rPr>
                <w:bCs/>
                <w:sz w:val="18"/>
                <w:szCs w:val="18"/>
              </w:rPr>
            </w:pPr>
          </w:p>
        </w:tc>
      </w:tr>
      <w:tr w:rsidR="00CD2A5A">
        <w:trPr>
          <w:jc w:val="center"/>
        </w:trPr>
        <w:tc>
          <w:tcPr>
            <w:tcW w:w="3397" w:type="dxa"/>
          </w:tcPr>
          <w:p w:rsidR="00CD2A5A" w:rsidRDefault="00CD2A5A">
            <w:pPr>
              <w:rPr>
                <w:bCs/>
                <w:sz w:val="18"/>
                <w:szCs w:val="18"/>
              </w:rPr>
            </w:pPr>
            <w:r>
              <w:rPr>
                <w:bCs/>
                <w:sz w:val="18"/>
                <w:szCs w:val="18"/>
              </w:rPr>
              <w:t>Dirección General de Migración y Extranjería</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Cs/>
                <w:sz w:val="18"/>
                <w:szCs w:val="18"/>
              </w:rPr>
            </w:pPr>
          </w:p>
        </w:tc>
        <w:tc>
          <w:tcPr>
            <w:tcW w:w="1474" w:type="dxa"/>
          </w:tcPr>
          <w:p w:rsidR="00CD2A5A" w:rsidRDefault="00CD2A5A">
            <w:pP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Servicio de atención inmediata a salvadoreños y salvadoreñas menores de edad que regresan voluntaria o involuntariamente de los EE.UU. a El Salvador (alimentación, salud, asesoría legal, transporte a su lugar de residencia, orientación psicosocial)</w:t>
            </w:r>
          </w:p>
        </w:tc>
        <w:tc>
          <w:tcPr>
            <w:tcW w:w="953" w:type="dxa"/>
          </w:tcPr>
          <w:p w:rsidR="00CD2A5A" w:rsidRDefault="00CD2A5A">
            <w:pPr>
              <w:tabs>
                <w:tab w:val="decimal" w:pos="632"/>
              </w:tabs>
              <w:rPr>
                <w:bCs/>
                <w:sz w:val="18"/>
                <w:szCs w:val="18"/>
              </w:rPr>
            </w:pPr>
            <w:r>
              <w:rPr>
                <w:bCs/>
                <w:sz w:val="18"/>
                <w:szCs w:val="18"/>
              </w:rPr>
              <w:t>386,2</w:t>
            </w: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
                <w:bCs/>
                <w:sz w:val="18"/>
                <w:szCs w:val="18"/>
              </w:rPr>
            </w:pPr>
            <w:r>
              <w:rPr>
                <w:b/>
                <w:bCs/>
                <w:sz w:val="18"/>
                <w:szCs w:val="18"/>
              </w:rPr>
              <w:t>386,2</w:t>
            </w:r>
          </w:p>
        </w:tc>
        <w:tc>
          <w:tcPr>
            <w:tcW w:w="1474" w:type="dxa"/>
          </w:tcPr>
          <w:p w:rsidR="00CD2A5A" w:rsidRDefault="00CD2A5A">
            <w:pPr>
              <w:rPr>
                <w:bCs/>
                <w:sz w:val="18"/>
                <w:szCs w:val="18"/>
              </w:rPr>
            </w:pPr>
          </w:p>
        </w:tc>
      </w:tr>
      <w:tr w:rsidR="00CD2A5A">
        <w:trPr>
          <w:jc w:val="center"/>
        </w:trPr>
        <w:tc>
          <w:tcPr>
            <w:tcW w:w="3397" w:type="dxa"/>
          </w:tcPr>
          <w:p w:rsidR="00CD2A5A" w:rsidRDefault="00CD2A5A">
            <w:pPr>
              <w:rPr>
                <w:bCs/>
                <w:sz w:val="18"/>
                <w:szCs w:val="18"/>
              </w:rPr>
            </w:pPr>
            <w:r>
              <w:rPr>
                <w:bCs/>
                <w:sz w:val="18"/>
                <w:szCs w:val="18"/>
              </w:rPr>
              <w:t>Policía Nacional Civil</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p>
        </w:tc>
        <w:tc>
          <w:tcPr>
            <w:tcW w:w="1009" w:type="dxa"/>
          </w:tcPr>
          <w:p w:rsidR="00CD2A5A" w:rsidRDefault="00CD2A5A">
            <w:pPr>
              <w:tabs>
                <w:tab w:val="decimal" w:pos="637"/>
              </w:tabs>
              <w:rPr>
                <w:bCs/>
                <w:sz w:val="18"/>
                <w:szCs w:val="18"/>
              </w:rPr>
            </w:pPr>
          </w:p>
        </w:tc>
        <w:tc>
          <w:tcPr>
            <w:tcW w:w="1474" w:type="dxa"/>
          </w:tcPr>
          <w:p w:rsidR="00CD2A5A" w:rsidRDefault="00CD2A5A">
            <w:pPr>
              <w:rPr>
                <w:bCs/>
                <w:sz w:val="18"/>
                <w:szCs w:val="18"/>
              </w:rPr>
            </w:pPr>
          </w:p>
        </w:tc>
      </w:tr>
      <w:tr w:rsidR="00CD2A5A">
        <w:trPr>
          <w:jc w:val="center"/>
        </w:trPr>
        <w:tc>
          <w:tcPr>
            <w:tcW w:w="3397" w:type="dxa"/>
          </w:tcPr>
          <w:p w:rsidR="00CD2A5A" w:rsidRDefault="00CD2A5A">
            <w:pPr>
              <w:ind w:left="284"/>
              <w:rPr>
                <w:bCs/>
                <w:sz w:val="18"/>
                <w:szCs w:val="18"/>
              </w:rPr>
            </w:pPr>
            <w:r>
              <w:rPr>
                <w:bCs/>
                <w:sz w:val="18"/>
                <w:szCs w:val="18"/>
              </w:rPr>
              <w:t>Fortalecimiento institucional para la prevención, investigación y persecución de los delitos de explotación sexual comercial de personas menores de edad</w:t>
            </w:r>
          </w:p>
        </w:tc>
        <w:tc>
          <w:tcPr>
            <w:tcW w:w="953" w:type="dxa"/>
          </w:tcPr>
          <w:p w:rsidR="00CD2A5A" w:rsidRDefault="00CD2A5A">
            <w:pPr>
              <w:tabs>
                <w:tab w:val="decimal" w:pos="632"/>
              </w:tabs>
              <w:rPr>
                <w:bCs/>
                <w:sz w:val="18"/>
                <w:szCs w:val="18"/>
              </w:rPr>
            </w:pPr>
          </w:p>
        </w:tc>
        <w:tc>
          <w:tcPr>
            <w:tcW w:w="1191" w:type="dxa"/>
          </w:tcPr>
          <w:p w:rsidR="00CD2A5A" w:rsidRDefault="00CD2A5A">
            <w:pPr>
              <w:tabs>
                <w:tab w:val="decimal" w:pos="722"/>
              </w:tabs>
              <w:rPr>
                <w:bCs/>
                <w:sz w:val="18"/>
                <w:szCs w:val="18"/>
              </w:rPr>
            </w:pPr>
          </w:p>
        </w:tc>
        <w:tc>
          <w:tcPr>
            <w:tcW w:w="1388" w:type="dxa"/>
          </w:tcPr>
          <w:p w:rsidR="00CD2A5A" w:rsidRDefault="00CD2A5A">
            <w:pPr>
              <w:tabs>
                <w:tab w:val="decimal" w:pos="767"/>
              </w:tabs>
              <w:rPr>
                <w:bCs/>
                <w:sz w:val="18"/>
                <w:szCs w:val="18"/>
              </w:rPr>
            </w:pPr>
            <w:r>
              <w:rPr>
                <w:bCs/>
                <w:sz w:val="18"/>
                <w:szCs w:val="18"/>
              </w:rPr>
              <w:t>27.392,72</w:t>
            </w:r>
          </w:p>
        </w:tc>
        <w:tc>
          <w:tcPr>
            <w:tcW w:w="1009" w:type="dxa"/>
          </w:tcPr>
          <w:p w:rsidR="00CD2A5A" w:rsidRDefault="00CD2A5A">
            <w:pPr>
              <w:tabs>
                <w:tab w:val="decimal" w:pos="637"/>
              </w:tabs>
              <w:rPr>
                <w:b/>
                <w:bCs/>
                <w:sz w:val="18"/>
                <w:szCs w:val="18"/>
              </w:rPr>
            </w:pPr>
            <w:r>
              <w:rPr>
                <w:b/>
                <w:bCs/>
                <w:sz w:val="18"/>
                <w:szCs w:val="18"/>
              </w:rPr>
              <w:t>27.392,7</w:t>
            </w:r>
          </w:p>
        </w:tc>
        <w:tc>
          <w:tcPr>
            <w:tcW w:w="1474" w:type="dxa"/>
          </w:tcPr>
          <w:p w:rsidR="00CD2A5A" w:rsidRDefault="00CD2A5A">
            <w:pPr>
              <w:rPr>
                <w:bCs/>
                <w:sz w:val="18"/>
                <w:szCs w:val="18"/>
              </w:rPr>
            </w:pPr>
            <w:r>
              <w:rPr>
                <w:bCs/>
                <w:sz w:val="18"/>
                <w:szCs w:val="18"/>
              </w:rPr>
              <w:t>Organismo Internacional del Trabajo - programa</w:t>
            </w:r>
          </w:p>
        </w:tc>
      </w:tr>
      <w:tr w:rsidR="00CD2A5A">
        <w:trPr>
          <w:jc w:val="center"/>
        </w:trPr>
        <w:tc>
          <w:tcPr>
            <w:tcW w:w="3397" w:type="dxa"/>
          </w:tcPr>
          <w:p w:rsidR="00CD2A5A" w:rsidRDefault="00CD2A5A">
            <w:pPr>
              <w:rPr>
                <w:b/>
                <w:bCs/>
                <w:sz w:val="18"/>
                <w:szCs w:val="18"/>
              </w:rPr>
            </w:pPr>
            <w:r>
              <w:rPr>
                <w:b/>
                <w:bCs/>
                <w:sz w:val="18"/>
                <w:szCs w:val="18"/>
              </w:rPr>
              <w:tab/>
              <w:t>Total</w:t>
            </w:r>
          </w:p>
        </w:tc>
        <w:tc>
          <w:tcPr>
            <w:tcW w:w="953" w:type="dxa"/>
          </w:tcPr>
          <w:p w:rsidR="00CD2A5A" w:rsidRDefault="00CD2A5A">
            <w:pPr>
              <w:jc w:val="center"/>
              <w:rPr>
                <w:b/>
                <w:bCs/>
                <w:sz w:val="18"/>
                <w:szCs w:val="18"/>
              </w:rPr>
            </w:pPr>
            <w:r>
              <w:rPr>
                <w:b/>
                <w:bCs/>
                <w:sz w:val="18"/>
                <w:szCs w:val="18"/>
              </w:rPr>
              <w:t>253.500,4</w:t>
            </w:r>
          </w:p>
        </w:tc>
        <w:tc>
          <w:tcPr>
            <w:tcW w:w="1191" w:type="dxa"/>
          </w:tcPr>
          <w:p w:rsidR="00CD2A5A" w:rsidRDefault="00CD2A5A">
            <w:pPr>
              <w:jc w:val="center"/>
              <w:rPr>
                <w:b/>
                <w:bCs/>
                <w:sz w:val="18"/>
                <w:szCs w:val="18"/>
              </w:rPr>
            </w:pPr>
            <w:r>
              <w:rPr>
                <w:b/>
                <w:bCs/>
                <w:sz w:val="18"/>
                <w:szCs w:val="18"/>
              </w:rPr>
              <w:t>11.057,5</w:t>
            </w:r>
          </w:p>
        </w:tc>
        <w:tc>
          <w:tcPr>
            <w:tcW w:w="1388" w:type="dxa"/>
          </w:tcPr>
          <w:p w:rsidR="00CD2A5A" w:rsidRDefault="00CD2A5A">
            <w:pPr>
              <w:jc w:val="center"/>
              <w:rPr>
                <w:b/>
                <w:bCs/>
                <w:sz w:val="18"/>
                <w:szCs w:val="18"/>
              </w:rPr>
            </w:pPr>
            <w:r>
              <w:rPr>
                <w:b/>
                <w:bCs/>
                <w:sz w:val="18"/>
                <w:szCs w:val="18"/>
              </w:rPr>
              <w:t>33.062,5</w:t>
            </w:r>
          </w:p>
        </w:tc>
        <w:tc>
          <w:tcPr>
            <w:tcW w:w="1009" w:type="dxa"/>
          </w:tcPr>
          <w:p w:rsidR="00CD2A5A" w:rsidRDefault="00CD2A5A">
            <w:pPr>
              <w:jc w:val="center"/>
              <w:rPr>
                <w:b/>
                <w:bCs/>
                <w:sz w:val="18"/>
                <w:szCs w:val="18"/>
              </w:rPr>
            </w:pPr>
            <w:r>
              <w:rPr>
                <w:b/>
                <w:bCs/>
                <w:sz w:val="18"/>
                <w:szCs w:val="18"/>
              </w:rPr>
              <w:t>297.620,3</w:t>
            </w:r>
          </w:p>
        </w:tc>
        <w:tc>
          <w:tcPr>
            <w:tcW w:w="1474" w:type="dxa"/>
          </w:tcPr>
          <w:p w:rsidR="00CD2A5A" w:rsidRDefault="00CD2A5A">
            <w:pPr>
              <w:rPr>
                <w:b/>
                <w:bCs/>
                <w:sz w:val="18"/>
                <w:szCs w:val="18"/>
              </w:rPr>
            </w:pPr>
          </w:p>
        </w:tc>
      </w:tr>
    </w:tbl>
    <w:p w:rsidR="00CD2A5A" w:rsidRDefault="00CD2A5A">
      <w:pPr>
        <w:jc w:val="center"/>
        <w:rPr>
          <w:sz w:val="20"/>
          <w:szCs w:val="20"/>
        </w:rPr>
      </w:pPr>
    </w:p>
    <w:p w:rsidR="00CD2A5A" w:rsidRDefault="00CD2A5A">
      <w:pPr>
        <w:jc w:val="center"/>
        <w:rPr>
          <w:sz w:val="20"/>
          <w:szCs w:val="20"/>
        </w:rPr>
      </w:pPr>
    </w:p>
    <w:p w:rsidR="00CD2A5A" w:rsidRDefault="00CD2A5A">
      <w:pPr>
        <w:jc w:val="center"/>
        <w:rPr>
          <w:sz w:val="20"/>
          <w:szCs w:val="20"/>
        </w:rPr>
      </w:pPr>
    </w:p>
    <w:p w:rsidR="00CD2A5A" w:rsidRDefault="00CD2A5A">
      <w:pPr>
        <w:jc w:val="center"/>
        <w:rPr>
          <w:sz w:val="20"/>
          <w:szCs w:val="20"/>
        </w:rPr>
      </w:pPr>
    </w:p>
    <w:p w:rsidR="00CD2A5A" w:rsidRDefault="00CD2A5A">
      <w:pPr>
        <w:jc w:val="center"/>
        <w:rPr>
          <w:sz w:val="20"/>
          <w:szCs w:val="20"/>
        </w:rPr>
      </w:pPr>
    </w:p>
    <w:p w:rsidR="00CD2A5A" w:rsidRDefault="00CD2A5A">
      <w:pPr>
        <w:jc w:val="center"/>
        <w:rPr>
          <w:sz w:val="20"/>
          <w:szCs w:val="20"/>
        </w:rPr>
      </w:pPr>
    </w:p>
    <w:p w:rsidR="00CD2A5A" w:rsidRDefault="00CD2A5A">
      <w:pPr>
        <w:jc w:val="center"/>
        <w:rPr>
          <w:sz w:val="20"/>
          <w:szCs w:val="20"/>
        </w:rPr>
      </w:pPr>
    </w:p>
    <w:p w:rsidR="00CD2A5A" w:rsidRDefault="00CD2A5A">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8"/>
        <w:gridCol w:w="960"/>
        <w:gridCol w:w="1107"/>
        <w:gridCol w:w="1413"/>
        <w:gridCol w:w="960"/>
        <w:gridCol w:w="1623"/>
      </w:tblGrid>
      <w:tr w:rsidR="00CD2A5A">
        <w:tc>
          <w:tcPr>
            <w:tcW w:w="3428" w:type="dxa"/>
            <w:vAlign w:val="center"/>
          </w:tcPr>
          <w:p w:rsidR="00CD2A5A" w:rsidRDefault="00CD2A5A">
            <w:pPr>
              <w:keepNext/>
              <w:jc w:val="center"/>
              <w:rPr>
                <w:b/>
                <w:bCs/>
                <w:i/>
                <w:sz w:val="18"/>
                <w:szCs w:val="18"/>
              </w:rPr>
            </w:pPr>
            <w:r>
              <w:rPr>
                <w:bCs/>
                <w:i/>
              </w:rPr>
              <w:br w:type="page"/>
            </w:r>
            <w:r>
              <w:rPr>
                <w:b/>
                <w:bCs/>
                <w:i/>
                <w:sz w:val="18"/>
                <w:szCs w:val="18"/>
              </w:rPr>
              <w:t>Nombre del proyecto/acciones</w:t>
            </w:r>
          </w:p>
        </w:tc>
        <w:tc>
          <w:tcPr>
            <w:tcW w:w="960" w:type="dxa"/>
            <w:vAlign w:val="center"/>
          </w:tcPr>
          <w:p w:rsidR="00CD2A5A" w:rsidRDefault="00CD2A5A">
            <w:pPr>
              <w:keepNext/>
              <w:jc w:val="center"/>
              <w:rPr>
                <w:b/>
                <w:bCs/>
                <w:i/>
                <w:sz w:val="18"/>
                <w:szCs w:val="18"/>
              </w:rPr>
            </w:pPr>
            <w:r>
              <w:rPr>
                <w:b/>
                <w:bCs/>
                <w:i/>
                <w:sz w:val="18"/>
                <w:szCs w:val="18"/>
              </w:rPr>
              <w:t>Aporte del Gobierno</w:t>
            </w:r>
          </w:p>
        </w:tc>
        <w:tc>
          <w:tcPr>
            <w:tcW w:w="1107" w:type="dxa"/>
            <w:vAlign w:val="center"/>
          </w:tcPr>
          <w:p w:rsidR="00CD2A5A" w:rsidRDefault="00CD2A5A">
            <w:pPr>
              <w:keepNext/>
              <w:jc w:val="center"/>
              <w:rPr>
                <w:b/>
                <w:bCs/>
                <w:i/>
                <w:spacing w:val="-2"/>
                <w:sz w:val="18"/>
                <w:szCs w:val="18"/>
              </w:rPr>
            </w:pPr>
            <w:r>
              <w:rPr>
                <w:b/>
                <w:bCs/>
                <w:i/>
                <w:spacing w:val="-2"/>
                <w:sz w:val="18"/>
                <w:szCs w:val="18"/>
              </w:rPr>
              <w:t>Aporte de la empresa privada</w:t>
            </w:r>
          </w:p>
        </w:tc>
        <w:tc>
          <w:tcPr>
            <w:tcW w:w="1413" w:type="dxa"/>
            <w:vAlign w:val="center"/>
          </w:tcPr>
          <w:p w:rsidR="00CD2A5A" w:rsidRDefault="00CD2A5A">
            <w:pPr>
              <w:keepNext/>
              <w:jc w:val="center"/>
              <w:rPr>
                <w:b/>
                <w:bCs/>
                <w:i/>
                <w:spacing w:val="-3"/>
                <w:sz w:val="18"/>
                <w:szCs w:val="18"/>
              </w:rPr>
            </w:pPr>
            <w:r>
              <w:rPr>
                <w:b/>
                <w:bCs/>
                <w:i/>
                <w:spacing w:val="-3"/>
                <w:sz w:val="18"/>
                <w:szCs w:val="18"/>
              </w:rPr>
              <w:t>Donación de organismos internacionales</w:t>
            </w:r>
          </w:p>
        </w:tc>
        <w:tc>
          <w:tcPr>
            <w:tcW w:w="960" w:type="dxa"/>
            <w:vAlign w:val="center"/>
          </w:tcPr>
          <w:p w:rsidR="00CD2A5A" w:rsidRDefault="00CD2A5A">
            <w:pPr>
              <w:keepNext/>
              <w:jc w:val="center"/>
              <w:rPr>
                <w:b/>
                <w:bCs/>
                <w:i/>
                <w:sz w:val="18"/>
                <w:szCs w:val="18"/>
              </w:rPr>
            </w:pPr>
            <w:r>
              <w:rPr>
                <w:b/>
                <w:bCs/>
                <w:i/>
                <w:sz w:val="18"/>
                <w:szCs w:val="18"/>
              </w:rPr>
              <w:t>Total</w:t>
            </w:r>
          </w:p>
        </w:tc>
        <w:tc>
          <w:tcPr>
            <w:tcW w:w="1623" w:type="dxa"/>
            <w:vAlign w:val="center"/>
          </w:tcPr>
          <w:p w:rsidR="00CD2A5A" w:rsidRDefault="00CD2A5A">
            <w:pPr>
              <w:keepNext/>
              <w:jc w:val="center"/>
              <w:rPr>
                <w:b/>
                <w:bCs/>
                <w:i/>
                <w:sz w:val="18"/>
                <w:szCs w:val="18"/>
              </w:rPr>
            </w:pPr>
            <w:r>
              <w:rPr>
                <w:b/>
                <w:bCs/>
                <w:i/>
                <w:sz w:val="18"/>
                <w:szCs w:val="18"/>
              </w:rPr>
              <w:t>Comentarios</w:t>
            </w:r>
          </w:p>
        </w:tc>
      </w:tr>
      <w:tr w:rsidR="00CD2A5A">
        <w:tc>
          <w:tcPr>
            <w:tcW w:w="3428" w:type="dxa"/>
          </w:tcPr>
          <w:p w:rsidR="00CD2A5A" w:rsidRDefault="00CD2A5A">
            <w:pPr>
              <w:keepNext/>
              <w:rPr>
                <w:bCs/>
                <w:sz w:val="18"/>
                <w:szCs w:val="18"/>
              </w:rPr>
            </w:pPr>
            <w:r>
              <w:rPr>
                <w:bCs/>
                <w:sz w:val="18"/>
                <w:szCs w:val="18"/>
              </w:rPr>
              <w:t>2005</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Cs/>
                <w:sz w:val="18"/>
                <w:szCs w:val="18"/>
              </w:rPr>
            </w:pPr>
          </w:p>
        </w:tc>
        <w:tc>
          <w:tcPr>
            <w:tcW w:w="1623" w:type="dxa"/>
          </w:tcPr>
          <w:p w:rsidR="00CD2A5A" w:rsidRDefault="00CD2A5A">
            <w:pPr>
              <w:keepNext/>
              <w:jc w:val="center"/>
              <w:rPr>
                <w:bCs/>
                <w:sz w:val="18"/>
                <w:szCs w:val="18"/>
              </w:rPr>
            </w:pPr>
          </w:p>
        </w:tc>
      </w:tr>
      <w:tr w:rsidR="00CD2A5A">
        <w:tc>
          <w:tcPr>
            <w:tcW w:w="3428" w:type="dxa"/>
          </w:tcPr>
          <w:p w:rsidR="00CD2A5A" w:rsidRDefault="00CD2A5A">
            <w:pPr>
              <w:keepNext/>
              <w:rPr>
                <w:bCs/>
                <w:sz w:val="18"/>
                <w:szCs w:val="18"/>
              </w:rPr>
            </w:pPr>
            <w:r>
              <w:rPr>
                <w:bCs/>
                <w:sz w:val="18"/>
                <w:szCs w:val="18"/>
              </w:rPr>
              <w:t>Comisión Nacional Antidrogas</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Cs/>
                <w:sz w:val="18"/>
                <w:szCs w:val="18"/>
              </w:rPr>
            </w:pPr>
          </w:p>
        </w:tc>
        <w:tc>
          <w:tcPr>
            <w:tcW w:w="1623" w:type="dxa"/>
          </w:tcPr>
          <w:p w:rsidR="00CD2A5A" w:rsidRDefault="00CD2A5A">
            <w:pPr>
              <w:keepNext/>
              <w:jc w:val="center"/>
              <w:rPr>
                <w:bCs/>
                <w:sz w:val="18"/>
                <w:szCs w:val="18"/>
              </w:rPr>
            </w:pPr>
          </w:p>
        </w:tc>
      </w:tr>
      <w:tr w:rsidR="00CD2A5A">
        <w:tc>
          <w:tcPr>
            <w:tcW w:w="3428" w:type="dxa"/>
          </w:tcPr>
          <w:p w:rsidR="00CD2A5A" w:rsidRDefault="00CD2A5A">
            <w:pPr>
              <w:keepNext/>
              <w:ind w:left="284"/>
              <w:rPr>
                <w:bCs/>
                <w:sz w:val="18"/>
                <w:szCs w:val="18"/>
              </w:rPr>
            </w:pPr>
            <w:r>
              <w:rPr>
                <w:bCs/>
                <w:sz w:val="18"/>
                <w:szCs w:val="18"/>
              </w:rPr>
              <w:t>Celebración de la Semana Nacional de la Lucha contra las Drogas del 26 al 30 de junio de 2005, departamentos de Ahuachapán, Santa Ana, San Vicente</w:t>
            </w:r>
          </w:p>
        </w:tc>
        <w:tc>
          <w:tcPr>
            <w:tcW w:w="960" w:type="dxa"/>
          </w:tcPr>
          <w:p w:rsidR="00CD2A5A" w:rsidRDefault="00CD2A5A">
            <w:pPr>
              <w:keepNext/>
              <w:tabs>
                <w:tab w:val="decimal" w:pos="660"/>
              </w:tabs>
              <w:rPr>
                <w:bCs/>
                <w:sz w:val="18"/>
                <w:szCs w:val="18"/>
              </w:rPr>
            </w:pPr>
            <w:r>
              <w:rPr>
                <w:bCs/>
                <w:sz w:val="18"/>
                <w:szCs w:val="18"/>
              </w:rPr>
              <w:t>40.943,7</w:t>
            </w:r>
          </w:p>
        </w:tc>
        <w:tc>
          <w:tcPr>
            <w:tcW w:w="1107" w:type="dxa"/>
          </w:tcPr>
          <w:p w:rsidR="00CD2A5A" w:rsidRDefault="00CD2A5A">
            <w:pPr>
              <w:keepNext/>
              <w:tabs>
                <w:tab w:val="decimal" w:pos="736"/>
              </w:tabs>
              <w:rPr>
                <w:bCs/>
                <w:sz w:val="18"/>
                <w:szCs w:val="18"/>
              </w:rPr>
            </w:pPr>
            <w:r>
              <w:rPr>
                <w:bCs/>
                <w:sz w:val="18"/>
                <w:szCs w:val="18"/>
              </w:rPr>
              <w:t>2.203,4</w:t>
            </w: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
                <w:bCs/>
                <w:sz w:val="18"/>
                <w:szCs w:val="18"/>
              </w:rPr>
            </w:pPr>
            <w:r>
              <w:rPr>
                <w:b/>
                <w:bCs/>
                <w:sz w:val="18"/>
                <w:szCs w:val="18"/>
              </w:rPr>
              <w:t>43.147,1</w:t>
            </w:r>
          </w:p>
        </w:tc>
        <w:tc>
          <w:tcPr>
            <w:tcW w:w="1623" w:type="dxa"/>
          </w:tcPr>
          <w:p w:rsidR="00CD2A5A" w:rsidRDefault="00CD2A5A">
            <w:pPr>
              <w:keepNext/>
              <w:rPr>
                <w:bCs/>
                <w:sz w:val="18"/>
                <w:szCs w:val="18"/>
              </w:rPr>
            </w:pPr>
            <w:r>
              <w:rPr>
                <w:bCs/>
                <w:sz w:val="18"/>
                <w:szCs w:val="18"/>
              </w:rPr>
              <w:t>Empresas donantes:  SIGMA, SISA, Droguería Santa Lucía, Guillermo Borja</w:t>
            </w:r>
          </w:p>
        </w:tc>
      </w:tr>
      <w:tr w:rsidR="00CD2A5A">
        <w:tc>
          <w:tcPr>
            <w:tcW w:w="3428" w:type="dxa"/>
          </w:tcPr>
          <w:p w:rsidR="00CD2A5A" w:rsidRDefault="00CD2A5A">
            <w:pPr>
              <w:keepNext/>
              <w:rPr>
                <w:bCs/>
                <w:sz w:val="18"/>
                <w:szCs w:val="18"/>
              </w:rPr>
            </w:pPr>
            <w:r>
              <w:rPr>
                <w:bCs/>
                <w:sz w:val="18"/>
                <w:szCs w:val="18"/>
              </w:rPr>
              <w:t>Dirección General de Seguridad Ciudadana</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Cs/>
                <w:sz w:val="18"/>
                <w:szCs w:val="18"/>
              </w:rPr>
            </w:pPr>
          </w:p>
        </w:tc>
        <w:tc>
          <w:tcPr>
            <w:tcW w:w="1623" w:type="dxa"/>
          </w:tcPr>
          <w:p w:rsidR="00CD2A5A" w:rsidRDefault="00CD2A5A">
            <w:pPr>
              <w:keepNext/>
              <w:rPr>
                <w:bCs/>
                <w:sz w:val="18"/>
                <w:szCs w:val="18"/>
              </w:rPr>
            </w:pPr>
          </w:p>
        </w:tc>
      </w:tr>
      <w:tr w:rsidR="00CD2A5A">
        <w:tc>
          <w:tcPr>
            <w:tcW w:w="3428" w:type="dxa"/>
          </w:tcPr>
          <w:p w:rsidR="00CD2A5A" w:rsidRDefault="00CD2A5A">
            <w:pPr>
              <w:keepNext/>
              <w:ind w:left="284"/>
              <w:rPr>
                <w:bCs/>
                <w:sz w:val="18"/>
                <w:szCs w:val="18"/>
              </w:rPr>
            </w:pPr>
            <w:r>
              <w:rPr>
                <w:bCs/>
                <w:sz w:val="18"/>
                <w:szCs w:val="18"/>
              </w:rPr>
              <w:t>Fomento del esparcimiento para promover una juventud sana (Deportevías)</w:t>
            </w:r>
          </w:p>
        </w:tc>
        <w:tc>
          <w:tcPr>
            <w:tcW w:w="960" w:type="dxa"/>
          </w:tcPr>
          <w:p w:rsidR="00CD2A5A" w:rsidRDefault="00CD2A5A">
            <w:pPr>
              <w:keepNext/>
              <w:tabs>
                <w:tab w:val="decimal" w:pos="660"/>
              </w:tabs>
              <w:rPr>
                <w:bCs/>
                <w:sz w:val="18"/>
                <w:szCs w:val="18"/>
              </w:rPr>
            </w:pPr>
            <w:r>
              <w:rPr>
                <w:bCs/>
                <w:sz w:val="18"/>
                <w:szCs w:val="18"/>
              </w:rPr>
              <w:t>20.000,0</w:t>
            </w: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
                <w:bCs/>
                <w:sz w:val="18"/>
                <w:szCs w:val="18"/>
              </w:rPr>
            </w:pPr>
            <w:r>
              <w:rPr>
                <w:b/>
                <w:bCs/>
                <w:sz w:val="18"/>
                <w:szCs w:val="18"/>
              </w:rPr>
              <w:t>20.000,0</w:t>
            </w:r>
          </w:p>
        </w:tc>
        <w:tc>
          <w:tcPr>
            <w:tcW w:w="1623" w:type="dxa"/>
          </w:tcPr>
          <w:p w:rsidR="00CD2A5A" w:rsidRDefault="00CD2A5A">
            <w:pPr>
              <w:keepNext/>
              <w:rPr>
                <w:bCs/>
                <w:sz w:val="18"/>
                <w:szCs w:val="18"/>
              </w:rPr>
            </w:pPr>
          </w:p>
        </w:tc>
      </w:tr>
      <w:tr w:rsidR="00CD2A5A">
        <w:tc>
          <w:tcPr>
            <w:tcW w:w="3428" w:type="dxa"/>
          </w:tcPr>
          <w:p w:rsidR="00CD2A5A" w:rsidRDefault="00CD2A5A">
            <w:pPr>
              <w:keepNext/>
              <w:ind w:left="284"/>
              <w:rPr>
                <w:bCs/>
                <w:sz w:val="18"/>
                <w:szCs w:val="18"/>
              </w:rPr>
            </w:pPr>
            <w:r>
              <w:rPr>
                <w:bCs/>
                <w:sz w:val="18"/>
                <w:szCs w:val="18"/>
              </w:rPr>
              <w:t>Promoción del desarrollo comunitario, (charlas, centros escolares, actividades, recreativas, papelería membretada)</w:t>
            </w:r>
          </w:p>
        </w:tc>
        <w:tc>
          <w:tcPr>
            <w:tcW w:w="960" w:type="dxa"/>
          </w:tcPr>
          <w:p w:rsidR="00CD2A5A" w:rsidRDefault="00CD2A5A">
            <w:pPr>
              <w:keepNext/>
              <w:tabs>
                <w:tab w:val="decimal" w:pos="660"/>
              </w:tabs>
              <w:rPr>
                <w:bCs/>
                <w:sz w:val="18"/>
                <w:szCs w:val="18"/>
              </w:rPr>
            </w:pPr>
            <w:r>
              <w:rPr>
                <w:bCs/>
                <w:sz w:val="18"/>
                <w:szCs w:val="18"/>
              </w:rPr>
              <w:t>149.635,4</w:t>
            </w: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
                <w:bCs/>
                <w:sz w:val="18"/>
                <w:szCs w:val="18"/>
              </w:rPr>
            </w:pPr>
            <w:r>
              <w:rPr>
                <w:b/>
                <w:bCs/>
                <w:sz w:val="18"/>
                <w:szCs w:val="18"/>
              </w:rPr>
              <w:t>149.635,4</w:t>
            </w:r>
          </w:p>
        </w:tc>
        <w:tc>
          <w:tcPr>
            <w:tcW w:w="1623" w:type="dxa"/>
          </w:tcPr>
          <w:p w:rsidR="00CD2A5A" w:rsidRDefault="00CD2A5A">
            <w:pPr>
              <w:keepNext/>
              <w:rPr>
                <w:bCs/>
                <w:sz w:val="18"/>
                <w:szCs w:val="18"/>
              </w:rPr>
            </w:pPr>
          </w:p>
        </w:tc>
      </w:tr>
      <w:tr w:rsidR="00CD2A5A">
        <w:tc>
          <w:tcPr>
            <w:tcW w:w="3428" w:type="dxa"/>
          </w:tcPr>
          <w:p w:rsidR="00CD2A5A" w:rsidRDefault="00CD2A5A">
            <w:pPr>
              <w:keepNext/>
              <w:ind w:left="284"/>
              <w:rPr>
                <w:bCs/>
                <w:sz w:val="18"/>
                <w:szCs w:val="18"/>
              </w:rPr>
            </w:pPr>
            <w:r>
              <w:rPr>
                <w:bCs/>
                <w:sz w:val="18"/>
                <w:szCs w:val="18"/>
              </w:rPr>
              <w:t>Servicio de alimentación a los niños y niñas de 0 a 7 años de edad, hijos e hijas de las internas recluidas en el sistema penitenciario</w:t>
            </w:r>
          </w:p>
        </w:tc>
        <w:tc>
          <w:tcPr>
            <w:tcW w:w="960" w:type="dxa"/>
          </w:tcPr>
          <w:p w:rsidR="00CD2A5A" w:rsidRDefault="00CD2A5A">
            <w:pPr>
              <w:keepNext/>
              <w:tabs>
                <w:tab w:val="decimal" w:pos="660"/>
              </w:tabs>
              <w:rPr>
                <w:bCs/>
                <w:sz w:val="18"/>
                <w:szCs w:val="18"/>
              </w:rPr>
            </w:pPr>
            <w:r>
              <w:rPr>
                <w:bCs/>
                <w:sz w:val="18"/>
                <w:szCs w:val="18"/>
              </w:rPr>
              <w:t>61.870,0</w:t>
            </w: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
                <w:bCs/>
                <w:sz w:val="18"/>
                <w:szCs w:val="18"/>
              </w:rPr>
            </w:pPr>
            <w:r>
              <w:rPr>
                <w:b/>
                <w:bCs/>
                <w:sz w:val="18"/>
                <w:szCs w:val="18"/>
              </w:rPr>
              <w:t>61.870,0</w:t>
            </w:r>
          </w:p>
        </w:tc>
        <w:tc>
          <w:tcPr>
            <w:tcW w:w="1623" w:type="dxa"/>
          </w:tcPr>
          <w:p w:rsidR="00CD2A5A" w:rsidRDefault="00CD2A5A">
            <w:pPr>
              <w:keepNext/>
              <w:rPr>
                <w:bCs/>
                <w:sz w:val="18"/>
                <w:szCs w:val="18"/>
              </w:rPr>
            </w:pPr>
          </w:p>
        </w:tc>
      </w:tr>
      <w:tr w:rsidR="00CD2A5A">
        <w:tc>
          <w:tcPr>
            <w:tcW w:w="3428" w:type="dxa"/>
          </w:tcPr>
          <w:p w:rsidR="00CD2A5A" w:rsidRDefault="00CD2A5A">
            <w:pPr>
              <w:keepNext/>
              <w:rPr>
                <w:bCs/>
                <w:sz w:val="18"/>
                <w:szCs w:val="18"/>
              </w:rPr>
            </w:pPr>
            <w:r>
              <w:rPr>
                <w:bCs/>
                <w:sz w:val="18"/>
                <w:szCs w:val="18"/>
              </w:rPr>
              <w:t>Dirección General de Centros Penales</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Cs/>
                <w:sz w:val="18"/>
                <w:szCs w:val="18"/>
              </w:rPr>
            </w:pPr>
          </w:p>
        </w:tc>
        <w:tc>
          <w:tcPr>
            <w:tcW w:w="1623" w:type="dxa"/>
          </w:tcPr>
          <w:p w:rsidR="00CD2A5A" w:rsidRDefault="00CD2A5A">
            <w:pPr>
              <w:keepNext/>
              <w:rPr>
                <w:bCs/>
                <w:sz w:val="18"/>
                <w:szCs w:val="18"/>
              </w:rPr>
            </w:pPr>
          </w:p>
        </w:tc>
      </w:tr>
      <w:tr w:rsidR="00CD2A5A">
        <w:tc>
          <w:tcPr>
            <w:tcW w:w="3428" w:type="dxa"/>
          </w:tcPr>
          <w:p w:rsidR="00CD2A5A" w:rsidRDefault="00CD2A5A">
            <w:pPr>
              <w:keepNext/>
              <w:ind w:left="284"/>
              <w:rPr>
                <w:bCs/>
                <w:sz w:val="18"/>
                <w:szCs w:val="18"/>
              </w:rPr>
            </w:pPr>
            <w:r>
              <w:rPr>
                <w:bCs/>
                <w:sz w:val="18"/>
                <w:szCs w:val="18"/>
              </w:rPr>
              <w:t>Servicio de alimentación a los niños y niñas de 0 a 7 años de edad, hijos e hijas de las internas recluidas en el sistema penitenciario</w:t>
            </w:r>
          </w:p>
        </w:tc>
        <w:tc>
          <w:tcPr>
            <w:tcW w:w="960" w:type="dxa"/>
          </w:tcPr>
          <w:p w:rsidR="00CD2A5A" w:rsidRDefault="00CD2A5A">
            <w:pPr>
              <w:keepNext/>
              <w:tabs>
                <w:tab w:val="decimal" w:pos="660"/>
              </w:tabs>
              <w:rPr>
                <w:bCs/>
                <w:sz w:val="18"/>
                <w:szCs w:val="18"/>
              </w:rPr>
            </w:pPr>
            <w:r>
              <w:rPr>
                <w:bCs/>
                <w:sz w:val="18"/>
                <w:szCs w:val="18"/>
              </w:rPr>
              <w:t>11.234,7</w:t>
            </w: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
                <w:bCs/>
                <w:sz w:val="18"/>
                <w:szCs w:val="18"/>
              </w:rPr>
            </w:pPr>
            <w:r>
              <w:rPr>
                <w:b/>
                <w:bCs/>
                <w:sz w:val="18"/>
                <w:szCs w:val="18"/>
              </w:rPr>
              <w:t>11.234,7</w:t>
            </w:r>
          </w:p>
        </w:tc>
        <w:tc>
          <w:tcPr>
            <w:tcW w:w="1623" w:type="dxa"/>
          </w:tcPr>
          <w:p w:rsidR="00CD2A5A" w:rsidRDefault="00CD2A5A">
            <w:pPr>
              <w:keepNext/>
              <w:rPr>
                <w:bCs/>
                <w:sz w:val="18"/>
                <w:szCs w:val="18"/>
              </w:rPr>
            </w:pPr>
          </w:p>
        </w:tc>
      </w:tr>
      <w:tr w:rsidR="00CD2A5A">
        <w:tc>
          <w:tcPr>
            <w:tcW w:w="3428" w:type="dxa"/>
          </w:tcPr>
          <w:p w:rsidR="00CD2A5A" w:rsidRDefault="00CD2A5A">
            <w:pPr>
              <w:keepNext/>
              <w:rPr>
                <w:bCs/>
                <w:sz w:val="18"/>
                <w:szCs w:val="18"/>
              </w:rPr>
            </w:pPr>
            <w:r>
              <w:rPr>
                <w:bCs/>
                <w:sz w:val="18"/>
                <w:szCs w:val="18"/>
              </w:rPr>
              <w:t>Dirección General de Migración y Extranjería</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Cs/>
                <w:sz w:val="18"/>
                <w:szCs w:val="18"/>
              </w:rPr>
            </w:pPr>
          </w:p>
        </w:tc>
        <w:tc>
          <w:tcPr>
            <w:tcW w:w="1623" w:type="dxa"/>
          </w:tcPr>
          <w:p w:rsidR="00CD2A5A" w:rsidRDefault="00CD2A5A">
            <w:pPr>
              <w:keepNext/>
              <w:rPr>
                <w:bCs/>
                <w:sz w:val="18"/>
                <w:szCs w:val="18"/>
              </w:rPr>
            </w:pPr>
          </w:p>
        </w:tc>
      </w:tr>
      <w:tr w:rsidR="00CD2A5A">
        <w:tc>
          <w:tcPr>
            <w:tcW w:w="3428" w:type="dxa"/>
          </w:tcPr>
          <w:p w:rsidR="00CD2A5A" w:rsidRDefault="00CD2A5A">
            <w:pPr>
              <w:keepNext/>
              <w:ind w:left="284"/>
              <w:rPr>
                <w:bCs/>
                <w:sz w:val="18"/>
                <w:szCs w:val="18"/>
              </w:rPr>
            </w:pPr>
            <w:r>
              <w:rPr>
                <w:bCs/>
                <w:sz w:val="18"/>
                <w:szCs w:val="18"/>
              </w:rPr>
              <w:t xml:space="preserve">Servicio de atención inmediata a salvadoreños y salvadoreñas menores de edad  y adolescentes que regresan voluntaria o involuntariamente de los EE.UU. a El Salvador </w:t>
            </w:r>
          </w:p>
        </w:tc>
        <w:tc>
          <w:tcPr>
            <w:tcW w:w="960" w:type="dxa"/>
          </w:tcPr>
          <w:p w:rsidR="00CD2A5A" w:rsidRDefault="00CD2A5A">
            <w:pPr>
              <w:keepNext/>
              <w:tabs>
                <w:tab w:val="decimal" w:pos="660"/>
              </w:tabs>
              <w:rPr>
                <w:bCs/>
                <w:sz w:val="18"/>
                <w:szCs w:val="18"/>
              </w:rPr>
            </w:pPr>
            <w:r>
              <w:rPr>
                <w:bCs/>
                <w:sz w:val="18"/>
                <w:szCs w:val="18"/>
              </w:rPr>
              <w:t>1.433,2</w:t>
            </w: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
                <w:bCs/>
                <w:sz w:val="18"/>
                <w:szCs w:val="18"/>
              </w:rPr>
            </w:pPr>
            <w:r>
              <w:rPr>
                <w:b/>
                <w:bCs/>
                <w:sz w:val="18"/>
                <w:szCs w:val="18"/>
              </w:rPr>
              <w:t>1.433,2</w:t>
            </w:r>
          </w:p>
        </w:tc>
        <w:tc>
          <w:tcPr>
            <w:tcW w:w="1623" w:type="dxa"/>
          </w:tcPr>
          <w:p w:rsidR="00CD2A5A" w:rsidRDefault="00CD2A5A">
            <w:pPr>
              <w:keepNext/>
              <w:rPr>
                <w:bCs/>
                <w:sz w:val="18"/>
                <w:szCs w:val="18"/>
              </w:rPr>
            </w:pPr>
          </w:p>
        </w:tc>
      </w:tr>
      <w:tr w:rsidR="00CD2A5A">
        <w:tc>
          <w:tcPr>
            <w:tcW w:w="3428" w:type="dxa"/>
          </w:tcPr>
          <w:p w:rsidR="00CD2A5A" w:rsidRDefault="00CD2A5A">
            <w:pPr>
              <w:keepNext/>
              <w:rPr>
                <w:bCs/>
                <w:sz w:val="18"/>
                <w:szCs w:val="18"/>
              </w:rPr>
            </w:pPr>
            <w:r>
              <w:rPr>
                <w:bCs/>
                <w:sz w:val="18"/>
                <w:szCs w:val="18"/>
              </w:rPr>
              <w:t>Policía Nacional Civil</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p>
        </w:tc>
        <w:tc>
          <w:tcPr>
            <w:tcW w:w="960" w:type="dxa"/>
          </w:tcPr>
          <w:p w:rsidR="00CD2A5A" w:rsidRDefault="00CD2A5A">
            <w:pPr>
              <w:keepNext/>
              <w:tabs>
                <w:tab w:val="decimal" w:pos="651"/>
              </w:tabs>
              <w:rPr>
                <w:bCs/>
                <w:sz w:val="18"/>
                <w:szCs w:val="18"/>
              </w:rPr>
            </w:pPr>
          </w:p>
        </w:tc>
        <w:tc>
          <w:tcPr>
            <w:tcW w:w="1623" w:type="dxa"/>
          </w:tcPr>
          <w:p w:rsidR="00CD2A5A" w:rsidRDefault="00CD2A5A">
            <w:pPr>
              <w:keepNext/>
              <w:rPr>
                <w:bCs/>
                <w:sz w:val="18"/>
                <w:szCs w:val="18"/>
              </w:rPr>
            </w:pPr>
          </w:p>
        </w:tc>
      </w:tr>
      <w:tr w:rsidR="00CD2A5A">
        <w:tc>
          <w:tcPr>
            <w:tcW w:w="3428" w:type="dxa"/>
          </w:tcPr>
          <w:p w:rsidR="00CD2A5A" w:rsidRDefault="00CD2A5A">
            <w:pPr>
              <w:keepNext/>
              <w:ind w:left="284"/>
              <w:rPr>
                <w:bCs/>
                <w:sz w:val="18"/>
                <w:szCs w:val="18"/>
              </w:rPr>
            </w:pPr>
            <w:r>
              <w:rPr>
                <w:bCs/>
                <w:sz w:val="18"/>
                <w:szCs w:val="18"/>
              </w:rPr>
              <w:t>Fortalecimiento institucional para la prevención, investigación y persecución de los delitos de explotación sexual comercial de personas menores de edad</w:t>
            </w:r>
          </w:p>
        </w:tc>
        <w:tc>
          <w:tcPr>
            <w:tcW w:w="960" w:type="dxa"/>
          </w:tcPr>
          <w:p w:rsidR="00CD2A5A" w:rsidRDefault="00CD2A5A">
            <w:pPr>
              <w:keepNext/>
              <w:tabs>
                <w:tab w:val="decimal" w:pos="660"/>
              </w:tabs>
              <w:rPr>
                <w:bCs/>
                <w:sz w:val="18"/>
                <w:szCs w:val="18"/>
              </w:rPr>
            </w:pPr>
          </w:p>
        </w:tc>
        <w:tc>
          <w:tcPr>
            <w:tcW w:w="1107" w:type="dxa"/>
          </w:tcPr>
          <w:p w:rsidR="00CD2A5A" w:rsidRDefault="00CD2A5A">
            <w:pPr>
              <w:keepNext/>
              <w:tabs>
                <w:tab w:val="decimal" w:pos="736"/>
              </w:tabs>
              <w:rPr>
                <w:bCs/>
                <w:sz w:val="18"/>
                <w:szCs w:val="18"/>
              </w:rPr>
            </w:pPr>
          </w:p>
        </w:tc>
        <w:tc>
          <w:tcPr>
            <w:tcW w:w="1413" w:type="dxa"/>
          </w:tcPr>
          <w:p w:rsidR="00CD2A5A" w:rsidRDefault="00CD2A5A">
            <w:pPr>
              <w:keepNext/>
              <w:tabs>
                <w:tab w:val="decimal" w:pos="795"/>
              </w:tabs>
              <w:rPr>
                <w:bCs/>
                <w:sz w:val="18"/>
                <w:szCs w:val="18"/>
              </w:rPr>
            </w:pPr>
            <w:r>
              <w:rPr>
                <w:bCs/>
                <w:sz w:val="18"/>
                <w:szCs w:val="18"/>
              </w:rPr>
              <w:t>27.392,7</w:t>
            </w:r>
          </w:p>
        </w:tc>
        <w:tc>
          <w:tcPr>
            <w:tcW w:w="960" w:type="dxa"/>
          </w:tcPr>
          <w:p w:rsidR="00CD2A5A" w:rsidRDefault="00CD2A5A">
            <w:pPr>
              <w:keepNext/>
              <w:tabs>
                <w:tab w:val="decimal" w:pos="651"/>
              </w:tabs>
              <w:rPr>
                <w:b/>
                <w:bCs/>
                <w:sz w:val="18"/>
                <w:szCs w:val="18"/>
              </w:rPr>
            </w:pPr>
            <w:r>
              <w:rPr>
                <w:b/>
                <w:bCs/>
                <w:sz w:val="18"/>
                <w:szCs w:val="18"/>
              </w:rPr>
              <w:t>27.392,7</w:t>
            </w:r>
          </w:p>
        </w:tc>
        <w:tc>
          <w:tcPr>
            <w:tcW w:w="1623" w:type="dxa"/>
          </w:tcPr>
          <w:p w:rsidR="00CD2A5A" w:rsidRDefault="00CD2A5A">
            <w:pPr>
              <w:keepNext/>
              <w:rPr>
                <w:bCs/>
                <w:sz w:val="18"/>
                <w:szCs w:val="18"/>
              </w:rPr>
            </w:pPr>
            <w:r>
              <w:rPr>
                <w:bCs/>
                <w:sz w:val="18"/>
                <w:szCs w:val="18"/>
              </w:rPr>
              <w:t>Aporte del Organismo Internacional del Trabajo - programa</w:t>
            </w:r>
          </w:p>
        </w:tc>
      </w:tr>
      <w:tr w:rsidR="00CD2A5A">
        <w:tc>
          <w:tcPr>
            <w:tcW w:w="3428" w:type="dxa"/>
          </w:tcPr>
          <w:p w:rsidR="00CD2A5A" w:rsidRDefault="00CD2A5A">
            <w:pPr>
              <w:rPr>
                <w:b/>
                <w:bCs/>
                <w:sz w:val="18"/>
                <w:szCs w:val="18"/>
              </w:rPr>
            </w:pPr>
            <w:r>
              <w:rPr>
                <w:b/>
                <w:bCs/>
                <w:sz w:val="18"/>
                <w:szCs w:val="18"/>
              </w:rPr>
              <w:tab/>
              <w:t>Total</w:t>
            </w:r>
          </w:p>
        </w:tc>
        <w:tc>
          <w:tcPr>
            <w:tcW w:w="960" w:type="dxa"/>
          </w:tcPr>
          <w:p w:rsidR="00CD2A5A" w:rsidRDefault="00CD2A5A">
            <w:pPr>
              <w:jc w:val="center"/>
              <w:rPr>
                <w:b/>
                <w:bCs/>
                <w:sz w:val="18"/>
                <w:szCs w:val="18"/>
              </w:rPr>
            </w:pPr>
            <w:r>
              <w:rPr>
                <w:b/>
                <w:bCs/>
                <w:sz w:val="18"/>
                <w:szCs w:val="18"/>
              </w:rPr>
              <w:t>285.117,0</w:t>
            </w:r>
          </w:p>
        </w:tc>
        <w:tc>
          <w:tcPr>
            <w:tcW w:w="1107" w:type="dxa"/>
          </w:tcPr>
          <w:p w:rsidR="00CD2A5A" w:rsidRDefault="00CD2A5A">
            <w:pPr>
              <w:jc w:val="center"/>
              <w:rPr>
                <w:b/>
                <w:bCs/>
                <w:sz w:val="18"/>
                <w:szCs w:val="18"/>
              </w:rPr>
            </w:pPr>
            <w:r>
              <w:rPr>
                <w:b/>
                <w:bCs/>
                <w:sz w:val="18"/>
                <w:szCs w:val="18"/>
              </w:rPr>
              <w:t>2.203,4</w:t>
            </w:r>
          </w:p>
        </w:tc>
        <w:tc>
          <w:tcPr>
            <w:tcW w:w="1413" w:type="dxa"/>
          </w:tcPr>
          <w:p w:rsidR="00CD2A5A" w:rsidRDefault="00CD2A5A">
            <w:pPr>
              <w:jc w:val="center"/>
              <w:rPr>
                <w:b/>
                <w:bCs/>
                <w:sz w:val="18"/>
                <w:szCs w:val="18"/>
              </w:rPr>
            </w:pPr>
            <w:r>
              <w:rPr>
                <w:b/>
                <w:bCs/>
                <w:sz w:val="18"/>
                <w:szCs w:val="18"/>
              </w:rPr>
              <w:t>27.392,7</w:t>
            </w:r>
          </w:p>
        </w:tc>
        <w:tc>
          <w:tcPr>
            <w:tcW w:w="960" w:type="dxa"/>
          </w:tcPr>
          <w:p w:rsidR="00CD2A5A" w:rsidRDefault="00CD2A5A">
            <w:pPr>
              <w:jc w:val="center"/>
              <w:rPr>
                <w:b/>
                <w:bCs/>
                <w:sz w:val="18"/>
                <w:szCs w:val="18"/>
              </w:rPr>
            </w:pPr>
            <w:r>
              <w:rPr>
                <w:b/>
                <w:bCs/>
                <w:sz w:val="18"/>
                <w:szCs w:val="18"/>
              </w:rPr>
              <w:t>314.713,2</w:t>
            </w:r>
          </w:p>
        </w:tc>
        <w:tc>
          <w:tcPr>
            <w:tcW w:w="1623" w:type="dxa"/>
          </w:tcPr>
          <w:p w:rsidR="00CD2A5A" w:rsidRDefault="00CD2A5A">
            <w:pPr>
              <w:rPr>
                <w:b/>
                <w:bCs/>
                <w:sz w:val="18"/>
                <w:szCs w:val="18"/>
              </w:rPr>
            </w:pPr>
          </w:p>
        </w:tc>
      </w:tr>
    </w:tbl>
    <w:p w:rsidR="00CD2A5A" w:rsidRDefault="00CD2A5A">
      <w:pPr>
        <w:spacing w:after="240"/>
      </w:pPr>
    </w:p>
    <w:p w:rsidR="00CD2A5A" w:rsidRDefault="00CD2A5A">
      <w:pPr>
        <w:pStyle w:val="BodyText"/>
        <w:spacing w:before="0" w:after="240"/>
        <w:jc w:val="center"/>
        <w:rPr>
          <w:sz w:val="24"/>
        </w:rPr>
      </w:pPr>
      <w:r>
        <w:rPr>
          <w:sz w:val="24"/>
        </w:rPr>
        <w:t>-----</w:t>
      </w:r>
    </w:p>
    <w:sectPr w:rsidR="00CD2A5A">
      <w:footerReference w:type="first" r:id="rId28"/>
      <w:pgSz w:w="11906" w:h="16838" w:code="9"/>
      <w:pgMar w:top="851" w:right="1247" w:bottom="1418" w:left="1247"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CE4" w:rsidRDefault="00564CE4">
      <w:r>
        <w:separator/>
      </w:r>
    </w:p>
  </w:endnote>
  <w:endnote w:type="continuationSeparator" w:id="0">
    <w:p w:rsidR="00564CE4" w:rsidRDefault="0056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877" w:rsidRDefault="008A58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CE4" w:rsidRDefault="00564CE4">
      <w:pPr>
        <w:spacing w:after="120"/>
        <w:rPr>
          <w:u w:val="single"/>
          <w:lang w:val="fr-CH"/>
        </w:rPr>
      </w:pPr>
      <w:r>
        <w:rPr>
          <w:u w:val="single"/>
          <w:lang w:val="fr-CH"/>
        </w:rPr>
        <w:tab/>
      </w:r>
      <w:r>
        <w:rPr>
          <w:u w:val="single"/>
          <w:lang w:val="fr-CH"/>
        </w:rPr>
        <w:tab/>
      </w:r>
      <w:r>
        <w:rPr>
          <w:u w:val="single"/>
          <w:lang w:val="fr-CH"/>
        </w:rPr>
        <w:tab/>
      </w:r>
    </w:p>
  </w:footnote>
  <w:footnote w:type="continuationSeparator" w:id="0">
    <w:p w:rsidR="00564CE4" w:rsidRDefault="00564CE4">
      <w:r>
        <w:continuationSeparator/>
      </w:r>
    </w:p>
  </w:footnote>
  <w:footnote w:id="1">
    <w:p w:rsidR="008A5877" w:rsidRDefault="008A5877">
      <w:pPr>
        <w:tabs>
          <w:tab w:val="left" w:pos="709"/>
          <w:tab w:val="left" w:pos="6720"/>
        </w:tabs>
        <w:spacing w:after="80"/>
        <w:ind w:firstLine="284"/>
        <w:rPr>
          <w:spacing w:val="-2"/>
          <w:szCs w:val="20"/>
          <w:lang w:val="en-US"/>
        </w:rPr>
      </w:pPr>
      <w:r>
        <w:rPr>
          <w:rStyle w:val="FootnoteReference"/>
          <w:spacing w:val="-2"/>
          <w:szCs w:val="20"/>
          <w:lang w:val="en-US"/>
        </w:rPr>
        <w:t>*</w:t>
      </w:r>
      <w:r>
        <w:rPr>
          <w:spacing w:val="-2"/>
          <w:szCs w:val="20"/>
          <w:lang w:val="en-US"/>
        </w:rPr>
        <w:t xml:space="preserve"> </w:t>
      </w:r>
      <w:r>
        <w:rPr>
          <w:spacing w:val="-2"/>
          <w:szCs w:val="20"/>
          <w:lang w:val="en-GB"/>
        </w:rPr>
        <w:t>In accordance with the information transmitted to States parties regarding the processing of their reports, the present document was not formally edited before being sent to the United Nations translation services.</w:t>
      </w:r>
    </w:p>
    <w:p w:rsidR="008A5877" w:rsidRDefault="008A5877">
      <w:pPr>
        <w:tabs>
          <w:tab w:val="left" w:pos="709"/>
          <w:tab w:val="left" w:pos="6720"/>
        </w:tabs>
        <w:spacing w:after="80"/>
        <w:ind w:firstLine="284"/>
        <w:rPr>
          <w:spacing w:val="-2"/>
          <w:szCs w:val="20"/>
          <w:lang w:val="en-GB"/>
        </w:rPr>
      </w:pPr>
      <w:r>
        <w:rPr>
          <w:spacing w:val="-2"/>
          <w:szCs w:val="20"/>
          <w:lang w:val="en-GB"/>
        </w:rPr>
        <w:t>** The annexes are circulated as received and only in the language in which they were submitted.</w:t>
      </w:r>
    </w:p>
    <w:p w:rsidR="008A5877" w:rsidRDefault="008A5877">
      <w:pPr>
        <w:tabs>
          <w:tab w:val="left" w:pos="709"/>
          <w:tab w:val="left" w:pos="6720"/>
        </w:tabs>
        <w:spacing w:after="80"/>
        <w:ind w:firstLine="284"/>
        <w:rPr>
          <w:spacing w:val="-2"/>
          <w:szCs w:val="20"/>
          <w:lang w:val="en-GB"/>
        </w:rPr>
      </w:pPr>
    </w:p>
    <w:p w:rsidR="008A5877" w:rsidRDefault="008A5877">
      <w:pPr>
        <w:tabs>
          <w:tab w:val="left" w:pos="709"/>
          <w:tab w:val="left" w:pos="6720"/>
        </w:tabs>
        <w:spacing w:after="80"/>
        <w:rPr>
          <w:spacing w:val="-2"/>
          <w:szCs w:val="20"/>
          <w:lang w:val="en-GB"/>
        </w:rPr>
      </w:pPr>
      <w:r>
        <w:rPr>
          <w:spacing w:val="-2"/>
          <w:szCs w:val="20"/>
          <w:lang w:val="en-GB"/>
        </w:rPr>
        <w:t>GE.09-43839  (EXT)</w:t>
      </w:r>
    </w:p>
  </w:footnote>
  <w:footnote w:id="2">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CRC/C/15/Add.232 of 30 June 2004, paragraph 71.</w:t>
      </w:r>
      <w:r>
        <w:rPr>
          <w:spacing w:val="-2"/>
          <w:sz w:val="20"/>
          <w:szCs w:val="20"/>
          <w:lang w:val="en-US"/>
        </w:rPr>
        <w:t xml:space="preserve"> </w:t>
      </w:r>
    </w:p>
  </w:footnote>
  <w:footnote w:id="3">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This information was requested from the Network for Children and Adolescents, which groups together some 60 NGOs working to promote and defend child rights in El Salvador.</w:t>
      </w:r>
      <w:r>
        <w:rPr>
          <w:spacing w:val="-2"/>
          <w:sz w:val="20"/>
          <w:lang w:val="en-US"/>
        </w:rPr>
        <w:t xml:space="preserve"> </w:t>
      </w:r>
      <w:r>
        <w:rPr>
          <w:spacing w:val="-2"/>
          <w:sz w:val="20"/>
          <w:lang w:val="en-GB"/>
        </w:rPr>
        <w:t>Two meetings were held to explain the methods used to draft the report and to request contributions to it.</w:t>
      </w:r>
    </w:p>
  </w:footnote>
  <w:footnote w:id="4">
    <w:p w:rsidR="008A5877" w:rsidRDefault="008A5877">
      <w:pPr>
        <w:pStyle w:val="FootnoteText"/>
        <w:tabs>
          <w:tab w:val="left" w:pos="709"/>
        </w:tabs>
        <w:spacing w:after="80" w:line="240" w:lineRule="atLeast"/>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CRC/C/65/Add.25 of 22 October 2003, paragraphs 5-22.</w:t>
      </w:r>
    </w:p>
  </w:footnote>
  <w:footnote w:id="5">
    <w:p w:rsidR="008A5877" w:rsidRDefault="008A5877">
      <w:pPr>
        <w:pStyle w:val="FootnoteText"/>
        <w:tabs>
          <w:tab w:val="left" w:pos="709"/>
        </w:tabs>
        <w:spacing w:after="80" w:line="240" w:lineRule="atLeast"/>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Formerly known as the Salvadoran Institute for the Protection of Minors (ISPM).</w:t>
      </w:r>
    </w:p>
  </w:footnote>
  <w:footnote w:id="6">
    <w:p w:rsidR="008A5877" w:rsidRDefault="008A5877">
      <w:pPr>
        <w:tabs>
          <w:tab w:val="left" w:pos="709"/>
        </w:tabs>
        <w:spacing w:after="80" w:line="240" w:lineRule="atLeast"/>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CRC/C/65/Add.25 of 22 October 2003, paragraphs 128-130.</w:t>
      </w:r>
    </w:p>
  </w:footnote>
  <w:footnote w:id="7">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FESAL National Family Health Survey 2002/03.</w:t>
      </w:r>
      <w:r>
        <w:rPr>
          <w:spacing w:val="-2"/>
          <w:sz w:val="20"/>
          <w:lang w:val="en-US"/>
        </w:rPr>
        <w:t xml:space="preserve"> </w:t>
      </w:r>
      <w:r>
        <w:rPr>
          <w:spacing w:val="-2"/>
          <w:sz w:val="20"/>
          <w:lang w:val="en-GB"/>
        </w:rPr>
        <w:t>El Salvador.</w:t>
      </w:r>
    </w:p>
  </w:footnote>
  <w:footnote w:id="8">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FESAL 2002-2003.</w:t>
      </w:r>
      <w:r>
        <w:rPr>
          <w:spacing w:val="-2"/>
          <w:sz w:val="20"/>
          <w:lang w:val="en-US"/>
        </w:rPr>
        <w:t xml:space="preserve"> </w:t>
      </w:r>
    </w:p>
  </w:footnote>
  <w:footnote w:id="9">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Note that the next FESAL survey is scheduled for 2008, so we used institutional data from the Ministry of Public Health and Social Welfare.</w:t>
      </w:r>
    </w:p>
  </w:footnote>
  <w:footnote w:id="10">
    <w:p w:rsidR="008A5877" w:rsidRDefault="008A5877">
      <w:pPr>
        <w:pStyle w:val="FootnoteText"/>
        <w:tabs>
          <w:tab w:val="left" w:pos="709"/>
        </w:tabs>
        <w:spacing w:after="80" w:line="240" w:lineRule="atLeast"/>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Ministry of Public Health and Social Welfare.</w:t>
      </w:r>
      <w:r>
        <w:rPr>
          <w:spacing w:val="-2"/>
          <w:sz w:val="20"/>
          <w:lang w:val="en-US"/>
        </w:rPr>
        <w:t xml:space="preserve"> </w:t>
      </w:r>
      <w:r>
        <w:rPr>
          <w:spacing w:val="-2"/>
          <w:sz w:val="20"/>
          <w:lang w:val="en-GB"/>
        </w:rPr>
        <w:t>Third National Study of Iodine Excretion in Urine in El Salvador, 2004.</w:t>
      </w:r>
    </w:p>
  </w:footnote>
  <w:footnote w:id="11">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i/>
          <w:spacing w:val="-2"/>
          <w:sz w:val="20"/>
          <w:lang w:val="en-GB"/>
        </w:rPr>
        <w:t>Source</w:t>
      </w:r>
      <w:r>
        <w:rPr>
          <w:spacing w:val="-2"/>
          <w:sz w:val="20"/>
          <w:lang w:val="en-GB"/>
        </w:rPr>
        <w:t>:</w:t>
      </w:r>
      <w:r>
        <w:rPr>
          <w:spacing w:val="-2"/>
          <w:sz w:val="20"/>
          <w:lang w:val="en-US"/>
        </w:rPr>
        <w:t xml:space="preserve"> </w:t>
      </w:r>
      <w:r>
        <w:rPr>
          <w:spacing w:val="-2"/>
          <w:sz w:val="20"/>
          <w:lang w:val="en-GB"/>
        </w:rPr>
        <w:t>Information, Monitoring and Assessment Unit, Ministry of Public Health and Social Welfare (2005).</w:t>
      </w:r>
    </w:p>
  </w:footnote>
  <w:footnote w:id="12">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80% of the total population, according to DIGESTYC (2004).</w:t>
      </w:r>
    </w:p>
  </w:footnote>
  <w:footnote w:id="13">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Percentage of children under 5 living with their mothers, who have received at least one dose of vitamin A:</w:t>
      </w:r>
      <w:r>
        <w:rPr>
          <w:spacing w:val="-2"/>
          <w:sz w:val="20"/>
          <w:lang w:val="en-US"/>
        </w:rPr>
        <w:t xml:space="preserve"> </w:t>
      </w:r>
      <w:r>
        <w:rPr>
          <w:spacing w:val="-2"/>
          <w:sz w:val="20"/>
          <w:lang w:val="en-GB"/>
        </w:rPr>
        <w:t>rural areas 54.6%, urban areas 39.9%.</w:t>
      </w:r>
    </w:p>
  </w:footnote>
  <w:footnote w:id="14">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Percentage of mothers who took vitamin A in the first few days alter giving birth.</w:t>
      </w:r>
    </w:p>
  </w:footnote>
  <w:footnote w:id="15">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The legal basis of the iodized sal programme is the 1993 Iodized Salt Act and its implementing regulations, and the technical standard for iodized salt, updated in 2004 in line with the guidelines of the Codex Alimentarius.</w:t>
      </w:r>
      <w:r>
        <w:rPr>
          <w:spacing w:val="-2"/>
          <w:sz w:val="20"/>
          <w:szCs w:val="20"/>
          <w:lang w:val="en-US"/>
        </w:rPr>
        <w:t xml:space="preserve"> </w:t>
      </w:r>
    </w:p>
  </w:footnote>
  <w:footnote w:id="16">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Qualitative method using MBI KITS.</w:t>
      </w:r>
      <w:r>
        <w:rPr>
          <w:spacing w:val="-2"/>
          <w:sz w:val="20"/>
          <w:lang w:val="en-US"/>
        </w:rPr>
        <w:t xml:space="preserve"> </w:t>
      </w:r>
    </w:p>
  </w:footnote>
  <w:footnote w:id="17">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Modified Dunn and Crutchfield spectrophotometry method.</w:t>
      </w:r>
    </w:p>
  </w:footnote>
  <w:footnote w:id="18">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The Fortification of Sugar with Vitamin A Act was approved by Legislative Decree in April 1994.</w:t>
      </w:r>
      <w:r>
        <w:rPr>
          <w:spacing w:val="-2"/>
          <w:sz w:val="20"/>
          <w:szCs w:val="20"/>
          <w:lang w:val="en-US"/>
        </w:rPr>
        <w:t xml:space="preserve"> </w:t>
      </w:r>
      <w:r>
        <w:rPr>
          <w:spacing w:val="-2"/>
          <w:sz w:val="20"/>
          <w:szCs w:val="20"/>
          <w:lang w:val="en-GB"/>
        </w:rPr>
        <w:t>In August of that year, a quality assurance and control plan was devised, which has been successfully in use since then.</w:t>
      </w:r>
      <w:r>
        <w:rPr>
          <w:spacing w:val="-2"/>
          <w:sz w:val="20"/>
          <w:szCs w:val="20"/>
          <w:lang w:val="en-US"/>
        </w:rPr>
        <w:t xml:space="preserve"> </w:t>
      </w:r>
      <w:r>
        <w:rPr>
          <w:spacing w:val="-2"/>
          <w:sz w:val="20"/>
          <w:szCs w:val="20"/>
          <w:lang w:val="en-GB"/>
        </w:rPr>
        <w:t>The Implementing Regulation for the Fortification of Sugar with Vitamin A Act was approved by Executive Order in February 1995, and the Technical Standard for Sugar and Premixes was approved by Ministerial Resolution in May of that year.</w:t>
      </w:r>
      <w:r>
        <w:rPr>
          <w:spacing w:val="-2"/>
          <w:sz w:val="20"/>
          <w:szCs w:val="20"/>
          <w:lang w:val="en-US"/>
        </w:rPr>
        <w:t xml:space="preserve"> </w:t>
      </w:r>
      <w:r>
        <w:rPr>
          <w:spacing w:val="-2"/>
          <w:sz w:val="20"/>
          <w:szCs w:val="20"/>
          <w:lang w:val="en-GB"/>
        </w:rPr>
        <w:t>The current updated Salvadoran standard is NSO 67.20.01:04 Sugar Specifications.</w:t>
      </w:r>
      <w:r>
        <w:rPr>
          <w:spacing w:val="-2"/>
          <w:sz w:val="20"/>
          <w:szCs w:val="20"/>
          <w:lang w:val="en-US"/>
        </w:rPr>
        <w:t xml:space="preserve"> </w:t>
      </w:r>
    </w:p>
  </w:footnote>
  <w:footnote w:id="19">
    <w:p w:rsidR="008A5877" w:rsidRDefault="008A5877">
      <w:pPr>
        <w:pStyle w:val="BodyText2"/>
        <w:tabs>
          <w:tab w:val="left" w:pos="709"/>
        </w:tabs>
        <w:spacing w:after="80"/>
        <w:ind w:firstLine="284"/>
        <w:jc w:val="left"/>
        <w:rPr>
          <w:spacing w:val="-2"/>
          <w:sz w:val="20"/>
          <w:szCs w:val="20"/>
          <w:lang w:val="en-US"/>
        </w:rPr>
      </w:pPr>
      <w:r>
        <w:rPr>
          <w:rStyle w:val="FootnoteReference"/>
          <w:spacing w:val="-2"/>
          <w:sz w:val="20"/>
          <w:szCs w:val="20"/>
        </w:rPr>
        <w:footnoteRef/>
      </w:r>
      <w:r>
        <w:rPr>
          <w:b/>
          <w:bCs w:val="0"/>
          <w:spacing w:val="-2"/>
          <w:sz w:val="20"/>
          <w:szCs w:val="20"/>
          <w:lang w:val="en-US"/>
        </w:rPr>
        <w:t xml:space="preserve"> </w:t>
      </w:r>
      <w:r>
        <w:rPr>
          <w:b/>
          <w:bCs w:val="0"/>
          <w:spacing w:val="-2"/>
          <w:sz w:val="20"/>
          <w:szCs w:val="20"/>
          <w:lang w:val="en-US"/>
        </w:rPr>
        <w:tab/>
      </w:r>
      <w:r>
        <w:rPr>
          <w:spacing w:val="-2"/>
          <w:sz w:val="20"/>
          <w:szCs w:val="20"/>
          <w:lang w:val="en-GB"/>
        </w:rPr>
        <w:t>The Salvadoran standard is NSO 67.03.02:03 Processed Corn Flour, and there is a plan for supervising production sites,  shops and homes.</w:t>
      </w:r>
      <w:r>
        <w:rPr>
          <w:spacing w:val="-2"/>
          <w:sz w:val="20"/>
          <w:szCs w:val="20"/>
          <w:lang w:val="en-US"/>
        </w:rPr>
        <w:t xml:space="preserve"> </w:t>
      </w:r>
    </w:p>
  </w:footnote>
  <w:footnote w:id="20">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See articles 54 and 56 of the Constitution of the Republic of El Salvador.</w:t>
      </w:r>
    </w:p>
  </w:footnote>
  <w:footnote w:id="21">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r>
      <w:r>
        <w:rPr>
          <w:spacing w:val="-2"/>
          <w:sz w:val="20"/>
          <w:lang w:val="en-GB"/>
        </w:rPr>
        <w:t>Legislative Decree No. 917 of 1996.</w:t>
      </w:r>
    </w:p>
  </w:footnote>
  <w:footnote w:id="22">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There is currently a bill proposing to change the ISRI’s name to Salvadoran Institute for Comprehensive Rehabilitation, adapting the regulations to the actual situation which is being studied by the Technical Secretariat of the Presidency.</w:t>
      </w:r>
    </w:p>
  </w:footnote>
  <w:footnote w:id="23">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Of these boys, 22 are aged over 18 chronologically, but their mental ages vary from 1 to 8.</w:t>
      </w:r>
    </w:p>
  </w:footnote>
  <w:footnote w:id="24">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Of these girls, 14 are aged over 18 chronologically, but their mental ages vary from 1 to 8.</w:t>
      </w:r>
    </w:p>
  </w:footnote>
  <w:footnote w:id="25">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Production of handicrafts and ornaments.</w:t>
      </w:r>
    </w:p>
  </w:footnote>
  <w:footnote w:id="26">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Learning how to use a sewing machine or manual needlework and embroidery.</w:t>
      </w:r>
    </w:p>
  </w:footnote>
  <w:footnote w:id="27">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The Special Education Centre has the facilities and an instructor for giving this course.</w:t>
      </w:r>
      <w:r>
        <w:rPr>
          <w:spacing w:val="-2"/>
          <w:sz w:val="20"/>
          <w:szCs w:val="20"/>
          <w:lang w:val="en-US"/>
        </w:rPr>
        <w:t xml:space="preserve"> </w:t>
      </w:r>
    </w:p>
  </w:footnote>
  <w:footnote w:id="28">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pt-BR"/>
        </w:rPr>
        <w:t xml:space="preserve"> </w:t>
      </w:r>
      <w:r>
        <w:rPr>
          <w:spacing w:val="-2"/>
          <w:sz w:val="20"/>
          <w:lang w:val="pt-BR"/>
        </w:rPr>
        <w:tab/>
      </w:r>
      <w:r>
        <w:rPr>
          <w:spacing w:val="-2"/>
          <w:sz w:val="20"/>
          <w:lang w:val="en-GB"/>
        </w:rPr>
        <w:t>Legislative Decree No. 888 of 2000.</w:t>
      </w:r>
      <w:r>
        <w:rPr>
          <w:spacing w:val="-2"/>
          <w:sz w:val="20"/>
          <w:lang w:val="pt-BR"/>
        </w:rPr>
        <w:t xml:space="preserve"> </w:t>
      </w:r>
      <w:r>
        <w:rPr>
          <w:spacing w:val="-2"/>
          <w:sz w:val="20"/>
          <w:lang w:val="en-GB"/>
        </w:rPr>
        <w:t>See article 2 of the Act.</w:t>
      </w:r>
    </w:p>
  </w:footnote>
  <w:footnote w:id="29">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See articles 18 and 19 of the The Equal Opportunties for the Disabled Act.</w:t>
      </w:r>
    </w:p>
  </w:footnote>
  <w:footnote w:id="30">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Executive Order No. 99 of 2000.</w:t>
      </w:r>
    </w:p>
  </w:footnote>
  <w:footnote w:id="31">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This does not include households with access to a neighbour’s water supply.</w:t>
      </w:r>
    </w:p>
  </w:footnote>
  <w:footnote w:id="32">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See EHPM.</w:t>
      </w:r>
      <w:r>
        <w:rPr>
          <w:spacing w:val="-2"/>
          <w:sz w:val="20"/>
          <w:lang w:val="en-US"/>
        </w:rPr>
        <w:t xml:space="preserve"> </w:t>
      </w:r>
    </w:p>
  </w:footnote>
  <w:footnote w:id="33">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Ibid.</w:t>
      </w:r>
      <w:r>
        <w:rPr>
          <w:spacing w:val="-2"/>
          <w:sz w:val="20"/>
          <w:lang w:val="en-US"/>
        </w:rPr>
        <w:t xml:space="preserve"> </w:t>
      </w:r>
      <w:r>
        <w:rPr>
          <w:spacing w:val="-2"/>
          <w:sz w:val="20"/>
          <w:lang w:val="en-GB"/>
        </w:rPr>
        <w:t>See also Annex X.</w:t>
      </w:r>
      <w:r>
        <w:rPr>
          <w:spacing w:val="-2"/>
          <w:sz w:val="20"/>
          <w:lang w:val="en-US"/>
        </w:rPr>
        <w:t xml:space="preserve"> </w:t>
      </w:r>
    </w:p>
  </w:footnote>
  <w:footnote w:id="34">
    <w:p w:rsidR="008A5877" w:rsidRDefault="008A5877">
      <w:pPr>
        <w:tabs>
          <w:tab w:val="left" w:pos="709"/>
        </w:tabs>
        <w:spacing w:after="80"/>
        <w:ind w:firstLine="284"/>
        <w:rPr>
          <w:bCs/>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MSPAS.</w:t>
      </w:r>
      <w:r>
        <w:rPr>
          <w:spacing w:val="-2"/>
          <w:sz w:val="20"/>
          <w:szCs w:val="20"/>
          <w:lang w:val="en-US"/>
        </w:rPr>
        <w:t xml:space="preserve">  </w:t>
      </w:r>
      <w:r>
        <w:rPr>
          <w:spacing w:val="-2"/>
          <w:sz w:val="20"/>
          <w:szCs w:val="20"/>
          <w:lang w:val="en-GB"/>
        </w:rPr>
        <w:t>See also FESAL 98 and FESAL 2003.</w:t>
      </w:r>
      <w:r>
        <w:rPr>
          <w:spacing w:val="-2"/>
          <w:sz w:val="20"/>
          <w:szCs w:val="20"/>
          <w:lang w:val="en-US"/>
        </w:rPr>
        <w:t xml:space="preserve"> </w:t>
      </w:r>
    </w:p>
  </w:footnote>
  <w:footnote w:id="35">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Note that ONUSIDA estimates for 2004 are close to 30,000 cases of persons living with HIV/AIDS, due to under-recording varying between 40 and 50 per cent.</w:t>
      </w:r>
    </w:p>
  </w:footnote>
  <w:footnote w:id="36">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142 in 2001, 138 in 2002, 129 in 2003 and 20 in 2004.</w:t>
      </w:r>
      <w:r>
        <w:rPr>
          <w:spacing w:val="-2"/>
          <w:sz w:val="20"/>
          <w:lang w:val="en-US"/>
        </w:rPr>
        <w:t xml:space="preserve"> </w:t>
      </w:r>
      <w:r>
        <w:rPr>
          <w:spacing w:val="-2"/>
          <w:sz w:val="20"/>
          <w:lang w:val="en-GB"/>
        </w:rPr>
        <w:t>See also Annex X.</w:t>
      </w:r>
    </w:p>
  </w:footnote>
  <w:footnote w:id="37">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spacing w:val="-2"/>
          <w:sz w:val="20"/>
          <w:szCs w:val="20"/>
          <w:lang w:val="en-GB"/>
        </w:rPr>
        <w:t>Dossier 454-11-2006-1, the Legislative Assembly Committee on the Family, Women and Children.</w:t>
      </w:r>
    </w:p>
  </w:footnote>
  <w:footnote w:id="38">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Annual enrolment census for each year.</w:t>
      </w:r>
      <w:r>
        <w:rPr>
          <w:spacing w:val="-2"/>
          <w:sz w:val="20"/>
          <w:lang w:val="en-US"/>
        </w:rPr>
        <w:t xml:space="preserve"> </w:t>
      </w:r>
      <w:r>
        <w:rPr>
          <w:spacing w:val="-2"/>
          <w:sz w:val="20"/>
          <w:lang w:val="en-GB"/>
        </w:rPr>
        <w:t>Projection of the population of El Salvador.</w:t>
      </w:r>
      <w:r>
        <w:rPr>
          <w:spacing w:val="-2"/>
          <w:sz w:val="20"/>
          <w:lang w:val="en-US"/>
        </w:rPr>
        <w:t xml:space="preserve"> </w:t>
      </w:r>
      <w:r>
        <w:rPr>
          <w:spacing w:val="-2"/>
          <w:sz w:val="20"/>
          <w:lang w:val="en-GB"/>
        </w:rPr>
        <w:t>1995-2025. MINED.</w:t>
      </w:r>
    </w:p>
  </w:footnote>
  <w:footnote w:id="39">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MINED census 2006.</w:t>
      </w:r>
    </w:p>
  </w:footnote>
  <w:footnote w:id="40">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Illiteracy means the proportion of persons aged 10 and over who cannot read or write.</w:t>
      </w:r>
      <w:r>
        <w:rPr>
          <w:spacing w:val="-2"/>
          <w:sz w:val="20"/>
          <w:lang w:val="en-US"/>
        </w:rPr>
        <w:t xml:space="preserve"> </w:t>
      </w:r>
    </w:p>
  </w:footnote>
  <w:footnote w:id="41">
    <w:p w:rsidR="008A5877" w:rsidRDefault="008A5877">
      <w:pPr>
        <w:pStyle w:val="FootnoteText"/>
        <w:tabs>
          <w:tab w:val="left" w:pos="709"/>
        </w:tabs>
        <w:spacing w:after="80" w:line="240" w:lineRule="auto"/>
        <w:ind w:firstLine="284"/>
        <w:rPr>
          <w:spacing w:val="-2"/>
          <w:sz w:val="20"/>
          <w:lang w:val="en-US"/>
        </w:rPr>
      </w:pPr>
      <w:r>
        <w:rPr>
          <w:rStyle w:val="FootnoteReference"/>
          <w:bCs/>
          <w:spacing w:val="-2"/>
          <w:sz w:val="20"/>
        </w:rPr>
        <w:footnoteRef/>
      </w:r>
      <w:r>
        <w:rPr>
          <w:spacing w:val="-2"/>
          <w:sz w:val="20"/>
          <w:lang w:val="en-US"/>
        </w:rPr>
        <w:t xml:space="preserve">  </w:t>
      </w:r>
      <w:r>
        <w:rPr>
          <w:spacing w:val="-2"/>
          <w:sz w:val="20"/>
          <w:lang w:val="en-US"/>
        </w:rPr>
        <w:tab/>
      </w:r>
      <w:r>
        <w:rPr>
          <w:spacing w:val="-2"/>
          <w:sz w:val="20"/>
          <w:lang w:val="en-GB"/>
        </w:rPr>
        <w:t>MINED census 2006.</w:t>
      </w:r>
      <w:r>
        <w:rPr>
          <w:spacing w:val="-2"/>
          <w:sz w:val="20"/>
          <w:lang w:val="en-US"/>
        </w:rPr>
        <w:t xml:space="preserve"> </w:t>
      </w:r>
    </w:p>
  </w:footnote>
  <w:footnote w:id="42">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El Salvador ratified the Optional Protocol to the Convention on the Rights of the Child </w:t>
      </w:r>
      <w:r>
        <w:rPr>
          <w:color w:val="000000"/>
          <w:spacing w:val="-2"/>
          <w:sz w:val="20"/>
          <w:lang w:val="en-GB"/>
        </w:rPr>
        <w:t>on the sale of children, child prostitution and child pornography</w:t>
      </w:r>
      <w:r>
        <w:rPr>
          <w:spacing w:val="-2"/>
          <w:sz w:val="20"/>
          <w:lang w:val="en-GB"/>
        </w:rPr>
        <w:t xml:space="preserve">, by means of Legislative Decree No 280 of 25 February 2004, published in Official Gazette No 57 of 23 March 2004. </w:t>
      </w:r>
    </w:p>
  </w:footnote>
  <w:footnote w:id="43">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Legislative Decrees No 210 and No 457, of November 2003, published in January 2004</w:t>
      </w:r>
    </w:p>
  </w:footnote>
  <w:footnote w:id="44">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Ibid</w:t>
      </w:r>
    </w:p>
  </w:footnote>
  <w:footnote w:id="45">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Previously Juvenile Offenders Act</w:t>
      </w:r>
    </w:p>
  </w:footnote>
  <w:footnote w:id="46">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t xml:space="preserve">In 1994, in his presentation of the Juvenile Offenders Bill to the Legislative Assembly, the Minister of Justice stated: “According to the Criminal Policy Unit of this Ministry, based on data for the past year provided by the General Directorate for Prisons and Rehabilitation, the proportion of crime attributed to minors between the ages of sixteen and eighteen accounts for 14 to 15 per cent of all crimes committed in our country". Juvenile Offenders Act and Law on surveillance and control of execution of measures for young offenders, and Ministry of Justice Publications, San Salvador, 1996, pages 19 to 20. </w:t>
      </w:r>
    </w:p>
  </w:footnote>
  <w:footnote w:id="47">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 xml:space="preserve">According to Article 8 of the LPJ, the definitive measures are: </w:t>
      </w:r>
      <w:r>
        <w:rPr>
          <w:i/>
          <w:iCs/>
          <w:spacing w:val="-2"/>
          <w:sz w:val="20"/>
          <w:lang w:val="en-GB"/>
        </w:rPr>
        <w:t>a)</w:t>
      </w:r>
      <w:r>
        <w:rPr>
          <w:spacing w:val="-2"/>
          <w:sz w:val="20"/>
          <w:lang w:val="en-GB"/>
        </w:rPr>
        <w:t xml:space="preserve"> social and family guidance and support; </w:t>
      </w:r>
      <w:r>
        <w:rPr>
          <w:i/>
          <w:iCs/>
          <w:spacing w:val="-2"/>
          <w:sz w:val="20"/>
          <w:lang w:val="en-GB"/>
        </w:rPr>
        <w:t>b)</w:t>
      </w:r>
      <w:r w:rsidR="00F05094">
        <w:rPr>
          <w:spacing w:val="-2"/>
          <w:sz w:val="20"/>
          <w:lang w:val="en-GB"/>
        </w:rPr>
        <w:t> </w:t>
      </w:r>
      <w:r>
        <w:rPr>
          <w:spacing w:val="-2"/>
          <w:sz w:val="20"/>
          <w:lang w:val="en-GB"/>
        </w:rPr>
        <w:t xml:space="preserve">reprimand; </w:t>
      </w:r>
      <w:r>
        <w:rPr>
          <w:i/>
          <w:iCs/>
          <w:spacing w:val="-2"/>
          <w:sz w:val="20"/>
          <w:lang w:val="en-GB"/>
        </w:rPr>
        <w:t>c)</w:t>
      </w:r>
      <w:r>
        <w:rPr>
          <w:spacing w:val="-2"/>
          <w:sz w:val="20"/>
          <w:lang w:val="en-GB"/>
        </w:rPr>
        <w:t xml:space="preserve"> imposition of rules of conduct; </w:t>
      </w:r>
      <w:r>
        <w:rPr>
          <w:i/>
          <w:iCs/>
          <w:spacing w:val="-2"/>
          <w:sz w:val="20"/>
          <w:lang w:val="en-GB"/>
        </w:rPr>
        <w:t>d)</w:t>
      </w:r>
      <w:r>
        <w:rPr>
          <w:spacing w:val="-2"/>
          <w:sz w:val="20"/>
          <w:lang w:val="en-GB"/>
        </w:rPr>
        <w:t xml:space="preserve"> community service; </w:t>
      </w:r>
      <w:r>
        <w:rPr>
          <w:i/>
          <w:iCs/>
          <w:spacing w:val="-2"/>
          <w:sz w:val="20"/>
          <w:lang w:val="en-GB"/>
        </w:rPr>
        <w:t>e)</w:t>
      </w:r>
      <w:r>
        <w:rPr>
          <w:spacing w:val="-2"/>
          <w:sz w:val="20"/>
          <w:lang w:val="en-GB"/>
        </w:rPr>
        <w:t xml:space="preserve"> probation and </w:t>
      </w:r>
      <w:r>
        <w:rPr>
          <w:i/>
          <w:iCs/>
          <w:spacing w:val="-2"/>
          <w:sz w:val="20"/>
          <w:lang w:val="en-GB"/>
        </w:rPr>
        <w:t>f)</w:t>
      </w:r>
      <w:r>
        <w:rPr>
          <w:spacing w:val="-2"/>
          <w:sz w:val="20"/>
          <w:lang w:val="en-GB"/>
        </w:rPr>
        <w:t xml:space="preserve"> imprisonment.</w:t>
      </w:r>
    </w:p>
  </w:footnote>
  <w:footnote w:id="48">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Under Article 9(2) of the LPJ, the measures laid down in Article 8 may be interim or definitive.</w:t>
      </w:r>
    </w:p>
  </w:footnote>
  <w:footnote w:id="49">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r>
      <w:r>
        <w:rPr>
          <w:i/>
          <w:spacing w:val="-2"/>
          <w:sz w:val="20"/>
          <w:lang w:val="en-GB"/>
        </w:rPr>
        <w:t>Source</w:t>
      </w:r>
      <w:r>
        <w:rPr>
          <w:spacing w:val="-2"/>
          <w:sz w:val="20"/>
          <w:lang w:val="en-GB"/>
        </w:rPr>
        <w:t>: National plan for the eradication of the worst forms of child labour in El Salvador, 2006</w:t>
      </w:r>
      <w:r>
        <w:rPr>
          <w:spacing w:val="-2"/>
          <w:sz w:val="20"/>
          <w:lang w:val="en-GB"/>
        </w:rPr>
        <w:noBreakHyphen/>
        <w:t>2009, page 36.</w:t>
      </w:r>
    </w:p>
  </w:footnote>
  <w:footnote w:id="50">
    <w:p w:rsidR="008A5877" w:rsidRDefault="008A5877">
      <w:pPr>
        <w:pStyle w:val="BodyText3"/>
        <w:tabs>
          <w:tab w:val="left" w:pos="709"/>
        </w:tabs>
        <w:spacing w:before="0" w:beforeAutospacing="0" w:after="80" w:afterAutospacing="0"/>
        <w:ind w:firstLine="284"/>
        <w:rPr>
          <w:spacing w:val="-2"/>
          <w:sz w:val="20"/>
          <w:szCs w:val="20"/>
          <w:lang w:val="en-GB"/>
        </w:rPr>
      </w:pPr>
      <w:r>
        <w:rPr>
          <w:rStyle w:val="FootnoteReference"/>
          <w:bCs/>
          <w:spacing w:val="-2"/>
          <w:sz w:val="20"/>
          <w:szCs w:val="20"/>
        </w:rPr>
        <w:footnoteRef/>
      </w:r>
      <w:r>
        <w:rPr>
          <w:spacing w:val="-2"/>
          <w:sz w:val="20"/>
          <w:szCs w:val="20"/>
          <w:lang w:val="en-GB"/>
        </w:rPr>
        <w:t xml:space="preserve"> </w:t>
      </w:r>
      <w:r>
        <w:rPr>
          <w:spacing w:val="-2"/>
          <w:sz w:val="20"/>
          <w:szCs w:val="20"/>
          <w:lang w:val="en-GB"/>
        </w:rPr>
        <w:tab/>
        <w:t xml:space="preserve">Although the National Committee was not legally established until 2005, it has actually been in operation since 2002, the year in which the Memorandum of Understanding was renewed. This made it possible to develop actions and programmes that have already led to progress in the effort to eradicate child labour. </w:t>
      </w:r>
    </w:p>
  </w:footnote>
  <w:footnote w:id="51">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For more information, see www.casapres.gob.sv/especiales/redSolidaria/index.html.</w:t>
      </w:r>
    </w:p>
  </w:footnote>
  <w:footnote w:id="52">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 xml:space="preserve">National Committee for the Eradication of the Worst Forms of Child Labour. National Plan for the Eradication of the Worst Forms of Child Labour, 2006-2009, page 11. </w:t>
      </w:r>
    </w:p>
  </w:footnote>
  <w:footnote w:id="53">
    <w:p w:rsidR="008A5877" w:rsidRDefault="008A5877">
      <w:pPr>
        <w:pStyle w:val="FootnoteText"/>
        <w:tabs>
          <w:tab w:val="left" w:pos="709"/>
        </w:tabs>
        <w:spacing w:after="60" w:line="240" w:lineRule="auto"/>
        <w:ind w:firstLine="284"/>
        <w:rPr>
          <w:spacing w:val="-2"/>
          <w:sz w:val="20"/>
          <w:lang w:val="en-US"/>
        </w:rPr>
      </w:pPr>
      <w:r>
        <w:rPr>
          <w:rStyle w:val="FootnoteReference"/>
          <w:bCs/>
          <w:spacing w:val="-2"/>
          <w:sz w:val="20"/>
        </w:rPr>
        <w:footnoteRef/>
      </w:r>
      <w:r>
        <w:rPr>
          <w:spacing w:val="-2"/>
          <w:sz w:val="20"/>
          <w:lang w:val="en-GB"/>
        </w:rPr>
        <w:t xml:space="preserve"> </w:t>
      </w:r>
      <w:r>
        <w:rPr>
          <w:spacing w:val="-2"/>
          <w:sz w:val="20"/>
          <w:lang w:val="en-GB"/>
        </w:rPr>
        <w:tab/>
        <w:t xml:space="preserve">The National Plan may be downloaded from the following link: </w:t>
      </w:r>
      <w:r>
        <w:rPr>
          <w:spacing w:val="-2"/>
          <w:sz w:val="20"/>
          <w:lang w:val="en-US"/>
        </w:rPr>
        <w:t xml:space="preserve">trabajoinfantil.mtps.gob.sv/descarga/plan.pdf  </w:t>
      </w:r>
    </w:p>
  </w:footnote>
  <w:footnote w:id="54">
    <w:p w:rsidR="008A5877" w:rsidRDefault="008A5877">
      <w:pPr>
        <w:pStyle w:val="FootnoteText"/>
        <w:tabs>
          <w:tab w:val="left" w:pos="709"/>
        </w:tabs>
        <w:spacing w:after="0" w:line="240" w:lineRule="auto"/>
        <w:ind w:firstLine="284"/>
        <w:rPr>
          <w:spacing w:val="-2"/>
          <w:sz w:val="20"/>
          <w:lang w:val="en-GB"/>
        </w:rPr>
      </w:pPr>
      <w:r>
        <w:rPr>
          <w:rStyle w:val="FootnoteReference"/>
          <w:spacing w:val="-2"/>
          <w:sz w:val="20"/>
        </w:rPr>
        <w:sym w:font="Symbol" w:char="F02A"/>
      </w:r>
      <w:r>
        <w:rPr>
          <w:spacing w:val="-2"/>
          <w:sz w:val="20"/>
          <w:lang w:val="en-GB"/>
        </w:rPr>
        <w:t xml:space="preserve"> These refer to recreation, culture, sport and productive alternatives. An example of the latter is: “</w:t>
      </w:r>
      <w:r>
        <w:rPr>
          <w:i/>
          <w:spacing w:val="-2"/>
          <w:sz w:val="20"/>
          <w:lang w:val="en-GB"/>
        </w:rPr>
        <w:t>Una Empresa en mi Escuela</w:t>
      </w:r>
      <w:r>
        <w:rPr>
          <w:spacing w:val="-2"/>
          <w:sz w:val="20"/>
          <w:lang w:val="en-GB"/>
        </w:rPr>
        <w:t>” (A Business in my School), which encourages children and adolescents to make business or self-employment plans with the aim of boosting their household's financial income.</w:t>
      </w:r>
    </w:p>
  </w:footnote>
  <w:footnote w:id="55">
    <w:p w:rsidR="008A5877" w:rsidRDefault="008A5877">
      <w:pPr>
        <w:pStyle w:val="FootnoteText"/>
        <w:tabs>
          <w:tab w:val="left" w:pos="709"/>
        </w:tabs>
        <w:spacing w:after="80" w:line="240" w:lineRule="auto"/>
        <w:ind w:firstLine="284"/>
        <w:rPr>
          <w:spacing w:val="-2"/>
          <w:sz w:val="20"/>
          <w:lang w:val="en-GB"/>
        </w:rPr>
      </w:pPr>
      <w:r>
        <w:rPr>
          <w:rStyle w:val="FootnoteReference"/>
          <w:spacing w:val="-2"/>
          <w:sz w:val="20"/>
        </w:rPr>
        <w:sym w:font="Symbol" w:char="F02A"/>
      </w:r>
      <w:r>
        <w:rPr>
          <w:spacing w:val="-2"/>
          <w:sz w:val="20"/>
          <w:lang w:val="en-GB"/>
        </w:rPr>
        <w:t xml:space="preserve"> Training and Awareness campaigns on the worst forms of Child Labour.</w:t>
      </w:r>
    </w:p>
  </w:footnote>
  <w:footnote w:id="56">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Executive Agreement No 15-0280</w:t>
      </w:r>
    </w:p>
  </w:footnote>
  <w:footnote w:id="57">
    <w:p w:rsidR="008A5877" w:rsidRDefault="008A5877">
      <w:pPr>
        <w:tabs>
          <w:tab w:val="left" w:pos="709"/>
        </w:tabs>
        <w:spacing w:after="80"/>
        <w:ind w:firstLine="284"/>
        <w:rPr>
          <w:spacing w:val="-2"/>
          <w:sz w:val="20"/>
          <w:szCs w:val="20"/>
          <w:lang w:val="en-US"/>
        </w:rPr>
      </w:pPr>
      <w:r>
        <w:rPr>
          <w:rStyle w:val="FootnoteReference"/>
          <w:bCs/>
          <w:spacing w:val="-2"/>
          <w:sz w:val="20"/>
          <w:szCs w:val="20"/>
        </w:rPr>
        <w:footnoteRef/>
      </w:r>
      <w:r>
        <w:rPr>
          <w:spacing w:val="-2"/>
          <w:sz w:val="20"/>
          <w:szCs w:val="20"/>
          <w:lang w:val="en-US"/>
        </w:rPr>
        <w:t xml:space="preserve"> </w:t>
      </w:r>
      <w:r>
        <w:rPr>
          <w:spacing w:val="-2"/>
          <w:sz w:val="20"/>
          <w:szCs w:val="20"/>
          <w:lang w:val="en-US"/>
        </w:rPr>
        <w:tab/>
      </w:r>
      <w:r>
        <w:rPr>
          <w:i/>
          <w:spacing w:val="-2"/>
          <w:sz w:val="20"/>
          <w:szCs w:val="20"/>
          <w:lang w:val="en-US"/>
        </w:rPr>
        <w:t>Source</w:t>
      </w:r>
      <w:r>
        <w:rPr>
          <w:spacing w:val="-2"/>
          <w:sz w:val="20"/>
          <w:szCs w:val="20"/>
          <w:lang w:val="en-US"/>
        </w:rPr>
        <w:t>: FUNDASALVA study on the national incidence of consumption of psychoactive substances in El Salvador, 2004, pages 14 to 16.</w:t>
      </w:r>
    </w:p>
  </w:footnote>
  <w:footnote w:id="58">
    <w:p w:rsidR="008A5877" w:rsidRDefault="008A5877">
      <w:pPr>
        <w:pStyle w:val="FootnoteText"/>
        <w:tabs>
          <w:tab w:val="left" w:pos="709"/>
        </w:tabs>
        <w:spacing w:after="80" w:line="240" w:lineRule="auto"/>
        <w:ind w:firstLine="284"/>
        <w:rPr>
          <w:spacing w:val="-2"/>
          <w:sz w:val="20"/>
          <w:lang w:val="en-GB"/>
        </w:rPr>
      </w:pPr>
      <w:r>
        <w:rPr>
          <w:rStyle w:val="FootnoteReference"/>
          <w:bCs/>
          <w:spacing w:val="-2"/>
          <w:sz w:val="20"/>
        </w:rPr>
        <w:footnoteRef/>
      </w:r>
      <w:r>
        <w:rPr>
          <w:spacing w:val="-2"/>
          <w:sz w:val="20"/>
          <w:lang w:val="en-GB"/>
        </w:rPr>
        <w:t xml:space="preserve"> </w:t>
      </w:r>
      <w:r>
        <w:rPr>
          <w:spacing w:val="-2"/>
          <w:sz w:val="20"/>
          <w:lang w:val="en-GB"/>
        </w:rPr>
        <w:tab/>
        <w:t xml:space="preserve">El Salvador ratified the Optional Protocol to the Convention on the Rights of the Child </w:t>
      </w:r>
      <w:r>
        <w:rPr>
          <w:color w:val="000000"/>
          <w:spacing w:val="-2"/>
          <w:sz w:val="20"/>
          <w:lang w:val="en-GB"/>
        </w:rPr>
        <w:t>on the participation of children in armed conflicts</w:t>
      </w:r>
      <w:r>
        <w:rPr>
          <w:spacing w:val="-2"/>
          <w:sz w:val="20"/>
          <w:lang w:val="en-GB"/>
        </w:rPr>
        <w:t xml:space="preserve">, by means of Legislative Decree No 609 of 15 November 2001, published in Official Gazette No 238 of 17 December 2001. </w:t>
      </w:r>
    </w:p>
  </w:footnote>
  <w:footnote w:id="59">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En la Cumbre del Milenio se establecen compromisos para 2015.</w:t>
      </w:r>
    </w:p>
  </w:footnote>
  <w:footnote w:id="60">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documento “Un mundo apropiado para los niños” (resolución S-27/2 de la Asamblea General, anexo), párrs. 10, 11, 18, 33, 36 y 61.</w:t>
      </w:r>
    </w:p>
  </w:footnote>
  <w:footnote w:id="61">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 D,  61.</w:t>
      </w:r>
    </w:p>
  </w:footnote>
  <w:footnote w:id="62">
    <w:p w:rsidR="008A5877" w:rsidRDefault="008A5877">
      <w:pPr>
        <w:pStyle w:val="FootnoteText"/>
        <w:tabs>
          <w:tab w:val="left" w:pos="709"/>
        </w:tabs>
        <w:spacing w:after="80" w:line="240" w:lineRule="atLeast"/>
        <w:ind w:firstLine="284"/>
        <w:rPr>
          <w:spacing w:val="-2"/>
          <w:sz w:val="20"/>
        </w:rPr>
      </w:pPr>
      <w:r>
        <w:rPr>
          <w:rStyle w:val="FootnoteReference"/>
          <w:bCs/>
          <w:spacing w:val="-2"/>
          <w:sz w:val="20"/>
        </w:rPr>
        <w:footnoteRef/>
      </w:r>
      <w:r>
        <w:rPr>
          <w:spacing w:val="-2"/>
          <w:sz w:val="20"/>
        </w:rPr>
        <w:t xml:space="preserve"> </w:t>
      </w:r>
      <w:r>
        <w:rPr>
          <w:spacing w:val="-2"/>
          <w:sz w:val="20"/>
        </w:rPr>
        <w:tab/>
        <w:t>La remisión del informe de país es un compromiso establecido en el Plan de Acción del Documento PA-MANA (D, 60-61)</w:t>
      </w:r>
    </w:p>
  </w:footnote>
  <w:footnote w:id="63">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Se utilizaron las publicaciones impresas anuales correspondientes a 1994, 1997, 1998, 1999, 2004, 2005, así como las publicaciones oficiales en la red (</w:t>
      </w:r>
      <w:r>
        <w:rPr>
          <w:rStyle w:val="a"/>
          <w:spacing w:val="-2"/>
          <w:sz w:val="20"/>
        </w:rPr>
        <w:t>www.digestyc.gob.sv/MainFrame/EstadisticasSociales.) sobre los años comprendidos entre 1998 y 2005.</w:t>
      </w:r>
      <w:r>
        <w:rPr>
          <w:spacing w:val="-2"/>
          <w:sz w:val="20"/>
        </w:rPr>
        <w:t xml:space="preserve"> Adicionalmente se obtuvo de la oficina de la EHPM toda la información adicional requerida correspondiente a los años comprendidos en el período 1991-2006</w:t>
      </w:r>
    </w:p>
  </w:footnote>
  <w:footnote w:id="64">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Se utilizó la “Proyección de la Población de El Salvador 1995-2025”, San Salvador, 1996.</w:t>
      </w:r>
    </w:p>
  </w:footnote>
  <w:footnote w:id="65">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Se utilizaron las publicaciones impresas correspondientes a los períodos 1988-1993 (FESAL-93), 1993-1998 (FESAL-98) y 1998-2003 (FESAL 2002-2003), así como sus publicaciones oficiales en la red</w:t>
      </w:r>
      <w:r>
        <w:rPr>
          <w:rStyle w:val="Header"/>
          <w:rFonts w:cs="Arial"/>
          <w:spacing w:val="-2"/>
          <w:sz w:val="20"/>
        </w:rPr>
        <w:t xml:space="preserve"> (</w:t>
      </w:r>
      <w:r>
        <w:rPr>
          <w:rStyle w:val="a"/>
          <w:spacing w:val="-2"/>
          <w:sz w:val="20"/>
          <w:u w:val="single"/>
        </w:rPr>
        <w:t>www.</w:t>
      </w:r>
      <w:r>
        <w:rPr>
          <w:rStyle w:val="a"/>
          <w:bCs/>
          <w:spacing w:val="-2"/>
          <w:sz w:val="20"/>
          <w:u w:val="single"/>
        </w:rPr>
        <w:t>fesal</w:t>
      </w:r>
      <w:r>
        <w:rPr>
          <w:rStyle w:val="a"/>
          <w:spacing w:val="-2"/>
          <w:sz w:val="20"/>
          <w:u w:val="single"/>
        </w:rPr>
        <w:t>.org.sv</w:t>
      </w:r>
      <w:r>
        <w:rPr>
          <w:rStyle w:val="a"/>
          <w:spacing w:val="-2"/>
          <w:sz w:val="20"/>
        </w:rPr>
        <w:t>)</w:t>
      </w:r>
    </w:p>
  </w:footnote>
  <w:footnote w:id="66">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Se obtuvo de esta unidad parte de la información requerida en materia de salud. Es pertinente hacer notar que hasta el presente, la información con que cuenta esta unidad solo incluye los servicios públicos de salud, y que – con algunas excepciones como son lo referente a las inmunizaciones y al VIH-SIDA – no incluye los servicios prestados por el ISSS ni los servicios privados.</w:t>
      </w:r>
    </w:p>
  </w:footnote>
  <w:footnote w:id="67">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ww</w:t>
      </w:r>
      <w:r>
        <w:rPr>
          <w:bCs/>
          <w:color w:val="000000"/>
          <w:spacing w:val="-2"/>
          <w:sz w:val="20"/>
        </w:rPr>
        <w:t>w.mspas.gob.sv.</w:t>
      </w:r>
    </w:p>
  </w:footnote>
  <w:footnote w:id="68">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Ibid.</w:t>
      </w:r>
    </w:p>
  </w:footnote>
  <w:footnote w:id="69">
    <w:p w:rsidR="008A5877" w:rsidRDefault="008A5877">
      <w:pPr>
        <w:tabs>
          <w:tab w:val="left" w:pos="709"/>
        </w:tabs>
        <w:autoSpaceDE w:val="0"/>
        <w:autoSpaceDN w:val="0"/>
        <w:adjustRightInd w:val="0"/>
        <w:spacing w:after="80"/>
        <w:ind w:firstLine="284"/>
        <w:rPr>
          <w:bCs/>
          <w:color w:val="000000"/>
          <w:spacing w:val="-2"/>
          <w:sz w:val="20"/>
          <w:szCs w:val="20"/>
        </w:rPr>
      </w:pPr>
      <w:r>
        <w:rPr>
          <w:rStyle w:val="FootnoteReference"/>
          <w:bCs/>
          <w:spacing w:val="-2"/>
          <w:sz w:val="20"/>
          <w:szCs w:val="20"/>
        </w:rPr>
        <w:footnoteRef/>
      </w:r>
      <w:r>
        <w:rPr>
          <w:spacing w:val="-2"/>
          <w:sz w:val="20"/>
          <w:szCs w:val="20"/>
        </w:rPr>
        <w:t xml:space="preserve"> </w:t>
      </w:r>
      <w:r>
        <w:rPr>
          <w:spacing w:val="-2"/>
          <w:sz w:val="20"/>
          <w:szCs w:val="20"/>
        </w:rPr>
        <w:tab/>
        <w:t xml:space="preserve">Ver </w:t>
      </w:r>
      <w:r>
        <w:rPr>
          <w:rStyle w:val="a"/>
          <w:color w:val="000000"/>
          <w:spacing w:val="-2"/>
          <w:sz w:val="20"/>
          <w:szCs w:val="20"/>
        </w:rPr>
        <w:t>www.</w:t>
      </w:r>
      <w:r>
        <w:rPr>
          <w:rStyle w:val="a"/>
          <w:bCs/>
          <w:color w:val="000000"/>
          <w:spacing w:val="-2"/>
          <w:sz w:val="20"/>
          <w:szCs w:val="20"/>
        </w:rPr>
        <w:t>mined</w:t>
      </w:r>
      <w:r>
        <w:rPr>
          <w:rStyle w:val="a"/>
          <w:color w:val="000000"/>
          <w:spacing w:val="-2"/>
          <w:sz w:val="20"/>
          <w:szCs w:val="20"/>
        </w:rPr>
        <w:t>.gob.sv.</w:t>
      </w:r>
    </w:p>
  </w:footnote>
  <w:footnote w:id="70">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Específicamente se utilizó esta fuente para el análisis del gasto público en los rubros de Educación y Salud.</w:t>
      </w:r>
    </w:p>
  </w:footnote>
  <w:footnote w:id="71">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t xml:space="preserve">Asamblea Legislativa, Decreto 588, 2001. </w:t>
      </w:r>
    </w:p>
  </w:footnote>
  <w:footnote w:id="72">
    <w:p w:rsidR="008A5877" w:rsidRDefault="008A5877">
      <w:pPr>
        <w:pStyle w:val="FootnoteText"/>
        <w:tabs>
          <w:tab w:val="left" w:pos="709"/>
        </w:tabs>
        <w:spacing w:after="80" w:line="240" w:lineRule="auto"/>
        <w:ind w:firstLine="284"/>
        <w:rPr>
          <w:bCs/>
          <w:spacing w:val="-2"/>
          <w:sz w:val="20"/>
          <w:lang w:val="pt-BR"/>
        </w:rPr>
      </w:pPr>
      <w:r>
        <w:rPr>
          <w:rStyle w:val="FootnoteReference"/>
          <w:bCs/>
          <w:spacing w:val="-2"/>
          <w:sz w:val="20"/>
        </w:rPr>
        <w:footnoteRef/>
      </w:r>
      <w:r>
        <w:rPr>
          <w:bCs/>
          <w:spacing w:val="-2"/>
          <w:sz w:val="20"/>
          <w:lang w:val="pt-BR"/>
        </w:rPr>
        <w:t xml:space="preserve"> </w:t>
      </w:r>
      <w:r>
        <w:rPr>
          <w:bCs/>
          <w:spacing w:val="-2"/>
          <w:sz w:val="20"/>
          <w:lang w:val="pt-BR"/>
        </w:rPr>
        <w:tab/>
        <w:t xml:space="preserve">Ver </w:t>
      </w:r>
      <w:r>
        <w:rPr>
          <w:rStyle w:val="a"/>
          <w:bCs/>
          <w:color w:val="000000"/>
          <w:spacing w:val="-2"/>
          <w:sz w:val="20"/>
          <w:lang w:val="pt-BR"/>
        </w:rPr>
        <w:t>www.mined.gob.sv.</w:t>
      </w:r>
    </w:p>
  </w:footnote>
  <w:footnote w:id="73">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www.casapres.gob.sv/especiales/fosalud/index.htm.</w:t>
      </w:r>
    </w:p>
  </w:footnote>
  <w:footnote w:id="74">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Asamblea Legislativa, Decreto 538, 17 de diciembre 2004.</w:t>
      </w:r>
    </w:p>
  </w:footnote>
  <w:footnote w:id="75">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t>Ver ww</w:t>
      </w:r>
      <w:r>
        <w:rPr>
          <w:bCs/>
          <w:spacing w:val="-2"/>
          <w:sz w:val="20"/>
          <w:lang w:val="pt-BR"/>
        </w:rPr>
        <w:t>w.mspas.gob.sv.</w:t>
      </w:r>
    </w:p>
  </w:footnote>
  <w:footnote w:id="76">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t>Ibíd.</w:t>
      </w:r>
    </w:p>
  </w:footnote>
  <w:footnote w:id="77">
    <w:p w:rsidR="008A5877" w:rsidRDefault="008A5877">
      <w:pPr>
        <w:tabs>
          <w:tab w:val="left" w:pos="709"/>
        </w:tabs>
        <w:autoSpaceDE w:val="0"/>
        <w:autoSpaceDN w:val="0"/>
        <w:adjustRightInd w:val="0"/>
        <w:spacing w:after="80"/>
        <w:ind w:firstLine="284"/>
        <w:rPr>
          <w:color w:val="231F20"/>
          <w:spacing w:val="-2"/>
          <w:sz w:val="20"/>
          <w:szCs w:val="20"/>
        </w:rPr>
      </w:pPr>
      <w:r>
        <w:rPr>
          <w:rStyle w:val="FootnoteReference"/>
          <w:bCs/>
          <w:spacing w:val="-2"/>
          <w:sz w:val="20"/>
          <w:szCs w:val="20"/>
        </w:rPr>
        <w:footnoteRef/>
      </w:r>
      <w:r>
        <w:rPr>
          <w:spacing w:val="-2"/>
          <w:sz w:val="20"/>
          <w:szCs w:val="20"/>
        </w:rPr>
        <w:t xml:space="preserve"> </w:t>
      </w:r>
      <w:r>
        <w:rPr>
          <w:spacing w:val="-2"/>
          <w:sz w:val="20"/>
          <w:szCs w:val="20"/>
        </w:rPr>
        <w:tab/>
        <w:t>Ver www.casapres.gob.sv/especiales/redSolidaria/discurso.html.</w:t>
      </w:r>
    </w:p>
  </w:footnote>
  <w:footnote w:id="78">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Este análisis se ha realizado teniendo en cuenta la información oficial del Ministerio de Hacienda para cada uno de los años comprendidos entre 1995 y 2005.</w:t>
      </w:r>
    </w:p>
  </w:footnote>
  <w:footnote w:id="79">
    <w:p w:rsidR="008A5877" w:rsidRDefault="008A5877">
      <w:pPr>
        <w:tabs>
          <w:tab w:val="left" w:pos="709"/>
        </w:tabs>
        <w:spacing w:after="80"/>
        <w:ind w:firstLine="284"/>
        <w:rPr>
          <w:spacing w:val="-2"/>
          <w:sz w:val="20"/>
          <w:szCs w:val="20"/>
        </w:rPr>
      </w:pPr>
      <w:r>
        <w:rPr>
          <w:rStyle w:val="FootnoteReference"/>
          <w:bCs/>
          <w:spacing w:val="-2"/>
          <w:sz w:val="20"/>
          <w:szCs w:val="20"/>
        </w:rPr>
        <w:footnoteRef/>
      </w:r>
      <w:r>
        <w:rPr>
          <w:spacing w:val="-2"/>
          <w:sz w:val="20"/>
          <w:szCs w:val="20"/>
        </w:rPr>
        <w:t xml:space="preserve">  </w:t>
      </w:r>
      <w:r>
        <w:rPr>
          <w:spacing w:val="-2"/>
          <w:sz w:val="20"/>
          <w:szCs w:val="20"/>
        </w:rPr>
        <w:tab/>
        <w:t>3.4% en 2001, 3.3% en 2002, 3.1% en 2003 y 2.9% en 2004.</w:t>
      </w:r>
    </w:p>
  </w:footnote>
  <w:footnote w:id="80">
    <w:p w:rsidR="008A5877" w:rsidRDefault="008A5877">
      <w:pPr>
        <w:pStyle w:val="FootnoteText"/>
        <w:tabs>
          <w:tab w:val="left" w:pos="709"/>
        </w:tabs>
        <w:spacing w:after="80" w:line="240" w:lineRule="auto"/>
        <w:ind w:firstLine="284"/>
        <w:rPr>
          <w:b/>
          <w:spacing w:val="-2"/>
          <w:sz w:val="20"/>
        </w:rPr>
      </w:pPr>
      <w:r>
        <w:rPr>
          <w:rStyle w:val="FootnoteReference"/>
          <w:bCs/>
          <w:spacing w:val="-2"/>
          <w:sz w:val="20"/>
        </w:rPr>
        <w:footnoteRef/>
      </w:r>
      <w:r>
        <w:rPr>
          <w:spacing w:val="-2"/>
          <w:sz w:val="20"/>
        </w:rPr>
        <w:t xml:space="preserve"> </w:t>
      </w:r>
      <w:r>
        <w:rPr>
          <w:spacing w:val="-2"/>
          <w:sz w:val="20"/>
        </w:rPr>
        <w:tab/>
        <w:t>El CCI está integrado por el Ministerio de Salud Pública y Asistencia Social (MSPAS), el Ministerio de Educación (MINED), el  Ministerio de Relaciones Exteriores (M.RR.EE), la Dirección General de Estadística y Censos (DIGESTYC), La Secretaría General de la Familia (SNF), el Instituto Salvadoreño del Seguro Social (ISSS), el Fondo de las Naciones Unidas para la Infancia (UNICEF), el Fondo de Población de las Naciones Unidas (FNUAP), la Organización Panamericana de la Salud/Instituto de Nutrición de Centroamérica y Panamá (OPS/INCAP) y la Agencia de los Estados Unidos para el Desarrollo Internacional (USAID).</w:t>
      </w:r>
    </w:p>
  </w:footnote>
  <w:footnote w:id="81">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Hasta ahora el 95% del financiamiento de la Encuesta FESAL proviene de AID.</w:t>
      </w:r>
    </w:p>
  </w:footnote>
  <w:footnote w:id="82">
    <w:p w:rsidR="008A5877" w:rsidRDefault="008A5877">
      <w:pPr>
        <w:tabs>
          <w:tab w:val="left" w:pos="709"/>
        </w:tabs>
        <w:spacing w:after="80"/>
        <w:ind w:firstLine="284"/>
        <w:rPr>
          <w:spacing w:val="-2"/>
          <w:sz w:val="20"/>
          <w:szCs w:val="20"/>
        </w:rPr>
      </w:pPr>
      <w:r>
        <w:rPr>
          <w:rStyle w:val="FootnoteReference"/>
          <w:bCs/>
          <w:spacing w:val="-2"/>
          <w:sz w:val="20"/>
          <w:szCs w:val="20"/>
        </w:rPr>
        <w:footnoteRef/>
      </w:r>
      <w:r>
        <w:rPr>
          <w:spacing w:val="-2"/>
          <w:sz w:val="20"/>
          <w:szCs w:val="20"/>
        </w:rPr>
        <w:t xml:space="preserve"> </w:t>
      </w:r>
      <w:r>
        <w:rPr>
          <w:spacing w:val="-2"/>
          <w:sz w:val="20"/>
          <w:szCs w:val="20"/>
        </w:rPr>
        <w:tab/>
        <w:t>Reunión del Sector Salud de Centroamérica y República Dominicana – RESSCAD – es un foro sectorial que tiene como propósito promover el intercambio y el desarrollo de experiencias, así como conocimiento y, sobre todo, lograr el compromiso entre los Estados Miembros para la atención de problemas comunes de salud y del ambiente, que requieran del abordaje conjunto y coordinado entre países, para lograr un impacto mayor que el que se lograría si el tratamiento de los mismos, se realizara en forma individual, dentro del espíritu de la integración Centroamericana.</w:t>
      </w:r>
    </w:p>
  </w:footnote>
  <w:footnote w:id="83">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Proporción de población bajo la línea de pobreza extrema nacional y por área geográfica.</w:t>
      </w:r>
    </w:p>
  </w:footnote>
  <w:footnote w:id="84">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Equivale a 206.194 hogares.</w:t>
      </w:r>
    </w:p>
  </w:footnote>
  <w:footnote w:id="85">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EHPM.</w:t>
      </w:r>
    </w:p>
  </w:footnote>
  <w:footnote w:id="86">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87">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La desnutrición es un indicador válido del hambre.</w:t>
      </w:r>
    </w:p>
  </w:footnote>
  <w:footnote w:id="88">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Tasa correspondiente al período 1988-1993 según FESAL.</w:t>
      </w:r>
    </w:p>
  </w:footnote>
  <w:footnote w:id="89">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Tasa correspondiente al período 1998-2003 según FESAL.</w:t>
      </w:r>
    </w:p>
  </w:footnote>
  <w:footnote w:id="90">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Tasa correspondiente al período 1993-1998 según FESAL.</w:t>
      </w:r>
    </w:p>
  </w:footnote>
  <w:footnote w:id="91">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El bajo peso al nacer es un indicador válido de desnutrición y hambre.</w:t>
      </w:r>
    </w:p>
  </w:footnote>
  <w:footnote w:id="92">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t>Ver FESAL.</w:t>
      </w:r>
    </w:p>
  </w:footnote>
  <w:footnote w:id="93">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t>Ver FESAL 2002/03, pág. 263.</w:t>
      </w:r>
    </w:p>
  </w:footnote>
  <w:footnote w:id="94">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La metodología utilizada en el estudio de línea base fue de tipo prospectiva – descriptiva, basada en la búsqueda activa de casos, a partir de muertes de mujeres de 10 a 54 años registradas en las 262 alcaldías del país, sustentada en metodología RAMOS modificada.</w:t>
      </w:r>
    </w:p>
  </w:footnote>
  <w:footnote w:id="95">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FESAL</w:t>
      </w:r>
    </w:p>
  </w:footnote>
  <w:footnote w:id="96">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97">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Ministerio de Salud Pública.</w:t>
      </w:r>
    </w:p>
  </w:footnote>
  <w:footnote w:id="98">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Informe de Labores 2006 – 2007 del Ministerio de Salud Pública y Asistencia Social. Capítulo 8, Pág. 70</w:t>
      </w:r>
    </w:p>
  </w:footnote>
  <w:footnote w:id="99">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Ibíd.</w:t>
      </w:r>
    </w:p>
  </w:footnote>
  <w:footnote w:id="100">
    <w:p w:rsidR="008A5877" w:rsidRDefault="008A5877">
      <w:pPr>
        <w:pStyle w:val="FootnoteText"/>
        <w:tabs>
          <w:tab w:val="left" w:pos="709"/>
        </w:tabs>
        <w:spacing w:after="80" w:line="240" w:lineRule="auto"/>
        <w:ind w:firstLine="284"/>
        <w:rPr>
          <w:spacing w:val="-2"/>
          <w:sz w:val="20"/>
          <w:lang w:val="pt-BR"/>
        </w:rPr>
      </w:pPr>
      <w:r>
        <w:rPr>
          <w:rStyle w:val="FootnoteReference"/>
          <w:bCs/>
          <w:spacing w:val="-2"/>
          <w:sz w:val="20"/>
        </w:rPr>
        <w:footnoteRef/>
      </w:r>
      <w:r>
        <w:rPr>
          <w:spacing w:val="-2"/>
          <w:sz w:val="20"/>
          <w:lang w:val="pt-BR"/>
        </w:rPr>
        <w:t xml:space="preserve"> </w:t>
      </w:r>
      <w:r>
        <w:rPr>
          <w:spacing w:val="-2"/>
          <w:sz w:val="20"/>
          <w:lang w:val="pt-BR"/>
        </w:rPr>
        <w:tab/>
        <w:t>Ver FESAL</w:t>
      </w:r>
    </w:p>
  </w:footnote>
  <w:footnote w:id="101">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02">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03">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Unidad de Información en Salud, de la Dirección de Planificación en Salud, del MSPAS:</w:t>
      </w:r>
    </w:p>
  </w:footnote>
  <w:footnote w:id="104">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05">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06">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07">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08">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FESAL.</w:t>
      </w:r>
    </w:p>
  </w:footnote>
  <w:footnote w:id="109">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Ministerio de Salud Pública y Asistencia Social. Informe de Labores 2006 - 2007.</w:t>
      </w:r>
    </w:p>
  </w:footnote>
  <w:footnote w:id="110">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Quedan excluidos aquí los hogares con acceso a “cañería del vecino”.</w:t>
      </w:r>
    </w:p>
  </w:footnote>
  <w:footnote w:id="111">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EHPM.</w:t>
      </w:r>
    </w:p>
  </w:footnote>
  <w:footnote w:id="112">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Ibíd.</w:t>
      </w:r>
    </w:p>
  </w:footnote>
  <w:footnote w:id="113">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FESAL.</w:t>
      </w:r>
    </w:p>
  </w:footnote>
  <w:footnote w:id="114">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Ibíd.</w:t>
      </w:r>
    </w:p>
  </w:footnote>
  <w:footnote w:id="115">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 xml:space="preserve">Plan Nacional de Educación 2021. Informe de Avance 2005-2007.  Evolución de Indicadores. </w:t>
      </w:r>
    </w:p>
  </w:footnote>
  <w:footnote w:id="116">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Ibíd.</w:t>
      </w:r>
    </w:p>
  </w:footnote>
  <w:footnote w:id="117">
    <w:p w:rsidR="008A5877" w:rsidRDefault="008A5877">
      <w:pPr>
        <w:tabs>
          <w:tab w:val="left" w:pos="709"/>
        </w:tabs>
        <w:spacing w:after="80"/>
        <w:ind w:firstLine="284"/>
        <w:rPr>
          <w:bCs/>
          <w:spacing w:val="-2"/>
          <w:sz w:val="20"/>
          <w:szCs w:val="20"/>
        </w:rPr>
      </w:pPr>
      <w:r>
        <w:rPr>
          <w:rStyle w:val="FootnoteReference"/>
          <w:bCs/>
          <w:spacing w:val="-2"/>
          <w:sz w:val="20"/>
          <w:szCs w:val="20"/>
        </w:rPr>
        <w:footnoteRef/>
      </w:r>
      <w:r>
        <w:rPr>
          <w:spacing w:val="-2"/>
          <w:sz w:val="20"/>
          <w:szCs w:val="20"/>
          <w:lang w:val="es-MX"/>
        </w:rPr>
        <w:t xml:space="preserve"> </w:t>
      </w:r>
      <w:r>
        <w:rPr>
          <w:spacing w:val="-2"/>
          <w:sz w:val="20"/>
          <w:szCs w:val="20"/>
          <w:lang w:val="es-MX"/>
        </w:rPr>
        <w:tab/>
        <w:t xml:space="preserve">MSPAS.  </w:t>
      </w:r>
      <w:r>
        <w:rPr>
          <w:spacing w:val="-2"/>
          <w:sz w:val="20"/>
          <w:szCs w:val="20"/>
        </w:rPr>
        <w:t>Ver también FESAL 98 y FESAL 2003.</w:t>
      </w:r>
    </w:p>
  </w:footnote>
  <w:footnote w:id="118">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Es pertinente señalar que las estimaciones de ONUSIDA para el año 2004 se aproximan a un número de 30,000 casos de personas viviendo con el VIH-SIDA, debido a un subregistro que se considera fluctuaría entre el 40% y el 50%.</w:t>
      </w:r>
    </w:p>
  </w:footnote>
  <w:footnote w:id="119">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r>
      <w:r>
        <w:rPr>
          <w:spacing w:val="-2"/>
          <w:sz w:val="20"/>
        </w:rPr>
        <w:t>142 en 2001, 138 en 2002, 129 en 2003 y 20 en 2004</w:t>
      </w:r>
    </w:p>
  </w:footnote>
  <w:footnote w:id="120">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FESAL 2003.</w:t>
      </w:r>
    </w:p>
  </w:footnote>
  <w:footnote w:id="121">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Hombres entre 15 y 59 años de edad.</w:t>
      </w:r>
    </w:p>
  </w:footnote>
  <w:footnote w:id="122">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 xml:space="preserve">Mujeres en edad fértil, entre 15 y 49 años de edad. En El Salvador, el 73% de los casos femeninos reportados y acumulados a Julio 2003 eran de mujeres en edad fértil. </w:t>
      </w:r>
    </w:p>
  </w:footnote>
  <w:footnote w:id="123">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Mujeres entre 15 y 24 años de edad.</w:t>
      </w:r>
    </w:p>
  </w:footnote>
  <w:footnote w:id="124">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 xml:space="preserve">Se considera aquí que las tres formas de prevención primaria de la transmisión sexual del VIH/SIDA son: </w:t>
      </w:r>
      <w:r>
        <w:rPr>
          <w:i/>
          <w:iCs/>
          <w:spacing w:val="-2"/>
          <w:sz w:val="20"/>
        </w:rPr>
        <w:t>a</w:t>
      </w:r>
      <w:r>
        <w:rPr>
          <w:spacing w:val="-2"/>
          <w:sz w:val="20"/>
        </w:rPr>
        <w:t xml:space="preserve">) no tener relaciones sexuales, </w:t>
      </w:r>
      <w:r>
        <w:rPr>
          <w:i/>
          <w:iCs/>
          <w:spacing w:val="-2"/>
          <w:sz w:val="20"/>
        </w:rPr>
        <w:t>b</w:t>
      </w:r>
      <w:r>
        <w:rPr>
          <w:spacing w:val="-2"/>
          <w:sz w:val="20"/>
        </w:rPr>
        <w:t xml:space="preserve">) tener solo un compañero fiel, </w:t>
      </w:r>
      <w:r>
        <w:rPr>
          <w:i/>
          <w:iCs/>
          <w:spacing w:val="-2"/>
          <w:sz w:val="20"/>
        </w:rPr>
        <w:t>c</w:t>
      </w:r>
      <w:r>
        <w:rPr>
          <w:spacing w:val="-2"/>
          <w:sz w:val="20"/>
        </w:rPr>
        <w:t>) usar condones en todas las relaciones sexuales</w:t>
      </w:r>
    </w:p>
  </w:footnote>
  <w:footnote w:id="125">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 xml:space="preserve">Se considera aquí que los tres conocimientos erróneos locales más comunes son: </w:t>
      </w:r>
      <w:r>
        <w:rPr>
          <w:i/>
          <w:iCs/>
          <w:spacing w:val="-2"/>
          <w:sz w:val="20"/>
        </w:rPr>
        <w:t>a</w:t>
      </w:r>
      <w:r>
        <w:rPr>
          <w:spacing w:val="-2"/>
          <w:sz w:val="20"/>
        </w:rPr>
        <w:t xml:space="preserve">) la persona puede infectarse al ser picada por mosquito o zancudo; </w:t>
      </w:r>
      <w:r>
        <w:rPr>
          <w:i/>
          <w:iCs/>
          <w:spacing w:val="-2"/>
          <w:sz w:val="20"/>
        </w:rPr>
        <w:t>b</w:t>
      </w:r>
      <w:r>
        <w:rPr>
          <w:spacing w:val="-2"/>
          <w:sz w:val="20"/>
        </w:rPr>
        <w:t xml:space="preserve">) la persona puede infectarse al usar cubiertos utilizados por alguien que tiene SIDA; </w:t>
      </w:r>
      <w:r>
        <w:rPr>
          <w:i/>
          <w:iCs/>
          <w:spacing w:val="-2"/>
          <w:sz w:val="20"/>
        </w:rPr>
        <w:t>c</w:t>
      </w:r>
      <w:r>
        <w:rPr>
          <w:spacing w:val="-2"/>
          <w:sz w:val="20"/>
        </w:rPr>
        <w:t>) la persona que se ve sana no puede transmitir el VIH.</w:t>
      </w:r>
    </w:p>
  </w:footnote>
  <w:footnote w:id="126">
    <w:p w:rsidR="008A5877" w:rsidRDefault="008A5877">
      <w:pPr>
        <w:pStyle w:val="FootnoteText"/>
        <w:tabs>
          <w:tab w:val="left" w:pos="709"/>
        </w:tabs>
        <w:spacing w:after="80" w:line="240" w:lineRule="auto"/>
        <w:ind w:firstLine="284"/>
        <w:rPr>
          <w:spacing w:val="-2"/>
          <w:sz w:val="20"/>
          <w:lang w:val="es-MX"/>
        </w:rPr>
      </w:pPr>
      <w:r>
        <w:rPr>
          <w:rStyle w:val="FootnoteReference"/>
          <w:bCs/>
          <w:spacing w:val="-2"/>
          <w:sz w:val="20"/>
        </w:rPr>
        <w:footnoteRef/>
      </w:r>
      <w:r>
        <w:rPr>
          <w:spacing w:val="-2"/>
          <w:sz w:val="20"/>
          <w:lang w:val="es-MX"/>
        </w:rPr>
        <w:t xml:space="preserve"> </w:t>
      </w:r>
      <w:r>
        <w:rPr>
          <w:spacing w:val="-2"/>
          <w:sz w:val="20"/>
          <w:lang w:val="es-MX"/>
        </w:rPr>
        <w:tab/>
        <w:t xml:space="preserve">Ministerio de Salud Pública y Asistencia Social.  Situación Epidemiológica del VIH/SIDA en El Salvador años 1984 – 2005. </w:t>
      </w:r>
    </w:p>
  </w:footnote>
  <w:footnote w:id="127">
    <w:p w:rsidR="008A5877" w:rsidRDefault="008A5877">
      <w:pPr>
        <w:pStyle w:val="FootnoteText"/>
        <w:tabs>
          <w:tab w:val="left" w:pos="709"/>
        </w:tabs>
        <w:spacing w:after="80" w:line="240" w:lineRule="auto"/>
        <w:ind w:firstLine="284"/>
        <w:rPr>
          <w:spacing w:val="-2"/>
          <w:sz w:val="20"/>
        </w:rPr>
      </w:pPr>
      <w:r>
        <w:rPr>
          <w:rStyle w:val="FootnoteReference"/>
          <w:bCs/>
          <w:spacing w:val="-2"/>
          <w:sz w:val="20"/>
        </w:rPr>
        <w:footnoteRef/>
      </w:r>
      <w:r>
        <w:rPr>
          <w:spacing w:val="-2"/>
          <w:sz w:val="20"/>
        </w:rPr>
        <w:t xml:space="preserve"> </w:t>
      </w:r>
      <w:r>
        <w:rPr>
          <w:spacing w:val="-2"/>
          <w:sz w:val="20"/>
        </w:rPr>
        <w:tab/>
        <w:t>Ver FESAL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877" w:rsidRDefault="008A5877">
    <w:pPr>
      <w:pStyle w:val="Header"/>
      <w:rPr>
        <w:lang w:val="en-GB"/>
      </w:rPr>
    </w:pPr>
    <w:r>
      <w:rPr>
        <w:lang w:val="en-GB"/>
      </w:rPr>
      <w:t>CRC/C/SLV/3-4</w:t>
    </w:r>
  </w:p>
  <w:p w:rsidR="008A5877" w:rsidRDefault="008A5877">
    <w:pPr>
      <w:pStyle w:val="Header"/>
      <w:spacing w:after="360"/>
    </w:pPr>
    <w:r>
      <w:t xml:space="preserve">page </w:t>
    </w:r>
    <w:r>
      <w:fldChar w:fldCharType="begin"/>
    </w:r>
    <w:r>
      <w:instrText xml:space="preserve"> PAGE  \* MERGEFORMAT </w:instrText>
    </w:r>
    <w:r>
      <w:fldChar w:fldCharType="separate"/>
    </w:r>
    <w:r w:rsidR="00EE0F2A">
      <w:rPr>
        <w:noProof/>
      </w:rPr>
      <w:t>190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877" w:rsidRDefault="008A5877">
    <w:pPr>
      <w:ind w:left="7797"/>
    </w:pPr>
    <w:r>
      <w:t>CRC/C/SLV/3-4</w:t>
    </w:r>
  </w:p>
  <w:p w:rsidR="008A5877" w:rsidRDefault="008A5877">
    <w:pPr>
      <w:spacing w:after="360"/>
      <w:ind w:left="7797"/>
    </w:pPr>
    <w:r>
      <w:t xml:space="preserve">page </w:t>
    </w:r>
    <w:r>
      <w:fldChar w:fldCharType="begin"/>
    </w:r>
    <w:r>
      <w:instrText xml:space="preserve"> PAGE  \* MERGEFORMAT </w:instrText>
    </w:r>
    <w:r>
      <w:fldChar w:fldCharType="separate"/>
    </w:r>
    <w:r w:rsidR="00EE0F2A">
      <w:rPr>
        <w:noProof/>
      </w:rPr>
      <w:t>189</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877" w:rsidRDefault="008A5877">
    <w:pPr>
      <w:pStyle w:val="Header"/>
      <w:rPr>
        <w:lang w:val="fr-CH"/>
      </w:rPr>
    </w:pPr>
    <w:r>
      <w:rPr>
        <w:lang w:val="fr-CH"/>
      </w:rPr>
      <w:t>CRC/C/SLV/3-4</w:t>
    </w:r>
  </w:p>
  <w:p w:rsidR="008A5877" w:rsidRDefault="008A5877">
    <w:pPr>
      <w:pStyle w:val="Header"/>
      <w:spacing w:after="360"/>
    </w:pPr>
    <w:r>
      <w:t xml:space="preserve">page </w:t>
    </w:r>
    <w:r>
      <w:fldChar w:fldCharType="begin"/>
    </w:r>
    <w:r>
      <w:instrText xml:space="preserve"> PAGE  \* MERGEFORMAT </w:instrText>
    </w:r>
    <w:r>
      <w:fldChar w:fldCharType="separate"/>
    </w:r>
    <w:r w:rsidR="00EE0F2A">
      <w:rPr>
        <w:noProof/>
      </w:rPr>
      <w:t>131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4CBA"/>
    <w:multiLevelType w:val="hybridMultilevel"/>
    <w:tmpl w:val="F22051C4"/>
    <w:lvl w:ilvl="0">
      <w:start w:val="1"/>
      <w:numFmt w:val="lowerLetter"/>
      <w:lvlText w:val="%1)"/>
      <w:lvlJc w:val="left"/>
      <w:pPr>
        <w:tabs>
          <w:tab w:val="num" w:pos="540"/>
        </w:tabs>
        <w:ind w:left="540" w:hanging="360"/>
      </w:pPr>
      <w:rPr>
        <w:rFonts w:hint="default"/>
      </w:rPr>
    </w:lvl>
    <w:lvl w:ilvl="1">
      <w:start w:val="2004"/>
      <w:numFmt w:val="decimal"/>
      <w:lvlText w:val="%2"/>
      <w:lvlJc w:val="left"/>
      <w:pPr>
        <w:tabs>
          <w:tab w:val="num" w:pos="1500"/>
        </w:tabs>
        <w:ind w:left="1500" w:hanging="600"/>
      </w:pPr>
      <w:rPr>
        <w:rFonts w:hint="default"/>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
    <w:nsid w:val="091803F7"/>
    <w:multiLevelType w:val="hybridMultilevel"/>
    <w:tmpl w:val="A98AC12E"/>
    <w:lvl w:ilvl="0">
      <w:start w:val="1"/>
      <w:numFmt w:val="lowerLetter"/>
      <w:lvlText w:val="%1)"/>
      <w:lvlJc w:val="left"/>
      <w:pPr>
        <w:tabs>
          <w:tab w:val="num" w:pos="924"/>
        </w:tabs>
        <w:ind w:left="-3" w:firstLine="360"/>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F4A4D80"/>
    <w:multiLevelType w:val="hybridMultilevel"/>
    <w:tmpl w:val="BC00E52C"/>
    <w:lvl w:ilvl="0" w:tplc="6B3410F6">
      <w:start w:val="1"/>
      <w:numFmt w:val="lowerRoman"/>
      <w:lvlText w:val="%1)"/>
      <w:lvlJc w:val="left"/>
      <w:pPr>
        <w:tabs>
          <w:tab w:val="num" w:pos="1440"/>
        </w:tabs>
        <w:ind w:left="1440" w:hanging="360"/>
      </w:pPr>
      <w:rPr>
        <w:rFonts w:hint="default"/>
        <w:b w:val="0"/>
        <w:i w:val="0"/>
      </w:rPr>
    </w:lvl>
    <w:lvl w:ilvl="1" w:tplc="370413A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5B1F46"/>
    <w:multiLevelType w:val="hybridMultilevel"/>
    <w:tmpl w:val="D8528008"/>
    <w:lvl w:ilvl="0" w:tplc="75220848">
      <w:start w:val="1"/>
      <w:numFmt w:val="decimal"/>
      <w:lvlText w:val="%1."/>
      <w:lvlJc w:val="left"/>
      <w:pPr>
        <w:tabs>
          <w:tab w:val="num" w:pos="720"/>
        </w:tabs>
        <w:ind w:left="720" w:hanging="360"/>
      </w:pPr>
      <w:rPr>
        <w:b w:val="0"/>
        <w:bCs/>
        <w:color w:val="auto"/>
        <w:lang w:val="es-ES"/>
      </w:rPr>
    </w:lvl>
    <w:lvl w:ilvl="1" w:tplc="0C0A0019">
      <w:start w:val="1"/>
      <w:numFmt w:val="lowerLetter"/>
      <w:lvlText w:val="%2)"/>
      <w:lvlJc w:val="left"/>
      <w:pPr>
        <w:tabs>
          <w:tab w:val="num" w:pos="1200"/>
        </w:tabs>
        <w:ind w:left="1200" w:hanging="360"/>
      </w:pPr>
      <w:rPr>
        <w:rFonts w:hint="default"/>
        <w:color w:val="auto"/>
      </w:rPr>
    </w:lvl>
    <w:lvl w:ilvl="2" w:tplc="0C0A001B">
      <w:start w:val="1"/>
      <w:numFmt w:val="decimal"/>
      <w:lvlText w:val="%3."/>
      <w:lvlJc w:val="left"/>
      <w:pPr>
        <w:tabs>
          <w:tab w:val="num" w:pos="1980"/>
        </w:tabs>
        <w:ind w:left="1980" w:hanging="360"/>
      </w:pPr>
    </w:lvl>
    <w:lvl w:ilvl="3" w:tplc="0C0A000F">
      <w:start w:val="4"/>
      <w:numFmt w:val="upperRoman"/>
      <w:lvlText w:val="%4."/>
      <w:lvlJc w:val="left"/>
      <w:pPr>
        <w:tabs>
          <w:tab w:val="num" w:pos="2880"/>
        </w:tabs>
        <w:ind w:left="2880" w:hanging="720"/>
      </w:pPr>
      <w:rPr>
        <w:rFonts w:hint="default"/>
      </w:rPr>
    </w:lvl>
    <w:lvl w:ilvl="4" w:tplc="0C0A0019">
      <w:start w:val="1"/>
      <w:numFmt w:val="lowerLetter"/>
      <w:lvlText w:val="%5)"/>
      <w:lvlJc w:val="left"/>
      <w:pPr>
        <w:tabs>
          <w:tab w:val="num" w:pos="3447"/>
        </w:tabs>
        <w:ind w:left="2313" w:firstLine="567"/>
      </w:pPr>
      <w:rPr>
        <w:rFonts w:hint="default"/>
        <w:b w:val="0"/>
        <w:bCs/>
        <w:i w:val="0"/>
        <w:color w:val="auto"/>
        <w:lang w:val="es-ES"/>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5EE7B53"/>
    <w:multiLevelType w:val="hybridMultilevel"/>
    <w:tmpl w:val="D34CBD62"/>
    <w:lvl w:ilvl="0" w:tplc="3E9C4928">
      <w:start w:val="1"/>
      <w:numFmt w:val="lowerLetter"/>
      <w:lvlText w:val="%1)"/>
      <w:lvlJc w:val="left"/>
      <w:pPr>
        <w:tabs>
          <w:tab w:val="num" w:pos="1284"/>
        </w:tabs>
        <w:ind w:left="357" w:firstLine="360"/>
      </w:pPr>
      <w:rPr>
        <w:rFonts w:hint="default"/>
        <w:b w:val="0"/>
        <w:i w:val="0"/>
        <w:sz w:val="24"/>
      </w:r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5">
    <w:nsid w:val="17554F51"/>
    <w:multiLevelType w:val="hybridMultilevel"/>
    <w:tmpl w:val="064041A8"/>
    <w:lvl w:ilvl="0" w:tplc="763AECB0">
      <w:start w:val="5"/>
      <w:numFmt w:val="upperRoman"/>
      <w:lvlText w:val="%1."/>
      <w:lvlJc w:val="left"/>
      <w:pPr>
        <w:tabs>
          <w:tab w:val="num" w:pos="1080"/>
        </w:tabs>
        <w:ind w:left="1080" w:hanging="720"/>
      </w:pPr>
    </w:lvl>
    <w:lvl w:ilvl="1" w:tplc="20364062">
      <w:start w:val="1"/>
      <w:numFmt w:val="upperLetter"/>
      <w:pStyle w:val="Heading9"/>
      <w:lvlText w:val="%2."/>
      <w:lvlJc w:val="left"/>
      <w:pPr>
        <w:tabs>
          <w:tab w:val="num" w:pos="1440"/>
        </w:tabs>
        <w:ind w:left="1440" w:hanging="360"/>
      </w:pPr>
    </w:lvl>
    <w:lvl w:ilvl="2" w:tplc="0C0A000F">
      <w:start w:val="5"/>
      <w:numFmt w:val="upperRoman"/>
      <w:lvlText w:val="%3."/>
      <w:lvlJc w:val="left"/>
      <w:pPr>
        <w:tabs>
          <w:tab w:val="num" w:pos="2700"/>
        </w:tabs>
        <w:ind w:left="2700" w:hanging="720"/>
      </w:pPr>
    </w:lvl>
    <w:lvl w:ilvl="3" w:tplc="FADC4BAA">
      <w:start w:val="1"/>
      <w:numFmt w:val="decimal"/>
      <w:lvlText w:val="%4."/>
      <w:lvlJc w:val="left"/>
      <w:pPr>
        <w:tabs>
          <w:tab w:val="num" w:pos="2880"/>
        </w:tabs>
        <w:ind w:left="2880" w:hanging="360"/>
      </w:pPr>
    </w:lvl>
    <w:lvl w:ilvl="4" w:tplc="6130E6FC">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19994033"/>
    <w:multiLevelType w:val="hybridMultilevel"/>
    <w:tmpl w:val="71AAE94C"/>
    <w:lvl w:ilvl="0" w:tplc="75220848">
      <w:start w:val="1"/>
      <w:numFmt w:val="lowerLetter"/>
      <w:lvlText w:val="%1)"/>
      <w:lvlJc w:val="left"/>
      <w:pPr>
        <w:tabs>
          <w:tab w:val="num" w:pos="1287"/>
        </w:tabs>
        <w:ind w:left="360" w:firstLine="360"/>
      </w:pPr>
      <w:rPr>
        <w:rFonts w:hint="default"/>
        <w:b w:val="0"/>
        <w:i w:val="0"/>
        <w:sz w:val="24"/>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7">
    <w:nsid w:val="1B75203D"/>
    <w:multiLevelType w:val="hybridMultilevel"/>
    <w:tmpl w:val="01D83AE6"/>
    <w:lvl w:ilvl="0" w:tplc="100C0017">
      <w:start w:val="1"/>
      <w:numFmt w:val="lowerLetter"/>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nsid w:val="1FAC488F"/>
    <w:multiLevelType w:val="hybridMultilevel"/>
    <w:tmpl w:val="682A8B6E"/>
    <w:lvl w:ilvl="0" w:tplc="FFFFFFFF">
      <w:start w:val="1"/>
      <w:numFmt w:val="decimal"/>
      <w:lvlText w:val="6.%1."/>
      <w:lvlJc w:val="left"/>
      <w:pPr>
        <w:tabs>
          <w:tab w:val="num" w:pos="567"/>
        </w:tabs>
        <w:ind w:left="567" w:hanging="567"/>
      </w:pPr>
      <w:rPr>
        <w:rFonts w:ascii="Times New Roman" w:hAnsi="Times New Roman" w:cs="Times New Roman" w:hint="default"/>
        <w:b w:val="0"/>
        <w:i w:val="0"/>
        <w:sz w:val="24"/>
        <w:szCs w:val="24"/>
      </w:rPr>
    </w:lvl>
    <w:lvl w:ilvl="1" w:tplc="6D469A78">
      <w:start w:val="1"/>
      <w:numFmt w:val="decimal"/>
      <w:lvlText w:val="%2"/>
      <w:lvlJc w:val="left"/>
      <w:pPr>
        <w:tabs>
          <w:tab w:val="num" w:pos="170"/>
        </w:tabs>
        <w:ind w:left="170" w:hanging="170"/>
      </w:pPr>
      <w:rPr>
        <w:rFonts w:hint="default"/>
        <w:b w:val="0"/>
        <w:i w:val="0"/>
        <w:sz w:val="20"/>
        <w:szCs w:val="20"/>
      </w:rPr>
    </w:lvl>
    <w:lvl w:ilvl="2" w:tplc="FFFFFFFF">
      <w:start w:val="1"/>
      <w:numFmt w:val="bullet"/>
      <w:lvlText w:val=""/>
      <w:lvlJc w:val="left"/>
      <w:pPr>
        <w:tabs>
          <w:tab w:val="num" w:pos="2337"/>
        </w:tabs>
        <w:ind w:left="1980" w:firstLine="0"/>
      </w:pPr>
      <w:rPr>
        <w:rFonts w:ascii="Symbol" w:hAnsi="Symbol" w:hint="default"/>
        <w:b w:val="0"/>
        <w:i w:val="0"/>
        <w:sz w:val="24"/>
        <w:szCs w:val="24"/>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6497936"/>
    <w:multiLevelType w:val="hybridMultilevel"/>
    <w:tmpl w:val="8C1A5D5E"/>
    <w:lvl w:ilvl="0" w:tplc="75220848">
      <w:start w:val="1"/>
      <w:numFmt w:val="lowerLetter"/>
      <w:lvlText w:val="%1)"/>
      <w:lvlJc w:val="left"/>
      <w:pPr>
        <w:tabs>
          <w:tab w:val="num" w:pos="927"/>
        </w:tabs>
        <w:ind w:left="0" w:firstLine="360"/>
      </w:pPr>
      <w:rPr>
        <w:rFonts w:hint="default"/>
        <w:b w:val="0"/>
        <w:i w:val="0"/>
        <w:color w:val="auto"/>
        <w:sz w:val="24"/>
        <w:szCs w:val="18"/>
      </w:rPr>
    </w:lvl>
    <w:lvl w:ilvl="1" w:tplc="04090009"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5C5EB2"/>
    <w:multiLevelType w:val="hybridMultilevel"/>
    <w:tmpl w:val="5946583C"/>
    <w:lvl w:ilvl="0" w:tplc="3F643234">
      <w:start w:val="1"/>
      <w:numFmt w:val="lowerLetter"/>
      <w:lvlText w:val="%1)"/>
      <w:lvlJc w:val="left"/>
      <w:pPr>
        <w:tabs>
          <w:tab w:val="num" w:pos="1284"/>
        </w:tabs>
        <w:ind w:left="357" w:firstLine="360"/>
      </w:pPr>
      <w:rPr>
        <w:rFonts w:hint="default"/>
        <w:b w:val="0"/>
        <w:i w:val="0"/>
        <w:sz w:val="24"/>
      </w:rPr>
    </w:lvl>
    <w:lvl w:ilvl="1" w:tplc="83B89F96" w:tentative="1">
      <w:start w:val="1"/>
      <w:numFmt w:val="lowerLetter"/>
      <w:lvlText w:val="%2."/>
      <w:lvlJc w:val="left"/>
      <w:pPr>
        <w:tabs>
          <w:tab w:val="num" w:pos="1797"/>
        </w:tabs>
        <w:ind w:left="1797" w:hanging="360"/>
      </w:pPr>
    </w:lvl>
    <w:lvl w:ilvl="2" w:tplc="74D6C2C6" w:tentative="1">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11">
    <w:nsid w:val="27051F91"/>
    <w:multiLevelType w:val="hybridMultilevel"/>
    <w:tmpl w:val="44946362"/>
    <w:lvl w:ilvl="0" w:tplc="75220848">
      <w:start w:val="1"/>
      <w:numFmt w:val="lowerLetter"/>
      <w:lvlText w:val="%1)"/>
      <w:lvlJc w:val="left"/>
      <w:pPr>
        <w:tabs>
          <w:tab w:val="num" w:pos="927"/>
        </w:tabs>
        <w:ind w:left="0" w:firstLine="360"/>
      </w:pPr>
      <w:rPr>
        <w:rFonts w:hint="default"/>
        <w:b w:val="0"/>
        <w:i w:val="0"/>
        <w:sz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27B170BF"/>
    <w:multiLevelType w:val="hybridMultilevel"/>
    <w:tmpl w:val="A520552E"/>
    <w:lvl w:ilvl="0" w:tplc="75220848">
      <w:start w:val="5"/>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rPr>
        <w:rFonts w:hint="default"/>
      </w:rPr>
    </w:lvl>
    <w:lvl w:ilvl="2" w:tplc="0409001B">
      <w:start w:val="81"/>
      <w:numFmt w:val="decimal"/>
      <w:lvlText w:val="%3."/>
      <w:lvlJc w:val="left"/>
      <w:pPr>
        <w:tabs>
          <w:tab w:val="num" w:pos="1980"/>
        </w:tabs>
        <w:ind w:left="1980" w:hanging="360"/>
      </w:pPr>
      <w:rPr>
        <w:rFonts w:hint="default"/>
        <w:color w:val="auto"/>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DF82D71"/>
    <w:multiLevelType w:val="hybridMultilevel"/>
    <w:tmpl w:val="2E1C3F3A"/>
    <w:lvl w:ilvl="0" w:tplc="75220848">
      <w:start w:val="1"/>
      <w:numFmt w:val="lowerLetter"/>
      <w:lvlText w:val="%1)"/>
      <w:lvlJc w:val="left"/>
      <w:pPr>
        <w:tabs>
          <w:tab w:val="num" w:pos="924"/>
        </w:tabs>
        <w:ind w:left="-3" w:firstLine="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570BD6"/>
    <w:multiLevelType w:val="hybridMultilevel"/>
    <w:tmpl w:val="1DC0BCC6"/>
    <w:lvl w:ilvl="0" w:tplc="080A000F">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15">
    <w:nsid w:val="2E744B45"/>
    <w:multiLevelType w:val="hybridMultilevel"/>
    <w:tmpl w:val="CA4A343C"/>
    <w:lvl w:ilvl="0" w:tplc="75220848">
      <w:start w:val="1"/>
      <w:numFmt w:val="lowerLetter"/>
      <w:lvlText w:val="%1)"/>
      <w:lvlJc w:val="left"/>
      <w:pPr>
        <w:tabs>
          <w:tab w:val="num" w:pos="567"/>
        </w:tabs>
        <w:ind w:left="-360" w:firstLine="360"/>
      </w:pPr>
      <w:rPr>
        <w:rFonts w:hint="default"/>
        <w:b w:val="0"/>
        <w:i w:val="0"/>
        <w:sz w:val="24"/>
        <w:szCs w:val="24"/>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12343DB"/>
    <w:multiLevelType w:val="hybridMultilevel"/>
    <w:tmpl w:val="F2261C58"/>
    <w:lvl w:ilvl="0">
      <w:start w:val="1"/>
      <w:numFmt w:val="lowerRoman"/>
      <w:lvlText w:val="%1)"/>
      <w:lvlJc w:val="left"/>
      <w:pPr>
        <w:tabs>
          <w:tab w:val="num" w:pos="1440"/>
        </w:tabs>
        <w:ind w:left="144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31776812"/>
    <w:multiLevelType w:val="hybridMultilevel"/>
    <w:tmpl w:val="AABC92EC"/>
    <w:lvl w:ilvl="0" w:tplc="100C0017">
      <w:start w:val="1"/>
      <w:numFmt w:val="lowerLetter"/>
      <w:lvlText w:val="%1)"/>
      <w:lvlJc w:val="left"/>
      <w:pPr>
        <w:ind w:left="720" w:hanging="360"/>
      </w:pPr>
    </w:lvl>
    <w:lvl w:ilvl="1" w:tplc="100C0017">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34ED1FE8"/>
    <w:multiLevelType w:val="hybridMultilevel"/>
    <w:tmpl w:val="6D02762C"/>
    <w:lvl w:ilvl="0" w:tplc="75220848">
      <w:start w:val="1"/>
      <w:numFmt w:val="lowerLetter"/>
      <w:lvlText w:val="%1)"/>
      <w:lvlJc w:val="left"/>
      <w:pPr>
        <w:tabs>
          <w:tab w:val="num" w:pos="924"/>
        </w:tabs>
        <w:ind w:left="-3" w:firstLine="360"/>
      </w:pPr>
      <w:rPr>
        <w:rFonts w:hint="default"/>
        <w:b w:val="0"/>
        <w:i w:val="0"/>
        <w:sz w:val="24"/>
        <w:szCs w:val="24"/>
      </w:rPr>
    </w:lvl>
    <w:lvl w:ilvl="1" w:tplc="452AACF4" w:tentative="1">
      <w:start w:val="1"/>
      <w:numFmt w:val="bullet"/>
      <w:lvlText w:val="o"/>
      <w:lvlJc w:val="left"/>
      <w:pPr>
        <w:tabs>
          <w:tab w:val="num" w:pos="1440"/>
        </w:tabs>
        <w:ind w:left="1440" w:hanging="360"/>
      </w:pPr>
      <w:rPr>
        <w:rFonts w:ascii="Courier New" w:hAnsi="Courier New" w:cs="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Wingdings"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Wingdings"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9">
    <w:nsid w:val="378119E3"/>
    <w:multiLevelType w:val="hybridMultilevel"/>
    <w:tmpl w:val="A5A05D24"/>
    <w:lvl w:ilvl="0" w:tplc="3E9C4928">
      <w:start w:val="1"/>
      <w:numFmt w:val="lowerLetter"/>
      <w:lvlText w:val="%1)"/>
      <w:lvlJc w:val="left"/>
      <w:pPr>
        <w:tabs>
          <w:tab w:val="num" w:pos="927"/>
        </w:tabs>
        <w:ind w:left="0" w:firstLine="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9C1DDE"/>
    <w:multiLevelType w:val="hybridMultilevel"/>
    <w:tmpl w:val="2854837E"/>
    <w:lvl w:ilvl="0" w:tplc="75220848">
      <w:start w:val="1"/>
      <w:numFmt w:val="lowerLetter"/>
      <w:lvlText w:val="%1)"/>
      <w:lvlJc w:val="left"/>
      <w:pPr>
        <w:tabs>
          <w:tab w:val="num" w:pos="1287"/>
        </w:tabs>
        <w:ind w:left="360" w:firstLine="360"/>
      </w:pPr>
      <w:rPr>
        <w:rFonts w:hint="default"/>
        <w:b w:val="0"/>
        <w:i w:val="0"/>
        <w:sz w:val="24"/>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Wingdings"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Wingdings"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1">
    <w:nsid w:val="3F5142E5"/>
    <w:multiLevelType w:val="hybridMultilevel"/>
    <w:tmpl w:val="177442C0"/>
    <w:lvl w:ilvl="0" w:tplc="100C0017">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nsid w:val="484E2119"/>
    <w:multiLevelType w:val="hybridMultilevel"/>
    <w:tmpl w:val="DF94DC56"/>
    <w:lvl w:ilvl="0" w:tplc="75220848">
      <w:start w:val="1"/>
      <w:numFmt w:val="lowerLetter"/>
      <w:lvlText w:val="%1)"/>
      <w:lvlJc w:val="left"/>
      <w:pPr>
        <w:tabs>
          <w:tab w:val="num" w:pos="1287"/>
        </w:tabs>
        <w:ind w:left="360" w:firstLine="360"/>
      </w:pPr>
      <w:rPr>
        <w:rFonts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8DA119C"/>
    <w:multiLevelType w:val="hybridMultilevel"/>
    <w:tmpl w:val="8ECE04D8"/>
    <w:lvl w:ilvl="0" w:tplc="75220848">
      <w:start w:val="1"/>
      <w:numFmt w:val="lowerLetter"/>
      <w:lvlText w:val="%1)"/>
      <w:lvlJc w:val="left"/>
      <w:pPr>
        <w:tabs>
          <w:tab w:val="num" w:pos="927"/>
        </w:tabs>
        <w:ind w:left="0" w:firstLine="360"/>
      </w:pPr>
      <w:rPr>
        <w:rFonts w:hint="default"/>
        <w:b w:val="0"/>
        <w:i w:val="0"/>
        <w:sz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4AEC140B"/>
    <w:multiLevelType w:val="hybridMultilevel"/>
    <w:tmpl w:val="F3465A1C"/>
    <w:lvl w:ilvl="0" w:tplc="75220848">
      <w:start w:val="1"/>
      <w:numFmt w:val="decimal"/>
      <w:lvlText w:val="%1."/>
      <w:lvlJc w:val="left"/>
      <w:pPr>
        <w:tabs>
          <w:tab w:val="num" w:pos="357"/>
        </w:tabs>
        <w:ind w:left="0" w:firstLine="0"/>
      </w:pPr>
      <w:rPr>
        <w:rFonts w:hint="default"/>
      </w:rPr>
    </w:lvl>
    <w:lvl w:ilvl="1" w:tplc="04090019">
      <w:start w:val="1"/>
      <w:numFmt w:val="decimal"/>
      <w:lvlText w:val="1.%2."/>
      <w:lvlJc w:val="left"/>
      <w:pPr>
        <w:tabs>
          <w:tab w:val="num" w:pos="567"/>
        </w:tabs>
        <w:ind w:left="0" w:firstLine="0"/>
      </w:pPr>
      <w:rPr>
        <w:rFonts w:ascii="Times New Roman" w:hAnsi="Times New Roman" w:cs="Times New Roman" w:hint="default"/>
        <w:b w:val="0"/>
        <w:i w:val="0"/>
        <w:sz w:val="24"/>
        <w:szCs w:val="24"/>
      </w:rPr>
    </w:lvl>
    <w:lvl w:ilvl="2" w:tplc="0409001B">
      <w:start w:val="1"/>
      <w:numFmt w:val="decimal"/>
      <w:lvlText w:val="2.%3."/>
      <w:lvlJc w:val="left"/>
      <w:pPr>
        <w:tabs>
          <w:tab w:val="num" w:pos="567"/>
        </w:tabs>
        <w:ind w:left="0" w:firstLine="0"/>
      </w:pPr>
      <w:rPr>
        <w:rFonts w:ascii="Times New Roman" w:hAnsi="Times New Roman" w:cs="Times New Roman" w:hint="default"/>
        <w:b w:val="0"/>
        <w:i w:val="0"/>
        <w:sz w:val="24"/>
        <w:szCs w:val="24"/>
      </w:rPr>
    </w:lvl>
    <w:lvl w:ilvl="3" w:tplc="0409000F">
      <w:start w:val="1"/>
      <w:numFmt w:val="decimal"/>
      <w:lvlText w:val="3.%4."/>
      <w:lvlJc w:val="left"/>
      <w:pPr>
        <w:tabs>
          <w:tab w:val="num" w:pos="567"/>
        </w:tabs>
        <w:ind w:left="0" w:firstLine="0"/>
      </w:pPr>
      <w:rPr>
        <w:rFonts w:ascii="Times New Roman" w:hAnsi="Times New Roman" w:cs="Times New Roman" w:hint="default"/>
        <w:b w:val="0"/>
        <w:i w:val="0"/>
        <w:sz w:val="24"/>
        <w:szCs w:val="24"/>
      </w:rPr>
    </w:lvl>
    <w:lvl w:ilvl="4" w:tplc="04090019">
      <w:start w:val="1"/>
      <w:numFmt w:val="decimal"/>
      <w:lvlText w:val="4.%5."/>
      <w:lvlJc w:val="left"/>
      <w:pPr>
        <w:tabs>
          <w:tab w:val="num" w:pos="567"/>
        </w:tabs>
        <w:ind w:left="0" w:firstLine="0"/>
      </w:pPr>
      <w:rPr>
        <w:rFonts w:ascii="Times New Roman" w:hAnsi="Times New Roman" w:cs="Times New Roman" w:hint="default"/>
        <w:b w:val="0"/>
        <w:i w:val="0"/>
        <w:sz w:val="24"/>
        <w:szCs w:val="24"/>
      </w:rPr>
    </w:lvl>
    <w:lvl w:ilvl="5" w:tplc="0409001B">
      <w:start w:val="1"/>
      <w:numFmt w:val="decimal"/>
      <w:lvlText w:val="5.%6."/>
      <w:lvlJc w:val="left"/>
      <w:pPr>
        <w:tabs>
          <w:tab w:val="num" w:pos="567"/>
        </w:tabs>
        <w:ind w:left="0" w:firstLine="0"/>
      </w:pPr>
      <w:rPr>
        <w:rFonts w:ascii="Times New Roman" w:hAnsi="Times New Roman" w:cs="Times New Roman" w:hint="default"/>
        <w:b w:val="0"/>
        <w:i w:val="0"/>
        <w:sz w:val="24"/>
        <w:szCs w:val="24"/>
      </w:rPr>
    </w:lvl>
    <w:lvl w:ilvl="6" w:tplc="0409000F">
      <w:start w:val="1"/>
      <w:numFmt w:val="decimal"/>
      <w:lvlText w:val="6.%7."/>
      <w:lvlJc w:val="left"/>
      <w:pPr>
        <w:tabs>
          <w:tab w:val="num" w:pos="567"/>
        </w:tabs>
        <w:ind w:left="0" w:firstLine="0"/>
      </w:pPr>
      <w:rPr>
        <w:rFonts w:ascii="Times New Roman" w:hAnsi="Times New Roman" w:cs="Times New Roman" w:hint="default"/>
        <w:b w:val="0"/>
        <w:i w:val="0"/>
        <w:sz w:val="24"/>
        <w:szCs w:val="24"/>
      </w:rPr>
    </w:lvl>
    <w:lvl w:ilvl="7" w:tplc="04090019">
      <w:start w:val="1"/>
      <w:numFmt w:val="decimal"/>
      <w:lvlText w:val="7.%8."/>
      <w:lvlJc w:val="left"/>
      <w:pPr>
        <w:tabs>
          <w:tab w:val="num" w:pos="567"/>
        </w:tabs>
        <w:ind w:left="0" w:firstLine="0"/>
      </w:pPr>
      <w:rPr>
        <w:rFonts w:ascii="Times New Roman" w:hAnsi="Times New Roman" w:cs="Times New Roman" w:hint="default"/>
        <w:b w:val="0"/>
        <w:i w:val="0"/>
        <w:sz w:val="24"/>
        <w:szCs w:val="24"/>
      </w:rPr>
    </w:lvl>
    <w:lvl w:ilvl="8" w:tplc="0409001B">
      <w:start w:val="1"/>
      <w:numFmt w:val="decimal"/>
      <w:lvlText w:val="8.%9."/>
      <w:lvlJc w:val="left"/>
      <w:pPr>
        <w:tabs>
          <w:tab w:val="num" w:pos="567"/>
        </w:tabs>
        <w:ind w:left="0" w:firstLine="0"/>
      </w:pPr>
      <w:rPr>
        <w:rFonts w:ascii="Times New Roman" w:hAnsi="Times New Roman" w:cs="Times New Roman" w:hint="default"/>
        <w:b w:val="0"/>
        <w:i w:val="0"/>
        <w:sz w:val="24"/>
        <w:szCs w:val="24"/>
      </w:rPr>
    </w:lvl>
  </w:abstractNum>
  <w:abstractNum w:abstractNumId="25">
    <w:nsid w:val="556A7DAF"/>
    <w:multiLevelType w:val="hybridMultilevel"/>
    <w:tmpl w:val="043022A0"/>
    <w:lvl w:ilvl="0" w:tplc="100C0017">
      <w:start w:val="1"/>
      <w:numFmt w:val="lowerLetter"/>
      <w:lvlText w:val="%1)"/>
      <w:lvlJc w:val="left"/>
      <w:pPr>
        <w:ind w:left="1287" w:hanging="360"/>
      </w:pPr>
    </w:lvl>
    <w:lvl w:ilvl="1" w:tplc="100C0019">
      <w:start w:val="1"/>
      <w:numFmt w:val="lowerLetter"/>
      <w:lvlText w:val="%2."/>
      <w:lvlJc w:val="left"/>
      <w:pPr>
        <w:ind w:left="2007" w:hanging="360"/>
      </w:pPr>
    </w:lvl>
    <w:lvl w:ilvl="2" w:tplc="100C001B" w:tentative="1">
      <w:start w:val="1"/>
      <w:numFmt w:val="lowerRoman"/>
      <w:lvlText w:val="%3."/>
      <w:lvlJc w:val="right"/>
      <w:pPr>
        <w:ind w:left="2727" w:hanging="180"/>
      </w:pPr>
    </w:lvl>
    <w:lvl w:ilvl="3" w:tplc="100C000F" w:tentative="1">
      <w:start w:val="1"/>
      <w:numFmt w:val="decimal"/>
      <w:lvlText w:val="%4."/>
      <w:lvlJc w:val="left"/>
      <w:pPr>
        <w:ind w:left="3447" w:hanging="360"/>
      </w:pPr>
    </w:lvl>
    <w:lvl w:ilvl="4" w:tplc="100C0019" w:tentative="1">
      <w:start w:val="1"/>
      <w:numFmt w:val="lowerLetter"/>
      <w:lvlText w:val="%5."/>
      <w:lvlJc w:val="left"/>
      <w:pPr>
        <w:ind w:left="4167" w:hanging="360"/>
      </w:pPr>
    </w:lvl>
    <w:lvl w:ilvl="5" w:tplc="100C001B" w:tentative="1">
      <w:start w:val="1"/>
      <w:numFmt w:val="lowerRoman"/>
      <w:lvlText w:val="%6."/>
      <w:lvlJc w:val="right"/>
      <w:pPr>
        <w:ind w:left="4887" w:hanging="180"/>
      </w:pPr>
    </w:lvl>
    <w:lvl w:ilvl="6" w:tplc="100C000F" w:tentative="1">
      <w:start w:val="1"/>
      <w:numFmt w:val="decimal"/>
      <w:lvlText w:val="%7."/>
      <w:lvlJc w:val="left"/>
      <w:pPr>
        <w:ind w:left="5607" w:hanging="360"/>
      </w:pPr>
    </w:lvl>
    <w:lvl w:ilvl="7" w:tplc="100C0019" w:tentative="1">
      <w:start w:val="1"/>
      <w:numFmt w:val="lowerLetter"/>
      <w:lvlText w:val="%8."/>
      <w:lvlJc w:val="left"/>
      <w:pPr>
        <w:ind w:left="6327" w:hanging="360"/>
      </w:pPr>
    </w:lvl>
    <w:lvl w:ilvl="8" w:tplc="100C001B" w:tentative="1">
      <w:start w:val="1"/>
      <w:numFmt w:val="lowerRoman"/>
      <w:lvlText w:val="%9."/>
      <w:lvlJc w:val="right"/>
      <w:pPr>
        <w:ind w:left="7047" w:hanging="180"/>
      </w:pPr>
    </w:lvl>
  </w:abstractNum>
  <w:abstractNum w:abstractNumId="26">
    <w:nsid w:val="608E62F9"/>
    <w:multiLevelType w:val="hybridMultilevel"/>
    <w:tmpl w:val="70502024"/>
    <w:lvl w:ilvl="0" w:tplc="75220848">
      <w:start w:val="1"/>
      <w:numFmt w:val="lowerLetter"/>
      <w:lvlText w:val="%1)"/>
      <w:lvlJc w:val="left"/>
      <w:pPr>
        <w:tabs>
          <w:tab w:val="num" w:pos="1287"/>
        </w:tabs>
        <w:ind w:left="360" w:firstLine="360"/>
      </w:pPr>
      <w:rPr>
        <w:rFonts w:hint="default"/>
        <w:b w:val="0"/>
        <w:i w:val="0"/>
        <w:sz w:val="24"/>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60DF0430"/>
    <w:multiLevelType w:val="hybridMultilevel"/>
    <w:tmpl w:val="83C6ACBC"/>
    <w:lvl w:ilvl="0" w:tplc="FFFFFFFF">
      <w:start w:val="1"/>
      <w:numFmt w:val="lowerLetter"/>
      <w:lvlText w:val="%1)"/>
      <w:lvlJc w:val="left"/>
      <w:pPr>
        <w:tabs>
          <w:tab w:val="num" w:pos="1287"/>
        </w:tabs>
        <w:ind w:left="360" w:firstLine="360"/>
      </w:pPr>
      <w:rPr>
        <w:rFonts w:hint="default"/>
        <w:b w:val="0"/>
        <w:i w:val="0"/>
        <w:sz w:val="24"/>
      </w:rPr>
    </w:lvl>
    <w:lvl w:ilvl="1" w:tplc="FFFFFFFF" w:tentative="1">
      <w:start w:val="1"/>
      <w:numFmt w:val="bullet"/>
      <w:lvlText w:val="o"/>
      <w:lvlJc w:val="left"/>
      <w:pPr>
        <w:tabs>
          <w:tab w:val="num" w:pos="2505"/>
        </w:tabs>
        <w:ind w:left="2505" w:hanging="360"/>
      </w:pPr>
      <w:rPr>
        <w:rFonts w:ascii="Courier New" w:hAnsi="Courier New" w:cs="Wingdings" w:hint="default"/>
      </w:rPr>
    </w:lvl>
    <w:lvl w:ilvl="2" w:tplc="FFFFFFFF" w:tentative="1">
      <w:start w:val="1"/>
      <w:numFmt w:val="bullet"/>
      <w:lvlText w:val=""/>
      <w:lvlJc w:val="left"/>
      <w:pPr>
        <w:tabs>
          <w:tab w:val="num" w:pos="3225"/>
        </w:tabs>
        <w:ind w:left="3225" w:hanging="360"/>
      </w:pPr>
      <w:rPr>
        <w:rFonts w:ascii="Wingdings" w:hAnsi="Wingdings" w:hint="default"/>
      </w:rPr>
    </w:lvl>
    <w:lvl w:ilvl="3" w:tplc="FFFFFFFF" w:tentative="1">
      <w:start w:val="1"/>
      <w:numFmt w:val="bullet"/>
      <w:lvlText w:val=""/>
      <w:lvlJc w:val="left"/>
      <w:pPr>
        <w:tabs>
          <w:tab w:val="num" w:pos="3945"/>
        </w:tabs>
        <w:ind w:left="3945" w:hanging="360"/>
      </w:pPr>
      <w:rPr>
        <w:rFonts w:ascii="Symbol" w:hAnsi="Symbol" w:hint="default"/>
      </w:rPr>
    </w:lvl>
    <w:lvl w:ilvl="4" w:tplc="FFFFFFFF" w:tentative="1">
      <w:start w:val="1"/>
      <w:numFmt w:val="bullet"/>
      <w:lvlText w:val="o"/>
      <w:lvlJc w:val="left"/>
      <w:pPr>
        <w:tabs>
          <w:tab w:val="num" w:pos="4665"/>
        </w:tabs>
        <w:ind w:left="4665" w:hanging="360"/>
      </w:pPr>
      <w:rPr>
        <w:rFonts w:ascii="Courier New" w:hAnsi="Courier New" w:cs="Wingdings" w:hint="default"/>
      </w:rPr>
    </w:lvl>
    <w:lvl w:ilvl="5" w:tplc="FFFFFFFF" w:tentative="1">
      <w:start w:val="1"/>
      <w:numFmt w:val="bullet"/>
      <w:lvlText w:val=""/>
      <w:lvlJc w:val="left"/>
      <w:pPr>
        <w:tabs>
          <w:tab w:val="num" w:pos="5385"/>
        </w:tabs>
        <w:ind w:left="5385" w:hanging="360"/>
      </w:pPr>
      <w:rPr>
        <w:rFonts w:ascii="Wingdings" w:hAnsi="Wingdings" w:hint="default"/>
      </w:rPr>
    </w:lvl>
    <w:lvl w:ilvl="6" w:tplc="FFFFFFFF" w:tentative="1">
      <w:start w:val="1"/>
      <w:numFmt w:val="bullet"/>
      <w:lvlText w:val=""/>
      <w:lvlJc w:val="left"/>
      <w:pPr>
        <w:tabs>
          <w:tab w:val="num" w:pos="6105"/>
        </w:tabs>
        <w:ind w:left="6105" w:hanging="360"/>
      </w:pPr>
      <w:rPr>
        <w:rFonts w:ascii="Symbol" w:hAnsi="Symbol" w:hint="default"/>
      </w:rPr>
    </w:lvl>
    <w:lvl w:ilvl="7" w:tplc="FFFFFFFF" w:tentative="1">
      <w:start w:val="1"/>
      <w:numFmt w:val="bullet"/>
      <w:lvlText w:val="o"/>
      <w:lvlJc w:val="left"/>
      <w:pPr>
        <w:tabs>
          <w:tab w:val="num" w:pos="6825"/>
        </w:tabs>
        <w:ind w:left="6825" w:hanging="360"/>
      </w:pPr>
      <w:rPr>
        <w:rFonts w:ascii="Courier New" w:hAnsi="Courier New" w:cs="Wingdings" w:hint="default"/>
      </w:rPr>
    </w:lvl>
    <w:lvl w:ilvl="8" w:tplc="FFFFFFFF" w:tentative="1">
      <w:start w:val="1"/>
      <w:numFmt w:val="bullet"/>
      <w:lvlText w:val=""/>
      <w:lvlJc w:val="left"/>
      <w:pPr>
        <w:tabs>
          <w:tab w:val="num" w:pos="7545"/>
        </w:tabs>
        <w:ind w:left="7545" w:hanging="360"/>
      </w:pPr>
      <w:rPr>
        <w:rFonts w:ascii="Wingdings" w:hAnsi="Wingdings" w:hint="default"/>
      </w:rPr>
    </w:lvl>
  </w:abstractNum>
  <w:abstractNum w:abstractNumId="28">
    <w:nsid w:val="63C96C25"/>
    <w:multiLevelType w:val="hybridMultilevel"/>
    <w:tmpl w:val="F6D28196"/>
    <w:lvl w:ilvl="0" w:tplc="75220848">
      <w:start w:val="9"/>
      <w:numFmt w:val="upperRoman"/>
      <w:pStyle w:val="Heading7"/>
      <w:lvlText w:val="%1."/>
      <w:lvlJc w:val="left"/>
      <w:pPr>
        <w:tabs>
          <w:tab w:val="num" w:pos="1080"/>
        </w:tabs>
        <w:ind w:left="1080" w:hanging="720"/>
      </w:pPr>
      <w:rPr>
        <w:rFonts w:hint="default"/>
        <w:b/>
        <w:i w:val="0"/>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9">
    <w:nsid w:val="6883414B"/>
    <w:multiLevelType w:val="hybridMultilevel"/>
    <w:tmpl w:val="5C72FC5A"/>
    <w:lvl w:ilvl="0" w:tplc="75220848">
      <w:start w:val="1"/>
      <w:numFmt w:val="lowerLetter"/>
      <w:lvlText w:val="%1)"/>
      <w:lvlJc w:val="left"/>
      <w:pPr>
        <w:tabs>
          <w:tab w:val="num" w:pos="924"/>
        </w:tabs>
        <w:ind w:left="-3" w:firstLine="360"/>
      </w:pPr>
      <w:rPr>
        <w:rFonts w:hint="default"/>
        <w:b w:val="0"/>
        <w:i w:val="0"/>
        <w:sz w:val="24"/>
        <w:szCs w:val="24"/>
      </w:rPr>
    </w:lvl>
    <w:lvl w:ilvl="1" w:tplc="0C0A0019" w:tentative="1">
      <w:start w:val="1"/>
      <w:numFmt w:val="bullet"/>
      <w:lvlText w:val="o"/>
      <w:lvlJc w:val="left"/>
      <w:pPr>
        <w:tabs>
          <w:tab w:val="num" w:pos="1440"/>
        </w:tabs>
        <w:ind w:left="1440" w:hanging="360"/>
      </w:pPr>
      <w:rPr>
        <w:rFonts w:ascii="Courier New" w:hAnsi="Courier New" w:cs="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Wingdings"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Wingdings"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0">
    <w:nsid w:val="69454B34"/>
    <w:multiLevelType w:val="hybridMultilevel"/>
    <w:tmpl w:val="A4585C5C"/>
    <w:lvl w:ilvl="0" w:tplc="0C0A0001">
      <w:start w:val="1"/>
      <w:numFmt w:val="lowerLetter"/>
      <w:lvlText w:val="%1)"/>
      <w:lvlJc w:val="left"/>
      <w:pPr>
        <w:tabs>
          <w:tab w:val="num" w:pos="1920"/>
        </w:tabs>
        <w:ind w:left="19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
    <w:nsid w:val="699E2372"/>
    <w:multiLevelType w:val="hybridMultilevel"/>
    <w:tmpl w:val="FC9EF7CC"/>
    <w:lvl w:ilvl="0" w:tplc="75220848">
      <w:start w:val="1"/>
      <w:numFmt w:val="lowerLetter"/>
      <w:lvlText w:val="%1)"/>
      <w:lvlJc w:val="left"/>
      <w:pPr>
        <w:tabs>
          <w:tab w:val="num" w:pos="1920"/>
        </w:tabs>
        <w:ind w:left="19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AA91217"/>
    <w:multiLevelType w:val="hybridMultilevel"/>
    <w:tmpl w:val="3DAA0A8E"/>
    <w:lvl w:ilvl="0" w:tplc="29C48A06">
      <w:start w:val="1"/>
      <w:numFmt w:val="decimal"/>
      <w:lvlText w:val="%1."/>
      <w:lvlJc w:val="left"/>
      <w:pPr>
        <w:tabs>
          <w:tab w:val="num" w:pos="567"/>
        </w:tabs>
        <w:ind w:left="0" w:firstLine="0"/>
      </w:pPr>
      <w:rPr>
        <w:rFonts w:hint="default"/>
        <w:b w:val="0"/>
        <w:bCs/>
        <w:i w:val="0"/>
        <w:strike w:val="0"/>
      </w:rPr>
    </w:lvl>
    <w:lvl w:ilvl="1" w:tplc="04090003">
      <w:start w:val="1"/>
      <w:numFmt w:val="lowerLetter"/>
      <w:lvlText w:val="%2)"/>
      <w:lvlJc w:val="left"/>
      <w:pPr>
        <w:tabs>
          <w:tab w:val="num" w:pos="1647"/>
        </w:tabs>
        <w:ind w:left="720" w:firstLine="360"/>
      </w:pPr>
      <w:rPr>
        <w:rFonts w:hint="default"/>
        <w:b w:val="0"/>
        <w:bCs/>
        <w:i w:val="0"/>
        <w:sz w:val="24"/>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6D4C49D2"/>
    <w:multiLevelType w:val="hybridMultilevel"/>
    <w:tmpl w:val="97729382"/>
    <w:lvl w:ilvl="0" w:tplc="6F408932">
      <w:start w:val="1"/>
      <w:numFmt w:val="lowerLetter"/>
      <w:lvlText w:val="%1)"/>
      <w:lvlJc w:val="left"/>
      <w:pPr>
        <w:tabs>
          <w:tab w:val="num" w:pos="927"/>
        </w:tabs>
        <w:ind w:left="0" w:firstLine="360"/>
      </w:pPr>
      <w:rPr>
        <w:rFonts w:hint="default"/>
        <w:b w:val="0"/>
        <w:i w:val="0"/>
        <w:sz w:val="24"/>
        <w:szCs w:val="24"/>
      </w:rPr>
    </w:lvl>
    <w:lvl w:ilvl="1" w:tplc="0C0A0019">
      <w:start w:val="1"/>
      <w:numFmt w:val="bullet"/>
      <w:lvlText w:val="o"/>
      <w:lvlJc w:val="left"/>
      <w:pPr>
        <w:tabs>
          <w:tab w:val="num" w:pos="1800"/>
        </w:tabs>
        <w:ind w:left="1800" w:hanging="360"/>
      </w:pPr>
      <w:rPr>
        <w:rFonts w:ascii="Courier New" w:hAnsi="Courier New" w:cs="Wingdings" w:hint="default"/>
      </w:rPr>
    </w:lvl>
    <w:lvl w:ilvl="2" w:tplc="0C0A001B" w:tentative="1">
      <w:start w:val="1"/>
      <w:numFmt w:val="bullet"/>
      <w:lvlText w:val=""/>
      <w:lvlJc w:val="left"/>
      <w:pPr>
        <w:tabs>
          <w:tab w:val="num" w:pos="2520"/>
        </w:tabs>
        <w:ind w:left="2520" w:hanging="360"/>
      </w:pPr>
      <w:rPr>
        <w:rFonts w:ascii="Wingdings" w:hAnsi="Wingdings" w:hint="default"/>
      </w:rPr>
    </w:lvl>
    <w:lvl w:ilvl="3" w:tplc="0C0A000F" w:tentative="1">
      <w:start w:val="1"/>
      <w:numFmt w:val="bullet"/>
      <w:lvlText w:val=""/>
      <w:lvlJc w:val="left"/>
      <w:pPr>
        <w:tabs>
          <w:tab w:val="num" w:pos="3240"/>
        </w:tabs>
        <w:ind w:left="3240" w:hanging="360"/>
      </w:pPr>
      <w:rPr>
        <w:rFonts w:ascii="Symbol" w:hAnsi="Symbol" w:hint="default"/>
      </w:rPr>
    </w:lvl>
    <w:lvl w:ilvl="4" w:tplc="0C0A0019" w:tentative="1">
      <w:start w:val="1"/>
      <w:numFmt w:val="bullet"/>
      <w:lvlText w:val="o"/>
      <w:lvlJc w:val="left"/>
      <w:pPr>
        <w:tabs>
          <w:tab w:val="num" w:pos="3960"/>
        </w:tabs>
        <w:ind w:left="3960" w:hanging="360"/>
      </w:pPr>
      <w:rPr>
        <w:rFonts w:ascii="Courier New" w:hAnsi="Courier New" w:cs="Wingdings" w:hint="default"/>
      </w:rPr>
    </w:lvl>
    <w:lvl w:ilvl="5" w:tplc="0C0A001B" w:tentative="1">
      <w:start w:val="1"/>
      <w:numFmt w:val="bullet"/>
      <w:lvlText w:val=""/>
      <w:lvlJc w:val="left"/>
      <w:pPr>
        <w:tabs>
          <w:tab w:val="num" w:pos="4680"/>
        </w:tabs>
        <w:ind w:left="4680" w:hanging="360"/>
      </w:pPr>
      <w:rPr>
        <w:rFonts w:ascii="Wingdings" w:hAnsi="Wingdings" w:hint="default"/>
      </w:rPr>
    </w:lvl>
    <w:lvl w:ilvl="6" w:tplc="0C0A000F" w:tentative="1">
      <w:start w:val="1"/>
      <w:numFmt w:val="bullet"/>
      <w:lvlText w:val=""/>
      <w:lvlJc w:val="left"/>
      <w:pPr>
        <w:tabs>
          <w:tab w:val="num" w:pos="5400"/>
        </w:tabs>
        <w:ind w:left="5400" w:hanging="360"/>
      </w:pPr>
      <w:rPr>
        <w:rFonts w:ascii="Symbol" w:hAnsi="Symbol" w:hint="default"/>
      </w:rPr>
    </w:lvl>
    <w:lvl w:ilvl="7" w:tplc="0C0A0019" w:tentative="1">
      <w:start w:val="1"/>
      <w:numFmt w:val="bullet"/>
      <w:lvlText w:val="o"/>
      <w:lvlJc w:val="left"/>
      <w:pPr>
        <w:tabs>
          <w:tab w:val="num" w:pos="6120"/>
        </w:tabs>
        <w:ind w:left="6120" w:hanging="360"/>
      </w:pPr>
      <w:rPr>
        <w:rFonts w:ascii="Courier New" w:hAnsi="Courier New" w:cs="Wingdings" w:hint="default"/>
      </w:rPr>
    </w:lvl>
    <w:lvl w:ilvl="8" w:tplc="0C0A001B" w:tentative="1">
      <w:start w:val="1"/>
      <w:numFmt w:val="bullet"/>
      <w:lvlText w:val=""/>
      <w:lvlJc w:val="left"/>
      <w:pPr>
        <w:tabs>
          <w:tab w:val="num" w:pos="6840"/>
        </w:tabs>
        <w:ind w:left="6840" w:hanging="360"/>
      </w:pPr>
      <w:rPr>
        <w:rFonts w:ascii="Wingdings" w:hAnsi="Wingdings" w:hint="default"/>
      </w:rPr>
    </w:lvl>
  </w:abstractNum>
  <w:abstractNum w:abstractNumId="34">
    <w:nsid w:val="70A07AB5"/>
    <w:multiLevelType w:val="hybridMultilevel"/>
    <w:tmpl w:val="90744A04"/>
    <w:lvl w:ilvl="0" w:tplc="AE626984">
      <w:start w:val="1"/>
      <w:numFmt w:val="lowerLetter"/>
      <w:lvlText w:val="%1)"/>
      <w:lvlJc w:val="left"/>
      <w:pPr>
        <w:tabs>
          <w:tab w:val="num" w:pos="927"/>
        </w:tabs>
        <w:ind w:left="0" w:firstLine="360"/>
      </w:pPr>
      <w:rPr>
        <w:rFonts w:hint="default"/>
        <w:b w:val="0"/>
        <w:i w:val="0"/>
        <w:sz w:val="24"/>
      </w:rPr>
    </w:lvl>
    <w:lvl w:ilvl="1" w:tplc="7522084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2FE3B9A"/>
    <w:multiLevelType w:val="hybridMultilevel"/>
    <w:tmpl w:val="C3FAE068"/>
    <w:lvl w:ilvl="0" w:tplc="75220848">
      <w:start w:val="1"/>
      <w:numFmt w:val="lowerLetter"/>
      <w:lvlText w:val="%1)"/>
      <w:lvlJc w:val="left"/>
      <w:pPr>
        <w:tabs>
          <w:tab w:val="num" w:pos="496"/>
        </w:tabs>
        <w:ind w:left="496" w:hanging="360"/>
      </w:pPr>
      <w:rPr>
        <w:rFonts w:ascii="Times New Roman" w:eastAsia="Times New Roman" w:hAnsi="Times New Roman" w:cs="Times New Roman"/>
      </w:rPr>
    </w:lvl>
    <w:lvl w:ilvl="1" w:tplc="0C0A0019">
      <w:start w:val="1"/>
      <w:numFmt w:val="bullet"/>
      <w:lvlText w:val="o"/>
      <w:lvlJc w:val="left"/>
      <w:pPr>
        <w:tabs>
          <w:tab w:val="num" w:pos="1216"/>
        </w:tabs>
        <w:ind w:left="1216" w:hanging="360"/>
      </w:pPr>
      <w:rPr>
        <w:rFonts w:ascii="Courier New" w:hAnsi="Courier New" w:cs="Wingdings" w:hint="default"/>
      </w:rPr>
    </w:lvl>
    <w:lvl w:ilvl="2" w:tplc="0C0A001B" w:tentative="1">
      <w:start w:val="1"/>
      <w:numFmt w:val="bullet"/>
      <w:lvlText w:val=""/>
      <w:lvlJc w:val="left"/>
      <w:pPr>
        <w:tabs>
          <w:tab w:val="num" w:pos="1936"/>
        </w:tabs>
        <w:ind w:left="1936" w:hanging="360"/>
      </w:pPr>
      <w:rPr>
        <w:rFonts w:ascii="Wingdings" w:hAnsi="Wingdings" w:hint="default"/>
      </w:rPr>
    </w:lvl>
    <w:lvl w:ilvl="3" w:tplc="0C0A000F" w:tentative="1">
      <w:start w:val="1"/>
      <w:numFmt w:val="bullet"/>
      <w:lvlText w:val=""/>
      <w:lvlJc w:val="left"/>
      <w:pPr>
        <w:tabs>
          <w:tab w:val="num" w:pos="2656"/>
        </w:tabs>
        <w:ind w:left="2656" w:hanging="360"/>
      </w:pPr>
      <w:rPr>
        <w:rFonts w:ascii="Symbol" w:hAnsi="Symbol" w:hint="default"/>
      </w:rPr>
    </w:lvl>
    <w:lvl w:ilvl="4" w:tplc="0C0A0019" w:tentative="1">
      <w:start w:val="1"/>
      <w:numFmt w:val="bullet"/>
      <w:lvlText w:val="o"/>
      <w:lvlJc w:val="left"/>
      <w:pPr>
        <w:tabs>
          <w:tab w:val="num" w:pos="3376"/>
        </w:tabs>
        <w:ind w:left="3376" w:hanging="360"/>
      </w:pPr>
      <w:rPr>
        <w:rFonts w:ascii="Courier New" w:hAnsi="Courier New" w:cs="Wingdings" w:hint="default"/>
      </w:rPr>
    </w:lvl>
    <w:lvl w:ilvl="5" w:tplc="0C0A001B" w:tentative="1">
      <w:start w:val="1"/>
      <w:numFmt w:val="bullet"/>
      <w:lvlText w:val=""/>
      <w:lvlJc w:val="left"/>
      <w:pPr>
        <w:tabs>
          <w:tab w:val="num" w:pos="4096"/>
        </w:tabs>
        <w:ind w:left="4096" w:hanging="360"/>
      </w:pPr>
      <w:rPr>
        <w:rFonts w:ascii="Wingdings" w:hAnsi="Wingdings" w:hint="default"/>
      </w:rPr>
    </w:lvl>
    <w:lvl w:ilvl="6" w:tplc="0C0A000F" w:tentative="1">
      <w:start w:val="1"/>
      <w:numFmt w:val="bullet"/>
      <w:lvlText w:val=""/>
      <w:lvlJc w:val="left"/>
      <w:pPr>
        <w:tabs>
          <w:tab w:val="num" w:pos="4816"/>
        </w:tabs>
        <w:ind w:left="4816" w:hanging="360"/>
      </w:pPr>
      <w:rPr>
        <w:rFonts w:ascii="Symbol" w:hAnsi="Symbol" w:hint="default"/>
      </w:rPr>
    </w:lvl>
    <w:lvl w:ilvl="7" w:tplc="0C0A0019" w:tentative="1">
      <w:start w:val="1"/>
      <w:numFmt w:val="bullet"/>
      <w:lvlText w:val="o"/>
      <w:lvlJc w:val="left"/>
      <w:pPr>
        <w:tabs>
          <w:tab w:val="num" w:pos="5536"/>
        </w:tabs>
        <w:ind w:left="5536" w:hanging="360"/>
      </w:pPr>
      <w:rPr>
        <w:rFonts w:ascii="Courier New" w:hAnsi="Courier New" w:cs="Wingdings" w:hint="default"/>
      </w:rPr>
    </w:lvl>
    <w:lvl w:ilvl="8" w:tplc="0C0A001B" w:tentative="1">
      <w:start w:val="1"/>
      <w:numFmt w:val="bullet"/>
      <w:lvlText w:val=""/>
      <w:lvlJc w:val="left"/>
      <w:pPr>
        <w:tabs>
          <w:tab w:val="num" w:pos="6256"/>
        </w:tabs>
        <w:ind w:left="6256" w:hanging="360"/>
      </w:pPr>
      <w:rPr>
        <w:rFonts w:ascii="Wingdings" w:hAnsi="Wingdings" w:hint="default"/>
      </w:rPr>
    </w:lvl>
  </w:abstractNum>
  <w:abstractNum w:abstractNumId="36">
    <w:nsid w:val="757C75B8"/>
    <w:multiLevelType w:val="hybridMultilevel"/>
    <w:tmpl w:val="C1183DDE"/>
    <w:lvl w:ilvl="0" w:tplc="75220848">
      <w:start w:val="1"/>
      <w:numFmt w:val="lowerLetter"/>
      <w:lvlText w:val="%1)"/>
      <w:lvlJc w:val="left"/>
      <w:pPr>
        <w:tabs>
          <w:tab w:val="num" w:pos="1287"/>
        </w:tabs>
        <w:ind w:left="360" w:firstLine="360"/>
      </w:pPr>
      <w:rPr>
        <w:rFonts w:hint="default"/>
        <w:b w:val="0"/>
        <w:i w:val="0"/>
        <w:sz w:val="24"/>
      </w:rPr>
    </w:lvl>
    <w:lvl w:ilvl="1" w:tplc="04090019">
      <w:start w:val="1"/>
      <w:numFmt w:val="bullet"/>
      <w:lvlText w:val=""/>
      <w:lvlJc w:val="left"/>
      <w:pPr>
        <w:tabs>
          <w:tab w:val="num" w:pos="1800"/>
        </w:tabs>
        <w:ind w:left="1800" w:hanging="360"/>
      </w:pPr>
      <w:rPr>
        <w:rFonts w:ascii="Wingdings" w:hAnsi="Wingdings"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cs="Wingdings"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cs="Wingdings"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37">
    <w:nsid w:val="76A14512"/>
    <w:multiLevelType w:val="hybridMultilevel"/>
    <w:tmpl w:val="1B0E4546"/>
    <w:lvl w:ilvl="0" w:tplc="04090009">
      <w:start w:val="1"/>
      <w:numFmt w:val="lowerRoman"/>
      <w:lvlText w:val="%1)"/>
      <w:lvlJc w:val="left"/>
      <w:pPr>
        <w:tabs>
          <w:tab w:val="num" w:pos="1440"/>
        </w:tabs>
        <w:ind w:left="1440" w:hanging="360"/>
      </w:pPr>
      <w:rPr>
        <w:rFonts w:hint="default"/>
        <w:b w:val="0"/>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7763589D"/>
    <w:multiLevelType w:val="hybridMultilevel"/>
    <w:tmpl w:val="A9386286"/>
    <w:lvl w:ilvl="0" w:tplc="75220848">
      <w:start w:val="1"/>
      <w:numFmt w:val="lowerLetter"/>
      <w:lvlText w:val="%1)"/>
      <w:lvlJc w:val="left"/>
      <w:pPr>
        <w:tabs>
          <w:tab w:val="num" w:pos="1287"/>
        </w:tabs>
        <w:ind w:left="360" w:firstLine="360"/>
      </w:pPr>
      <w:rPr>
        <w:rFonts w:hint="default"/>
        <w:b w:val="0"/>
        <w:i w:val="0"/>
        <w:sz w:val="24"/>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9">
    <w:nsid w:val="78BA4BA8"/>
    <w:multiLevelType w:val="hybridMultilevel"/>
    <w:tmpl w:val="65EC6BB4"/>
    <w:lvl w:ilvl="0" w:tplc="3E9C4928">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79BA2416"/>
    <w:multiLevelType w:val="singleLevel"/>
    <w:tmpl w:val="1F6268D0"/>
    <w:lvl w:ilvl="0">
      <w:start w:val="1"/>
      <w:numFmt w:val="lowerLetter"/>
      <w:lvlText w:val="%1)"/>
      <w:lvlJc w:val="left"/>
      <w:pPr>
        <w:tabs>
          <w:tab w:val="num" w:pos="720"/>
        </w:tabs>
        <w:ind w:left="720" w:hanging="360"/>
      </w:pPr>
      <w:rPr>
        <w:rFonts w:ascii="Times New Roman" w:eastAsia="Times New Roman" w:hAnsi="Times New Roman" w:cs="Times New Roman"/>
        <w:lang w:val="es-ES"/>
      </w:rPr>
    </w:lvl>
  </w:abstractNum>
  <w:abstractNum w:abstractNumId="41">
    <w:nsid w:val="7C9D56C4"/>
    <w:multiLevelType w:val="hybridMultilevel"/>
    <w:tmpl w:val="B67E7138"/>
    <w:lvl w:ilvl="0" w:tplc="9C10A852">
      <w:start w:val="1"/>
      <w:numFmt w:val="lowerLetter"/>
      <w:lvlText w:val="%1)"/>
      <w:lvlJc w:val="left"/>
      <w:pPr>
        <w:tabs>
          <w:tab w:val="num" w:pos="1920"/>
        </w:tabs>
        <w:ind w:left="19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2">
    <w:nsid w:val="7D9A580D"/>
    <w:multiLevelType w:val="hybridMultilevel"/>
    <w:tmpl w:val="FC945330"/>
    <w:lvl w:ilvl="0" w:tplc="0C0A000D">
      <w:start w:val="1"/>
      <w:numFmt w:val="upperRoman"/>
      <w:lvlText w:val="%1."/>
      <w:lvlJc w:val="left"/>
      <w:pPr>
        <w:tabs>
          <w:tab w:val="num" w:pos="1080"/>
        </w:tabs>
        <w:ind w:left="1080" w:hanging="72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num w:numId="1">
    <w:abstractNumId w:val="5"/>
  </w:num>
  <w:num w:numId="2">
    <w:abstractNumId w:val="28"/>
  </w:num>
  <w:num w:numId="3">
    <w:abstractNumId w:val="3"/>
  </w:num>
  <w:num w:numId="4">
    <w:abstractNumId w:val="14"/>
  </w:num>
  <w:num w:numId="5">
    <w:abstractNumId w:val="40"/>
  </w:num>
  <w:num w:numId="6">
    <w:abstractNumId w:val="42"/>
  </w:num>
  <w:num w:numId="7">
    <w:abstractNumId w:val="41"/>
  </w:num>
  <w:num w:numId="8">
    <w:abstractNumId w:val="30"/>
  </w:num>
  <w:num w:numId="9">
    <w:abstractNumId w:val="31"/>
  </w:num>
  <w:num w:numId="10">
    <w:abstractNumId w:val="12"/>
  </w:num>
  <w:num w:numId="11">
    <w:abstractNumId w:val="8"/>
  </w:num>
  <w:num w:numId="12">
    <w:abstractNumId w:val="35"/>
  </w:num>
  <w:num w:numId="13">
    <w:abstractNumId w:val="39"/>
  </w:num>
  <w:num w:numId="14">
    <w:abstractNumId w:val="0"/>
  </w:num>
  <w:num w:numId="15">
    <w:abstractNumId w:val="24"/>
  </w:num>
  <w:num w:numId="16">
    <w:abstractNumId w:val="1"/>
  </w:num>
  <w:num w:numId="17">
    <w:abstractNumId w:val="13"/>
  </w:num>
  <w:num w:numId="18">
    <w:abstractNumId w:val="16"/>
  </w:num>
  <w:num w:numId="19">
    <w:abstractNumId w:val="37"/>
  </w:num>
  <w:num w:numId="20">
    <w:abstractNumId w:val="2"/>
  </w:num>
  <w:num w:numId="21">
    <w:abstractNumId w:val="9"/>
  </w:num>
  <w:num w:numId="22">
    <w:abstractNumId w:val="34"/>
  </w:num>
  <w:num w:numId="23">
    <w:abstractNumId w:val="22"/>
  </w:num>
  <w:num w:numId="24">
    <w:abstractNumId w:val="38"/>
  </w:num>
  <w:num w:numId="25">
    <w:abstractNumId w:val="6"/>
  </w:num>
  <w:num w:numId="26">
    <w:abstractNumId w:val="26"/>
  </w:num>
  <w:num w:numId="27">
    <w:abstractNumId w:val="20"/>
  </w:num>
  <w:num w:numId="28">
    <w:abstractNumId w:val="36"/>
  </w:num>
  <w:num w:numId="29">
    <w:abstractNumId w:val="27"/>
  </w:num>
  <w:num w:numId="30">
    <w:abstractNumId w:val="11"/>
  </w:num>
  <w:num w:numId="31">
    <w:abstractNumId w:val="19"/>
  </w:num>
  <w:num w:numId="32">
    <w:abstractNumId w:val="23"/>
  </w:num>
  <w:num w:numId="33">
    <w:abstractNumId w:val="32"/>
  </w:num>
  <w:num w:numId="34">
    <w:abstractNumId w:val="33"/>
  </w:num>
  <w:num w:numId="35">
    <w:abstractNumId w:val="15"/>
  </w:num>
  <w:num w:numId="36">
    <w:abstractNumId w:val="29"/>
  </w:num>
  <w:num w:numId="37">
    <w:abstractNumId w:val="18"/>
  </w:num>
  <w:num w:numId="38">
    <w:abstractNumId w:val="4"/>
  </w:num>
  <w:num w:numId="39">
    <w:abstractNumId w:val="10"/>
  </w:num>
  <w:num w:numId="40">
    <w:abstractNumId w:val="25"/>
  </w:num>
  <w:num w:numId="41">
    <w:abstractNumId w:val="21"/>
  </w:num>
  <w:num w:numId="42">
    <w:abstractNumId w:val="7"/>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doNotTrackMoves/>
  <w:defaultTabStop w:val="567"/>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noTabHangInd/>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1703"/>
    <w:rsid w:val="001F311E"/>
    <w:rsid w:val="002A160F"/>
    <w:rsid w:val="004E3307"/>
    <w:rsid w:val="00555A92"/>
    <w:rsid w:val="00564CE4"/>
    <w:rsid w:val="00621FC8"/>
    <w:rsid w:val="006228EF"/>
    <w:rsid w:val="00684E3C"/>
    <w:rsid w:val="008A5877"/>
    <w:rsid w:val="00A32998"/>
    <w:rsid w:val="00AD148D"/>
    <w:rsid w:val="00C31703"/>
    <w:rsid w:val="00C9246A"/>
    <w:rsid w:val="00CD2A5A"/>
    <w:rsid w:val="00CE08C8"/>
    <w:rsid w:val="00D23F06"/>
    <w:rsid w:val="00D65B13"/>
    <w:rsid w:val="00DB573B"/>
    <w:rsid w:val="00E656A1"/>
    <w:rsid w:val="00ED5B89"/>
    <w:rsid w:val="00EE0F2A"/>
    <w:rsid w:val="00F050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s-ES" w:eastAsia="es-ES"/>
    </w:rPr>
  </w:style>
  <w:style w:type="paragraph" w:styleId="Heading1">
    <w:name w:val="heading 1"/>
    <w:basedOn w:val="Normal"/>
    <w:next w:val="Normal"/>
    <w:qFormat/>
    <w:pPr>
      <w:keepNext/>
      <w:autoSpaceDE w:val="0"/>
      <w:autoSpaceDN w:val="0"/>
      <w:adjustRightInd w:val="0"/>
      <w:jc w:val="center"/>
      <w:outlineLvl w:val="0"/>
    </w:pPr>
    <w:rPr>
      <w:b/>
      <w:bCs/>
      <w:color w:val="000000"/>
      <w:szCs w:val="23"/>
    </w:rPr>
  </w:style>
  <w:style w:type="paragraph" w:styleId="Heading2">
    <w:name w:val="heading 2"/>
    <w:basedOn w:val="Normal"/>
    <w:next w:val="Normal"/>
    <w:qFormat/>
    <w:pPr>
      <w:keepNext/>
      <w:jc w:val="center"/>
      <w:outlineLvl w:val="1"/>
    </w:pPr>
    <w:rPr>
      <w:b/>
      <w:color w:val="000000"/>
      <w:sz w:val="22"/>
    </w:rPr>
  </w:style>
  <w:style w:type="paragraph" w:styleId="Heading3">
    <w:name w:val="heading 3"/>
    <w:basedOn w:val="Normal"/>
    <w:next w:val="Normal"/>
    <w:qFormat/>
    <w:pPr>
      <w:keepNext/>
      <w:spacing w:line="360" w:lineRule="auto"/>
      <w:jc w:val="center"/>
      <w:outlineLvl w:val="2"/>
    </w:pPr>
    <w:rPr>
      <w:rFonts w:eastAsia="Arial Unicode MS"/>
      <w:b/>
      <w:sz w:val="22"/>
      <w:szCs w:val="20"/>
      <w:lang w:val="es-ES_tradnl"/>
    </w:rPr>
  </w:style>
  <w:style w:type="paragraph" w:styleId="Heading4">
    <w:name w:val="heading 4"/>
    <w:basedOn w:val="Normal"/>
    <w:next w:val="Normal"/>
    <w:qFormat/>
    <w:pPr>
      <w:keepNext/>
      <w:ind w:right="-138"/>
      <w:outlineLvl w:val="3"/>
    </w:pPr>
    <w:rPr>
      <w:b/>
      <w:bCs/>
      <w:szCs w:val="20"/>
    </w:rPr>
  </w:style>
  <w:style w:type="paragraph" w:styleId="Heading5">
    <w:name w:val="heading 5"/>
    <w:basedOn w:val="Normal"/>
    <w:next w:val="Normal"/>
    <w:qFormat/>
    <w:pPr>
      <w:keepNext/>
      <w:autoSpaceDE w:val="0"/>
      <w:autoSpaceDN w:val="0"/>
      <w:adjustRightInd w:val="0"/>
      <w:outlineLvl w:val="4"/>
    </w:pPr>
    <w:rPr>
      <w:b/>
      <w:bCs/>
      <w:color w:val="000000"/>
      <w:szCs w:val="23"/>
    </w:rPr>
  </w:style>
  <w:style w:type="paragraph" w:styleId="Heading6">
    <w:name w:val="heading 6"/>
    <w:basedOn w:val="Normal"/>
    <w:next w:val="Normal"/>
    <w:qFormat/>
    <w:pPr>
      <w:keepNext/>
      <w:autoSpaceDE w:val="0"/>
      <w:autoSpaceDN w:val="0"/>
      <w:adjustRightInd w:val="0"/>
      <w:jc w:val="both"/>
      <w:outlineLvl w:val="5"/>
    </w:pPr>
    <w:rPr>
      <w:rFonts w:ascii="Arial" w:hAnsi="Arial" w:cs="Arial"/>
      <w:b/>
      <w:bCs/>
    </w:rPr>
  </w:style>
  <w:style w:type="paragraph" w:styleId="Heading7">
    <w:name w:val="heading 7"/>
    <w:basedOn w:val="Normal"/>
    <w:next w:val="Normal"/>
    <w:qFormat/>
    <w:pPr>
      <w:keepNext/>
      <w:numPr>
        <w:numId w:val="2"/>
      </w:numPr>
      <w:tabs>
        <w:tab w:val="clear" w:pos="1080"/>
        <w:tab w:val="num" w:pos="851"/>
      </w:tabs>
      <w:ind w:left="851" w:hanging="851"/>
      <w:jc w:val="both"/>
      <w:outlineLvl w:val="6"/>
    </w:pPr>
    <w:rPr>
      <w:rFonts w:ascii="Arial" w:hAnsi="Arial" w:cs="Arial"/>
      <w:b/>
      <w:bCs/>
    </w:rPr>
  </w:style>
  <w:style w:type="paragraph" w:styleId="Heading8">
    <w:name w:val="heading 8"/>
    <w:basedOn w:val="Normal"/>
    <w:next w:val="Normal"/>
    <w:qFormat/>
    <w:pPr>
      <w:keepNext/>
      <w:jc w:val="both"/>
      <w:outlineLvl w:val="7"/>
    </w:pPr>
    <w:rPr>
      <w:b/>
      <w:u w:val="single"/>
      <w:lang w:val="es-SV"/>
    </w:rPr>
  </w:style>
  <w:style w:type="paragraph" w:styleId="Heading9">
    <w:name w:val="heading 9"/>
    <w:basedOn w:val="Normal"/>
    <w:next w:val="Normal"/>
    <w:qFormat/>
    <w:pPr>
      <w:keepNext/>
      <w:numPr>
        <w:ilvl w:val="1"/>
        <w:numId w:val="1"/>
      </w:numPr>
      <w:outlineLvl w:val="8"/>
    </w:pPr>
    <w:rPr>
      <w:b/>
      <w:bCs/>
      <w:sz w:val="32"/>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252"/>
      </w:tabs>
    </w:pPr>
  </w:style>
  <w:style w:type="character" w:styleId="EndnoteReference">
    <w:name w:val="endnote reference"/>
    <w:semiHidden/>
    <w:rPr>
      <w:rFonts w:ascii="Times New Roman" w:hAnsi="Times New Roman"/>
      <w:b/>
      <w:sz w:val="24"/>
      <w:vertAlign w:val="superscript"/>
    </w:rPr>
  </w:style>
  <w:style w:type="character" w:styleId="FootnoteReference">
    <w:name w:val="footnote reference"/>
    <w:semiHidden/>
    <w:rPr>
      <w:rFonts w:ascii="Times New Roman" w:hAnsi="Times New Roman"/>
      <w:b/>
      <w:sz w:val="24"/>
      <w:vertAlign w:val="superscript"/>
    </w:rPr>
  </w:style>
  <w:style w:type="paragraph" w:styleId="EndnoteText">
    <w:name w:val="endnote text"/>
    <w:basedOn w:val="Normal"/>
    <w:semiHidden/>
    <w:pPr>
      <w:spacing w:after="240" w:line="840" w:lineRule="auto"/>
    </w:pPr>
    <w:rPr>
      <w:szCs w:val="20"/>
    </w:rPr>
  </w:style>
  <w:style w:type="paragraph" w:styleId="FootnoteText">
    <w:name w:val="footnote text"/>
    <w:basedOn w:val="Normal"/>
    <w:semiHidden/>
    <w:pPr>
      <w:spacing w:after="240" w:line="840" w:lineRule="auto"/>
    </w:pPr>
    <w:rPr>
      <w:szCs w:val="20"/>
    </w:rPr>
  </w:style>
  <w:style w:type="paragraph" w:styleId="Footer">
    <w:name w:val="footer"/>
    <w:basedOn w:val="Normal"/>
    <w:semiHidden/>
    <w:pPr>
      <w:tabs>
        <w:tab w:val="center" w:pos="4252"/>
        <w:tab w:val="right" w:pos="8504"/>
      </w:tabs>
    </w:pPr>
  </w:style>
  <w:style w:type="paragraph" w:styleId="BodyText2">
    <w:name w:val="Body Text 2"/>
    <w:basedOn w:val="Normal"/>
    <w:semiHidden/>
    <w:pPr>
      <w:jc w:val="both"/>
    </w:pPr>
    <w:rPr>
      <w:bCs/>
    </w:rPr>
  </w:style>
  <w:style w:type="paragraph" w:styleId="NormalWeb">
    <w:name w:val="Normal (Web)"/>
    <w:basedOn w:val="Normal"/>
    <w:semiHidden/>
    <w:pPr>
      <w:spacing w:before="100" w:beforeAutospacing="1" w:after="100" w:afterAutospacing="1"/>
    </w:pPr>
    <w:rPr>
      <w:color w:val="000000"/>
    </w:rPr>
  </w:style>
  <w:style w:type="paragraph" w:styleId="BodyText3">
    <w:name w:val="Body Text 3"/>
    <w:basedOn w:val="Normal"/>
    <w:semiHidden/>
    <w:pPr>
      <w:spacing w:before="100" w:beforeAutospacing="1" w:after="100" w:afterAutospacing="1"/>
    </w:pPr>
    <w:rPr>
      <w:color w:val="000000"/>
    </w:rPr>
  </w:style>
  <w:style w:type="paragraph" w:styleId="BodyText">
    <w:name w:val="Body Text"/>
    <w:basedOn w:val="Normal"/>
    <w:semiHidden/>
    <w:pPr>
      <w:widowControl w:val="0"/>
      <w:snapToGrid w:val="0"/>
      <w:spacing w:before="100" w:after="100"/>
      <w:jc w:val="both"/>
    </w:pPr>
    <w:rPr>
      <w:sz w:val="28"/>
    </w:rPr>
  </w:style>
  <w:style w:type="paragraph" w:styleId="BodyTextIndent">
    <w:name w:val="Body Text Indent"/>
    <w:basedOn w:val="Normal"/>
    <w:semiHidden/>
    <w:pPr>
      <w:ind w:left="360" w:hanging="360"/>
      <w:jc w:val="both"/>
    </w:pPr>
  </w:style>
  <w:style w:type="paragraph" w:styleId="Title">
    <w:name w:val="Title"/>
    <w:basedOn w:val="Normal"/>
    <w:qFormat/>
    <w:pPr>
      <w:autoSpaceDE w:val="0"/>
      <w:autoSpaceDN w:val="0"/>
      <w:jc w:val="center"/>
    </w:pPr>
    <w:rPr>
      <w:rFonts w:ascii="Arial" w:hAnsi="Arial" w:cs="Arial"/>
      <w:b/>
      <w:bCs/>
      <w:lang w:val="es-UY"/>
    </w:rPr>
  </w:style>
  <w:style w:type="paragraph" w:styleId="BodyTextIndent3">
    <w:name w:val="Body Text Indent 3"/>
    <w:basedOn w:val="Normal"/>
    <w:semiHidden/>
    <w:pPr>
      <w:ind w:left="540" w:hanging="540"/>
      <w:jc w:val="both"/>
    </w:pPr>
    <w:rPr>
      <w:rFonts w:ascii="Arial" w:hAnsi="Arial" w:cs="Arial"/>
      <w:szCs w:val="27"/>
    </w:rPr>
  </w:style>
  <w:style w:type="paragraph" w:styleId="BodyTextIndent2">
    <w:name w:val="Body Text Indent 2"/>
    <w:basedOn w:val="Normal"/>
    <w:semiHidden/>
    <w:pPr>
      <w:ind w:left="540"/>
      <w:jc w:val="both"/>
    </w:pPr>
    <w:rPr>
      <w:rFonts w:ascii="Arial" w:hAnsi="Arial" w:cs="Arial"/>
      <w:lang w:val="es-HN"/>
    </w:rPr>
  </w:style>
  <w:style w:type="paragraph" w:customStyle="1" w:styleId="subtitulo">
    <w:name w:val="subtitulo"/>
    <w:basedOn w:val="Normal"/>
    <w:pPr>
      <w:spacing w:before="100" w:beforeAutospacing="1" w:after="100" w:afterAutospacing="1"/>
    </w:pPr>
    <w:rPr>
      <w:rFonts w:ascii="Verdana" w:eastAsia="MS Mincho" w:hAnsi="Verdana"/>
      <w:b/>
      <w:bCs/>
      <w:sz w:val="17"/>
      <w:szCs w:val="17"/>
    </w:rPr>
  </w:style>
  <w:style w:type="paragraph" w:customStyle="1" w:styleId="ruta">
    <w:name w:val="ruta"/>
    <w:basedOn w:val="Normal"/>
    <w:pPr>
      <w:spacing w:before="100" w:beforeAutospacing="1" w:after="100" w:afterAutospacing="1"/>
    </w:pPr>
    <w:rPr>
      <w:rFonts w:ascii="Verdana" w:eastAsia="MS Mincho" w:hAnsi="Verdana"/>
      <w:sz w:val="13"/>
      <w:szCs w:val="13"/>
    </w:rPr>
  </w:style>
  <w:style w:type="character" w:customStyle="1" w:styleId="contenidonegrita1">
    <w:name w:val="contenidonegrita1"/>
    <w:rPr>
      <w:rFonts w:ascii="Verdana" w:hAnsi="Verdana" w:hint="default"/>
      <w:b/>
      <w:bCs/>
      <w:sz w:val="14"/>
      <w:szCs w:val="14"/>
    </w:rPr>
  </w:style>
  <w:style w:type="character" w:customStyle="1" w:styleId="contenido1">
    <w:name w:val="contenido1"/>
    <w:rPr>
      <w:rFonts w:ascii="Verdana" w:hAnsi="Verdana" w:hint="default"/>
      <w:b w:val="0"/>
      <w:bCs w:val="0"/>
      <w:sz w:val="14"/>
      <w:szCs w:val="14"/>
    </w:rPr>
  </w:style>
  <w:style w:type="character" w:styleId="Strong">
    <w:name w:val="Strong"/>
    <w:qFormat/>
    <w:rPr>
      <w:b/>
      <w:bCs/>
    </w:rPr>
  </w:style>
  <w:style w:type="paragraph" w:styleId="ListBullet5">
    <w:name w:val="List Bullet 5"/>
    <w:basedOn w:val="Normal"/>
    <w:autoRedefine/>
    <w:semiHidden/>
    <w:pPr>
      <w:ind w:left="283" w:hanging="283"/>
    </w:pPr>
    <w:rPr>
      <w:rFonts w:eastAsia="MS Mincho"/>
      <w:sz w:val="20"/>
      <w:szCs w:val="20"/>
      <w:lang w:val="es-ES_tradnl"/>
    </w:rPr>
  </w:style>
  <w:style w:type="character" w:customStyle="1" w:styleId="texto2negritas1">
    <w:name w:val="texto2negritas1"/>
    <w:rPr>
      <w:rFonts w:ascii="Verdana" w:hAnsi="Verdana" w:hint="default"/>
      <w:b/>
      <w:bCs/>
      <w:i w:val="0"/>
      <w:iCs w:val="0"/>
      <w:color w:val="000000"/>
      <w:sz w:val="20"/>
      <w:szCs w:val="20"/>
    </w:rPr>
  </w:style>
  <w:style w:type="character" w:styleId="HTMLCite">
    <w:name w:val="HTML Cite"/>
    <w:semiHidden/>
    <w:rPr>
      <w:i/>
      <w:iCs/>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Subtitle">
    <w:name w:val="Subtitle"/>
    <w:basedOn w:val="Normal"/>
    <w:qFormat/>
    <w:rPr>
      <w:rFonts w:ascii="Arial" w:eastAsia="MS Mincho" w:hAnsi="Arial"/>
      <w:b/>
      <w:snapToGrid w:val="0"/>
      <w:sz w:val="18"/>
      <w:szCs w:val="20"/>
    </w:rPr>
  </w:style>
  <w:style w:type="character" w:styleId="Emphasis">
    <w:name w:val="Emphasis"/>
    <w:qFormat/>
    <w:rPr>
      <w:i/>
      <w:iCs/>
    </w:rPr>
  </w:style>
  <w:style w:type="paragraph" w:styleId="BlockText">
    <w:name w:val="Block Text"/>
    <w:basedOn w:val="Normal"/>
    <w:semiHidden/>
    <w:pPr>
      <w:spacing w:before="100" w:beforeAutospacing="1" w:after="100" w:afterAutospacing="1"/>
      <w:ind w:left="720" w:right="181"/>
      <w:jc w:val="both"/>
    </w:pPr>
    <w:rPr>
      <w:rFonts w:ascii="Arial" w:eastAsia="MS Mincho" w:hAnsi="Arial" w:cs="Arial"/>
      <w:lang w:val="es-VE"/>
    </w:rPr>
  </w:style>
  <w:style w:type="character" w:customStyle="1" w:styleId="titulo1">
    <w:name w:val="titulo1"/>
    <w:rPr>
      <w:b/>
      <w:bCs/>
      <w:color w:val="000D7D"/>
      <w:sz w:val="24"/>
      <w:szCs w:val="24"/>
    </w:rPr>
  </w:style>
  <w:style w:type="paragraph" w:customStyle="1" w:styleId="texto">
    <w:name w:val="texto"/>
    <w:basedOn w:val="Normal"/>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semiHidden/>
  </w:style>
  <w:style w:type="character" w:customStyle="1" w:styleId="estilo1251">
    <w:name w:val="estilo1251"/>
    <w:rPr>
      <w:rFonts w:ascii="Verdana" w:hAnsi="Verdana" w:hint="default"/>
      <w:b/>
      <w:bCs/>
      <w:color w:val="000099"/>
      <w:sz w:val="18"/>
      <w:szCs w:val="18"/>
    </w:rPr>
  </w:style>
  <w:style w:type="character" w:customStyle="1" w:styleId="estilo1351">
    <w:name w:val="estilo1351"/>
    <w:rPr>
      <w:sz w:val="18"/>
      <w:szCs w:val="18"/>
    </w:rPr>
  </w:style>
  <w:style w:type="character" w:customStyle="1" w:styleId="estilo281">
    <w:name w:val="estilo281"/>
    <w:rPr>
      <w:rFonts w:ascii="Verdana" w:hAnsi="Verdana" w:hint="default"/>
      <w:sz w:val="17"/>
      <w:szCs w:val="17"/>
    </w:rPr>
  </w:style>
  <w:style w:type="character" w:customStyle="1" w:styleId="estilo1421">
    <w:name w:val="estilo1421"/>
    <w:rPr>
      <w:color w:val="0000FF"/>
    </w:rPr>
  </w:style>
  <w:style w:type="paragraph" w:customStyle="1" w:styleId="estilo128">
    <w:name w:val="estilo128"/>
    <w:basedOn w:val="Normal"/>
    <w:pPr>
      <w:spacing w:before="100" w:beforeAutospacing="1" w:after="100" w:afterAutospacing="1"/>
    </w:pPr>
    <w:rPr>
      <w:color w:val="000000"/>
    </w:rPr>
  </w:style>
  <w:style w:type="paragraph" w:customStyle="1" w:styleId="estilo136">
    <w:name w:val="estilo136"/>
    <w:basedOn w:val="Normal"/>
    <w:pPr>
      <w:spacing w:before="100" w:beforeAutospacing="1" w:after="100" w:afterAutospacing="1"/>
    </w:pPr>
    <w:rPr>
      <w:rFonts w:ascii="Verdana" w:hAnsi="Verdana"/>
    </w:rPr>
  </w:style>
  <w:style w:type="character" w:customStyle="1" w:styleId="estilo1281">
    <w:name w:val="estilo1281"/>
    <w:rPr>
      <w:color w:val="000000"/>
    </w:rPr>
  </w:style>
  <w:style w:type="character" w:customStyle="1" w:styleId="estilo1361">
    <w:name w:val="estilo1361"/>
    <w:rPr>
      <w:rFonts w:ascii="Verdana" w:hAnsi="Verdana" w:hint="default"/>
    </w:rPr>
  </w:style>
  <w:style w:type="paragraph" w:customStyle="1" w:styleId="BodyText21">
    <w:name w:val="Body Text 21"/>
    <w:basedOn w:val="Normal"/>
    <w:pPr>
      <w:widowControl w:val="0"/>
      <w:suppressAutoHyphens/>
      <w:overflowPunct w:val="0"/>
      <w:autoSpaceDE w:val="0"/>
      <w:autoSpaceDN w:val="0"/>
      <w:adjustRightInd w:val="0"/>
      <w:spacing w:line="360" w:lineRule="auto"/>
      <w:ind w:firstLine="709"/>
      <w:jc w:val="both"/>
      <w:textAlignment w:val="baseline"/>
    </w:pPr>
    <w:rPr>
      <w:rFonts w:ascii="Thorndale" w:hAnsi="Thorndale"/>
      <w:i/>
      <w:color w:val="000000"/>
      <w:sz w:val="28"/>
      <w:szCs w:val="20"/>
      <w:lang/>
    </w:rPr>
  </w:style>
  <w:style w:type="paragraph" w:styleId="TOC1">
    <w:name w:val="toc 1"/>
    <w:basedOn w:val="Normal"/>
    <w:next w:val="Normal"/>
    <w:autoRedefine/>
    <w:semiHidden/>
    <w:rsid w:val="00A32998"/>
    <w:pPr>
      <w:spacing w:before="40" w:after="40"/>
      <w:ind w:right="836"/>
    </w:pPr>
    <w:rPr>
      <w:b/>
      <w:i/>
      <w:sz w:val="20"/>
      <w:szCs w:val="20"/>
      <w:lang w:val="en-GB"/>
    </w:rPr>
  </w:style>
  <w:style w:type="paragraph" w:styleId="TOC2">
    <w:name w:val="toc 2"/>
    <w:basedOn w:val="Normal"/>
    <w:next w:val="Normal"/>
    <w:autoRedefine/>
    <w:semiHidden/>
    <w:pPr>
      <w:ind w:left="240"/>
    </w:pPr>
  </w:style>
  <w:style w:type="paragraph" w:styleId="TOC3">
    <w:name w:val="toc 3"/>
    <w:basedOn w:val="Normal"/>
    <w:next w:val="Normal"/>
    <w:autoRedefine/>
    <w:semiHidden/>
    <w:pPr>
      <w:tabs>
        <w:tab w:val="right" w:leader="dot" w:pos="8830"/>
      </w:tabs>
      <w:ind w:left="240"/>
    </w:pPr>
    <w:rPr>
      <w:noProof/>
    </w:rPr>
  </w:style>
  <w:style w:type="paragraph" w:customStyle="1" w:styleId="xl22">
    <w:name w:val="xl22"/>
    <w:basedOn w:val="Normal"/>
    <w:pPr>
      <w:shd w:val="clear" w:color="auto" w:fill="FFFFFF"/>
      <w:spacing w:before="100" w:beforeAutospacing="1" w:after="100" w:afterAutospacing="1"/>
    </w:pPr>
    <w:rPr>
      <w:color w:val="000000"/>
      <w:sz w:val="28"/>
      <w:szCs w:val="28"/>
    </w:rPr>
  </w:style>
  <w:style w:type="paragraph" w:customStyle="1" w:styleId="xl23">
    <w:name w:val="xl23"/>
    <w:basedOn w:val="Normal"/>
    <w:pPr>
      <w:shd w:val="clear" w:color="auto" w:fill="FFFFFF"/>
      <w:spacing w:before="100" w:beforeAutospacing="1" w:after="100" w:afterAutospacing="1"/>
    </w:pPr>
    <w:rPr>
      <w:rFonts w:ascii="Arial" w:hAnsi="Arial" w:cs="Arial"/>
      <w:b/>
      <w:bCs/>
      <w:color w:val="000000"/>
      <w:sz w:val="28"/>
      <w:szCs w:val="28"/>
    </w:rPr>
  </w:style>
  <w:style w:type="paragraph" w:customStyle="1" w:styleId="xl24">
    <w:name w:val="xl24"/>
    <w:basedOn w:val="Normal"/>
    <w:pPr>
      <w:pBdr>
        <w:top w:val="single" w:sz="8" w:space="0" w:color="000000"/>
        <w:left w:val="single" w:sz="8" w:space="0" w:color="000000"/>
      </w:pBdr>
      <w:shd w:val="clear" w:color="auto" w:fill="FFFFFF"/>
      <w:spacing w:before="100" w:beforeAutospacing="1" w:after="100" w:afterAutospacing="1"/>
    </w:pPr>
    <w:rPr>
      <w:rFonts w:ascii="Arial" w:hAnsi="Arial" w:cs="Arial"/>
      <w:color w:val="000000"/>
    </w:rPr>
  </w:style>
  <w:style w:type="paragraph" w:customStyle="1" w:styleId="xl25">
    <w:name w:val="xl25"/>
    <w:basedOn w:val="Normal"/>
    <w:pPr>
      <w:pBdr>
        <w:top w:val="single" w:sz="8" w:space="0" w:color="000000"/>
      </w:pBdr>
      <w:shd w:val="clear" w:color="auto" w:fill="FFFFFF"/>
      <w:spacing w:before="100" w:beforeAutospacing="1" w:after="100" w:afterAutospacing="1"/>
    </w:pPr>
    <w:rPr>
      <w:rFonts w:ascii="Arial" w:hAnsi="Arial" w:cs="Arial"/>
      <w:color w:val="000000"/>
    </w:rPr>
  </w:style>
  <w:style w:type="paragraph" w:customStyle="1" w:styleId="xl26">
    <w:name w:val="xl26"/>
    <w:basedOn w:val="Normal"/>
    <w:pPr>
      <w:pBdr>
        <w:top w:val="single" w:sz="8" w:space="0" w:color="000000"/>
        <w:right w:val="double" w:sz="6" w:space="0" w:color="000000"/>
      </w:pBdr>
      <w:shd w:val="clear" w:color="auto" w:fill="FFFFFF"/>
      <w:spacing w:before="100" w:beforeAutospacing="1" w:after="100" w:afterAutospacing="1"/>
    </w:pPr>
    <w:rPr>
      <w:rFonts w:ascii="Arial" w:hAnsi="Arial" w:cs="Arial"/>
      <w:color w:val="000000"/>
    </w:rPr>
  </w:style>
  <w:style w:type="paragraph" w:customStyle="1" w:styleId="xl27">
    <w:name w:val="xl27"/>
    <w:basedOn w:val="Normal"/>
    <w:pPr>
      <w:pBdr>
        <w:left w:val="double" w:sz="6" w:space="0" w:color="000000"/>
        <w:right w:val="single" w:sz="8" w:space="0" w:color="000000"/>
      </w:pBdr>
      <w:shd w:val="clear" w:color="auto" w:fill="969696"/>
      <w:spacing w:before="100" w:beforeAutospacing="1" w:after="100" w:afterAutospacing="1"/>
      <w:jc w:val="center"/>
    </w:pPr>
    <w:rPr>
      <w:rFonts w:ascii="Arial" w:hAnsi="Arial" w:cs="Arial"/>
      <w:b/>
      <w:bCs/>
      <w:color w:val="000000"/>
      <w:sz w:val="28"/>
      <w:szCs w:val="28"/>
    </w:rPr>
  </w:style>
  <w:style w:type="paragraph" w:customStyle="1" w:styleId="xl28">
    <w:name w:val="xl28"/>
    <w:basedOn w:val="Normal"/>
    <w:pPr>
      <w:pBdr>
        <w:left w:val="single" w:sz="8" w:space="0" w:color="000000"/>
      </w:pBdr>
      <w:shd w:val="clear" w:color="auto" w:fill="FFFFFF"/>
      <w:spacing w:before="100" w:beforeAutospacing="1" w:after="100" w:afterAutospacing="1"/>
    </w:pPr>
    <w:rPr>
      <w:rFonts w:ascii="Arial" w:hAnsi="Arial" w:cs="Arial"/>
      <w:b/>
      <w:bCs/>
      <w:sz w:val="28"/>
      <w:szCs w:val="28"/>
    </w:rPr>
  </w:style>
  <w:style w:type="paragraph" w:customStyle="1" w:styleId="xl29">
    <w:name w:val="xl29"/>
    <w:basedOn w:val="Normal"/>
    <w:pPr>
      <w:shd w:val="clear" w:color="auto" w:fill="FFFFFF"/>
      <w:spacing w:before="100" w:beforeAutospacing="1" w:after="100" w:afterAutospacing="1"/>
    </w:pPr>
    <w:rPr>
      <w:rFonts w:ascii="Arial" w:hAnsi="Arial" w:cs="Arial"/>
      <w:b/>
      <w:bCs/>
      <w:sz w:val="28"/>
      <w:szCs w:val="28"/>
    </w:rPr>
  </w:style>
  <w:style w:type="paragraph" w:customStyle="1" w:styleId="xl30">
    <w:name w:val="xl30"/>
    <w:basedOn w:val="Normal"/>
    <w:pPr>
      <w:pBdr>
        <w:right w:val="double" w:sz="6" w:space="0" w:color="000000"/>
      </w:pBdr>
      <w:shd w:val="clear" w:color="auto" w:fill="FFFFFF"/>
      <w:spacing w:before="100" w:beforeAutospacing="1" w:after="100" w:afterAutospacing="1"/>
    </w:pPr>
    <w:rPr>
      <w:rFonts w:ascii="Arial" w:hAnsi="Arial" w:cs="Arial"/>
      <w:b/>
      <w:bCs/>
      <w:sz w:val="28"/>
      <w:szCs w:val="28"/>
    </w:rPr>
  </w:style>
  <w:style w:type="paragraph" w:customStyle="1" w:styleId="xl31">
    <w:name w:val="xl31"/>
    <w:basedOn w:val="Normal"/>
    <w:pPr>
      <w:pBdr>
        <w:left w:val="double" w:sz="6" w:space="0" w:color="000000"/>
        <w:right w:val="single" w:sz="8" w:space="0" w:color="000000"/>
      </w:pBdr>
      <w:shd w:val="clear" w:color="auto" w:fill="969696"/>
      <w:spacing w:before="100" w:beforeAutospacing="1" w:after="100" w:afterAutospacing="1"/>
      <w:jc w:val="center"/>
    </w:pPr>
    <w:rPr>
      <w:rFonts w:ascii="Arial" w:hAnsi="Arial" w:cs="Arial"/>
      <w:color w:val="000000"/>
      <w:sz w:val="28"/>
      <w:szCs w:val="28"/>
    </w:rPr>
  </w:style>
  <w:style w:type="paragraph" w:customStyle="1" w:styleId="xl32">
    <w:name w:val="xl32"/>
    <w:basedOn w:val="Normal"/>
    <w:pPr>
      <w:pBdr>
        <w:left w:val="single" w:sz="8" w:space="0" w:color="000000"/>
      </w:pBdr>
      <w:shd w:val="clear" w:color="auto" w:fill="FFFFFF"/>
      <w:spacing w:before="100" w:beforeAutospacing="1" w:after="100" w:afterAutospacing="1"/>
    </w:pPr>
    <w:rPr>
      <w:rFonts w:ascii="Arial" w:hAnsi="Arial" w:cs="Arial"/>
      <w:sz w:val="28"/>
      <w:szCs w:val="28"/>
    </w:rPr>
  </w:style>
  <w:style w:type="paragraph" w:customStyle="1" w:styleId="xl33">
    <w:name w:val="xl33"/>
    <w:basedOn w:val="Normal"/>
    <w:pPr>
      <w:shd w:val="clear" w:color="auto" w:fill="FFFFFF"/>
      <w:spacing w:before="100" w:beforeAutospacing="1" w:after="100" w:afterAutospacing="1"/>
    </w:pPr>
    <w:rPr>
      <w:rFonts w:ascii="Arial" w:hAnsi="Arial" w:cs="Arial"/>
      <w:sz w:val="28"/>
      <w:szCs w:val="28"/>
    </w:rPr>
  </w:style>
  <w:style w:type="paragraph" w:customStyle="1" w:styleId="xl34">
    <w:name w:val="xl34"/>
    <w:basedOn w:val="Normal"/>
    <w:pPr>
      <w:pBdr>
        <w:right w:val="double" w:sz="6" w:space="0" w:color="000000"/>
      </w:pBdr>
      <w:shd w:val="clear" w:color="auto" w:fill="FFFFFF"/>
      <w:spacing w:before="100" w:beforeAutospacing="1" w:after="100" w:afterAutospacing="1"/>
    </w:pPr>
    <w:rPr>
      <w:rFonts w:ascii="Arial" w:hAnsi="Arial" w:cs="Arial"/>
      <w:sz w:val="28"/>
      <w:szCs w:val="28"/>
    </w:rPr>
  </w:style>
  <w:style w:type="paragraph" w:customStyle="1" w:styleId="xl35">
    <w:name w:val="xl35"/>
    <w:basedOn w:val="Normal"/>
    <w:pPr>
      <w:pBdr>
        <w:left w:val="double" w:sz="6" w:space="0" w:color="000000"/>
        <w:bottom w:val="double" w:sz="6" w:space="0" w:color="000000"/>
        <w:right w:val="single" w:sz="8" w:space="0" w:color="000000"/>
      </w:pBdr>
      <w:shd w:val="clear" w:color="auto" w:fill="969696"/>
      <w:spacing w:before="100" w:beforeAutospacing="1" w:after="100" w:afterAutospacing="1"/>
      <w:jc w:val="center"/>
    </w:pPr>
    <w:rPr>
      <w:rFonts w:ascii="Arial" w:hAnsi="Arial" w:cs="Arial"/>
      <w:color w:val="000000"/>
      <w:sz w:val="28"/>
      <w:szCs w:val="28"/>
    </w:rPr>
  </w:style>
  <w:style w:type="paragraph" w:customStyle="1" w:styleId="xl36">
    <w:name w:val="xl36"/>
    <w:basedOn w:val="Normal"/>
    <w:pPr>
      <w:pBdr>
        <w:left w:val="single" w:sz="8" w:space="0" w:color="000000"/>
        <w:bottom w:val="double" w:sz="6" w:space="0" w:color="000000"/>
      </w:pBdr>
      <w:shd w:val="clear" w:color="auto" w:fill="FFFFFF"/>
      <w:spacing w:before="100" w:beforeAutospacing="1" w:after="100" w:afterAutospacing="1"/>
    </w:pPr>
    <w:rPr>
      <w:rFonts w:ascii="Arial" w:hAnsi="Arial" w:cs="Arial"/>
      <w:sz w:val="28"/>
      <w:szCs w:val="28"/>
    </w:rPr>
  </w:style>
  <w:style w:type="paragraph" w:customStyle="1" w:styleId="xl37">
    <w:name w:val="xl37"/>
    <w:basedOn w:val="Normal"/>
    <w:pPr>
      <w:pBdr>
        <w:bottom w:val="double" w:sz="6" w:space="0" w:color="000000"/>
      </w:pBdr>
      <w:shd w:val="clear" w:color="auto" w:fill="FFFFFF"/>
      <w:spacing w:before="100" w:beforeAutospacing="1" w:after="100" w:afterAutospacing="1"/>
    </w:pPr>
    <w:rPr>
      <w:rFonts w:ascii="Arial" w:hAnsi="Arial" w:cs="Arial"/>
      <w:sz w:val="28"/>
      <w:szCs w:val="28"/>
    </w:rPr>
  </w:style>
  <w:style w:type="paragraph" w:customStyle="1" w:styleId="xl38">
    <w:name w:val="xl38"/>
    <w:basedOn w:val="Normal"/>
    <w:pPr>
      <w:pBdr>
        <w:bottom w:val="double" w:sz="6" w:space="0" w:color="000000"/>
        <w:right w:val="double" w:sz="6" w:space="0" w:color="000000"/>
      </w:pBdr>
      <w:shd w:val="clear" w:color="auto" w:fill="FFFFFF"/>
      <w:spacing w:before="100" w:beforeAutospacing="1" w:after="100" w:afterAutospacing="1"/>
    </w:pPr>
    <w:rPr>
      <w:rFonts w:ascii="Arial" w:hAnsi="Arial" w:cs="Arial"/>
      <w:sz w:val="28"/>
      <w:szCs w:val="28"/>
    </w:rPr>
  </w:style>
  <w:style w:type="paragraph" w:customStyle="1" w:styleId="xl39">
    <w:name w:val="xl39"/>
    <w:basedOn w:val="Normal"/>
    <w:pPr>
      <w:shd w:val="clear" w:color="auto" w:fill="FFFFFF"/>
      <w:spacing w:before="100" w:beforeAutospacing="1" w:after="100" w:afterAutospacing="1"/>
    </w:pPr>
    <w:rPr>
      <w:color w:val="000000"/>
    </w:rPr>
  </w:style>
  <w:style w:type="paragraph" w:customStyle="1" w:styleId="xl40">
    <w:name w:val="xl40"/>
    <w:basedOn w:val="Normal"/>
    <w:pPr>
      <w:pBdr>
        <w:top w:val="double" w:sz="6" w:space="0" w:color="000000"/>
        <w:left w:val="double" w:sz="6" w:space="0" w:color="000000"/>
        <w:right w:val="single" w:sz="8" w:space="0" w:color="000000"/>
      </w:pBdr>
      <w:shd w:val="clear" w:color="auto" w:fill="969696"/>
      <w:spacing w:before="100" w:beforeAutospacing="1" w:after="100" w:afterAutospacing="1"/>
    </w:pPr>
    <w:rPr>
      <w:rFonts w:ascii="Arial" w:hAnsi="Arial" w:cs="Arial"/>
      <w:b/>
      <w:bCs/>
      <w:color w:val="000000"/>
    </w:rPr>
  </w:style>
  <w:style w:type="paragraph" w:customStyle="1" w:styleId="xl41">
    <w:name w:val="xl41"/>
    <w:basedOn w:val="Normal"/>
    <w:pPr>
      <w:pBdr>
        <w:top w:val="double" w:sz="6" w:space="0" w:color="000000"/>
        <w:left w:val="single" w:sz="8" w:space="0" w:color="000000"/>
        <w:right w:val="single" w:sz="8" w:space="0" w:color="000000"/>
      </w:pBdr>
      <w:shd w:val="clear" w:color="auto" w:fill="969696"/>
      <w:spacing w:before="100" w:beforeAutospacing="1" w:after="100" w:afterAutospacing="1"/>
      <w:jc w:val="center"/>
    </w:pPr>
    <w:rPr>
      <w:rFonts w:ascii="Arial" w:hAnsi="Arial" w:cs="Arial"/>
      <w:b/>
      <w:bCs/>
      <w:color w:val="000000"/>
    </w:rPr>
  </w:style>
  <w:style w:type="paragraph" w:customStyle="1" w:styleId="xl42">
    <w:name w:val="xl42"/>
    <w:basedOn w:val="Normal"/>
    <w:pPr>
      <w:pBdr>
        <w:left w:val="double" w:sz="6" w:space="0" w:color="000000"/>
        <w:right w:val="single" w:sz="8" w:space="0" w:color="000000"/>
      </w:pBdr>
      <w:shd w:val="clear" w:color="auto" w:fill="969696"/>
      <w:spacing w:before="100" w:beforeAutospacing="1" w:after="100" w:afterAutospacing="1"/>
    </w:pPr>
    <w:rPr>
      <w:rFonts w:ascii="Arial" w:hAnsi="Arial" w:cs="Arial"/>
      <w:b/>
      <w:bCs/>
      <w:color w:val="000000"/>
    </w:rPr>
  </w:style>
  <w:style w:type="paragraph" w:customStyle="1" w:styleId="xl43">
    <w:name w:val="xl43"/>
    <w:basedOn w:val="Normal"/>
    <w:pPr>
      <w:pBdr>
        <w:left w:val="single" w:sz="8" w:space="0" w:color="000000"/>
        <w:right w:val="single" w:sz="8" w:space="0" w:color="000000"/>
      </w:pBdr>
      <w:shd w:val="clear" w:color="auto" w:fill="969696"/>
      <w:spacing w:before="100" w:beforeAutospacing="1" w:after="100" w:afterAutospacing="1"/>
      <w:jc w:val="center"/>
    </w:pPr>
    <w:rPr>
      <w:rFonts w:ascii="Arial" w:hAnsi="Arial" w:cs="Arial"/>
      <w:b/>
      <w:bCs/>
      <w:color w:val="000000"/>
    </w:rPr>
  </w:style>
  <w:style w:type="paragraph" w:customStyle="1" w:styleId="xl44">
    <w:name w:val="xl44"/>
    <w:basedOn w:val="Normal"/>
    <w:pPr>
      <w:pBdr>
        <w:left w:val="double" w:sz="6" w:space="0" w:color="000000"/>
        <w:bottom w:val="single" w:sz="8" w:space="0" w:color="000000"/>
        <w:right w:val="single" w:sz="8" w:space="0" w:color="000000"/>
      </w:pBdr>
      <w:shd w:val="clear" w:color="auto" w:fill="969696"/>
      <w:spacing w:before="100" w:beforeAutospacing="1" w:after="100" w:afterAutospacing="1"/>
    </w:pPr>
    <w:rPr>
      <w:rFonts w:ascii="Arial" w:hAnsi="Arial" w:cs="Arial"/>
      <w:b/>
      <w:bCs/>
      <w:color w:val="000000"/>
    </w:rPr>
  </w:style>
  <w:style w:type="paragraph" w:customStyle="1" w:styleId="xl45">
    <w:name w:val="xl45"/>
    <w:basedOn w:val="Normal"/>
    <w:pPr>
      <w:pBdr>
        <w:left w:val="single" w:sz="8" w:space="0" w:color="000000"/>
        <w:bottom w:val="single" w:sz="8" w:space="0" w:color="000000"/>
        <w:right w:val="single" w:sz="8" w:space="0" w:color="000000"/>
      </w:pBdr>
      <w:shd w:val="clear" w:color="auto" w:fill="969696"/>
      <w:spacing w:before="100" w:beforeAutospacing="1" w:after="100" w:afterAutospacing="1"/>
      <w:jc w:val="center"/>
    </w:pPr>
    <w:rPr>
      <w:rFonts w:ascii="Arial" w:hAnsi="Arial" w:cs="Arial"/>
      <w:b/>
      <w:bCs/>
      <w:color w:val="000000"/>
    </w:rPr>
  </w:style>
  <w:style w:type="paragraph" w:customStyle="1" w:styleId="xl46">
    <w:name w:val="xl46"/>
    <w:basedOn w:val="Normal"/>
    <w:pPr>
      <w:pBdr>
        <w:top w:val="single" w:sz="8" w:space="0" w:color="000000"/>
        <w:left w:val="single" w:sz="4" w:space="0" w:color="000000"/>
        <w:bottom w:val="single" w:sz="8" w:space="0" w:color="000000"/>
        <w:right w:val="single" w:sz="8" w:space="0" w:color="000000"/>
      </w:pBdr>
      <w:shd w:val="clear" w:color="auto" w:fill="969696"/>
      <w:spacing w:before="100" w:beforeAutospacing="1" w:after="100" w:afterAutospacing="1"/>
    </w:pPr>
    <w:rPr>
      <w:rFonts w:ascii="Arial" w:hAnsi="Arial" w:cs="Arial"/>
      <w:b/>
      <w:bCs/>
      <w:color w:val="000000"/>
    </w:rPr>
  </w:style>
  <w:style w:type="paragraph" w:customStyle="1" w:styleId="xl47">
    <w:name w:val="xl47"/>
    <w:basedOn w:val="Normal"/>
    <w:pPr>
      <w:pBdr>
        <w:top w:val="single" w:sz="8" w:space="0" w:color="000000"/>
        <w:left w:val="single" w:sz="4" w:space="0" w:color="000000"/>
        <w:bottom w:val="single" w:sz="8" w:space="0" w:color="000000"/>
        <w:right w:val="double" w:sz="6" w:space="0" w:color="000000"/>
      </w:pBdr>
      <w:shd w:val="clear" w:color="auto" w:fill="969696"/>
      <w:spacing w:before="100" w:beforeAutospacing="1" w:after="100" w:afterAutospacing="1"/>
    </w:pPr>
    <w:rPr>
      <w:rFonts w:ascii="Arial" w:hAnsi="Arial" w:cs="Arial"/>
      <w:b/>
      <w:bCs/>
      <w:color w:val="000000"/>
    </w:rPr>
  </w:style>
  <w:style w:type="paragraph" w:customStyle="1" w:styleId="xl48">
    <w:name w:val="xl48"/>
    <w:basedOn w:val="Normal"/>
    <w:pPr>
      <w:pBdr>
        <w:top w:val="single" w:sz="4" w:space="0" w:color="000000"/>
        <w:left w:val="double" w:sz="6" w:space="0" w:color="000000"/>
        <w:right w:val="single" w:sz="8" w:space="0" w:color="000000"/>
      </w:pBdr>
      <w:shd w:val="clear" w:color="auto" w:fill="969696"/>
      <w:spacing w:before="100" w:beforeAutospacing="1" w:after="100" w:afterAutospacing="1"/>
    </w:pPr>
    <w:rPr>
      <w:rFonts w:ascii="Arial" w:hAnsi="Arial" w:cs="Arial"/>
      <w:color w:val="000000"/>
    </w:rPr>
  </w:style>
  <w:style w:type="paragraph" w:customStyle="1" w:styleId="xl49">
    <w:name w:val="xl49"/>
    <w:basedOn w:val="Normal"/>
    <w:pPr>
      <w:pBdr>
        <w:left w:val="single" w:sz="8" w:space="0" w:color="000000"/>
      </w:pBdr>
      <w:shd w:val="clear" w:color="auto" w:fill="FFFFFF"/>
      <w:spacing w:before="100" w:beforeAutospacing="1" w:after="100" w:afterAutospacing="1"/>
    </w:pPr>
    <w:rPr>
      <w:rFonts w:ascii="Arial" w:hAnsi="Arial" w:cs="Arial"/>
      <w:sz w:val="28"/>
      <w:szCs w:val="28"/>
    </w:rPr>
  </w:style>
  <w:style w:type="paragraph" w:customStyle="1" w:styleId="xl50">
    <w:name w:val="xl50"/>
    <w:basedOn w:val="Normal"/>
    <w:pPr>
      <w:shd w:val="clear" w:color="auto" w:fill="FFFFFF"/>
      <w:spacing w:before="100" w:beforeAutospacing="1" w:after="100" w:afterAutospacing="1"/>
    </w:pPr>
    <w:rPr>
      <w:rFonts w:ascii="Arial" w:hAnsi="Arial" w:cs="Arial"/>
      <w:sz w:val="28"/>
      <w:szCs w:val="28"/>
    </w:rPr>
  </w:style>
  <w:style w:type="paragraph" w:customStyle="1" w:styleId="xl51">
    <w:name w:val="xl51"/>
    <w:basedOn w:val="Normal"/>
    <w:pPr>
      <w:pBdr>
        <w:right w:val="double" w:sz="6" w:space="0" w:color="000000"/>
      </w:pBdr>
      <w:shd w:val="clear" w:color="auto" w:fill="FFFFFF"/>
      <w:spacing w:before="100" w:beforeAutospacing="1" w:after="100" w:afterAutospacing="1"/>
    </w:pPr>
    <w:rPr>
      <w:rFonts w:ascii="Arial" w:hAnsi="Arial" w:cs="Arial"/>
      <w:sz w:val="28"/>
      <w:szCs w:val="28"/>
    </w:rPr>
  </w:style>
  <w:style w:type="paragraph" w:customStyle="1" w:styleId="xl52">
    <w:name w:val="xl52"/>
    <w:basedOn w:val="Normal"/>
    <w:pPr>
      <w:pBdr>
        <w:top w:val="double" w:sz="6" w:space="0" w:color="000000"/>
        <w:left w:val="single" w:sz="8" w:space="0" w:color="000000"/>
      </w:pBdr>
      <w:shd w:val="clear" w:color="auto" w:fill="969696"/>
      <w:spacing w:before="100" w:beforeAutospacing="1" w:after="100" w:afterAutospacing="1"/>
      <w:jc w:val="center"/>
      <w:textAlignment w:val="center"/>
    </w:pPr>
    <w:rPr>
      <w:rFonts w:ascii="Arial" w:hAnsi="Arial" w:cs="Arial"/>
      <w:b/>
      <w:bCs/>
      <w:color w:val="000000"/>
    </w:rPr>
  </w:style>
  <w:style w:type="paragraph" w:customStyle="1" w:styleId="xl53">
    <w:name w:val="xl53"/>
    <w:basedOn w:val="Normal"/>
    <w:pPr>
      <w:pBdr>
        <w:top w:val="double" w:sz="6" w:space="0" w:color="000000"/>
        <w:right w:val="double" w:sz="6" w:space="0" w:color="000000"/>
      </w:pBdr>
      <w:shd w:val="clear" w:color="auto" w:fill="969696"/>
      <w:spacing w:before="100" w:beforeAutospacing="1" w:after="100" w:afterAutospacing="1"/>
      <w:jc w:val="center"/>
      <w:textAlignment w:val="center"/>
    </w:pPr>
    <w:rPr>
      <w:rFonts w:ascii="Arial" w:hAnsi="Arial" w:cs="Arial"/>
      <w:b/>
      <w:bCs/>
      <w:color w:val="000000"/>
    </w:rPr>
  </w:style>
  <w:style w:type="character" w:styleId="FollowedHyperlink">
    <w:name w:val="FollowedHyperlink"/>
    <w:semiHidden/>
    <w:rPr>
      <w:color w:val="800080"/>
      <w:u w:val="single"/>
    </w:rPr>
  </w:style>
  <w:style w:type="paragraph" w:customStyle="1" w:styleId="1">
    <w:name w:val="1"/>
    <w:basedOn w:val="Normal"/>
    <w:next w:val="BodyTextIndent"/>
    <w:pPr>
      <w:ind w:left="-360"/>
      <w:jc w:val="both"/>
    </w:pPr>
  </w:style>
  <w:style w:type="paragraph" w:customStyle="1" w:styleId="StyleExhibitTitlecenteredleft0cmFirstLine0cmCenteredLe">
    <w:name w:val="Style Exhibit Title+centeredleft:0cm First Line:0cm + Centered Le..."/>
    <w:basedOn w:val="ExhibitTitlecentered"/>
    <w:autoRedefine/>
    <w:pPr>
      <w:keepNext w:val="0"/>
      <w:keepLines w:val="0"/>
      <w:suppressAutoHyphens w:val="0"/>
      <w:snapToGrid/>
      <w:spacing w:before="0" w:after="0"/>
      <w:ind w:left="0" w:firstLine="0"/>
    </w:pPr>
    <w:rPr>
      <w:rFonts w:ascii="Times New Roman" w:hAnsi="Times New Roman"/>
      <w:bCs/>
      <w:sz w:val="24"/>
      <w:szCs w:val="24"/>
      <w:lang w:val="es-ES" w:eastAsia="es-ES"/>
    </w:rPr>
  </w:style>
  <w:style w:type="paragraph" w:customStyle="1" w:styleId="ExhibitTitlecentered">
    <w:name w:val="Exhibit Title+centered"/>
    <w:aliases w:val="left:0cm First Line:0cm"/>
    <w:pPr>
      <w:keepNext/>
      <w:keepLines/>
      <w:suppressAutoHyphens/>
      <w:snapToGrid w:val="0"/>
      <w:spacing w:before="240" w:after="240"/>
      <w:ind w:left="1440" w:hanging="1440"/>
    </w:pPr>
    <w:rPr>
      <w:rFonts w:ascii="Arial" w:eastAsia="Times New Roman" w:hAnsi="Arial"/>
      <w:b/>
      <w:sz w:val="22"/>
      <w:lang w:val="en-US" w:eastAsia="ar-SA"/>
    </w:rPr>
  </w:style>
  <w:style w:type="character" w:customStyle="1" w:styleId="Smbolodenotaalpie">
    <w:name w:val="Símbolo de nota al pie"/>
    <w:rPr>
      <w:vertAlign w:val="superscript"/>
    </w:rPr>
  </w:style>
  <w:style w:type="paragraph" w:customStyle="1" w:styleId="pa7">
    <w:name w:val="pa7"/>
    <w:basedOn w:val="Normal"/>
    <w:pPr>
      <w:spacing w:before="100" w:beforeAutospacing="1" w:after="100" w:afterAutospacing="1"/>
    </w:pPr>
    <w:rPr>
      <w:rFonts w:ascii="Arial Unicode MS" w:eastAsia="Arial Unicode MS" w:hAnsi="Arial Unicode MS"/>
    </w:rPr>
  </w:style>
  <w:style w:type="paragraph" w:styleId="ListNumber5">
    <w:name w:val="List Number 5"/>
    <w:basedOn w:val="Normal"/>
    <w:semiHidden/>
    <w:pPr>
      <w:tabs>
        <w:tab w:val="num" w:pos="360"/>
        <w:tab w:val="num" w:pos="1800"/>
      </w:tabs>
      <w:ind w:left="1800" w:hanging="360"/>
    </w:pPr>
    <w:rPr>
      <w:sz w:val="22"/>
      <w:szCs w:val="20"/>
    </w:rPr>
  </w:style>
  <w:style w:type="character" w:customStyle="1" w:styleId="Ttulo1CarCarCarCarCarCarCarCarCarCarCarCarCarCarCarCarCar">
    <w:name w:val="Título 1 Car Car Car Car Car Car Car Car Car Car Car Car Car Car Car Car Car"/>
    <w:rPr>
      <w:b/>
      <w:sz w:val="24"/>
      <w:lang w:val="es-ES_tradnl" w:eastAsia="es-ES" w:bidi="ar-SA"/>
    </w:rPr>
  </w:style>
  <w:style w:type="paragraph" w:customStyle="1" w:styleId="xl54">
    <w:name w:val="xl54"/>
    <w:basedOn w:val="Normal"/>
    <w:pPr>
      <w:pBdr>
        <w:left w:val="single" w:sz="8" w:space="0" w:color="000000"/>
        <w:bottom w:val="single" w:sz="8" w:space="0" w:color="000000"/>
      </w:pBdr>
      <w:shd w:val="clear" w:color="auto" w:fill="DDDDDD"/>
      <w:spacing w:before="100" w:beforeAutospacing="1" w:after="100" w:afterAutospacing="1"/>
      <w:jc w:val="center"/>
      <w:textAlignment w:val="center"/>
    </w:pPr>
    <w:rPr>
      <w:rFonts w:ascii="Arial" w:eastAsia="Arial Unicode MS" w:hAnsi="Arial" w:cs="Arial"/>
      <w:b/>
      <w:bCs/>
      <w:color w:val="000000"/>
    </w:rPr>
  </w:style>
  <w:style w:type="paragraph" w:customStyle="1" w:styleId="xl55">
    <w:name w:val="xl55"/>
    <w:basedOn w:val="Normal"/>
    <w:pPr>
      <w:pBdr>
        <w:bottom w:val="single" w:sz="8" w:space="0" w:color="000000"/>
        <w:right w:val="double" w:sz="6" w:space="0" w:color="000000"/>
      </w:pBdr>
      <w:shd w:val="clear" w:color="auto" w:fill="DDDDDD"/>
      <w:spacing w:before="100" w:beforeAutospacing="1" w:after="100" w:afterAutospacing="1"/>
      <w:jc w:val="center"/>
      <w:textAlignment w:val="center"/>
    </w:pPr>
    <w:rPr>
      <w:rFonts w:ascii="Arial" w:eastAsia="Arial Unicode MS" w:hAnsi="Arial" w:cs="Arial"/>
      <w:b/>
      <w:bCs/>
      <w:color w:val="000000"/>
    </w:rPr>
  </w:style>
  <w:style w:type="paragraph" w:customStyle="1" w:styleId="xl56">
    <w:name w:val="xl56"/>
    <w:basedOn w:val="Normal"/>
    <w:pPr>
      <w:pBdr>
        <w:top w:val="double" w:sz="6" w:space="0" w:color="000000"/>
        <w:right w:val="double" w:sz="6" w:space="0" w:color="000000"/>
      </w:pBdr>
      <w:shd w:val="clear" w:color="auto" w:fill="DDDDDD"/>
      <w:spacing w:before="100" w:beforeAutospacing="1" w:after="100" w:afterAutospacing="1"/>
      <w:jc w:val="center"/>
      <w:textAlignment w:val="center"/>
    </w:pPr>
    <w:rPr>
      <w:rFonts w:ascii="Arial Unicode MS" w:eastAsia="Arial Unicode MS" w:hAnsi="Arial Unicode MS" w:cs="Arial Unicode MS"/>
      <w:b/>
      <w:bCs/>
      <w:color w:val="000000"/>
    </w:rPr>
  </w:style>
  <w:style w:type="paragraph" w:customStyle="1" w:styleId="xl57">
    <w:name w:val="xl57"/>
    <w:basedOn w:val="Normal"/>
    <w:pPr>
      <w:pBdr>
        <w:left w:val="single" w:sz="8" w:space="0" w:color="000000"/>
        <w:bottom w:val="single" w:sz="8" w:space="0" w:color="000000"/>
      </w:pBdr>
      <w:shd w:val="clear" w:color="auto" w:fill="DDDDDD"/>
      <w:spacing w:before="100" w:beforeAutospacing="1" w:after="100" w:afterAutospacing="1"/>
      <w:jc w:val="center"/>
      <w:textAlignment w:val="center"/>
    </w:pPr>
    <w:rPr>
      <w:rFonts w:ascii="Arial Unicode MS" w:eastAsia="Arial Unicode MS" w:hAnsi="Arial Unicode MS" w:cs="Arial Unicode MS"/>
      <w:b/>
      <w:bCs/>
      <w:color w:val="000000"/>
    </w:rPr>
  </w:style>
  <w:style w:type="paragraph" w:customStyle="1" w:styleId="xl58">
    <w:name w:val="xl58"/>
    <w:basedOn w:val="Normal"/>
    <w:pPr>
      <w:pBdr>
        <w:bottom w:val="single" w:sz="8" w:space="0" w:color="000000"/>
        <w:right w:val="double" w:sz="6" w:space="0" w:color="000000"/>
      </w:pBdr>
      <w:shd w:val="clear" w:color="auto" w:fill="DDDDDD"/>
      <w:spacing w:before="100" w:beforeAutospacing="1" w:after="100" w:afterAutospacing="1"/>
      <w:jc w:val="center"/>
      <w:textAlignment w:val="center"/>
    </w:pPr>
    <w:rPr>
      <w:rFonts w:ascii="Arial Unicode MS" w:eastAsia="Arial Unicode MS" w:hAnsi="Arial Unicode MS" w:cs="Arial Unicode MS"/>
      <w:b/>
      <w:bCs/>
      <w:color w:val="000000"/>
    </w:rPr>
  </w:style>
  <w:style w:type="character" w:customStyle="1" w:styleId="a">
    <w:name w:val="a"/>
    <w:basedOn w:val="DefaultParagraphFont"/>
  </w:style>
  <w:style w:type="character" w:customStyle="1" w:styleId="plaintextbody">
    <w:name w:val="plaintextbody"/>
    <w:basedOn w:val="DefaultParagraphFont"/>
  </w:style>
  <w:style w:type="paragraph" w:customStyle="1" w:styleId="Chapter">
    <w:name w:val="Chapter"/>
    <w:basedOn w:val="Normal"/>
    <w:next w:val="Normal"/>
    <w:pPr>
      <w:tabs>
        <w:tab w:val="num" w:pos="648"/>
        <w:tab w:val="left" w:pos="1440"/>
      </w:tabs>
      <w:spacing w:before="240" w:after="240"/>
      <w:ind w:firstLine="288"/>
      <w:jc w:val="center"/>
    </w:pPr>
    <w:rPr>
      <w:b/>
      <w:smallCaps/>
      <w:szCs w:val="20"/>
      <w:lang w:val="es-ES_tradnl" w:eastAsia="en-US"/>
    </w:rPr>
  </w:style>
  <w:style w:type="paragraph" w:customStyle="1" w:styleId="Paragraph">
    <w:name w:val="Paragraph"/>
    <w:basedOn w:val="BodyTextIndent"/>
    <w:pPr>
      <w:numPr>
        <w:ilvl w:val="1"/>
      </w:numPr>
      <w:tabs>
        <w:tab w:val="num" w:pos="720"/>
      </w:tabs>
      <w:spacing w:before="120" w:after="120"/>
      <w:ind w:left="720" w:hanging="720"/>
      <w:outlineLvl w:val="1"/>
    </w:pPr>
    <w:rPr>
      <w:szCs w:val="20"/>
      <w:lang w:val="es-ES_tradnl" w:eastAsia="en-US"/>
    </w:rPr>
  </w:style>
  <w:style w:type="paragraph" w:customStyle="1" w:styleId="subpar">
    <w:name w:val="subpar"/>
    <w:basedOn w:val="BodyTextIndent3"/>
    <w:pPr>
      <w:numPr>
        <w:ilvl w:val="2"/>
      </w:numPr>
      <w:tabs>
        <w:tab w:val="num" w:pos="1152"/>
      </w:tabs>
      <w:spacing w:before="120" w:after="120"/>
      <w:ind w:left="1152" w:hanging="432"/>
      <w:outlineLvl w:val="2"/>
    </w:pPr>
    <w:rPr>
      <w:rFonts w:ascii="Times New Roman" w:hAnsi="Times New Roman" w:cs="Times New Roman"/>
      <w:szCs w:val="20"/>
      <w:lang w:val="es-ES_tradnl" w:eastAsia="en-US"/>
    </w:rPr>
  </w:style>
  <w:style w:type="paragraph" w:customStyle="1" w:styleId="SubSubPar">
    <w:name w:val="SubSubPar"/>
    <w:basedOn w:val="subpar"/>
    <w:pPr>
      <w:numPr>
        <w:ilvl w:val="1"/>
        <w:numId w:val="13"/>
      </w:numPr>
      <w:tabs>
        <w:tab w:val="left" w:pos="0"/>
        <w:tab w:val="num" w:pos="1584"/>
      </w:tabs>
      <w:ind w:left="1584" w:hanging="288"/>
    </w:pPr>
  </w:style>
  <w:style w:type="paragraph" w:customStyle="1" w:styleId="ListParagraph1">
    <w:name w:val="List Paragraph1"/>
    <w:basedOn w:val="Normal"/>
    <w:qFormat/>
    <w:pPr>
      <w:numPr>
        <w:ilvl w:val="2"/>
        <w:numId w:val="13"/>
      </w:numPr>
      <w:ind w:left="708" w:firstLine="0"/>
    </w:pPr>
    <w:rPr>
      <w:lang w:val="en-US" w:eastAsia="en-US"/>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CharacterStyle1">
    <w:name w:val="Character Style 1"/>
    <w:rPr>
      <w:sz w:val="12"/>
      <w:szCs w:val="12"/>
    </w:rPr>
  </w:style>
  <w:style w:type="paragraph" w:customStyle="1" w:styleId="Style1">
    <w:name w:val="Style 1"/>
    <w:pPr>
      <w:widowControl w:val="0"/>
      <w:autoSpaceDE w:val="0"/>
      <w:autoSpaceDN w:val="0"/>
      <w:adjustRightInd w:val="0"/>
    </w:pPr>
    <w:rPr>
      <w:rFonts w:eastAsia="Times New Roman"/>
      <w:lang w:val="en-US" w:eastAsia="en-US" w:bidi="en-US"/>
    </w:rPr>
  </w:style>
  <w:style w:type="paragraph" w:customStyle="1" w:styleId="Style3">
    <w:name w:val="Style 3"/>
    <w:pPr>
      <w:widowControl w:val="0"/>
      <w:autoSpaceDE w:val="0"/>
      <w:autoSpaceDN w:val="0"/>
      <w:spacing w:line="266" w:lineRule="auto"/>
      <w:ind w:left="72"/>
    </w:pPr>
    <w:rPr>
      <w:rFonts w:ascii="Arial" w:eastAsia="Times New Roman" w:hAnsi="Arial" w:cs="Arial"/>
      <w:sz w:val="14"/>
      <w:szCs w:val="14"/>
      <w:lang w:val="en-US" w:eastAsia="en-US" w:bidi="en-US"/>
    </w:rPr>
  </w:style>
  <w:style w:type="character" w:customStyle="1" w:styleId="CharacterStyle2">
    <w:name w:val="Character Style 2"/>
    <w:rPr>
      <w:rFonts w:ascii="Arial" w:hAnsi="Arial"/>
      <w:sz w:val="14"/>
    </w:rPr>
  </w:style>
  <w:style w:type="paragraph" w:customStyle="1" w:styleId="Style12">
    <w:name w:val="Style 12"/>
    <w:pPr>
      <w:widowControl w:val="0"/>
      <w:autoSpaceDE w:val="0"/>
      <w:autoSpaceDN w:val="0"/>
      <w:spacing w:line="252" w:lineRule="exact"/>
      <w:ind w:left="8568" w:hanging="792"/>
    </w:pPr>
    <w:rPr>
      <w:rFonts w:eastAsia="Times New Roman"/>
      <w:b/>
      <w:bCs/>
      <w:sz w:val="24"/>
      <w:szCs w:val="24"/>
      <w:lang w:val="en-US" w:eastAsia="en-US" w:bidi="en-US"/>
    </w:rPr>
  </w:style>
  <w:style w:type="paragraph" w:customStyle="1" w:styleId="Style21">
    <w:name w:val="Style 21"/>
    <w:pPr>
      <w:widowControl w:val="0"/>
      <w:autoSpaceDE w:val="0"/>
      <w:autoSpaceDN w:val="0"/>
      <w:adjustRightInd w:val="0"/>
    </w:pPr>
    <w:rPr>
      <w:rFonts w:ascii="Trebuchet MS" w:eastAsia="Times New Roman" w:hAnsi="Trebuchet MS" w:cs="Trebuchet MS"/>
      <w:sz w:val="12"/>
      <w:szCs w:val="12"/>
      <w:lang w:val="en-US" w:eastAsia="en-US" w:bidi="en-US"/>
    </w:rPr>
  </w:style>
  <w:style w:type="character" w:customStyle="1" w:styleId="CharacterStyle8">
    <w:name w:val="Character Style 8"/>
    <w:rPr>
      <w:rFonts w:ascii="Trebuchet MS" w:hAnsi="Trebuchet MS"/>
      <w:sz w:val="12"/>
    </w:rPr>
  </w:style>
  <w:style w:type="paragraph" w:customStyle="1" w:styleId="Style2">
    <w:name w:val="Style 2"/>
    <w:pPr>
      <w:widowControl w:val="0"/>
      <w:autoSpaceDE w:val="0"/>
      <w:autoSpaceDN w:val="0"/>
      <w:adjustRightInd w:val="0"/>
    </w:pPr>
    <w:rPr>
      <w:rFonts w:eastAsia="Times New Roman"/>
      <w:sz w:val="12"/>
      <w:szCs w:val="12"/>
      <w:lang w:val="en-US" w:eastAsia="en-US" w:bidi="en-US"/>
    </w:rPr>
  </w:style>
  <w:style w:type="paragraph" w:customStyle="1" w:styleId="Style4">
    <w:name w:val="Style 4"/>
    <w:pPr>
      <w:widowControl w:val="0"/>
      <w:autoSpaceDE w:val="0"/>
      <w:autoSpaceDN w:val="0"/>
      <w:spacing w:before="36" w:after="72"/>
      <w:ind w:left="720" w:hanging="720"/>
    </w:pPr>
    <w:rPr>
      <w:rFonts w:ascii="Arial" w:eastAsia="Times New Roman" w:hAnsi="Arial" w:cs="Arial"/>
      <w:b/>
      <w:bCs/>
      <w:sz w:val="18"/>
      <w:szCs w:val="18"/>
      <w:lang w:val="en-US" w:eastAsia="en-US" w:bidi="en-US"/>
    </w:rPr>
  </w:style>
  <w:style w:type="paragraph" w:customStyle="1" w:styleId="Style5">
    <w:name w:val="Style 5"/>
    <w:pPr>
      <w:widowControl w:val="0"/>
      <w:autoSpaceDE w:val="0"/>
      <w:autoSpaceDN w:val="0"/>
      <w:adjustRightInd w:val="0"/>
    </w:pPr>
    <w:rPr>
      <w:rFonts w:eastAsia="Times New Roman"/>
      <w:sz w:val="22"/>
      <w:szCs w:val="22"/>
      <w:lang w:val="en-US" w:eastAsia="en-US" w:bidi="en-US"/>
    </w:rPr>
  </w:style>
  <w:style w:type="paragraph" w:customStyle="1" w:styleId="Style13">
    <w:name w:val="Style 13"/>
    <w:pPr>
      <w:widowControl w:val="0"/>
      <w:autoSpaceDE w:val="0"/>
      <w:autoSpaceDN w:val="0"/>
      <w:spacing w:before="216" w:line="271" w:lineRule="auto"/>
      <w:ind w:left="72"/>
    </w:pPr>
    <w:rPr>
      <w:rFonts w:eastAsia="Times New Roman"/>
      <w:b/>
      <w:bCs/>
      <w:sz w:val="24"/>
      <w:szCs w:val="24"/>
      <w:lang w:val="en-US" w:eastAsia="en-US" w:bidi="en-US"/>
    </w:rPr>
  </w:style>
  <w:style w:type="paragraph" w:customStyle="1" w:styleId="Style6">
    <w:name w:val="Style 6"/>
    <w:pPr>
      <w:widowControl w:val="0"/>
      <w:autoSpaceDE w:val="0"/>
      <w:autoSpaceDN w:val="0"/>
      <w:spacing w:before="1332" w:line="271" w:lineRule="auto"/>
      <w:ind w:left="1656" w:right="3240" w:hanging="1008"/>
    </w:pPr>
    <w:rPr>
      <w:rFonts w:ascii="Arial" w:eastAsia="Times New Roman" w:hAnsi="Arial" w:cs="Arial"/>
      <w:b/>
      <w:bCs/>
      <w:sz w:val="18"/>
      <w:szCs w:val="18"/>
      <w:lang w:val="en-US" w:eastAsia="en-US" w:bidi="en-US"/>
    </w:rPr>
  </w:style>
  <w:style w:type="paragraph" w:customStyle="1" w:styleId="Style7">
    <w:name w:val="Style 7"/>
    <w:pPr>
      <w:widowControl w:val="0"/>
      <w:autoSpaceDE w:val="0"/>
      <w:autoSpaceDN w:val="0"/>
      <w:spacing w:before="180" w:after="1152" w:line="278" w:lineRule="auto"/>
      <w:ind w:left="936"/>
    </w:pPr>
    <w:rPr>
      <w:rFonts w:ascii="Arial" w:eastAsia="Times New Roman" w:hAnsi="Arial" w:cs="Arial"/>
      <w:b/>
      <w:bCs/>
      <w:sz w:val="14"/>
      <w:szCs w:val="14"/>
      <w:lang w:val="en-US" w:eastAsia="en-US" w:bidi="en-US"/>
    </w:rPr>
  </w:style>
  <w:style w:type="paragraph" w:customStyle="1" w:styleId="Style8">
    <w:name w:val="Style 8"/>
    <w:pPr>
      <w:widowControl w:val="0"/>
      <w:autoSpaceDE w:val="0"/>
      <w:autoSpaceDN w:val="0"/>
      <w:spacing w:after="612"/>
      <w:ind w:right="6912"/>
    </w:pPr>
    <w:rPr>
      <w:rFonts w:eastAsia="Times New Roman"/>
      <w:sz w:val="22"/>
      <w:szCs w:val="22"/>
      <w:lang w:val="en-US" w:eastAsia="en-US" w:bidi="en-US"/>
    </w:rPr>
  </w:style>
  <w:style w:type="paragraph" w:customStyle="1" w:styleId="Style22">
    <w:name w:val="Style 22"/>
    <w:pPr>
      <w:widowControl w:val="0"/>
      <w:autoSpaceDE w:val="0"/>
      <w:autoSpaceDN w:val="0"/>
      <w:adjustRightInd w:val="0"/>
    </w:pPr>
    <w:rPr>
      <w:rFonts w:ascii="Arial" w:eastAsia="Times New Roman" w:hAnsi="Arial" w:cs="Arial"/>
      <w:sz w:val="12"/>
      <w:szCs w:val="12"/>
      <w:lang w:val="en-US" w:eastAsia="en-US" w:bidi="en-US"/>
    </w:rPr>
  </w:style>
  <w:style w:type="paragraph" w:customStyle="1" w:styleId="Style18">
    <w:name w:val="Style 18"/>
    <w:pPr>
      <w:widowControl w:val="0"/>
      <w:autoSpaceDE w:val="0"/>
      <w:autoSpaceDN w:val="0"/>
      <w:spacing w:before="1692" w:line="271" w:lineRule="auto"/>
      <w:ind w:left="144"/>
    </w:pPr>
    <w:rPr>
      <w:rFonts w:eastAsia="Times New Roman"/>
      <w:b/>
      <w:bCs/>
      <w:sz w:val="24"/>
      <w:szCs w:val="24"/>
      <w:lang w:val="en-US" w:eastAsia="en-US" w:bidi="en-US"/>
    </w:rPr>
  </w:style>
  <w:style w:type="paragraph" w:customStyle="1" w:styleId="Style9">
    <w:name w:val="Style 9"/>
    <w:pPr>
      <w:widowControl w:val="0"/>
      <w:autoSpaceDE w:val="0"/>
      <w:autoSpaceDN w:val="0"/>
      <w:spacing w:after="612"/>
      <w:ind w:right="7272"/>
    </w:pPr>
    <w:rPr>
      <w:rFonts w:eastAsia="Times New Roman"/>
      <w:b/>
      <w:bCs/>
      <w:sz w:val="24"/>
      <w:szCs w:val="24"/>
      <w:lang w:val="en-US" w:eastAsia="en-US" w:bidi="en-US"/>
    </w:rPr>
  </w:style>
  <w:style w:type="paragraph" w:customStyle="1" w:styleId="Style17">
    <w:name w:val="Style 17"/>
    <w:pPr>
      <w:widowControl w:val="0"/>
      <w:autoSpaceDE w:val="0"/>
      <w:autoSpaceDN w:val="0"/>
      <w:spacing w:before="288" w:line="276" w:lineRule="auto"/>
      <w:ind w:left="864"/>
    </w:pPr>
    <w:rPr>
      <w:rFonts w:eastAsia="Times New Roman"/>
      <w:b/>
      <w:bCs/>
      <w:sz w:val="24"/>
      <w:szCs w:val="24"/>
      <w:lang w:val="en-US" w:eastAsia="en-US" w:bidi="en-US"/>
    </w:rPr>
  </w:style>
  <w:style w:type="paragraph" w:customStyle="1" w:styleId="Style20">
    <w:name w:val="Style 20"/>
    <w:pPr>
      <w:widowControl w:val="0"/>
      <w:autoSpaceDE w:val="0"/>
      <w:autoSpaceDN w:val="0"/>
      <w:spacing w:line="283" w:lineRule="auto"/>
      <w:jc w:val="center"/>
    </w:pPr>
    <w:rPr>
      <w:rFonts w:eastAsia="Times New Roman"/>
      <w:b/>
      <w:bCs/>
      <w:sz w:val="16"/>
      <w:szCs w:val="16"/>
      <w:lang w:val="en-US" w:eastAsia="en-US" w:bidi="en-US"/>
    </w:rPr>
  </w:style>
  <w:style w:type="paragraph" w:customStyle="1" w:styleId="Style19">
    <w:name w:val="Style 19"/>
    <w:pPr>
      <w:widowControl w:val="0"/>
      <w:autoSpaceDE w:val="0"/>
      <w:autoSpaceDN w:val="0"/>
      <w:spacing w:before="36" w:after="4104"/>
      <w:ind w:right="3672"/>
    </w:pPr>
    <w:rPr>
      <w:rFonts w:eastAsia="Times New Roman"/>
      <w:b/>
      <w:bCs/>
      <w:sz w:val="16"/>
      <w:szCs w:val="16"/>
      <w:lang w:val="en-US" w:eastAsia="en-US" w:bidi="en-US"/>
    </w:rPr>
  </w:style>
  <w:style w:type="paragraph" w:customStyle="1" w:styleId="Style10">
    <w:name w:val="Style 10"/>
    <w:pPr>
      <w:widowControl w:val="0"/>
      <w:autoSpaceDE w:val="0"/>
      <w:autoSpaceDN w:val="0"/>
      <w:adjustRightInd w:val="0"/>
    </w:pPr>
    <w:rPr>
      <w:rFonts w:ascii="Arial" w:eastAsia="Times New Roman" w:hAnsi="Arial" w:cs="Arial"/>
      <w:sz w:val="12"/>
      <w:szCs w:val="12"/>
      <w:lang w:val="en-US" w:eastAsia="en-US" w:bidi="en-US"/>
    </w:rPr>
  </w:style>
  <w:style w:type="paragraph" w:customStyle="1" w:styleId="Style16">
    <w:name w:val="Style 16"/>
    <w:pPr>
      <w:widowControl w:val="0"/>
      <w:autoSpaceDE w:val="0"/>
      <w:autoSpaceDN w:val="0"/>
      <w:spacing w:line="252" w:lineRule="exact"/>
      <w:ind w:left="648" w:hanging="648"/>
    </w:pPr>
    <w:rPr>
      <w:rFonts w:eastAsia="Times New Roman"/>
      <w:b/>
      <w:bCs/>
      <w:sz w:val="24"/>
      <w:szCs w:val="24"/>
      <w:lang w:val="en-US" w:eastAsia="en-US" w:bidi="en-US"/>
    </w:rPr>
  </w:style>
  <w:style w:type="paragraph" w:customStyle="1" w:styleId="Style15">
    <w:name w:val="Style 15"/>
    <w:pPr>
      <w:widowControl w:val="0"/>
      <w:autoSpaceDE w:val="0"/>
      <w:autoSpaceDN w:val="0"/>
      <w:spacing w:line="86" w:lineRule="auto"/>
      <w:ind w:left="1332"/>
    </w:pPr>
    <w:rPr>
      <w:rFonts w:ascii="Arial" w:eastAsia="Times New Roman" w:hAnsi="Arial" w:cs="Arial"/>
      <w:sz w:val="12"/>
      <w:szCs w:val="12"/>
      <w:lang w:val="en-US" w:eastAsia="en-US" w:bidi="en-US"/>
    </w:rPr>
  </w:style>
  <w:style w:type="paragraph" w:customStyle="1" w:styleId="Style14">
    <w:name w:val="Style 14"/>
    <w:pPr>
      <w:widowControl w:val="0"/>
      <w:autoSpaceDE w:val="0"/>
      <w:autoSpaceDN w:val="0"/>
      <w:ind w:left="72" w:right="7200"/>
    </w:pPr>
    <w:rPr>
      <w:rFonts w:eastAsia="Times New Roman"/>
      <w:b/>
      <w:bCs/>
      <w:sz w:val="24"/>
      <w:szCs w:val="24"/>
      <w:lang w:val="en-US" w:eastAsia="en-US" w:bidi="en-US"/>
    </w:rPr>
  </w:style>
  <w:style w:type="character" w:customStyle="1" w:styleId="CharacterStyle3">
    <w:name w:val="Character Style 3"/>
    <w:rPr>
      <w:rFonts w:ascii="Arial" w:hAnsi="Arial"/>
      <w:b/>
      <w:sz w:val="14"/>
    </w:rPr>
  </w:style>
  <w:style w:type="character" w:customStyle="1" w:styleId="CharacterStyle4">
    <w:name w:val="Character Style 4"/>
    <w:rPr>
      <w:sz w:val="22"/>
    </w:rPr>
  </w:style>
  <w:style w:type="character" w:customStyle="1" w:styleId="CharacterStyle5">
    <w:name w:val="Character Style 5"/>
    <w:rPr>
      <w:b/>
      <w:sz w:val="16"/>
    </w:rPr>
  </w:style>
  <w:style w:type="character" w:customStyle="1" w:styleId="CharacterStyle10">
    <w:name w:val="Character Style 10"/>
    <w:rPr>
      <w:rFonts w:ascii="Arial" w:hAnsi="Arial"/>
      <w:b/>
      <w:sz w:val="18"/>
    </w:rPr>
  </w:style>
  <w:style w:type="character" w:customStyle="1" w:styleId="CharacterStyle6">
    <w:name w:val="Character Style 6"/>
    <w:rPr>
      <w:rFonts w:ascii="Arial" w:hAnsi="Arial"/>
      <w:sz w:val="12"/>
    </w:rPr>
  </w:style>
  <w:style w:type="character" w:customStyle="1" w:styleId="CharacterStyle7">
    <w:name w:val="Character Style 7"/>
    <w:rPr>
      <w:b/>
      <w:sz w:val="24"/>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I">
    <w:name w:val="I."/>
    <w:basedOn w:val="Heading1"/>
    <w:autoRedefine/>
    <w:qFormat/>
    <w:pPr>
      <w:autoSpaceDE/>
      <w:autoSpaceDN/>
      <w:adjustRightInd/>
      <w:spacing w:after="240"/>
    </w:pPr>
    <w:rPr>
      <w:color w:val="auto"/>
      <w:szCs w:val="24"/>
    </w:rPr>
  </w:style>
  <w:style w:type="paragraph" w:customStyle="1" w:styleId="A0">
    <w:name w:val="A."/>
    <w:basedOn w:val="Heading2"/>
    <w:autoRedefine/>
    <w:qFormat/>
    <w:rsid w:val="006228EF"/>
    <w:pPr>
      <w:spacing w:before="240" w:after="240"/>
    </w:pPr>
    <w:rPr>
      <w:color w:val="auto"/>
      <w:sz w:val="24"/>
      <w:lang w:val="en-GB"/>
    </w:rPr>
  </w:style>
  <w:style w:type="character" w:customStyle="1" w:styleId="Titre1Car">
    <w:name w:val="Titre 1 Car"/>
    <w:rPr>
      <w:rFonts w:eastAsia="Times New Roman"/>
      <w:b/>
      <w:bCs/>
      <w:color w:val="000000"/>
      <w:sz w:val="24"/>
      <w:szCs w:val="23"/>
      <w:lang w:val="es-ES" w:eastAsia="es-ES"/>
    </w:rPr>
  </w:style>
  <w:style w:type="character" w:customStyle="1" w:styleId="ICar">
    <w:name w:val="I. Car"/>
    <w:rPr>
      <w:rFonts w:eastAsia="Times New Roman"/>
      <w:b/>
      <w:bCs/>
      <w:smallCaps/>
      <w:color w:val="000000"/>
      <w:sz w:val="24"/>
      <w:szCs w:val="24"/>
      <w:lang w:val="es-ES" w:eastAsia="es-ES"/>
    </w:rPr>
  </w:style>
  <w:style w:type="paragraph" w:customStyle="1" w:styleId="Source">
    <w:name w:val="Source"/>
    <w:basedOn w:val="Normal"/>
    <w:qFormat/>
    <w:pPr>
      <w:spacing w:before="80" w:after="240"/>
      <w:ind w:firstLine="567"/>
    </w:pPr>
    <w:rPr>
      <w:sz w:val="20"/>
      <w:szCs w:val="20"/>
      <w:lang w:val="en-GB"/>
    </w:rPr>
  </w:style>
  <w:style w:type="character" w:customStyle="1" w:styleId="Titre2Car">
    <w:name w:val="Titre 2 Car"/>
    <w:rPr>
      <w:rFonts w:eastAsia="Times New Roman"/>
      <w:b/>
      <w:color w:val="000000"/>
      <w:sz w:val="22"/>
      <w:szCs w:val="24"/>
      <w:lang w:val="es-ES" w:eastAsia="es-ES"/>
    </w:rPr>
  </w:style>
  <w:style w:type="character" w:customStyle="1" w:styleId="ACar">
    <w:name w:val="A. Car"/>
    <w:basedOn w:val="Titre2Car"/>
    <w:rPr>
      <w:rFonts w:eastAsia="Times New Roman"/>
      <w:b/>
      <w:color w:val="000000"/>
      <w:sz w:val="22"/>
      <w:szCs w:val="24"/>
      <w:lang w:val="es-ES" w:eastAsia="es-ES"/>
    </w:rPr>
  </w:style>
  <w:style w:type="paragraph" w:customStyle="1" w:styleId="Figure">
    <w:name w:val="Figure"/>
    <w:basedOn w:val="Heading5"/>
    <w:qFormat/>
    <w:rsid w:val="00C9246A"/>
    <w:pPr>
      <w:spacing w:after="240"/>
      <w:jc w:val="center"/>
    </w:pPr>
    <w:rPr>
      <w:color w:val="auto"/>
      <w:sz w:val="22"/>
      <w:szCs w:val="22"/>
      <w:lang w:val="en-GB"/>
    </w:rPr>
  </w:style>
  <w:style w:type="character" w:customStyle="1" w:styleId="SourceCar">
    <w:name w:val="Source Car"/>
    <w:rPr>
      <w:rFonts w:eastAsia="Times New Roman"/>
      <w:lang w:val="en-GB" w:eastAsia="es-ES"/>
    </w:rPr>
  </w:style>
  <w:style w:type="paragraph" w:customStyle="1" w:styleId="10">
    <w:name w:val="1."/>
    <w:basedOn w:val="Normal"/>
    <w:qFormat/>
    <w:pPr>
      <w:keepNext/>
      <w:spacing w:after="240"/>
    </w:pPr>
    <w:rPr>
      <w:b/>
      <w:lang w:val="es-MX"/>
    </w:rPr>
  </w:style>
  <w:style w:type="character" w:customStyle="1" w:styleId="Titre5Car">
    <w:name w:val="Titre 5 Car"/>
    <w:rPr>
      <w:rFonts w:eastAsia="Times New Roman"/>
      <w:b/>
      <w:bCs/>
      <w:color w:val="000000"/>
      <w:sz w:val="24"/>
      <w:szCs w:val="23"/>
      <w:lang w:val="es-ES" w:eastAsia="es-ES"/>
    </w:rPr>
  </w:style>
  <w:style w:type="character" w:customStyle="1" w:styleId="FigureCar">
    <w:name w:val="Figure Car"/>
    <w:rPr>
      <w:rFonts w:eastAsia="Times New Roman"/>
      <w:b/>
      <w:bCs/>
      <w:color w:val="000000"/>
      <w:sz w:val="22"/>
      <w:szCs w:val="22"/>
      <w:lang w:val="en-GB" w:eastAsia="es-ES"/>
    </w:rPr>
  </w:style>
  <w:style w:type="paragraph" w:customStyle="1" w:styleId="Chiffrestableau">
    <w:name w:val="Chiffres tableau"/>
    <w:basedOn w:val="Normal"/>
    <w:qFormat/>
    <w:pPr>
      <w:spacing w:before="40" w:after="40"/>
      <w:ind w:right="165"/>
      <w:jc w:val="right"/>
    </w:pPr>
    <w:rPr>
      <w:sz w:val="20"/>
      <w:szCs w:val="20"/>
      <w:lang w:val="es-SV"/>
    </w:rPr>
  </w:style>
  <w:style w:type="character" w:customStyle="1" w:styleId="1Car">
    <w:name w:val="1. Car"/>
    <w:rPr>
      <w:rFonts w:eastAsia="Times New Roman"/>
      <w:b/>
      <w:sz w:val="24"/>
      <w:szCs w:val="24"/>
      <w:lang w:val="es-MX" w:eastAsia="es-ES"/>
    </w:rPr>
  </w:style>
  <w:style w:type="character" w:customStyle="1" w:styleId="ChiffrestableauCar">
    <w:name w:val="Chiffres tableau Car"/>
    <w:rPr>
      <w:rFonts w:eastAsia="Times New Roman"/>
      <w:lang w:val="es-SV"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image" Target="media/image6.pcz"/><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wmf"/><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TotalTime>
  <Pages>190</Pages>
  <Words>60810</Words>
  <Characters>334456</Characters>
  <Application>Microsoft Office Word</Application>
  <DocSecurity>4</DocSecurity>
  <Lines>2787</Lines>
  <Paragraphs>788</Paragraphs>
  <ScaleCrop>false</ScaleCrop>
  <HeadingPairs>
    <vt:vector size="2" baseType="variant">
      <vt:variant>
        <vt:lpstr>Titre</vt:lpstr>
      </vt:variant>
      <vt:variant>
        <vt:i4>1</vt:i4>
      </vt:variant>
    </vt:vector>
  </HeadingPairs>
  <TitlesOfParts>
    <vt:vector size="1" baseType="lpstr">
      <vt:lpstr>UNITEDNATIONS</vt:lpstr>
    </vt:vector>
  </TitlesOfParts>
  <Company/>
  <LinksUpToDate>false</LinksUpToDate>
  <CharactersWithSpaces>394478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UNITEDNATIONS</dc:title>
  <dc:subject/>
  <dc:creator>Christine Fanelli</dc:creator>
  <cp:keywords/>
  <cp:lastModifiedBy>Christine FANELLI</cp:lastModifiedBy>
  <cp:revision>15</cp:revision>
  <cp:lastPrinted>2010-01-07T14:41:00Z</cp:lastPrinted>
  <dcterms:created xsi:type="dcterms:W3CDTF">2010-01-07T13:18:00Z</dcterms:created>
  <dcterms:modified xsi:type="dcterms:W3CDTF">2010-01-07T14:42:00Z</dcterms:modified>
</cp:coreProperties>
</file>