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5501B181" w14:textId="77777777" w:rsidTr="009D5F1A">
        <w:trPr>
          <w:trHeight w:hRule="exact" w:val="851"/>
        </w:trPr>
        <w:tc>
          <w:tcPr>
            <w:tcW w:w="1276" w:type="dxa"/>
            <w:tcBorders>
              <w:bottom w:val="single" w:sz="4" w:space="0" w:color="auto"/>
            </w:tcBorders>
          </w:tcPr>
          <w:p w14:paraId="672039D0" w14:textId="77777777" w:rsidR="00DC0149" w:rsidRPr="00DB58B5" w:rsidRDefault="00DC0149" w:rsidP="00BF0A27"/>
        </w:tc>
        <w:tc>
          <w:tcPr>
            <w:tcW w:w="2268" w:type="dxa"/>
            <w:tcBorders>
              <w:bottom w:val="single" w:sz="4" w:space="0" w:color="auto"/>
            </w:tcBorders>
            <w:vAlign w:val="bottom"/>
          </w:tcPr>
          <w:p w14:paraId="5A56D12E"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A3ABC6" w14:textId="1975C588" w:rsidR="00DC0149" w:rsidRPr="00DB58B5" w:rsidRDefault="00BF0A27" w:rsidP="00BF0A27">
            <w:pPr>
              <w:jc w:val="right"/>
            </w:pPr>
            <w:r w:rsidRPr="00BF0A27">
              <w:rPr>
                <w:sz w:val="40"/>
              </w:rPr>
              <w:t>CERD</w:t>
            </w:r>
            <w:r>
              <w:t>/C/ZWE/Q/5-11</w:t>
            </w:r>
          </w:p>
        </w:tc>
      </w:tr>
      <w:tr w:rsidR="00DC0149" w:rsidRPr="00DB58B5" w14:paraId="09E61B43" w14:textId="77777777" w:rsidTr="009D5F1A">
        <w:trPr>
          <w:trHeight w:hRule="exact" w:val="2835"/>
        </w:trPr>
        <w:tc>
          <w:tcPr>
            <w:tcW w:w="1276" w:type="dxa"/>
            <w:tcBorders>
              <w:top w:val="single" w:sz="4" w:space="0" w:color="auto"/>
              <w:bottom w:val="single" w:sz="12" w:space="0" w:color="auto"/>
            </w:tcBorders>
          </w:tcPr>
          <w:p w14:paraId="3D039541" w14:textId="77777777" w:rsidR="00DC0149" w:rsidRPr="00DB58B5" w:rsidRDefault="00DC0149" w:rsidP="009D5F1A">
            <w:pPr>
              <w:spacing w:before="120"/>
              <w:jc w:val="center"/>
            </w:pPr>
            <w:r>
              <w:rPr>
                <w:noProof/>
                <w:lang w:eastAsia="fr-CH"/>
              </w:rPr>
              <w:drawing>
                <wp:inline distT="0" distB="0" distL="0" distR="0" wp14:anchorId="20466DC8" wp14:editId="48EE51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81ADF6" w14:textId="2A32589D"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BF0A27">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3CA85FB5" w14:textId="77777777" w:rsidR="00DC0149" w:rsidRDefault="00BF0A27" w:rsidP="009D5F1A">
            <w:pPr>
              <w:spacing w:before="240"/>
            </w:pPr>
            <w:r>
              <w:t>Distr. générale</w:t>
            </w:r>
          </w:p>
          <w:p w14:paraId="7090A069" w14:textId="77777777" w:rsidR="00BF0A27" w:rsidRDefault="00BF0A27" w:rsidP="00BF0A27">
            <w:pPr>
              <w:spacing w:line="240" w:lineRule="exact"/>
            </w:pPr>
            <w:r>
              <w:t>23 juin 2022</w:t>
            </w:r>
          </w:p>
          <w:p w14:paraId="4586BFA9" w14:textId="77777777" w:rsidR="00BF0A27" w:rsidRDefault="00BF0A27" w:rsidP="00BF0A27">
            <w:pPr>
              <w:spacing w:line="240" w:lineRule="exact"/>
            </w:pPr>
            <w:r>
              <w:t>Français</w:t>
            </w:r>
          </w:p>
          <w:p w14:paraId="3B6371B0" w14:textId="77777777" w:rsidR="00BF0A27" w:rsidRDefault="00BF0A27" w:rsidP="00BF0A27">
            <w:pPr>
              <w:spacing w:line="240" w:lineRule="exact"/>
            </w:pPr>
            <w:r>
              <w:t>Original : anglais</w:t>
            </w:r>
          </w:p>
          <w:p w14:paraId="02FB9DEC" w14:textId="310F3659" w:rsidR="00BF0A27" w:rsidRPr="00DB58B5" w:rsidRDefault="00BF0A27" w:rsidP="00BF0A27">
            <w:pPr>
              <w:spacing w:line="240" w:lineRule="exact"/>
            </w:pPr>
            <w:r>
              <w:t>Anglais, espagnol et français seulement</w:t>
            </w:r>
          </w:p>
        </w:tc>
      </w:tr>
    </w:tbl>
    <w:p w14:paraId="5BB0997B" w14:textId="50D6EA0C" w:rsidR="00623CA8" w:rsidRDefault="00623CA8" w:rsidP="00623CA8">
      <w:pPr>
        <w:spacing w:before="120"/>
        <w:rPr>
          <w:b/>
          <w:sz w:val="24"/>
          <w:szCs w:val="24"/>
        </w:rPr>
      </w:pPr>
      <w:r w:rsidRPr="00C56102">
        <w:rPr>
          <w:b/>
          <w:sz w:val="24"/>
          <w:szCs w:val="24"/>
        </w:rPr>
        <w:t>Comité pour l</w:t>
      </w:r>
      <w:r w:rsidR="00BF0A27">
        <w:rPr>
          <w:b/>
          <w:sz w:val="24"/>
          <w:szCs w:val="24"/>
        </w:rPr>
        <w:t>’</w:t>
      </w:r>
      <w:r w:rsidRPr="00C56102">
        <w:rPr>
          <w:b/>
          <w:sz w:val="24"/>
          <w:szCs w:val="24"/>
        </w:rPr>
        <w:t>élimination de la discrimination raciale</w:t>
      </w:r>
    </w:p>
    <w:p w14:paraId="2082E5A5" w14:textId="78246CCB" w:rsidR="00BF0A27" w:rsidRPr="00FA5880" w:rsidRDefault="00BF0A27" w:rsidP="00BF0A27">
      <w:pPr>
        <w:rPr>
          <w:b/>
          <w:lang w:val="fr-FR"/>
        </w:rPr>
      </w:pPr>
      <w:r w:rsidRPr="00FA5880">
        <w:rPr>
          <w:b/>
          <w:bCs/>
          <w:lang w:val="fr-FR"/>
        </w:rPr>
        <w:t>107</w:t>
      </w:r>
      <w:r w:rsidRPr="00BF0A27">
        <w:rPr>
          <w:b/>
          <w:bCs/>
          <w:vertAlign w:val="superscript"/>
          <w:lang w:val="fr-FR"/>
        </w:rPr>
        <w:t>e</w:t>
      </w:r>
      <w:r>
        <w:rPr>
          <w:b/>
          <w:bCs/>
          <w:lang w:val="fr-FR"/>
        </w:rPr>
        <w:t> </w:t>
      </w:r>
      <w:r w:rsidRPr="00FA5880">
        <w:rPr>
          <w:b/>
          <w:bCs/>
          <w:lang w:val="fr-FR"/>
        </w:rPr>
        <w:t>session</w:t>
      </w:r>
    </w:p>
    <w:p w14:paraId="58B0B33F" w14:textId="77777777" w:rsidR="00BF0A27" w:rsidRPr="00FA5880" w:rsidRDefault="00BF0A27" w:rsidP="00BF0A27">
      <w:pPr>
        <w:rPr>
          <w:lang w:val="fr-FR"/>
        </w:rPr>
      </w:pPr>
      <w:r w:rsidRPr="00FA5880">
        <w:rPr>
          <w:lang w:val="fr-FR"/>
        </w:rPr>
        <w:t>8-30 août 2022</w:t>
      </w:r>
    </w:p>
    <w:p w14:paraId="0DD95C98" w14:textId="581FA074" w:rsidR="00BF0A27" w:rsidRPr="00FA5880" w:rsidRDefault="00BF0A27" w:rsidP="00BF0A27">
      <w:pPr>
        <w:rPr>
          <w:lang w:val="fr-FR"/>
        </w:rPr>
      </w:pPr>
      <w:r w:rsidRPr="00FA5880">
        <w:rPr>
          <w:lang w:val="fr-FR"/>
        </w:rPr>
        <w:t>Point 4 de l</w:t>
      </w:r>
      <w:r>
        <w:rPr>
          <w:lang w:val="fr-FR"/>
        </w:rPr>
        <w:t>’</w:t>
      </w:r>
      <w:r w:rsidRPr="00FA5880">
        <w:rPr>
          <w:lang w:val="fr-FR"/>
        </w:rPr>
        <w:t>ordre du jour provisoire</w:t>
      </w:r>
    </w:p>
    <w:p w14:paraId="3874040F" w14:textId="5D826B3B" w:rsidR="00BF0A27" w:rsidRPr="00FA5880" w:rsidRDefault="00BF0A27" w:rsidP="00BF0A27">
      <w:pPr>
        <w:rPr>
          <w:b/>
          <w:bCs/>
          <w:lang w:val="fr-FR"/>
        </w:rPr>
      </w:pPr>
      <w:r w:rsidRPr="00FA5880">
        <w:rPr>
          <w:b/>
          <w:bCs/>
          <w:lang w:val="fr-FR"/>
        </w:rPr>
        <w:t>Examen des rapports, observations et renseignements soumis</w:t>
      </w:r>
      <w:r>
        <w:rPr>
          <w:b/>
          <w:bCs/>
          <w:lang w:val="fr-FR"/>
        </w:rPr>
        <w:t xml:space="preserve"> </w:t>
      </w:r>
      <w:r>
        <w:rPr>
          <w:b/>
          <w:bCs/>
          <w:lang w:val="fr-FR"/>
        </w:rPr>
        <w:br/>
      </w:r>
      <w:r w:rsidRPr="00FA5880">
        <w:rPr>
          <w:b/>
          <w:bCs/>
          <w:lang w:val="fr-FR"/>
        </w:rPr>
        <w:t>par les États parties en application de l</w:t>
      </w:r>
      <w:r>
        <w:rPr>
          <w:b/>
          <w:bCs/>
          <w:lang w:val="fr-FR"/>
        </w:rPr>
        <w:t>’</w:t>
      </w:r>
      <w:r w:rsidRPr="00FA5880">
        <w:rPr>
          <w:b/>
          <w:bCs/>
          <w:lang w:val="fr-FR"/>
        </w:rPr>
        <w:t>article 9 de la Convention</w:t>
      </w:r>
    </w:p>
    <w:p w14:paraId="55CC91A2" w14:textId="23D84E0B" w:rsidR="00BF0A27" w:rsidRPr="00FA5880" w:rsidRDefault="00BF0A27" w:rsidP="00BF0A27">
      <w:pPr>
        <w:pStyle w:val="HChG"/>
        <w:rPr>
          <w:lang w:val="fr-FR"/>
        </w:rPr>
      </w:pPr>
      <w:r w:rsidRPr="00FA5880">
        <w:rPr>
          <w:lang w:val="fr-FR"/>
        </w:rPr>
        <w:tab/>
      </w:r>
      <w:r w:rsidRPr="00FA5880">
        <w:rPr>
          <w:lang w:val="fr-FR"/>
        </w:rPr>
        <w:tab/>
        <w:t xml:space="preserve">Liste de thèmes concernant le rapport du Zimbabwe valant </w:t>
      </w:r>
      <w:r w:rsidRPr="00376AD4">
        <w:rPr>
          <w:lang w:val="fr-FR"/>
        </w:rPr>
        <w:t xml:space="preserve">cinquième </w:t>
      </w:r>
      <w:r w:rsidR="00376AD4" w:rsidRPr="00376AD4">
        <w:rPr>
          <w:lang w:val="fr-FR"/>
        </w:rPr>
        <w:t xml:space="preserve">à onzième </w:t>
      </w:r>
      <w:r w:rsidRPr="00376AD4">
        <w:rPr>
          <w:lang w:val="fr-FR"/>
        </w:rPr>
        <w:t>rapports</w:t>
      </w:r>
      <w:r w:rsidRPr="00FA5880">
        <w:rPr>
          <w:lang w:val="fr-FR"/>
        </w:rPr>
        <w:t xml:space="preserve"> périodiques</w:t>
      </w:r>
    </w:p>
    <w:p w14:paraId="23FBDA0E" w14:textId="77777777" w:rsidR="00BF0A27" w:rsidRPr="00FA5880" w:rsidRDefault="00BF0A27" w:rsidP="00BF0A27">
      <w:pPr>
        <w:pStyle w:val="H1G"/>
        <w:rPr>
          <w:lang w:val="fr-FR"/>
        </w:rPr>
      </w:pPr>
      <w:r w:rsidRPr="00FA5880">
        <w:rPr>
          <w:lang w:val="fr-FR"/>
        </w:rPr>
        <w:tab/>
      </w:r>
      <w:r w:rsidRPr="00FA5880">
        <w:rPr>
          <w:lang w:val="fr-FR"/>
        </w:rPr>
        <w:tab/>
        <w:t>Note du rapporteur de pays</w:t>
      </w:r>
    </w:p>
    <w:p w14:paraId="0FE91BA3" w14:textId="255FF299" w:rsidR="00BF0A27" w:rsidRPr="00FA5880" w:rsidRDefault="00BF0A27" w:rsidP="00BF0A27">
      <w:pPr>
        <w:pStyle w:val="SingleTxtG"/>
        <w:rPr>
          <w:lang w:val="fr-FR"/>
        </w:rPr>
      </w:pPr>
      <w:r w:rsidRPr="00FA5880">
        <w:rPr>
          <w:lang w:val="fr-FR"/>
        </w:rPr>
        <w:t>1.</w:t>
      </w:r>
      <w:r w:rsidRPr="00FA5880">
        <w:rPr>
          <w:lang w:val="fr-FR"/>
        </w:rPr>
        <w:tab/>
        <w:t>À sa soixante-seizième session</w:t>
      </w:r>
      <w:r w:rsidRPr="00A878B8">
        <w:rPr>
          <w:rStyle w:val="Appelnotedebasdep"/>
        </w:rPr>
        <w:footnoteReference w:id="2"/>
      </w:r>
      <w:r w:rsidRPr="00FA5880">
        <w:rPr>
          <w:lang w:val="fr-FR"/>
        </w:rPr>
        <w:t>, le Comité pour l</w:t>
      </w:r>
      <w:r>
        <w:rPr>
          <w:lang w:val="fr-FR"/>
        </w:rPr>
        <w:t>’</w:t>
      </w:r>
      <w:r w:rsidRPr="00FA5880">
        <w:rPr>
          <w:lang w:val="fr-FR"/>
        </w:rPr>
        <w:t>élimination de la discrimination raciale a décidé que le rapporteur de pays ferait parvenir à l</w:t>
      </w:r>
      <w:r>
        <w:rPr>
          <w:lang w:val="fr-FR"/>
        </w:rPr>
        <w:t>’</w:t>
      </w:r>
      <w:r w:rsidRPr="00FA5880">
        <w:rPr>
          <w:lang w:val="fr-FR"/>
        </w:rPr>
        <w:t>État partie concerné une courte liste de thèmes en vue de guider et de structurer le dialogue entre la délégation de l</w:t>
      </w:r>
      <w:r>
        <w:rPr>
          <w:lang w:val="fr-FR"/>
        </w:rPr>
        <w:t>’</w:t>
      </w:r>
      <w:r w:rsidRPr="00FA5880">
        <w:rPr>
          <w:lang w:val="fr-FR"/>
        </w:rPr>
        <w:t>État partie et le Comité pendant l</w:t>
      </w:r>
      <w:r>
        <w:rPr>
          <w:lang w:val="fr-FR"/>
        </w:rPr>
        <w:t>’</w:t>
      </w:r>
      <w:r w:rsidRPr="00FA5880">
        <w:rPr>
          <w:lang w:val="fr-FR"/>
        </w:rPr>
        <w:t>examen du rapport de l</w:t>
      </w:r>
      <w:r>
        <w:rPr>
          <w:lang w:val="fr-FR"/>
        </w:rPr>
        <w:t>’</w:t>
      </w:r>
      <w:r w:rsidRPr="00FA5880">
        <w:rPr>
          <w:lang w:val="fr-FR"/>
        </w:rPr>
        <w:t>État partie. On trouvera ci-après une liste de thèmes non exhaustive, d</w:t>
      </w:r>
      <w:r>
        <w:rPr>
          <w:lang w:val="fr-FR"/>
        </w:rPr>
        <w:t>’</w:t>
      </w:r>
      <w:r w:rsidRPr="00FA5880">
        <w:rPr>
          <w:lang w:val="fr-FR"/>
        </w:rPr>
        <w:t>autres questions pouvant être traitées au cours du dialogue. Cette</w:t>
      </w:r>
      <w:r w:rsidR="007D7F08">
        <w:rPr>
          <w:lang w:val="fr-FR"/>
        </w:rPr>
        <w:t> </w:t>
      </w:r>
      <w:r w:rsidRPr="00FA5880">
        <w:rPr>
          <w:lang w:val="fr-FR"/>
        </w:rPr>
        <w:t>liste n</w:t>
      </w:r>
      <w:r>
        <w:rPr>
          <w:lang w:val="fr-FR"/>
        </w:rPr>
        <w:t>’</w:t>
      </w:r>
      <w:r w:rsidRPr="00FA5880">
        <w:rPr>
          <w:lang w:val="fr-FR"/>
        </w:rPr>
        <w:t>appelle pas de réponses écrites.</w:t>
      </w:r>
    </w:p>
    <w:p w14:paraId="7CD5F9CD" w14:textId="4790231F" w:rsidR="00BF0A27" w:rsidRPr="00FA5880" w:rsidRDefault="00BF0A27" w:rsidP="00BF0A27">
      <w:pPr>
        <w:pStyle w:val="H23G"/>
        <w:rPr>
          <w:lang w:val="fr-FR"/>
        </w:rPr>
      </w:pPr>
      <w:r w:rsidRPr="00FA5880">
        <w:rPr>
          <w:lang w:val="fr-FR"/>
        </w:rPr>
        <w:tab/>
      </w:r>
      <w:r w:rsidRPr="00FA5880">
        <w:rPr>
          <w:lang w:val="fr-FR"/>
        </w:rPr>
        <w:tab/>
        <w:t xml:space="preserve">La Convention dans le droit interne et le cadre institutionnel </w:t>
      </w:r>
      <w:r w:rsidR="007D7F08">
        <w:rPr>
          <w:lang w:val="fr-FR"/>
        </w:rPr>
        <w:br/>
      </w:r>
      <w:r w:rsidRPr="00FA5880">
        <w:rPr>
          <w:lang w:val="fr-FR"/>
        </w:rPr>
        <w:t>et stratégique régissant sa mise en œuvre</w:t>
      </w:r>
      <w:r w:rsidR="007D7F08">
        <w:rPr>
          <w:lang w:val="fr-FR"/>
        </w:rPr>
        <w:t xml:space="preserve"> (art. 1, 2, 6 et 7)</w:t>
      </w:r>
    </w:p>
    <w:p w14:paraId="37DD3984" w14:textId="5A1B2447" w:rsidR="00BF0A27" w:rsidRPr="00FA5880" w:rsidRDefault="00BF0A27" w:rsidP="00BF0A27">
      <w:pPr>
        <w:pStyle w:val="SingleTxtG"/>
        <w:rPr>
          <w:rStyle w:val="Appelnotedebasdep"/>
          <w:lang w:val="fr-FR"/>
        </w:rPr>
      </w:pPr>
      <w:r w:rsidRPr="00FA5880">
        <w:rPr>
          <w:lang w:val="fr-FR"/>
        </w:rPr>
        <w:t>2.</w:t>
      </w:r>
      <w:r w:rsidRPr="00FA5880">
        <w:rPr>
          <w:lang w:val="fr-FR"/>
        </w:rPr>
        <w:tab/>
        <w:t>Informations et statistiques actualisées et fiables sur la composition de la population de l</w:t>
      </w:r>
      <w:r>
        <w:rPr>
          <w:lang w:val="fr-FR"/>
        </w:rPr>
        <w:t>’</w:t>
      </w:r>
      <w:r w:rsidRPr="00FA5880">
        <w:rPr>
          <w:lang w:val="fr-FR"/>
        </w:rPr>
        <w:t>État partie, notamment sur les minorités ethniques et les demandeurs d</w:t>
      </w:r>
      <w:r>
        <w:rPr>
          <w:lang w:val="fr-FR"/>
        </w:rPr>
        <w:t>’</w:t>
      </w:r>
      <w:r w:rsidRPr="00FA5880">
        <w:rPr>
          <w:lang w:val="fr-FR"/>
        </w:rPr>
        <w:t>asile, les réfugiés, les apatrides et les migrants, ainsi que sur leur situation sociale et économique ; renseignements sur les minorités ethniques officiellement reconnues</w:t>
      </w:r>
      <w:r w:rsidRPr="00A878B8">
        <w:rPr>
          <w:rStyle w:val="Appelnotedebasdep"/>
        </w:rPr>
        <w:footnoteReference w:id="3"/>
      </w:r>
      <w:r w:rsidRPr="00FA5880">
        <w:rPr>
          <w:lang w:val="fr-FR"/>
        </w:rPr>
        <w:t>.</w:t>
      </w:r>
    </w:p>
    <w:p w14:paraId="3CF44329" w14:textId="7CDB4DE6" w:rsidR="00BF0A27" w:rsidRPr="00FA5880" w:rsidRDefault="00BF0A27" w:rsidP="00BF0A27">
      <w:pPr>
        <w:pStyle w:val="SingleTxtG"/>
        <w:rPr>
          <w:lang w:val="fr-FR"/>
        </w:rPr>
      </w:pPr>
      <w:r w:rsidRPr="00FA5880">
        <w:rPr>
          <w:lang w:val="fr-FR"/>
        </w:rPr>
        <w:t>3.</w:t>
      </w:r>
      <w:r w:rsidRPr="00FA5880">
        <w:rPr>
          <w:lang w:val="fr-FR"/>
        </w:rPr>
        <w:tab/>
        <w:t>Point sur la transposition de la Convention dans le droit interne de l</w:t>
      </w:r>
      <w:r>
        <w:rPr>
          <w:lang w:val="fr-FR"/>
        </w:rPr>
        <w:t>’</w:t>
      </w:r>
      <w:r w:rsidRPr="00FA5880">
        <w:rPr>
          <w:lang w:val="fr-FR"/>
        </w:rPr>
        <w:t>État partie ; informations sur les cas dans lesquels les tribunaux et d</w:t>
      </w:r>
      <w:r>
        <w:rPr>
          <w:lang w:val="fr-FR"/>
        </w:rPr>
        <w:t>’</w:t>
      </w:r>
      <w:r w:rsidRPr="00FA5880">
        <w:rPr>
          <w:lang w:val="fr-FR"/>
        </w:rPr>
        <w:t>autres organes ont appliqué ou pris en compte la Convention dans leurs décisions.</w:t>
      </w:r>
    </w:p>
    <w:p w14:paraId="01C15D4E" w14:textId="1C8DBF4E" w:rsidR="00BF0A27" w:rsidRPr="00FA5880" w:rsidRDefault="00BF0A27" w:rsidP="00BF0A27">
      <w:pPr>
        <w:pStyle w:val="SingleTxtG"/>
        <w:rPr>
          <w:rStyle w:val="Appelnotedebasdep"/>
          <w:lang w:val="fr-FR"/>
        </w:rPr>
      </w:pPr>
      <w:r w:rsidRPr="00FA5880">
        <w:rPr>
          <w:lang w:val="fr-FR"/>
        </w:rPr>
        <w:t>4.</w:t>
      </w:r>
      <w:r w:rsidRPr="00FA5880">
        <w:rPr>
          <w:lang w:val="fr-FR"/>
        </w:rPr>
        <w:tab/>
        <w:t>Dispositions prises pour garantir l</w:t>
      </w:r>
      <w:r>
        <w:rPr>
          <w:lang w:val="fr-FR"/>
        </w:rPr>
        <w:t>’</w:t>
      </w:r>
      <w:r w:rsidRPr="00FA5880">
        <w:rPr>
          <w:lang w:val="fr-FR"/>
        </w:rPr>
        <w:t>indépendance et l</w:t>
      </w:r>
      <w:r>
        <w:rPr>
          <w:lang w:val="fr-FR"/>
        </w:rPr>
        <w:t>’</w:t>
      </w:r>
      <w:r w:rsidRPr="00FA5880">
        <w:rPr>
          <w:lang w:val="fr-FR"/>
        </w:rPr>
        <w:t>efficacité de la Commission zimbabwéenne des droits de l</w:t>
      </w:r>
      <w:r>
        <w:rPr>
          <w:lang w:val="fr-FR"/>
        </w:rPr>
        <w:t>’</w:t>
      </w:r>
      <w:r w:rsidRPr="00FA5880">
        <w:rPr>
          <w:lang w:val="fr-FR"/>
        </w:rPr>
        <w:t>homme</w:t>
      </w:r>
      <w:r w:rsidR="007D7F08">
        <w:rPr>
          <w:lang w:val="fr-FR"/>
        </w:rPr>
        <w:t> </w:t>
      </w:r>
      <w:r w:rsidRPr="00FA5880">
        <w:rPr>
          <w:lang w:val="fr-FR"/>
        </w:rPr>
        <w:t>; mesures visant à doter la Commission de ressources humaines et financières adéquates, y compris pour les bureaux régionaux ; informations sur les activités menées par la Commission en matière de discrimination raciale</w:t>
      </w:r>
      <w:r w:rsidRPr="00A878B8">
        <w:rPr>
          <w:rStyle w:val="Appelnotedebasdep"/>
        </w:rPr>
        <w:footnoteReference w:id="4"/>
      </w:r>
      <w:r w:rsidRPr="00FA5880">
        <w:rPr>
          <w:lang w:val="fr-FR"/>
        </w:rPr>
        <w:t>.</w:t>
      </w:r>
    </w:p>
    <w:p w14:paraId="722531E7" w14:textId="77777777" w:rsidR="00BF0A27" w:rsidRPr="00FA5880" w:rsidRDefault="00BF0A27" w:rsidP="00BF0A27">
      <w:pPr>
        <w:pStyle w:val="SingleTxtG"/>
        <w:rPr>
          <w:rStyle w:val="Appelnotedebasdep"/>
          <w:lang w:val="fr-FR"/>
        </w:rPr>
      </w:pPr>
      <w:r w:rsidRPr="00FA5880">
        <w:rPr>
          <w:lang w:val="fr-FR"/>
        </w:rPr>
        <w:t>5.</w:t>
      </w:r>
      <w:r w:rsidRPr="00FA5880">
        <w:rPr>
          <w:lang w:val="fr-FR"/>
        </w:rPr>
        <w:tab/>
        <w:t xml:space="preserve">Efficacité des activités menées par la Commission nationale pour la paix et la réconciliation, en particulier en ce qui concerne les massacres perpétrés dans les </w:t>
      </w:r>
      <w:r>
        <w:rPr>
          <w:lang w:val="fr-FR"/>
        </w:rPr>
        <w:t>régions</w:t>
      </w:r>
      <w:r w:rsidRPr="00FA5880">
        <w:rPr>
          <w:lang w:val="fr-FR"/>
        </w:rPr>
        <w:t xml:space="preserve"> du Matabeleland et des Midlands dans les années 1980 ; mesures prises pour allouer des ressources adéquates à la Commission</w:t>
      </w:r>
      <w:r w:rsidRPr="00A878B8">
        <w:rPr>
          <w:rStyle w:val="Appelnotedebasdep"/>
        </w:rPr>
        <w:footnoteReference w:id="5"/>
      </w:r>
      <w:r w:rsidRPr="00FA5880">
        <w:rPr>
          <w:lang w:val="fr-FR"/>
        </w:rPr>
        <w:t>.</w:t>
      </w:r>
    </w:p>
    <w:p w14:paraId="17F87072" w14:textId="701AFEC8" w:rsidR="00BF0A27" w:rsidRPr="00FA5880" w:rsidRDefault="00BF0A27" w:rsidP="00BF0A27">
      <w:pPr>
        <w:pStyle w:val="SingleTxtG"/>
        <w:rPr>
          <w:rStyle w:val="Appelnotedebasdep"/>
          <w:lang w:val="fr-FR"/>
        </w:rPr>
      </w:pPr>
      <w:r w:rsidRPr="00FA5880">
        <w:rPr>
          <w:lang w:val="fr-FR"/>
        </w:rPr>
        <w:lastRenderedPageBreak/>
        <w:t>6.</w:t>
      </w:r>
      <w:r w:rsidRPr="00FA5880">
        <w:rPr>
          <w:lang w:val="fr-FR"/>
        </w:rPr>
        <w:tab/>
        <w:t>Informations actualisées, y compris des statistiques, sur la ségrégation raciale à l</w:t>
      </w:r>
      <w:r>
        <w:rPr>
          <w:lang w:val="fr-FR"/>
        </w:rPr>
        <w:t>’</w:t>
      </w:r>
      <w:r w:rsidRPr="00FA5880">
        <w:rPr>
          <w:lang w:val="fr-FR"/>
        </w:rPr>
        <w:t>école et sur les mesures prises pour y remédier et la prévenir</w:t>
      </w:r>
      <w:r w:rsidRPr="00A878B8">
        <w:rPr>
          <w:rStyle w:val="Appelnotedebasdep"/>
        </w:rPr>
        <w:footnoteReference w:id="6"/>
      </w:r>
      <w:r w:rsidRPr="00FA5880">
        <w:rPr>
          <w:lang w:val="fr-FR"/>
        </w:rPr>
        <w:t>.</w:t>
      </w:r>
    </w:p>
    <w:p w14:paraId="30FE83D5" w14:textId="294D80FF" w:rsidR="00BF0A27" w:rsidRPr="00FA5880" w:rsidRDefault="00BF0A27" w:rsidP="00BF0A27">
      <w:pPr>
        <w:pStyle w:val="SingleTxtG"/>
        <w:rPr>
          <w:rStyle w:val="Appelnotedebasdep"/>
          <w:lang w:val="fr-FR"/>
        </w:rPr>
      </w:pPr>
      <w:r w:rsidRPr="00FA5880">
        <w:rPr>
          <w:lang w:val="fr-FR"/>
        </w:rPr>
        <w:t>7.</w:t>
      </w:r>
      <w:r w:rsidRPr="00FA5880">
        <w:rPr>
          <w:lang w:val="fr-FR"/>
        </w:rPr>
        <w:tab/>
        <w:t>Nombre et teneur des plaintes reçues par la police et d</w:t>
      </w:r>
      <w:r>
        <w:rPr>
          <w:lang w:val="fr-FR"/>
        </w:rPr>
        <w:t>’</w:t>
      </w:r>
      <w:r w:rsidRPr="00FA5880">
        <w:rPr>
          <w:lang w:val="fr-FR"/>
        </w:rPr>
        <w:t xml:space="preserve">autres autorités, et </w:t>
      </w:r>
      <w:r>
        <w:rPr>
          <w:lang w:val="fr-FR"/>
        </w:rPr>
        <w:t xml:space="preserve">nombre </w:t>
      </w:r>
      <w:r w:rsidRPr="00FA5880">
        <w:rPr>
          <w:lang w:val="fr-FR"/>
        </w:rPr>
        <w:t>d</w:t>
      </w:r>
      <w:r>
        <w:rPr>
          <w:lang w:val="fr-FR"/>
        </w:rPr>
        <w:t>’</w:t>
      </w:r>
      <w:r w:rsidRPr="00FA5880">
        <w:rPr>
          <w:lang w:val="fr-FR"/>
        </w:rPr>
        <w:t>affaires portées devant les tribunaux et d</w:t>
      </w:r>
      <w:r>
        <w:rPr>
          <w:lang w:val="fr-FR"/>
        </w:rPr>
        <w:t>’</w:t>
      </w:r>
      <w:r w:rsidRPr="00FA5880">
        <w:rPr>
          <w:lang w:val="fr-FR"/>
        </w:rPr>
        <w:t>autres organes administratifs en matière de discrimination raciale, et informations sur l</w:t>
      </w:r>
      <w:r>
        <w:rPr>
          <w:lang w:val="fr-FR"/>
        </w:rPr>
        <w:t>’</w:t>
      </w:r>
      <w:r w:rsidRPr="00FA5880">
        <w:rPr>
          <w:lang w:val="fr-FR"/>
        </w:rPr>
        <w:t>issue qui leur a été réservée</w:t>
      </w:r>
      <w:r w:rsidRPr="00A878B8">
        <w:rPr>
          <w:rStyle w:val="Appelnotedebasdep"/>
        </w:rPr>
        <w:footnoteReference w:id="7"/>
      </w:r>
      <w:r w:rsidRPr="00FA5880">
        <w:rPr>
          <w:lang w:val="fr-FR"/>
        </w:rPr>
        <w:t>.</w:t>
      </w:r>
    </w:p>
    <w:p w14:paraId="2F14419F" w14:textId="0407DB06" w:rsidR="00BF0A27" w:rsidRPr="00FA5880" w:rsidRDefault="00BF0A27" w:rsidP="00BF0A27">
      <w:pPr>
        <w:pStyle w:val="SingleTxtG"/>
        <w:rPr>
          <w:rStyle w:val="Appelnotedebasdep"/>
          <w:lang w:val="fr-FR"/>
        </w:rPr>
      </w:pPr>
      <w:r w:rsidRPr="00FA5880">
        <w:rPr>
          <w:lang w:val="fr-FR"/>
        </w:rPr>
        <w:t>8.</w:t>
      </w:r>
      <w:r w:rsidRPr="00FA5880">
        <w:rPr>
          <w:lang w:val="fr-FR"/>
        </w:rPr>
        <w:tab/>
        <w:t>Informations sur les effets qu</w:t>
      </w:r>
      <w:r>
        <w:rPr>
          <w:lang w:val="fr-FR"/>
        </w:rPr>
        <w:t>’</w:t>
      </w:r>
      <w:r w:rsidRPr="00FA5880">
        <w:rPr>
          <w:lang w:val="fr-FR"/>
        </w:rPr>
        <w:t>ont eus les mesures prises par l</w:t>
      </w:r>
      <w:r>
        <w:rPr>
          <w:lang w:val="fr-FR"/>
        </w:rPr>
        <w:t>’</w:t>
      </w:r>
      <w:r w:rsidRPr="00FA5880">
        <w:rPr>
          <w:lang w:val="fr-FR"/>
        </w:rPr>
        <w:t>État partie dans les domaines de la culture et de l</w:t>
      </w:r>
      <w:r>
        <w:rPr>
          <w:lang w:val="fr-FR"/>
        </w:rPr>
        <w:t>’</w:t>
      </w:r>
      <w:r w:rsidRPr="00FA5880">
        <w:rPr>
          <w:lang w:val="fr-FR"/>
        </w:rPr>
        <w:t>éducation, en application de l</w:t>
      </w:r>
      <w:r>
        <w:rPr>
          <w:lang w:val="fr-FR"/>
        </w:rPr>
        <w:t>’</w:t>
      </w:r>
      <w:r w:rsidRPr="00FA5880">
        <w:rPr>
          <w:lang w:val="fr-FR"/>
        </w:rPr>
        <w:t>article 7 de la Convention</w:t>
      </w:r>
      <w:r w:rsidRPr="00A878B8">
        <w:rPr>
          <w:rStyle w:val="Appelnotedebasdep"/>
        </w:rPr>
        <w:footnoteReference w:id="8"/>
      </w:r>
      <w:r w:rsidRPr="00FA5880">
        <w:rPr>
          <w:lang w:val="fr-FR"/>
        </w:rPr>
        <w:t>.</w:t>
      </w:r>
    </w:p>
    <w:p w14:paraId="37262FED" w14:textId="06DEC2C6" w:rsidR="00BF0A27" w:rsidRPr="00FA5880" w:rsidRDefault="00BF0A27" w:rsidP="00BF0A27">
      <w:pPr>
        <w:pStyle w:val="SingleTxtG"/>
        <w:rPr>
          <w:lang w:val="fr-FR"/>
        </w:rPr>
      </w:pPr>
      <w:r w:rsidRPr="00FA5880">
        <w:rPr>
          <w:lang w:val="fr-FR"/>
        </w:rPr>
        <w:t>9.</w:t>
      </w:r>
      <w:r w:rsidRPr="00FA5880">
        <w:rPr>
          <w:lang w:val="fr-FR"/>
        </w:rPr>
        <w:tab/>
        <w:t>Informations sur les effets de la pandémie de maladie à coronavirus (COVID-19) et des inégalités structurelles du système de santé de l</w:t>
      </w:r>
      <w:r>
        <w:rPr>
          <w:lang w:val="fr-FR"/>
        </w:rPr>
        <w:t>’</w:t>
      </w:r>
      <w:r w:rsidRPr="00FA5880">
        <w:rPr>
          <w:lang w:val="fr-FR"/>
        </w:rPr>
        <w:t>État partie sur les minorités ethniques, les demandeurs d</w:t>
      </w:r>
      <w:r>
        <w:rPr>
          <w:lang w:val="fr-FR"/>
        </w:rPr>
        <w:t>’</w:t>
      </w:r>
      <w:r w:rsidRPr="00FA5880">
        <w:rPr>
          <w:lang w:val="fr-FR"/>
        </w:rPr>
        <w:t>asile, les réfugiés, les apatrides et les migrants, et en particulier les femmes, dans le contexte actuel.</w:t>
      </w:r>
    </w:p>
    <w:p w14:paraId="4F0975A8" w14:textId="7274C1F2" w:rsidR="00BF0A27" w:rsidRPr="00FA5880" w:rsidRDefault="00BF0A27" w:rsidP="00BF0A27">
      <w:pPr>
        <w:pStyle w:val="SingleTxtG"/>
        <w:rPr>
          <w:lang w:val="fr-FR"/>
        </w:rPr>
      </w:pPr>
      <w:r w:rsidRPr="00FA5880">
        <w:rPr>
          <w:lang w:val="fr-FR"/>
        </w:rPr>
        <w:t>10.</w:t>
      </w:r>
      <w:r w:rsidRPr="00FA5880">
        <w:rPr>
          <w:lang w:val="fr-FR"/>
        </w:rPr>
        <w:tab/>
        <w:t>Informations sur les effets de la crise climatique sur les minorités ethniques, les demandeurs d</w:t>
      </w:r>
      <w:r>
        <w:rPr>
          <w:lang w:val="fr-FR"/>
        </w:rPr>
        <w:t>’</w:t>
      </w:r>
      <w:r w:rsidRPr="00FA5880">
        <w:rPr>
          <w:lang w:val="fr-FR"/>
        </w:rPr>
        <w:t>asile, les réfugiés, les apatrides et les migrants dans l</w:t>
      </w:r>
      <w:r>
        <w:rPr>
          <w:lang w:val="fr-FR"/>
        </w:rPr>
        <w:t>’</w:t>
      </w:r>
      <w:r w:rsidRPr="00FA5880">
        <w:rPr>
          <w:lang w:val="fr-FR"/>
        </w:rPr>
        <w:t>État partie, et en particulier les femmes, dans le contexte actuel.</w:t>
      </w:r>
    </w:p>
    <w:p w14:paraId="38F390B6" w14:textId="77777777" w:rsidR="00BF0A27" w:rsidRPr="00FA5880" w:rsidRDefault="00BF0A27" w:rsidP="00BF0A27">
      <w:pPr>
        <w:pStyle w:val="H23G"/>
        <w:rPr>
          <w:lang w:val="fr-FR"/>
        </w:rPr>
      </w:pPr>
      <w:r w:rsidRPr="00FA5880">
        <w:rPr>
          <w:lang w:val="fr-FR"/>
        </w:rPr>
        <w:tab/>
      </w:r>
      <w:r w:rsidRPr="00FA5880">
        <w:rPr>
          <w:lang w:val="fr-FR"/>
        </w:rPr>
        <w:tab/>
        <w:t>Crimes et discours de haine à caractère raciste, et lutte contre les préjugés (art. 4)</w:t>
      </w:r>
    </w:p>
    <w:p w14:paraId="7303786C" w14:textId="066EC5DF" w:rsidR="00BF0A27" w:rsidRPr="00FA5880" w:rsidRDefault="00BF0A27" w:rsidP="00BF0A27">
      <w:pPr>
        <w:pStyle w:val="SingleTxtG"/>
        <w:rPr>
          <w:rStyle w:val="Appelnotedebasdep"/>
          <w:lang w:val="fr-FR"/>
        </w:rPr>
      </w:pPr>
      <w:r w:rsidRPr="00FA5880">
        <w:rPr>
          <w:lang w:val="fr-FR"/>
        </w:rPr>
        <w:t>11.</w:t>
      </w:r>
      <w:r w:rsidRPr="00FA5880">
        <w:rPr>
          <w:lang w:val="fr-FR"/>
        </w:rPr>
        <w:tab/>
        <w:t>Mesures prises par l</w:t>
      </w:r>
      <w:r>
        <w:rPr>
          <w:lang w:val="fr-FR"/>
        </w:rPr>
        <w:t>’</w:t>
      </w:r>
      <w:r w:rsidRPr="00FA5880">
        <w:rPr>
          <w:lang w:val="fr-FR"/>
        </w:rPr>
        <w:t>État partie pour que sa législation soit pleinement conforme à toutes les dispositions de l</w:t>
      </w:r>
      <w:r>
        <w:rPr>
          <w:lang w:val="fr-FR"/>
        </w:rPr>
        <w:t>’</w:t>
      </w:r>
      <w:r w:rsidRPr="00FA5880">
        <w:rPr>
          <w:lang w:val="fr-FR"/>
        </w:rPr>
        <w:t xml:space="preserve">article 4 de la Convention ; </w:t>
      </w:r>
      <w:r>
        <w:rPr>
          <w:lang w:val="fr-FR"/>
        </w:rPr>
        <w:t>i</w:t>
      </w:r>
      <w:r w:rsidRPr="00FA5880">
        <w:rPr>
          <w:lang w:val="fr-FR"/>
        </w:rPr>
        <w:t>nformations indiquant si la législation pénale prévoit que le mobile raciste est une circonstance aggravante et si la loi sur la prévention de la discrimination a été modifiée de sorte à supprimer toute limite ou condition à l</w:t>
      </w:r>
      <w:r>
        <w:rPr>
          <w:lang w:val="fr-FR"/>
        </w:rPr>
        <w:t>’</w:t>
      </w:r>
      <w:r w:rsidRPr="00FA5880">
        <w:rPr>
          <w:lang w:val="fr-FR"/>
        </w:rPr>
        <w:t>interdiction des déclarations à caractère raciste</w:t>
      </w:r>
      <w:r w:rsidRPr="00A878B8">
        <w:rPr>
          <w:rStyle w:val="Appelnotedebasdep"/>
        </w:rPr>
        <w:footnoteReference w:id="9"/>
      </w:r>
      <w:r w:rsidRPr="00FA5880">
        <w:rPr>
          <w:lang w:val="fr-FR"/>
        </w:rPr>
        <w:t>.</w:t>
      </w:r>
    </w:p>
    <w:p w14:paraId="672FAD0F" w14:textId="6F00D2A9" w:rsidR="00BF0A27" w:rsidRPr="00FA5880" w:rsidRDefault="00BF0A27" w:rsidP="00BF0A27">
      <w:pPr>
        <w:pStyle w:val="SingleTxtG"/>
        <w:rPr>
          <w:lang w:val="fr-FR"/>
        </w:rPr>
      </w:pPr>
      <w:r w:rsidRPr="00FA5880">
        <w:rPr>
          <w:lang w:val="fr-FR"/>
        </w:rPr>
        <w:t>12.</w:t>
      </w:r>
      <w:r w:rsidRPr="00FA5880">
        <w:rPr>
          <w:lang w:val="fr-FR"/>
        </w:rPr>
        <w:tab/>
        <w:t>Informations sur l</w:t>
      </w:r>
      <w:r>
        <w:rPr>
          <w:lang w:val="fr-FR"/>
        </w:rPr>
        <w:t>’</w:t>
      </w:r>
      <w:r w:rsidRPr="00FA5880">
        <w:rPr>
          <w:lang w:val="fr-FR"/>
        </w:rPr>
        <w:t>ampleur des discours de haine à caractère raciste et des crimes de haine dans l</w:t>
      </w:r>
      <w:r>
        <w:rPr>
          <w:lang w:val="fr-FR"/>
        </w:rPr>
        <w:t>’</w:t>
      </w:r>
      <w:r w:rsidRPr="00FA5880">
        <w:rPr>
          <w:lang w:val="fr-FR"/>
        </w:rPr>
        <w:t xml:space="preserve">État partie, et renseignements sur le nombre de fois où de telles infractions sont </w:t>
      </w:r>
      <w:r>
        <w:rPr>
          <w:lang w:val="fr-FR"/>
        </w:rPr>
        <w:t>relevées</w:t>
      </w:r>
      <w:r w:rsidRPr="00FA5880">
        <w:rPr>
          <w:lang w:val="fr-FR"/>
        </w:rPr>
        <w:t>.</w:t>
      </w:r>
    </w:p>
    <w:p w14:paraId="2B0F12F5" w14:textId="77777777" w:rsidR="00BF0A27" w:rsidRPr="00FA5880" w:rsidRDefault="00BF0A27" w:rsidP="00BF0A27">
      <w:pPr>
        <w:pStyle w:val="H23G"/>
        <w:rPr>
          <w:lang w:val="fr-FR"/>
        </w:rPr>
      </w:pPr>
      <w:r w:rsidRPr="00FA5880">
        <w:rPr>
          <w:lang w:val="fr-FR"/>
        </w:rPr>
        <w:tab/>
      </w:r>
      <w:r w:rsidRPr="00FA5880">
        <w:rPr>
          <w:lang w:val="fr-FR"/>
        </w:rPr>
        <w:tab/>
      </w:r>
      <w:r w:rsidRPr="00FA5880">
        <w:rPr>
          <w:bCs/>
          <w:lang w:val="fr-FR"/>
        </w:rPr>
        <w:t xml:space="preserve">Situation des minorités </w:t>
      </w:r>
      <w:r w:rsidRPr="00BF0A27">
        <w:rPr>
          <w:lang w:val="fr-FR"/>
        </w:rPr>
        <w:t>ethniques</w:t>
      </w:r>
      <w:r w:rsidRPr="00FA5880">
        <w:rPr>
          <w:bCs/>
          <w:lang w:val="fr-FR"/>
        </w:rPr>
        <w:t xml:space="preserve"> (art. 2 et 5)</w:t>
      </w:r>
    </w:p>
    <w:p w14:paraId="7C571A2A" w14:textId="77777777" w:rsidR="00BF0A27" w:rsidRPr="00FA5880" w:rsidRDefault="00BF0A27" w:rsidP="00BF0A27">
      <w:pPr>
        <w:pStyle w:val="SingleTxtG"/>
        <w:rPr>
          <w:rStyle w:val="Appelnotedebasdep"/>
          <w:lang w:val="fr-FR"/>
        </w:rPr>
      </w:pPr>
      <w:r w:rsidRPr="00FA5880">
        <w:rPr>
          <w:lang w:val="fr-FR"/>
        </w:rPr>
        <w:t>13.</w:t>
      </w:r>
      <w:r w:rsidRPr="00FA5880">
        <w:rPr>
          <w:lang w:val="fr-FR"/>
        </w:rPr>
        <w:tab/>
        <w:t>Informations sur les dispositions prises pour dispenser un enseignement dans les langues minoritaires et sur la mesure dans laquelle les élèves issus de minorités ethniques reçoivent en pratique un enseignement dans leur langue</w:t>
      </w:r>
      <w:r w:rsidRPr="00A878B8">
        <w:rPr>
          <w:rStyle w:val="Appelnotedebasdep"/>
        </w:rPr>
        <w:footnoteReference w:id="10"/>
      </w:r>
      <w:r w:rsidRPr="00FA5880">
        <w:rPr>
          <w:lang w:val="fr-FR"/>
        </w:rPr>
        <w:t>.</w:t>
      </w:r>
    </w:p>
    <w:p w14:paraId="3493C34E" w14:textId="249A84A4" w:rsidR="00BF0A27" w:rsidRPr="00FA5880" w:rsidRDefault="00BF0A27" w:rsidP="00BF0A27">
      <w:pPr>
        <w:pStyle w:val="SingleTxtG"/>
        <w:rPr>
          <w:lang w:val="fr-FR"/>
        </w:rPr>
      </w:pPr>
      <w:r w:rsidRPr="00FA5880">
        <w:rPr>
          <w:lang w:val="fr-FR"/>
        </w:rPr>
        <w:t>14.</w:t>
      </w:r>
      <w:r w:rsidRPr="00FA5880">
        <w:rPr>
          <w:lang w:val="fr-FR"/>
        </w:rPr>
        <w:tab/>
        <w:t>Mesures visant à prévenir et à combattre la discrimination à l</w:t>
      </w:r>
      <w:r>
        <w:rPr>
          <w:lang w:val="fr-FR"/>
        </w:rPr>
        <w:t>’</w:t>
      </w:r>
      <w:r w:rsidRPr="00FA5880">
        <w:rPr>
          <w:lang w:val="fr-FR"/>
        </w:rPr>
        <w:t>égard des minorités ethniques, notamment en matière d</w:t>
      </w:r>
      <w:r>
        <w:rPr>
          <w:lang w:val="fr-FR"/>
        </w:rPr>
        <w:t>’</w:t>
      </w:r>
      <w:r w:rsidRPr="00FA5880">
        <w:rPr>
          <w:lang w:val="fr-FR"/>
        </w:rPr>
        <w:t>emploi et d</w:t>
      </w:r>
      <w:r>
        <w:rPr>
          <w:lang w:val="fr-FR"/>
        </w:rPr>
        <w:t>’</w:t>
      </w:r>
      <w:r w:rsidRPr="00FA5880">
        <w:rPr>
          <w:lang w:val="fr-FR"/>
        </w:rPr>
        <w:t>accès aux documents nationaux d</w:t>
      </w:r>
      <w:r>
        <w:rPr>
          <w:lang w:val="fr-FR"/>
        </w:rPr>
        <w:t>’</w:t>
      </w:r>
      <w:r w:rsidRPr="00FA5880">
        <w:rPr>
          <w:lang w:val="fr-FR"/>
        </w:rPr>
        <w:t>identité</w:t>
      </w:r>
      <w:r w:rsidR="007D7F08">
        <w:rPr>
          <w:lang w:val="fr-FR"/>
        </w:rPr>
        <w:t> </w:t>
      </w:r>
      <w:r w:rsidRPr="00FA5880">
        <w:rPr>
          <w:lang w:val="fr-FR"/>
        </w:rPr>
        <w:t>; informations sur les mesures prises pour lutter contre la discrimination envers les membres des tribus Doma et Tshwa San ; renseignements sur le harcèlement que subirait la minorité blanche vivant dans le pays.</w:t>
      </w:r>
    </w:p>
    <w:p w14:paraId="23B85F87" w14:textId="3AD60B6D" w:rsidR="00BF0A27" w:rsidRPr="00FA5880" w:rsidRDefault="00BF0A27" w:rsidP="00BF0A27">
      <w:pPr>
        <w:pStyle w:val="SingleTxtG"/>
        <w:rPr>
          <w:lang w:val="fr-FR"/>
        </w:rPr>
      </w:pPr>
      <w:r w:rsidRPr="00FA5880">
        <w:rPr>
          <w:lang w:val="fr-FR"/>
        </w:rPr>
        <w:t>15.</w:t>
      </w:r>
      <w:r w:rsidRPr="00FA5880">
        <w:rPr>
          <w:lang w:val="fr-FR"/>
        </w:rPr>
        <w:tab/>
        <w:t>Informations sur les tensions et les violences entre groupes ethniques et sur les mesures prises pour que tous les groupes ethniques de l</w:t>
      </w:r>
      <w:r>
        <w:rPr>
          <w:lang w:val="fr-FR"/>
        </w:rPr>
        <w:t>’</w:t>
      </w:r>
      <w:r w:rsidRPr="00FA5880">
        <w:rPr>
          <w:lang w:val="fr-FR"/>
        </w:rPr>
        <w:t>État partie jouissent, sans discrimination aucune, du droit à la sécurité de la personne et à la protection de l</w:t>
      </w:r>
      <w:r>
        <w:rPr>
          <w:lang w:val="fr-FR"/>
        </w:rPr>
        <w:t>’</w:t>
      </w:r>
      <w:r w:rsidRPr="00FA5880">
        <w:rPr>
          <w:lang w:val="fr-FR"/>
        </w:rPr>
        <w:t>État contre la violence et les atteintes à l</w:t>
      </w:r>
      <w:r>
        <w:rPr>
          <w:lang w:val="fr-FR"/>
        </w:rPr>
        <w:t>’</w:t>
      </w:r>
      <w:r w:rsidRPr="00FA5880">
        <w:rPr>
          <w:lang w:val="fr-FR"/>
        </w:rPr>
        <w:t>intégrité physique, y compris dans le contexte de la violence politique. Mesures prises pour promouvoir la tolérance et la compréhension entre les différents groupes vivant sur le territoire de l</w:t>
      </w:r>
      <w:r>
        <w:rPr>
          <w:lang w:val="fr-FR"/>
        </w:rPr>
        <w:t>’</w:t>
      </w:r>
      <w:r w:rsidRPr="00FA5880">
        <w:rPr>
          <w:lang w:val="fr-FR"/>
        </w:rPr>
        <w:t>État partie et effet de ces mesures.</w:t>
      </w:r>
    </w:p>
    <w:p w14:paraId="73358FDD" w14:textId="0FE682CE" w:rsidR="00BF0A27" w:rsidRPr="00FA5880" w:rsidRDefault="00BF0A27" w:rsidP="00BF0A27">
      <w:pPr>
        <w:pStyle w:val="SingleTxtG"/>
        <w:rPr>
          <w:lang w:val="fr-FR"/>
        </w:rPr>
      </w:pPr>
      <w:r w:rsidRPr="00FA5880">
        <w:rPr>
          <w:lang w:val="fr-FR"/>
        </w:rPr>
        <w:t>16.</w:t>
      </w:r>
      <w:r w:rsidRPr="00FA5880">
        <w:rPr>
          <w:lang w:val="fr-FR"/>
        </w:rPr>
        <w:tab/>
        <w:t>Informations sur les mesures prises pour garantir une représentation politique suffisante des minorités ethniques à tous les niveaux dans l</w:t>
      </w:r>
      <w:r>
        <w:rPr>
          <w:lang w:val="fr-FR"/>
        </w:rPr>
        <w:t>’</w:t>
      </w:r>
      <w:r w:rsidRPr="00FA5880">
        <w:rPr>
          <w:lang w:val="fr-FR"/>
        </w:rPr>
        <w:t>État partie, et statistiques sur cette représentation.</w:t>
      </w:r>
    </w:p>
    <w:p w14:paraId="68DCF89C" w14:textId="5F7AE948" w:rsidR="00BF0A27" w:rsidRPr="00FA5880" w:rsidRDefault="00BF0A27" w:rsidP="00FC51B2">
      <w:pPr>
        <w:pStyle w:val="SingleTxtG"/>
        <w:keepNext/>
        <w:keepLines/>
        <w:rPr>
          <w:rStyle w:val="Appelnotedebasdep"/>
          <w:lang w:val="fr-FR"/>
        </w:rPr>
      </w:pPr>
      <w:r w:rsidRPr="00FA5880">
        <w:rPr>
          <w:lang w:val="fr-FR"/>
        </w:rPr>
        <w:t>17.</w:t>
      </w:r>
      <w:r w:rsidRPr="00FA5880">
        <w:rPr>
          <w:lang w:val="fr-FR"/>
        </w:rPr>
        <w:tab/>
        <w:t>Informations et statistiques sur la redistribution des terres, notamment sur les effets que les politiques connexes ont eus sur la réduction des inégalités, y compris sur les différents groupes ethniques présents dans l</w:t>
      </w:r>
      <w:r>
        <w:rPr>
          <w:lang w:val="fr-FR"/>
        </w:rPr>
        <w:t>’</w:t>
      </w:r>
      <w:r w:rsidRPr="00FA5880">
        <w:rPr>
          <w:lang w:val="fr-FR"/>
        </w:rPr>
        <w:t>État partie ; renseignements sur l</w:t>
      </w:r>
      <w:r>
        <w:rPr>
          <w:lang w:val="fr-FR"/>
        </w:rPr>
        <w:t>’</w:t>
      </w:r>
      <w:r w:rsidRPr="00FA5880">
        <w:rPr>
          <w:lang w:val="fr-FR"/>
        </w:rPr>
        <w:t>application de l</w:t>
      </w:r>
      <w:r>
        <w:rPr>
          <w:lang w:val="fr-FR"/>
        </w:rPr>
        <w:t>’</w:t>
      </w:r>
      <w:r w:rsidRPr="00FA5880">
        <w:rPr>
          <w:lang w:val="fr-FR"/>
        </w:rPr>
        <w:t>accord d</w:t>
      </w:r>
      <w:r>
        <w:rPr>
          <w:lang w:val="fr-FR"/>
        </w:rPr>
        <w:t>’</w:t>
      </w:r>
      <w:r w:rsidRPr="00FA5880">
        <w:rPr>
          <w:lang w:val="fr-FR"/>
        </w:rPr>
        <w:t>indemnisation globale</w:t>
      </w:r>
      <w:r w:rsidRPr="00A878B8">
        <w:rPr>
          <w:rStyle w:val="Appelnotedebasdep"/>
        </w:rPr>
        <w:footnoteReference w:id="11"/>
      </w:r>
      <w:r w:rsidRPr="00FA5880">
        <w:rPr>
          <w:lang w:val="fr-FR"/>
        </w:rPr>
        <w:t>.</w:t>
      </w:r>
    </w:p>
    <w:p w14:paraId="003A6519" w14:textId="4FD79801" w:rsidR="00BF0A27" w:rsidRPr="00FA5880" w:rsidRDefault="00BF0A27" w:rsidP="00BF0A27">
      <w:pPr>
        <w:pStyle w:val="SingleTxtG"/>
        <w:rPr>
          <w:lang w:val="fr-FR"/>
        </w:rPr>
      </w:pPr>
      <w:r w:rsidRPr="00FA5880">
        <w:rPr>
          <w:lang w:val="fr-FR"/>
        </w:rPr>
        <w:t>18.</w:t>
      </w:r>
      <w:r w:rsidRPr="00FA5880">
        <w:rPr>
          <w:lang w:val="fr-FR"/>
        </w:rPr>
        <w:tab/>
        <w:t>Informations sur les mesures prises pour intensifier les activités visant à prévenir les infractions liées à la traite des personnes, à enquêter à leur sujet et à en poursuivre les auteurs, y compris les fonctionnaires complices ; mesures visant à faciliter le dépôt de plaintes par les victimes</w:t>
      </w:r>
      <w:r w:rsidR="007D7F08">
        <w:rPr>
          <w:lang w:val="fr-FR"/>
        </w:rPr>
        <w:t> </w:t>
      </w:r>
      <w:r w:rsidRPr="00FA5880">
        <w:rPr>
          <w:lang w:val="fr-FR"/>
        </w:rPr>
        <w:t>; dispositions prises pour renforcer le soutien et la protection apportés aux victimes de la traite des personnes ; données statistiques sur les victimes de la traite des personnes, notamment leur nationalité et leur origine ethnique.</w:t>
      </w:r>
    </w:p>
    <w:p w14:paraId="5B451D30" w14:textId="0646D959" w:rsidR="00BF0A27" w:rsidRPr="00FA5880" w:rsidRDefault="00BF0A27" w:rsidP="00BF0A27">
      <w:pPr>
        <w:pStyle w:val="H23G"/>
        <w:rPr>
          <w:lang w:val="fr-FR"/>
        </w:rPr>
      </w:pPr>
      <w:r w:rsidRPr="00FA5880">
        <w:rPr>
          <w:lang w:val="fr-FR"/>
        </w:rPr>
        <w:tab/>
      </w:r>
      <w:r w:rsidRPr="00FA5880">
        <w:rPr>
          <w:lang w:val="fr-FR"/>
        </w:rPr>
        <w:tab/>
      </w:r>
      <w:r w:rsidRPr="00FA5880">
        <w:rPr>
          <w:bCs/>
          <w:lang w:val="fr-FR"/>
        </w:rPr>
        <w:t>Situation des migrants, des demandeurs d</w:t>
      </w:r>
      <w:r>
        <w:rPr>
          <w:bCs/>
          <w:lang w:val="fr-FR"/>
        </w:rPr>
        <w:t>’</w:t>
      </w:r>
      <w:r w:rsidRPr="00FA5880">
        <w:rPr>
          <w:bCs/>
          <w:lang w:val="fr-FR"/>
        </w:rPr>
        <w:t xml:space="preserve">asile, </w:t>
      </w:r>
      <w:r>
        <w:rPr>
          <w:bCs/>
          <w:lang w:val="fr-FR"/>
        </w:rPr>
        <w:br/>
      </w:r>
      <w:r w:rsidRPr="00FA5880">
        <w:rPr>
          <w:bCs/>
          <w:lang w:val="fr-FR"/>
        </w:rPr>
        <w:t>des réfugiés et des apatrides (art. 2 et 5)</w:t>
      </w:r>
    </w:p>
    <w:p w14:paraId="057DA19E" w14:textId="6F0DE5B3" w:rsidR="00BF0A27" w:rsidRPr="00FA5880" w:rsidRDefault="00BF0A27" w:rsidP="00BF0A27">
      <w:pPr>
        <w:pStyle w:val="SingleTxtG"/>
        <w:rPr>
          <w:rStyle w:val="Appelnotedebasdep"/>
          <w:lang w:val="fr-FR"/>
        </w:rPr>
      </w:pPr>
      <w:r w:rsidRPr="00FA5880">
        <w:rPr>
          <w:lang w:val="fr-FR"/>
        </w:rPr>
        <w:t>19.</w:t>
      </w:r>
      <w:r w:rsidRPr="00FA5880">
        <w:rPr>
          <w:lang w:val="fr-FR"/>
        </w:rPr>
        <w:tab/>
        <w:t>Informations sur la discrimination à laquelle sont exposés des migrants, des demandeurs d</w:t>
      </w:r>
      <w:r>
        <w:rPr>
          <w:lang w:val="fr-FR"/>
        </w:rPr>
        <w:t>’</w:t>
      </w:r>
      <w:r w:rsidRPr="00FA5880">
        <w:rPr>
          <w:lang w:val="fr-FR"/>
        </w:rPr>
        <w:t>asile, des réfugiés, des apatrides et d</w:t>
      </w:r>
      <w:r>
        <w:rPr>
          <w:lang w:val="fr-FR"/>
        </w:rPr>
        <w:t>’</w:t>
      </w:r>
      <w:r w:rsidRPr="00FA5880">
        <w:rPr>
          <w:lang w:val="fr-FR"/>
        </w:rPr>
        <w:t>autres non-ressortissants résidant dans l</w:t>
      </w:r>
      <w:r>
        <w:rPr>
          <w:lang w:val="fr-FR"/>
        </w:rPr>
        <w:t>’</w:t>
      </w:r>
      <w:r w:rsidRPr="00FA5880">
        <w:rPr>
          <w:lang w:val="fr-FR"/>
        </w:rPr>
        <w:t>État partie</w:t>
      </w:r>
      <w:r>
        <w:rPr>
          <w:lang w:val="fr-FR"/>
        </w:rPr>
        <w:t>,</w:t>
      </w:r>
      <w:r w:rsidRPr="00FA5880">
        <w:rPr>
          <w:lang w:val="fr-FR"/>
        </w:rPr>
        <w:t xml:space="preserve"> et sur les mesures législatives ou autres visant à garanti</w:t>
      </w:r>
      <w:r>
        <w:rPr>
          <w:lang w:val="fr-FR"/>
        </w:rPr>
        <w:t>r</w:t>
      </w:r>
      <w:r w:rsidRPr="00FA5880">
        <w:rPr>
          <w:lang w:val="fr-FR"/>
        </w:rPr>
        <w:t>, sans discrimination, la protection des droits que ces personnes tiennent de l</w:t>
      </w:r>
      <w:r>
        <w:rPr>
          <w:lang w:val="fr-FR"/>
        </w:rPr>
        <w:t>’</w:t>
      </w:r>
      <w:r w:rsidRPr="00FA5880">
        <w:rPr>
          <w:lang w:val="fr-FR"/>
        </w:rPr>
        <w:t>article 5 de la Convention, notamment en matière d</w:t>
      </w:r>
      <w:r>
        <w:rPr>
          <w:lang w:val="fr-FR"/>
        </w:rPr>
        <w:t>’</w:t>
      </w:r>
      <w:r w:rsidRPr="00FA5880">
        <w:rPr>
          <w:lang w:val="fr-FR"/>
        </w:rPr>
        <w:t>emploi, d</w:t>
      </w:r>
      <w:r>
        <w:rPr>
          <w:lang w:val="fr-FR"/>
        </w:rPr>
        <w:t>’</w:t>
      </w:r>
      <w:r w:rsidRPr="00FA5880">
        <w:rPr>
          <w:lang w:val="fr-FR"/>
        </w:rPr>
        <w:t>éducation, de soins de santé et de logement</w:t>
      </w:r>
      <w:r w:rsidRPr="00A878B8">
        <w:rPr>
          <w:rStyle w:val="Appelnotedebasdep"/>
        </w:rPr>
        <w:footnoteReference w:id="12"/>
      </w:r>
      <w:r w:rsidRPr="00FA5880">
        <w:rPr>
          <w:lang w:val="fr-FR"/>
        </w:rPr>
        <w:t>.</w:t>
      </w:r>
    </w:p>
    <w:p w14:paraId="3FADF0D5" w14:textId="4842D485" w:rsidR="00BF0A27" w:rsidRPr="00FA5880" w:rsidRDefault="00BF0A27" w:rsidP="00BF0A27">
      <w:pPr>
        <w:pStyle w:val="SingleTxtG"/>
        <w:rPr>
          <w:lang w:val="fr-FR"/>
        </w:rPr>
      </w:pPr>
      <w:r w:rsidRPr="00FA5880">
        <w:rPr>
          <w:lang w:val="fr-FR"/>
        </w:rPr>
        <w:t>20.</w:t>
      </w:r>
      <w:r w:rsidRPr="00FA5880">
        <w:rPr>
          <w:lang w:val="fr-FR"/>
        </w:rPr>
        <w:tab/>
        <w:t>Informations sur les allégations selon lesquelles les réfugiés sont souvent obligés de travailler dans le secteur informel, sous la contrainte ou dans des emplois présentant des dangers ou des risques particuliers, étant donné qu</w:t>
      </w:r>
      <w:r>
        <w:rPr>
          <w:lang w:val="fr-FR"/>
        </w:rPr>
        <w:t>’</w:t>
      </w:r>
      <w:r w:rsidRPr="00FA5880">
        <w:rPr>
          <w:lang w:val="fr-FR"/>
        </w:rPr>
        <w:t>ils n</w:t>
      </w:r>
      <w:r>
        <w:rPr>
          <w:lang w:val="fr-FR"/>
        </w:rPr>
        <w:t>’</w:t>
      </w:r>
      <w:r w:rsidRPr="00FA5880">
        <w:rPr>
          <w:lang w:val="fr-FR"/>
        </w:rPr>
        <w:t>ont pas accès au marché du travail formel. Mesures prises pour que le principe de non-refoulement soit appliqué sans exception, compte tenu, en particulier, des informations selon lesquelles des réfugiés seraient renvoyés de force de la République démocratique du Congo.</w:t>
      </w:r>
    </w:p>
    <w:p w14:paraId="0EFCEB55" w14:textId="52A054C4" w:rsidR="00BF0A27" w:rsidRPr="00FA5880" w:rsidRDefault="00BF0A27" w:rsidP="00BF0A27">
      <w:pPr>
        <w:pStyle w:val="SingleTxtG"/>
        <w:rPr>
          <w:rStyle w:val="Appelnotedebasdep"/>
          <w:lang w:val="fr-FR"/>
        </w:rPr>
      </w:pPr>
      <w:r w:rsidRPr="00FA5880">
        <w:rPr>
          <w:lang w:val="fr-FR"/>
        </w:rPr>
        <w:t>21.</w:t>
      </w:r>
      <w:r w:rsidRPr="00FA5880">
        <w:rPr>
          <w:lang w:val="fr-FR"/>
        </w:rPr>
        <w:tab/>
        <w:t>Informations sur les mesures prises pour supprimer les dispositions discriminatoires de la législation sur la citoyenneté. Dispositions prises pour prévenir et réduire les cas d</w:t>
      </w:r>
      <w:r>
        <w:rPr>
          <w:lang w:val="fr-FR"/>
        </w:rPr>
        <w:t>’</w:t>
      </w:r>
      <w:r w:rsidRPr="00FA5880">
        <w:rPr>
          <w:lang w:val="fr-FR"/>
        </w:rPr>
        <w:t>apatridie, y compris pour identifier et enregistrer tous les apatrides présents sur le territoire de l</w:t>
      </w:r>
      <w:r>
        <w:rPr>
          <w:lang w:val="fr-FR"/>
        </w:rPr>
        <w:t>’</w:t>
      </w:r>
      <w:r w:rsidRPr="00FA5880">
        <w:rPr>
          <w:lang w:val="fr-FR"/>
        </w:rPr>
        <w:t>État partie. Mesures prises pour lever les obstacles à l</w:t>
      </w:r>
      <w:r>
        <w:rPr>
          <w:lang w:val="fr-FR"/>
        </w:rPr>
        <w:t>’</w:t>
      </w:r>
      <w:r w:rsidRPr="00FA5880">
        <w:rPr>
          <w:lang w:val="fr-FR"/>
        </w:rPr>
        <w:t>acquisition de la citoyenneté auxquels se heurtent les membres de l</w:t>
      </w:r>
      <w:r>
        <w:rPr>
          <w:lang w:val="fr-FR"/>
        </w:rPr>
        <w:t>’</w:t>
      </w:r>
      <w:r w:rsidRPr="00FA5880">
        <w:rPr>
          <w:lang w:val="fr-FR"/>
        </w:rPr>
        <w:t>ethnie ndebele dont les familles ont été tuées ou ont disparu pendant les massacres de Gukurahundi</w:t>
      </w:r>
      <w:r w:rsidRPr="00A878B8">
        <w:rPr>
          <w:rStyle w:val="Appelnotedebasdep"/>
        </w:rPr>
        <w:footnoteReference w:id="13"/>
      </w:r>
      <w:r w:rsidRPr="00FA5880">
        <w:rPr>
          <w:lang w:val="fr-FR"/>
        </w:rPr>
        <w:t>.</w:t>
      </w:r>
    </w:p>
    <w:p w14:paraId="3BFAF3B2" w14:textId="2B841558" w:rsidR="00984B29" w:rsidRDefault="00BF0A27" w:rsidP="00BF0A27">
      <w:pPr>
        <w:pStyle w:val="SingleTxtG"/>
        <w:rPr>
          <w:lang w:val="fr-FR"/>
        </w:rPr>
      </w:pPr>
      <w:r w:rsidRPr="00FA5880">
        <w:rPr>
          <w:lang w:val="fr-FR"/>
        </w:rPr>
        <w:t>22.</w:t>
      </w:r>
      <w:r w:rsidRPr="00FA5880">
        <w:rPr>
          <w:lang w:val="fr-FR"/>
        </w:rPr>
        <w:tab/>
        <w:t>Mesures prises pour que tous les enfants nés dans l</w:t>
      </w:r>
      <w:r>
        <w:rPr>
          <w:lang w:val="fr-FR"/>
        </w:rPr>
        <w:t>’</w:t>
      </w:r>
      <w:r w:rsidRPr="00FA5880">
        <w:rPr>
          <w:lang w:val="fr-FR"/>
        </w:rPr>
        <w:t>État partie soient immédiatement enregistrés après leur naissance, indépendamment du statut de résidence ou de la nationalité de leurs parents ou de toute autre raison.</w:t>
      </w:r>
    </w:p>
    <w:p w14:paraId="223EC5DD" w14:textId="5D398155" w:rsidR="00BF0A27" w:rsidRPr="00BF0A27" w:rsidRDefault="00BF0A27" w:rsidP="00BF0A27">
      <w:pPr>
        <w:pStyle w:val="SingleTxtG"/>
        <w:spacing w:before="240" w:after="0"/>
        <w:jc w:val="center"/>
        <w:rPr>
          <w:u w:val="single"/>
        </w:rPr>
      </w:pPr>
      <w:r>
        <w:rPr>
          <w:u w:val="single"/>
        </w:rPr>
        <w:tab/>
      </w:r>
      <w:r>
        <w:rPr>
          <w:u w:val="single"/>
        </w:rPr>
        <w:tab/>
      </w:r>
      <w:r>
        <w:rPr>
          <w:u w:val="single"/>
        </w:rPr>
        <w:tab/>
      </w:r>
    </w:p>
    <w:sectPr w:rsidR="00BF0A27" w:rsidRPr="00BF0A27" w:rsidSect="00BF0A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C68E" w14:textId="77777777" w:rsidR="00E5184F" w:rsidRDefault="00E5184F" w:rsidP="00F95C08">
      <w:pPr>
        <w:spacing w:line="240" w:lineRule="auto"/>
      </w:pPr>
    </w:p>
  </w:endnote>
  <w:endnote w:type="continuationSeparator" w:id="0">
    <w:p w14:paraId="2ADD5F21" w14:textId="77777777" w:rsidR="00E5184F" w:rsidRPr="00AC3823" w:rsidRDefault="00E5184F" w:rsidP="00AC3823">
      <w:pPr>
        <w:pStyle w:val="Pieddepage"/>
      </w:pPr>
    </w:p>
  </w:endnote>
  <w:endnote w:type="continuationNotice" w:id="1">
    <w:p w14:paraId="0A7066F2" w14:textId="77777777" w:rsidR="00E5184F" w:rsidRDefault="00E518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5DA4" w14:textId="5736545F" w:rsidR="00BF0A27" w:rsidRPr="00BF0A27" w:rsidRDefault="00BF0A27" w:rsidP="00BF0A27">
    <w:pPr>
      <w:pStyle w:val="Pieddepage"/>
      <w:tabs>
        <w:tab w:val="right" w:pos="9638"/>
      </w:tabs>
    </w:pPr>
    <w:r w:rsidRPr="00BF0A27">
      <w:rPr>
        <w:b/>
        <w:sz w:val="18"/>
      </w:rPr>
      <w:fldChar w:fldCharType="begin"/>
    </w:r>
    <w:r w:rsidRPr="00BF0A27">
      <w:rPr>
        <w:b/>
        <w:sz w:val="18"/>
      </w:rPr>
      <w:instrText xml:space="preserve"> PAGE  \* MERGEFORMAT </w:instrText>
    </w:r>
    <w:r w:rsidRPr="00BF0A27">
      <w:rPr>
        <w:b/>
        <w:sz w:val="18"/>
      </w:rPr>
      <w:fldChar w:fldCharType="separate"/>
    </w:r>
    <w:r w:rsidRPr="00BF0A27">
      <w:rPr>
        <w:b/>
        <w:noProof/>
        <w:sz w:val="18"/>
      </w:rPr>
      <w:t>2</w:t>
    </w:r>
    <w:r w:rsidRPr="00BF0A27">
      <w:rPr>
        <w:b/>
        <w:sz w:val="18"/>
      </w:rPr>
      <w:fldChar w:fldCharType="end"/>
    </w:r>
    <w:r>
      <w:rPr>
        <w:b/>
        <w:sz w:val="18"/>
      </w:rPr>
      <w:tab/>
    </w:r>
    <w:r>
      <w:t>GE.22-09891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305" w14:textId="717253B6" w:rsidR="00BF0A27" w:rsidRPr="00BF0A27" w:rsidRDefault="00BF0A27" w:rsidP="00BF0A27">
    <w:pPr>
      <w:pStyle w:val="Pieddepage"/>
      <w:tabs>
        <w:tab w:val="right" w:pos="9638"/>
      </w:tabs>
      <w:rPr>
        <w:b/>
        <w:sz w:val="18"/>
      </w:rPr>
    </w:pPr>
    <w:r>
      <w:t>GE.22-09891</w:t>
    </w:r>
    <w:r>
      <w:tab/>
    </w:r>
    <w:r w:rsidRPr="00BF0A27">
      <w:rPr>
        <w:b/>
        <w:sz w:val="18"/>
      </w:rPr>
      <w:fldChar w:fldCharType="begin"/>
    </w:r>
    <w:r w:rsidRPr="00BF0A27">
      <w:rPr>
        <w:b/>
        <w:sz w:val="18"/>
      </w:rPr>
      <w:instrText xml:space="preserve"> PAGE  \* MERGEFORMAT </w:instrText>
    </w:r>
    <w:r w:rsidRPr="00BF0A27">
      <w:rPr>
        <w:b/>
        <w:sz w:val="18"/>
      </w:rPr>
      <w:fldChar w:fldCharType="separate"/>
    </w:r>
    <w:r w:rsidRPr="00BF0A27">
      <w:rPr>
        <w:b/>
        <w:noProof/>
        <w:sz w:val="18"/>
      </w:rPr>
      <w:t>3</w:t>
    </w:r>
    <w:r w:rsidRPr="00BF0A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CC95" w14:textId="1AF3A000" w:rsidR="00984B29" w:rsidRPr="00BF0A27" w:rsidRDefault="00BF0A27" w:rsidP="00BF0A2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6559B98" wp14:editId="48C5BC3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22-09891  (F)</w:t>
    </w:r>
    <w:r>
      <w:rPr>
        <w:noProof/>
        <w:sz w:val="20"/>
      </w:rPr>
      <w:drawing>
        <wp:anchor distT="0" distB="0" distL="114300" distR="114300" simplePos="0" relativeHeight="251660288" behindDoc="0" locked="0" layoutInCell="1" allowOverlap="1" wp14:anchorId="15D1C798" wp14:editId="2C174A8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280622    290622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C633" w14:textId="77777777" w:rsidR="00E5184F" w:rsidRPr="00AC3823" w:rsidRDefault="00E5184F" w:rsidP="00AC3823">
      <w:pPr>
        <w:pStyle w:val="Pieddepage"/>
        <w:tabs>
          <w:tab w:val="right" w:pos="2155"/>
        </w:tabs>
        <w:spacing w:after="80" w:line="240" w:lineRule="atLeast"/>
        <w:ind w:left="680"/>
        <w:rPr>
          <w:u w:val="single"/>
        </w:rPr>
      </w:pPr>
      <w:r>
        <w:rPr>
          <w:u w:val="single"/>
        </w:rPr>
        <w:tab/>
      </w:r>
    </w:p>
  </w:footnote>
  <w:footnote w:type="continuationSeparator" w:id="0">
    <w:p w14:paraId="0EDB9610" w14:textId="77777777" w:rsidR="00E5184F" w:rsidRPr="00AC3823" w:rsidRDefault="00E5184F" w:rsidP="00AC3823">
      <w:pPr>
        <w:pStyle w:val="Pieddepage"/>
        <w:tabs>
          <w:tab w:val="right" w:pos="2155"/>
        </w:tabs>
        <w:spacing w:after="80" w:line="240" w:lineRule="atLeast"/>
        <w:ind w:left="680"/>
        <w:rPr>
          <w:u w:val="single"/>
        </w:rPr>
      </w:pPr>
      <w:r>
        <w:rPr>
          <w:u w:val="single"/>
        </w:rPr>
        <w:tab/>
      </w:r>
    </w:p>
  </w:footnote>
  <w:footnote w:type="continuationNotice" w:id="1">
    <w:p w14:paraId="60AFD533" w14:textId="77777777" w:rsidR="00E5184F" w:rsidRPr="00AC3823" w:rsidRDefault="00E5184F">
      <w:pPr>
        <w:spacing w:line="240" w:lineRule="auto"/>
        <w:rPr>
          <w:sz w:val="2"/>
          <w:szCs w:val="2"/>
        </w:rPr>
      </w:pPr>
    </w:p>
  </w:footnote>
  <w:footnote w:id="2">
    <w:p w14:paraId="0BF4D447" w14:textId="544E0ECB"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1" w:history="1">
        <w:r w:rsidRPr="007D7F08">
          <w:rPr>
            <w:rStyle w:val="Lienhypertexte"/>
            <w:lang w:val="fr-FR"/>
          </w:rPr>
          <w:t>A/6</w:t>
        </w:r>
        <w:r w:rsidRPr="007D7F08">
          <w:rPr>
            <w:rStyle w:val="Lienhypertexte"/>
            <w:lang w:val="fr-FR"/>
          </w:rPr>
          <w:t>5</w:t>
        </w:r>
        <w:r w:rsidRPr="007D7F08">
          <w:rPr>
            <w:rStyle w:val="Lienhypertexte"/>
            <w:lang w:val="fr-FR"/>
          </w:rPr>
          <w:t>/18</w:t>
        </w:r>
      </w:hyperlink>
      <w:r>
        <w:rPr>
          <w:lang w:val="fr-FR"/>
        </w:rPr>
        <w:t>, par. 85.</w:t>
      </w:r>
    </w:p>
  </w:footnote>
  <w:footnote w:id="3">
    <w:p w14:paraId="4A806AEE" w14:textId="78FCD8F2" w:rsidR="00BF0A27" w:rsidRPr="00FA5880" w:rsidRDefault="00BF0A27" w:rsidP="00BF0A27">
      <w:pPr>
        <w:pStyle w:val="Notedebasdepage"/>
        <w:rPr>
          <w:lang w:val="fr-FR"/>
        </w:rPr>
      </w:pPr>
      <w:r w:rsidRPr="000F220A">
        <w:rPr>
          <w:lang w:val="fr-FR"/>
        </w:rPr>
        <w:tab/>
      </w:r>
      <w:r w:rsidRPr="00A878B8">
        <w:rPr>
          <w:rStyle w:val="Appelnotedebasdep"/>
        </w:rPr>
        <w:footnoteRef/>
      </w:r>
      <w:r>
        <w:rPr>
          <w:lang w:val="fr-FR"/>
        </w:rPr>
        <w:tab/>
      </w:r>
      <w:hyperlink r:id="rId2" w:history="1">
        <w:r w:rsidRPr="007D7F08">
          <w:rPr>
            <w:rStyle w:val="Lienhypertexte"/>
            <w:lang w:val="fr-FR"/>
          </w:rPr>
          <w:t>CERD/C/304/Add.92</w:t>
        </w:r>
      </w:hyperlink>
      <w:r>
        <w:rPr>
          <w:lang w:val="fr-FR"/>
        </w:rPr>
        <w:t>, par. 12</w:t>
      </w:r>
      <w:r>
        <w:rPr>
          <w:lang w:val="fr-FR"/>
        </w:rPr>
        <w:t> </w:t>
      </w:r>
      <w:r>
        <w:rPr>
          <w:lang w:val="fr-FR"/>
        </w:rPr>
        <w:t xml:space="preserve">; </w:t>
      </w:r>
      <w:hyperlink r:id="rId3" w:history="1">
        <w:r w:rsidRPr="007D7F08">
          <w:rPr>
            <w:rStyle w:val="Lienhypertexte"/>
            <w:lang w:val="fr-FR"/>
          </w:rPr>
          <w:t>CERD/C/ZWE/5-11</w:t>
        </w:r>
      </w:hyperlink>
      <w:r>
        <w:rPr>
          <w:lang w:val="fr-FR"/>
        </w:rPr>
        <w:t>, par. 71, 82 et 83.</w:t>
      </w:r>
    </w:p>
  </w:footnote>
  <w:footnote w:id="4">
    <w:p w14:paraId="3B92FCB6" w14:textId="6254D938" w:rsidR="00BF0A27" w:rsidRPr="00FA5880" w:rsidRDefault="00BF0A27" w:rsidP="00BF0A27">
      <w:pPr>
        <w:pStyle w:val="Notedebasdepage"/>
        <w:rPr>
          <w:lang w:val="fr-FR"/>
        </w:rPr>
      </w:pPr>
      <w:r w:rsidRPr="000F220A">
        <w:rPr>
          <w:lang w:val="fr-FR"/>
        </w:rPr>
        <w:tab/>
      </w:r>
      <w:r w:rsidRPr="00A878B8">
        <w:rPr>
          <w:rStyle w:val="Appelnotedebasdep"/>
        </w:rPr>
        <w:footnoteRef/>
      </w:r>
      <w:r>
        <w:rPr>
          <w:lang w:val="fr-FR"/>
        </w:rPr>
        <w:tab/>
      </w:r>
      <w:hyperlink r:id="rId4" w:history="1">
        <w:r w:rsidRPr="007D7F08">
          <w:rPr>
            <w:rStyle w:val="Lienhypertexte"/>
            <w:lang w:val="fr-FR"/>
          </w:rPr>
          <w:t>CERD/C/304/Add.92</w:t>
        </w:r>
      </w:hyperlink>
      <w:r>
        <w:rPr>
          <w:lang w:val="fr-FR"/>
        </w:rPr>
        <w:t>, par. 8</w:t>
      </w:r>
      <w:r>
        <w:rPr>
          <w:lang w:val="fr-FR"/>
        </w:rPr>
        <w:t> </w:t>
      </w:r>
      <w:r>
        <w:rPr>
          <w:lang w:val="fr-FR"/>
        </w:rPr>
        <w:t xml:space="preserve">; </w:t>
      </w:r>
      <w:hyperlink r:id="rId5" w:history="1">
        <w:r w:rsidRPr="007D7F08">
          <w:rPr>
            <w:rStyle w:val="Lienhypertexte"/>
            <w:lang w:val="fr-FR"/>
          </w:rPr>
          <w:t>CERD/C/ZWE/5-11</w:t>
        </w:r>
      </w:hyperlink>
      <w:r>
        <w:rPr>
          <w:lang w:val="fr-FR"/>
        </w:rPr>
        <w:t>, par</w:t>
      </w:r>
      <w:r w:rsidR="007D7F08">
        <w:rPr>
          <w:lang w:val="fr-FR"/>
        </w:rPr>
        <w:t>.</w:t>
      </w:r>
      <w:r>
        <w:rPr>
          <w:lang w:val="fr-FR"/>
        </w:rPr>
        <w:t xml:space="preserve"> 99, 100 et 120.</w:t>
      </w:r>
    </w:p>
  </w:footnote>
  <w:footnote w:id="5">
    <w:p w14:paraId="10F59A34" w14:textId="41C6D777"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6" w:history="1">
        <w:r w:rsidRPr="00FC51B2">
          <w:rPr>
            <w:rStyle w:val="Lienhypertexte"/>
            <w:lang w:val="fr-FR"/>
          </w:rPr>
          <w:t>CERD/C/ZWE/5-11</w:t>
        </w:r>
      </w:hyperlink>
      <w:r>
        <w:rPr>
          <w:lang w:val="fr-FR"/>
        </w:rPr>
        <w:t>, par. 57 à 59.</w:t>
      </w:r>
    </w:p>
  </w:footnote>
  <w:footnote w:id="6">
    <w:p w14:paraId="39296654" w14:textId="1C6FFE09"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7" w:history="1">
        <w:r w:rsidRPr="00FC51B2">
          <w:rPr>
            <w:rStyle w:val="Lienhypertexte"/>
            <w:lang w:val="fr-FR"/>
          </w:rPr>
          <w:t>CERD/C/304/Add.92</w:t>
        </w:r>
      </w:hyperlink>
      <w:r>
        <w:rPr>
          <w:lang w:val="fr-FR"/>
        </w:rPr>
        <w:t>, par. 9</w:t>
      </w:r>
      <w:r>
        <w:rPr>
          <w:lang w:val="fr-FR"/>
        </w:rPr>
        <w:t> </w:t>
      </w:r>
      <w:r>
        <w:rPr>
          <w:lang w:val="fr-FR"/>
        </w:rPr>
        <w:t xml:space="preserve">; </w:t>
      </w:r>
      <w:hyperlink r:id="rId8" w:history="1">
        <w:r w:rsidRPr="00FC51B2">
          <w:rPr>
            <w:rStyle w:val="Lienhypertexte"/>
            <w:lang w:val="fr-FR"/>
          </w:rPr>
          <w:t>CERD/C/ZWE/5-11</w:t>
        </w:r>
      </w:hyperlink>
      <w:r>
        <w:rPr>
          <w:lang w:val="fr-FR"/>
        </w:rPr>
        <w:t>, par. 37.</w:t>
      </w:r>
    </w:p>
  </w:footnote>
  <w:footnote w:id="7">
    <w:p w14:paraId="04476927" w14:textId="34E75CFA"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9" w:history="1">
        <w:r w:rsidRPr="00FC51B2">
          <w:rPr>
            <w:rStyle w:val="Lienhypertexte"/>
            <w:lang w:val="fr-FR"/>
          </w:rPr>
          <w:t>CERD/C/304/Add.92</w:t>
        </w:r>
      </w:hyperlink>
      <w:r>
        <w:rPr>
          <w:lang w:val="fr-FR"/>
        </w:rPr>
        <w:t>, par. 14</w:t>
      </w:r>
      <w:r>
        <w:rPr>
          <w:lang w:val="fr-FR"/>
        </w:rPr>
        <w:t> </w:t>
      </w:r>
      <w:r>
        <w:rPr>
          <w:lang w:val="fr-FR"/>
        </w:rPr>
        <w:t xml:space="preserve">; </w:t>
      </w:r>
      <w:hyperlink r:id="rId10" w:history="1">
        <w:r w:rsidRPr="00FC51B2">
          <w:rPr>
            <w:rStyle w:val="Lienhypertexte"/>
            <w:lang w:val="fr-FR"/>
          </w:rPr>
          <w:t>CERD/C/ZWE/5-11</w:t>
        </w:r>
      </w:hyperlink>
      <w:r>
        <w:rPr>
          <w:lang w:val="fr-FR"/>
        </w:rPr>
        <w:t>, par. 90 à 107.</w:t>
      </w:r>
    </w:p>
  </w:footnote>
  <w:footnote w:id="8">
    <w:p w14:paraId="4299BF54" w14:textId="18AE11F0"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11" w:history="1">
        <w:r w:rsidRPr="00FC51B2">
          <w:rPr>
            <w:rStyle w:val="Lienhypertexte"/>
            <w:lang w:val="fr-FR"/>
          </w:rPr>
          <w:t>CERD/C/ZWE/5-11</w:t>
        </w:r>
      </w:hyperlink>
      <w:r>
        <w:rPr>
          <w:lang w:val="fr-FR"/>
        </w:rPr>
        <w:t>, par. 108 à 118.</w:t>
      </w:r>
    </w:p>
  </w:footnote>
  <w:footnote w:id="9">
    <w:p w14:paraId="1F4DE245" w14:textId="2EEDC49A"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12" w:history="1">
        <w:r w:rsidRPr="00FC51B2">
          <w:rPr>
            <w:rStyle w:val="Lienhypertexte"/>
            <w:lang w:val="fr-FR"/>
          </w:rPr>
          <w:t>CERD/C/304/Add.92</w:t>
        </w:r>
      </w:hyperlink>
      <w:r>
        <w:rPr>
          <w:lang w:val="fr-FR"/>
        </w:rPr>
        <w:t>, par. 10</w:t>
      </w:r>
      <w:r>
        <w:rPr>
          <w:lang w:val="fr-FR"/>
        </w:rPr>
        <w:t> </w:t>
      </w:r>
      <w:r>
        <w:rPr>
          <w:lang w:val="fr-FR"/>
        </w:rPr>
        <w:t xml:space="preserve">; </w:t>
      </w:r>
      <w:hyperlink r:id="rId13" w:history="1">
        <w:r w:rsidRPr="00FC51B2">
          <w:rPr>
            <w:rStyle w:val="Lienhypertexte"/>
            <w:lang w:val="fr-FR"/>
          </w:rPr>
          <w:t>CERD/C/ZWE/5-11</w:t>
        </w:r>
      </w:hyperlink>
      <w:r>
        <w:rPr>
          <w:lang w:val="fr-FR"/>
        </w:rPr>
        <w:t>, par. 21 à 24 et 47 à 56.</w:t>
      </w:r>
    </w:p>
  </w:footnote>
  <w:footnote w:id="10">
    <w:p w14:paraId="09EE2200" w14:textId="4B4F41A1"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14" w:history="1">
        <w:r w:rsidRPr="00FC51B2">
          <w:rPr>
            <w:rStyle w:val="Lienhypertexte"/>
            <w:lang w:val="fr-FR"/>
          </w:rPr>
          <w:t>CERD/C/304/Add.92</w:t>
        </w:r>
      </w:hyperlink>
      <w:r>
        <w:rPr>
          <w:lang w:val="fr-FR"/>
        </w:rPr>
        <w:t>, par. 11</w:t>
      </w:r>
      <w:r>
        <w:rPr>
          <w:lang w:val="fr-FR"/>
        </w:rPr>
        <w:t> </w:t>
      </w:r>
      <w:r>
        <w:rPr>
          <w:lang w:val="fr-FR"/>
        </w:rPr>
        <w:t xml:space="preserve">; </w:t>
      </w:r>
      <w:hyperlink r:id="rId15" w:history="1">
        <w:r w:rsidRPr="00FC51B2">
          <w:rPr>
            <w:rStyle w:val="Lienhypertexte"/>
            <w:lang w:val="fr-FR"/>
          </w:rPr>
          <w:t>CERD/C/ZWE/5-11</w:t>
        </w:r>
      </w:hyperlink>
      <w:r>
        <w:rPr>
          <w:lang w:val="fr-FR"/>
        </w:rPr>
        <w:t>, par. 30 à 35.</w:t>
      </w:r>
    </w:p>
  </w:footnote>
  <w:footnote w:id="11">
    <w:p w14:paraId="0F9AFE91" w14:textId="2A6C7652"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16" w:history="1">
        <w:r w:rsidRPr="00FC51B2">
          <w:rPr>
            <w:rStyle w:val="Lienhypertexte"/>
            <w:lang w:val="fr-FR"/>
          </w:rPr>
          <w:t>CERD/C/304/Add.92</w:t>
        </w:r>
      </w:hyperlink>
      <w:r>
        <w:rPr>
          <w:lang w:val="fr-FR"/>
        </w:rPr>
        <w:t>, par. 13</w:t>
      </w:r>
      <w:r>
        <w:rPr>
          <w:lang w:val="fr-FR"/>
        </w:rPr>
        <w:t> </w:t>
      </w:r>
      <w:r>
        <w:rPr>
          <w:lang w:val="fr-FR"/>
        </w:rPr>
        <w:t xml:space="preserve">; </w:t>
      </w:r>
      <w:hyperlink r:id="rId17" w:history="1">
        <w:r w:rsidRPr="00FC51B2">
          <w:rPr>
            <w:rStyle w:val="Lienhypertexte"/>
            <w:lang w:val="fr-FR"/>
          </w:rPr>
          <w:t>CERD/C/ZWE/5-11</w:t>
        </w:r>
      </w:hyperlink>
      <w:r>
        <w:rPr>
          <w:lang w:val="fr-FR"/>
        </w:rPr>
        <w:t>, par. 20, 28 et 38 à 45.</w:t>
      </w:r>
    </w:p>
  </w:footnote>
  <w:footnote w:id="12">
    <w:p w14:paraId="4824CCBA" w14:textId="43BABF6D" w:rsidR="00BF0A27" w:rsidRPr="00FA5880" w:rsidRDefault="00BF0A27" w:rsidP="00BF0A27">
      <w:pPr>
        <w:pStyle w:val="Notedebasdepage"/>
        <w:rPr>
          <w:lang w:val="fr-FR"/>
        </w:rPr>
      </w:pPr>
      <w:r>
        <w:rPr>
          <w:lang w:val="fr-FR"/>
        </w:rPr>
        <w:tab/>
      </w:r>
      <w:r w:rsidRPr="00A878B8">
        <w:rPr>
          <w:rStyle w:val="Appelnotedebasdep"/>
        </w:rPr>
        <w:footnoteRef/>
      </w:r>
      <w:r>
        <w:rPr>
          <w:lang w:val="fr-FR"/>
        </w:rPr>
        <w:tab/>
      </w:r>
      <w:hyperlink r:id="rId18" w:history="1">
        <w:r w:rsidRPr="00FC51B2">
          <w:rPr>
            <w:rStyle w:val="Lienhypertexte"/>
            <w:lang w:val="fr-FR"/>
          </w:rPr>
          <w:t>CERD/C/304/Add.92</w:t>
        </w:r>
      </w:hyperlink>
      <w:r>
        <w:rPr>
          <w:lang w:val="fr-FR"/>
        </w:rPr>
        <w:t>, par. 12.</w:t>
      </w:r>
    </w:p>
  </w:footnote>
  <w:footnote w:id="13">
    <w:p w14:paraId="46CEE36C" w14:textId="7AC7E8DE" w:rsidR="00BF0A27" w:rsidRPr="00FA5880" w:rsidRDefault="00BF0A27" w:rsidP="00BF0A27">
      <w:pPr>
        <w:pStyle w:val="Notedebasdepage"/>
        <w:rPr>
          <w:lang w:val="fr-FR"/>
        </w:rPr>
      </w:pPr>
      <w:r>
        <w:rPr>
          <w:lang w:val="fr-FR"/>
        </w:rPr>
        <w:tab/>
      </w:r>
      <w:r w:rsidRPr="00A878B8">
        <w:rPr>
          <w:rStyle w:val="Appelnotedebasdep"/>
        </w:rPr>
        <w:footnoteRef/>
      </w:r>
      <w:r>
        <w:rPr>
          <w:lang w:val="fr-FR"/>
        </w:rPr>
        <w:tab/>
        <w:t>Ibid.</w:t>
      </w:r>
      <w:r>
        <w:rPr>
          <w:lang w:val="fr-FR"/>
        </w:rPr>
        <w:t> </w:t>
      </w:r>
      <w:r>
        <w:rPr>
          <w:lang w:val="fr-FR"/>
        </w:rPr>
        <w:t xml:space="preserve">; </w:t>
      </w:r>
      <w:hyperlink r:id="rId19" w:history="1">
        <w:r w:rsidRPr="00FC51B2">
          <w:rPr>
            <w:rStyle w:val="Lienhypertexte"/>
            <w:lang w:val="fr-FR"/>
          </w:rPr>
          <w:t>CERD/C/ZWE/5-11</w:t>
        </w:r>
      </w:hyperlink>
      <w:r>
        <w:rPr>
          <w:lang w:val="fr-FR"/>
        </w:rPr>
        <w:t>, par. 74 à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4814" w14:textId="3BB8606F" w:rsidR="00BF0A27" w:rsidRPr="00BF0A27" w:rsidRDefault="00BF0A27">
    <w:pPr>
      <w:pStyle w:val="En-tte"/>
    </w:pPr>
    <w:fldSimple w:instr=" TITLE  \* MERGEFORMAT ">
      <w:r w:rsidR="006B36A0">
        <w:t>CERD/C/ZWE/Q/5-11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3A" w14:textId="75E61F2C" w:rsidR="00BF0A27" w:rsidRPr="00BF0A27" w:rsidRDefault="00BF0A27" w:rsidP="00BF0A27">
    <w:pPr>
      <w:pStyle w:val="En-tte"/>
      <w:jc w:val="right"/>
    </w:pPr>
    <w:fldSimple w:instr=" TITLE  \* MERGEFORMAT ">
      <w:r w:rsidR="006B36A0">
        <w:t>CERD/C/ZWE/Q/5-11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4F"/>
    <w:rsid w:val="00017F94"/>
    <w:rsid w:val="00023842"/>
    <w:rsid w:val="000334F9"/>
    <w:rsid w:val="0007796D"/>
    <w:rsid w:val="000B7790"/>
    <w:rsid w:val="00111F2F"/>
    <w:rsid w:val="0014365E"/>
    <w:rsid w:val="00176178"/>
    <w:rsid w:val="001F525A"/>
    <w:rsid w:val="00215BEC"/>
    <w:rsid w:val="00223272"/>
    <w:rsid w:val="0024779E"/>
    <w:rsid w:val="00262657"/>
    <w:rsid w:val="00376AD4"/>
    <w:rsid w:val="003E18C1"/>
    <w:rsid w:val="00446FE5"/>
    <w:rsid w:val="00452396"/>
    <w:rsid w:val="004F094E"/>
    <w:rsid w:val="005505B7"/>
    <w:rsid w:val="00573BE5"/>
    <w:rsid w:val="00586ED3"/>
    <w:rsid w:val="00596AA9"/>
    <w:rsid w:val="00623CA8"/>
    <w:rsid w:val="006B36A0"/>
    <w:rsid w:val="006E0451"/>
    <w:rsid w:val="00712E6E"/>
    <w:rsid w:val="0071601D"/>
    <w:rsid w:val="00780585"/>
    <w:rsid w:val="00783E9F"/>
    <w:rsid w:val="007A62E6"/>
    <w:rsid w:val="007D7F08"/>
    <w:rsid w:val="0080684C"/>
    <w:rsid w:val="00871C75"/>
    <w:rsid w:val="008776DC"/>
    <w:rsid w:val="009705C8"/>
    <w:rsid w:val="00984B29"/>
    <w:rsid w:val="009D5F1A"/>
    <w:rsid w:val="00A30353"/>
    <w:rsid w:val="00AC3823"/>
    <w:rsid w:val="00AE323C"/>
    <w:rsid w:val="00B00181"/>
    <w:rsid w:val="00B765F7"/>
    <w:rsid w:val="00BA0CA9"/>
    <w:rsid w:val="00BB0B66"/>
    <w:rsid w:val="00BB19C3"/>
    <w:rsid w:val="00BF0A27"/>
    <w:rsid w:val="00C02897"/>
    <w:rsid w:val="00D3439C"/>
    <w:rsid w:val="00DB1831"/>
    <w:rsid w:val="00DC0149"/>
    <w:rsid w:val="00DD3BFD"/>
    <w:rsid w:val="00DF6678"/>
    <w:rsid w:val="00E5184F"/>
    <w:rsid w:val="00F660DF"/>
    <w:rsid w:val="00F95C08"/>
    <w:rsid w:val="00FC51B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E8DAE"/>
  <w15:docId w15:val="{A3AB566F-C297-4DF9-8E2E-0EB2DC86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D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RD/C/ZWE/5-11" TargetMode="External"/><Relationship Id="rId13" Type="http://schemas.openxmlformats.org/officeDocument/2006/relationships/hyperlink" Target="https://undocs.org/fr/CERD/C/ZWE/5-11" TargetMode="External"/><Relationship Id="rId18" Type="http://schemas.openxmlformats.org/officeDocument/2006/relationships/hyperlink" Target="https://undocs.org/fr/CERD/C/304/Add.92" TargetMode="External"/><Relationship Id="rId3" Type="http://schemas.openxmlformats.org/officeDocument/2006/relationships/hyperlink" Target="https://undocs.org/fr/CERD/C/ZWE/5-11" TargetMode="External"/><Relationship Id="rId7" Type="http://schemas.openxmlformats.org/officeDocument/2006/relationships/hyperlink" Target="https://undocs.org/fr/CERD/C/304/Add.92" TargetMode="External"/><Relationship Id="rId12" Type="http://schemas.openxmlformats.org/officeDocument/2006/relationships/hyperlink" Target="https://undocs.org/fr/CERD/C/304/Add.92" TargetMode="External"/><Relationship Id="rId17" Type="http://schemas.openxmlformats.org/officeDocument/2006/relationships/hyperlink" Target="https://undocs.org/fr/CERD/C/ZWE/5-11" TargetMode="External"/><Relationship Id="rId2" Type="http://schemas.openxmlformats.org/officeDocument/2006/relationships/hyperlink" Target="https://undocs.org/fr/CERD/C/304/Add.92" TargetMode="External"/><Relationship Id="rId16" Type="http://schemas.openxmlformats.org/officeDocument/2006/relationships/hyperlink" Target="https://undocs.org/fr/CERD/C/304/Add.92" TargetMode="External"/><Relationship Id="rId1" Type="http://schemas.openxmlformats.org/officeDocument/2006/relationships/hyperlink" Target="https://undocs.org/fr/A/65/18" TargetMode="External"/><Relationship Id="rId6" Type="http://schemas.openxmlformats.org/officeDocument/2006/relationships/hyperlink" Target="https://undocs.org/fr/CERD/C/ZWE/5-11" TargetMode="External"/><Relationship Id="rId11" Type="http://schemas.openxmlformats.org/officeDocument/2006/relationships/hyperlink" Target="https://undocs.org/fr/CERD/C/ZWE/5-11" TargetMode="External"/><Relationship Id="rId5" Type="http://schemas.openxmlformats.org/officeDocument/2006/relationships/hyperlink" Target="https://undocs.org/fr/CERD/C/ZWE/5-11" TargetMode="External"/><Relationship Id="rId15" Type="http://schemas.openxmlformats.org/officeDocument/2006/relationships/hyperlink" Target="https://undocs.org/fr/CERD/C/ZWE/5-11" TargetMode="External"/><Relationship Id="rId10" Type="http://schemas.openxmlformats.org/officeDocument/2006/relationships/hyperlink" Target="https://undocs.org/fr/CERD/C/ZWE/5-11" TargetMode="External"/><Relationship Id="rId19" Type="http://schemas.openxmlformats.org/officeDocument/2006/relationships/hyperlink" Target="https://undocs.org/fr/CERD/C/ZWE/5-11" TargetMode="External"/><Relationship Id="rId4" Type="http://schemas.openxmlformats.org/officeDocument/2006/relationships/hyperlink" Target="https://undocs.org/fr/CERD/C/304/Add.92" TargetMode="External"/><Relationship Id="rId9" Type="http://schemas.openxmlformats.org/officeDocument/2006/relationships/hyperlink" Target="https://undocs.org/fr/CERD/C/304/Add.92" TargetMode="External"/><Relationship Id="rId14" Type="http://schemas.openxmlformats.org/officeDocument/2006/relationships/hyperlink" Target="https://undocs.org/fr/CERD/C/304/Add.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1038</Words>
  <Characters>7267</Characters>
  <Application>Microsoft Office Word</Application>
  <DocSecurity>0</DocSecurity>
  <Lines>484</Lines>
  <Paragraphs>176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CERD/C/ZWE/Q/5-11</vt:lpstr>
      <vt:lpstr>    Liste de thèmes concernant le rapport du Zimbabwe valant troisième à cinquième</vt:lpstr>
      <vt:lpstr>        Note du rapporteur de pays</vt:lpstr>
    </vt:vector>
  </TitlesOfParts>
  <Company>DCM</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CERD/C/ZWE/Q/5-11</dc:title>
  <dc:subject/>
  <dc:creator>Julien OKRZESIK</dc:creator>
  <cp:keywords/>
  <cp:lastModifiedBy>Julien Okrzesik</cp:lastModifiedBy>
  <cp:revision>3</cp:revision>
  <cp:lastPrinted>2022-06-29T10:16:00Z</cp:lastPrinted>
  <dcterms:created xsi:type="dcterms:W3CDTF">2022-06-29T10:16:00Z</dcterms:created>
  <dcterms:modified xsi:type="dcterms:W3CDTF">2022-06-29T10:16:00Z</dcterms:modified>
</cp:coreProperties>
</file>