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13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41082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110505    110505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5006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символ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CERD/C/AZE/CO/4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>
              <w:rPr>
                <w:lang w:val="en-US"/>
              </w:rPr>
              <w:fldChar w:fldCharType="separate"/>
            </w:r>
            <w:r>
              <w:t xml:space="preserve">14 </w:t>
            </w:r>
            <w:r>
              <w:rPr>
                <w:lang w:val="en-US"/>
              </w:rPr>
              <w:t>April</w:t>
            </w:r>
            <w:r>
              <w:t xml:space="preserve"> 2005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60" w:lineRule="auto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КОМИТЕТ ПО ЛИКВИДАЦИИ РАСОВОЙ ДИСКРИМИНАЦИИ</w:t>
      </w:r>
    </w:p>
    <w:p w:rsidR="00000000" w:rsidRDefault="00000000">
      <w:r>
        <w:t>Шестьдесят шестая сессия</w:t>
      </w:r>
    </w:p>
    <w:p w:rsidR="00000000" w:rsidRDefault="00000000">
      <w:r>
        <w:t>21 февраля – 11 марта 2005 года</w:t>
      </w:r>
    </w:p>
    <w:p w:rsidR="00000000" w:rsidRDefault="00000000">
      <w:pPr>
        <w:spacing w:line="720" w:lineRule="auto"/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  <w:r>
        <w:rPr>
          <w:b/>
          <w:bCs/>
        </w:rPr>
        <w:br/>
        <w:t>расовой дискриминации</w:t>
      </w:r>
    </w:p>
    <w:p w:rsidR="00000000" w:rsidRDefault="00000000">
      <w:pPr>
        <w:spacing w:line="480" w:lineRule="auto"/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АЗЕРБАЙДЖАН</w:t>
      </w:r>
    </w:p>
    <w:p w:rsidR="00000000" w:rsidRDefault="00000000">
      <w:pPr>
        <w:spacing w:line="360" w:lineRule="auto"/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третий и четвертый периодические доклады Азербайджана, представленные в одном документе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/440/</w:t>
      </w:r>
      <w:r>
        <w:rPr>
          <w:lang w:val="en-US"/>
        </w:rPr>
        <w:t>Add</w:t>
      </w:r>
      <w:r>
        <w:t>.1), на своих 1691</w:t>
      </w:r>
      <w:r>
        <w:noBreakHyphen/>
        <w:t>м и 1692</w:t>
      </w:r>
      <w:r>
        <w:noBreakHyphen/>
        <w:t>м заседаниях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.1691 и 1692), состоявшихся 4 и 7 марта 2005 года.  На своем 1700</w:t>
      </w:r>
      <w:r>
        <w:noBreakHyphen/>
        <w:t>м 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.1700), состоявшемся 11 марта 2005 года, он принял следующие заключительные замечания.</w:t>
      </w:r>
    </w:p>
    <w:p w:rsidR="00000000" w:rsidRDefault="00000000">
      <w:pPr>
        <w:spacing w:line="360" w:lineRule="auto"/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доклад, представленный государством-участником, и дополнительную устную информацию, полученную от делегации.  Комитет с удовлетворением отмечает присутствие высокопоставленной делегации и выражает признательность за предоставленную ему возможность продолжить диалог с государством-участником.  Вместе с тем он сожалеет, что в докладе в целом не содержится достаточной информации о соблюдении Конвенции на практике.</w:t>
      </w:r>
    </w:p>
    <w:p w:rsidR="00000000" w:rsidRDefault="00000000">
      <w:pPr>
        <w:spacing w:line="360" w:lineRule="auto"/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3.</w:t>
      </w:r>
      <w:r>
        <w:tab/>
        <w:t>Комитет с удовлетворением отмечает принятие нового законодательства, содержащего антидискриминационные положения, включая Уголовный кодекс и Уголовно-процессуальный кодекс.</w:t>
      </w:r>
    </w:p>
    <w:p w:rsidR="00000000" w:rsidRDefault="00000000"/>
    <w:p w:rsidR="00000000" w:rsidRDefault="00000000">
      <w:r>
        <w:t>4.</w:t>
      </w:r>
      <w:r>
        <w:tab/>
        <w:t>Комитет приветствует принятие в июне 2002 года Конституционного закона об осуществлении прав и свобод человека в Азербайджанской Республике.</w:t>
      </w:r>
    </w:p>
    <w:p w:rsidR="00000000" w:rsidRDefault="00000000"/>
    <w:p w:rsidR="00000000" w:rsidRDefault="00000000">
      <w:r>
        <w:t>5.</w:t>
      </w:r>
      <w:r>
        <w:tab/>
        <w:t>Комитет приветствует создание Управления уполномоченного по правам человека Азербайджанской Республики в соответствии с принятым в декабре 2001 года Конституционным законом об омбудсмене.</w:t>
      </w:r>
    </w:p>
    <w:p w:rsidR="00000000" w:rsidRDefault="00000000"/>
    <w:p w:rsidR="00000000" w:rsidRDefault="00000000">
      <w:r>
        <w:t>6.</w:t>
      </w:r>
      <w:r>
        <w:tab/>
        <w:t>Комитет приветствует ратификацию государством-участником Рамочной конвенции о защите национальных меньшинств в 2000 году, Европейской конвенции о защите прав человека и основных свобод в 2002 году и Европейской социальной хартии в 2004 году.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отмечает, что государство-участник приступило к осуществлению процедуры определения статуса беженца в рамках сотрудничества с УВКБ.</w:t>
      </w:r>
    </w:p>
    <w:p w:rsidR="00000000" w:rsidRDefault="00000000"/>
    <w:p w:rsidR="00000000" w:rsidRDefault="00000000">
      <w:r>
        <w:t>8.</w:t>
      </w:r>
      <w:r>
        <w:tab/>
        <w:t>Комитет приветствует принятие Национальной стратегии по сокращению нищеты на 2003–2005 годы, которая ориентирована на внутренних перемещенных лиц, являющихся одной из уязвимых групп.</w:t>
      </w:r>
    </w:p>
    <w:p w:rsidR="00000000" w:rsidRDefault="00000000"/>
    <w:p w:rsidR="00000000" w:rsidRDefault="00000000">
      <w:r>
        <w:t>9.</w:t>
      </w:r>
      <w:r>
        <w:tab/>
        <w:t>Комитет с удовлетворением отмечает, что в 2001 году государство-участник сделало факультативное заявление о признании компетенции Комитета получать сообщения в соответствии со статьей 14 Конвенции.</w:t>
      </w:r>
    </w:p>
    <w:p w:rsidR="00000000" w:rsidRDefault="00000000">
      <w:pPr>
        <w:spacing w:line="360" w:lineRule="auto"/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10.</w:t>
      </w:r>
      <w:r>
        <w:tab/>
        <w:t>Комитет отмечает позицию государства-участника, которая состоит в том, что, несмотря на негативные последствия конфликта в районе Нагорного Карабаха, лица армянского происхождения не подвергаются дискриминации в Азербайджане.  Вместе с тем Комитет выражает обеспокоенность по поводу того, что, согласно сообщениям, имеют место случаи расовой дискриминации в отношении армян и что большинство проживающих в Азербайджане армян предпочитают скрывать свою этническую принадлежность, чтобы не подвергаться дискриминации (статья 2 Конвенции).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призывает государство-участник продолжать осуществление контроля за всеми тенденциями, приводящими к росту расистского поведения и ксенофобии, а также пресекать негативные последствия таких тенденций.  Комитет, в частности, рекомендует государству-участнику провести исследования с целью эффективной оценки случаев проявления расовой дискриминации, в частности в отношении этнических армян.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11.</w:t>
      </w:r>
      <w:r>
        <w:tab/>
        <w:t>Комитет приветствует представленную делегацией информацию о принимаемых государством-участником мерах по борьбе с торговлей людьми, включая принятие в 2004 году Национального плана действий по борьбе с торговлей людьми, а также создание в структуре органов внутренних дел Управления по оказанию помощи жертвам торговли людьми.  Вместе с тем Комитет выражает обеспокоенность по поводу того, что торговля людьми, в том числе женщинами, мужчинами и детьми, являющимися иностранными гражданами, остается серьезной проблемой в государстве-участнике, которое является как страной происхождения жертв, так и транзитным пунктом (статья 5).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рекомендует государству-участнику включить в свой следующий периодический доклад подробную информацию по вопросу о торговле людьми, а также продолжать принимать надлежащие законодательные и политические меры для предупреждения и пресечения торговли людьми.  Комитет настоятельно призывает государство-участник оказывать поддержку и помощь жертвам, по мере возможности на их родном языке.  Кроме того, Комитет рекомендует государству-участнику продолжать предпринимать решительные усилия по преследованию лиц, виновных в совершении таких деяний, и подчеркивает огромное значение проведения оперативных и беспристрастных расследований.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12.</w:t>
      </w:r>
      <w:r>
        <w:tab/>
        <w:t>Комитет выражает свою обеспокоенность по поводу того, что просители убежища, беженцы, лица без гражданства, перемещенные лица и лица, длительное время проживающие в Азербайджане, подвергаются дискриминации в таких областях, как занятость, образование, жилье и здравоохранение (статья 5).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настоятельно призывает государство-участник продолжать принимать необходимые меры в соответствии со статьей 5 Конвенции для обеспечения равных возможностей для осуществления экономических, социальных и культурных права просителей убежища, беженцев, лиц без гражданства, перемещенных лиц и лиц, проживающих длительное время в Азербайджане.  Комитет просит государство-участник включить в свой следующий периодический доклад информацию о принятых в этой связи мерах и обращает внимание государства-участника на свою общую рекомендацию ХХХ о дискриминации неграждан.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13.</w:t>
      </w:r>
      <w:r>
        <w:tab/>
        <w:t>Комитет отмечает, что, хотя в целом государство участник стремится соблюдать стандарты, предусмотренные Конвенцией о статусе беженцев, некоторые просители убежища лишаются возможности воспользоваться процедурой государства-участника по установлению статуса беженца.  Комитет выражает обеспокоенность в связи с тем, что лица, которые официально не признаются в качестве беженцев, могут все же нуждаться в дополнительных видах защиты, поскольку они не могут вернуться в свои страны в силу таких непреодолимых причин, как наличие ситуаций вооруженного конфликта.  Кроме того, Комитет выражает обеспокоенность по поводу информации, связанной с делами о принудительной высылке беженцев (статья 5 b)).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 xml:space="preserve">Комитет просит государство-участник обеспечить, чтобы применяемые им процедуры не являлись для просителей убежища дискриминационными по своим намерениям или последствиям и не осуществлялись по признаку расы, цвета кожи, этнического или национального происхождения, в соответствии с разделом VI его общей рекомендации ХХХ.  Комитет рекомендует государству-участнику рассмотреть вопрос о принятии дополнительных форм защиты, гарантирующих право на пребывание в стране для лиц, которые официально не признаются в качестве беженцев, однако которые все же могут нуждаться в защите, а также продолжать свое сотрудничество с УВКБ.  Комитет далее рекомендует государству-участнику при осуществлении высылки просителей убежища в их страны соблюдать принцип </w:t>
      </w:r>
      <w:r>
        <w:rPr>
          <w:b/>
          <w:bCs/>
          <w:i/>
          <w:iCs/>
        </w:rPr>
        <w:t>недопущения принудительного возвращения</w:t>
      </w:r>
      <w:r>
        <w:rPr>
          <w:b/>
          <w:bCs/>
        </w:rPr>
        <w:t>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14.</w:t>
      </w:r>
      <w:r>
        <w:tab/>
        <w:t>Приветствуя информацию, представленную в отношении групп меньшинств, Комитет сожалеет о недостаточности информации, касающейся участия этих групп в разработке политики в области культуры и образования.  Он также выражает свою обеспокоенность по поводу недостаточности программ по оказанию поддержки языкам меньшинств, а также в связи с тем, что такие языки не используются в системе образования в достаточном объеме, чтобы соответствовать доле различных этнических общин, имеющихся в составе населения государства-участника (статья 5).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призывает государство-участник способствовать участию этнических меньшинств в разработке политики в области культуры и образования.  Кроме того, Комитет рекомендует государству-участнику принять необходимые меры для создания благоприятных условий, позволяющих лицам, принадлежащим к меньшинствам, развивать свою культуру, язык, религию, традиции и обычаи, а также обучаться и получать образование на своем родном языке.  Комитет призывает государство-участник включить в свой следующий периодический доклад подробную информацию по данному вопросу.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15.</w:t>
      </w:r>
      <w:r>
        <w:tab/>
        <w:t>Комитет с озабоченностью отмечает разъяснение государства-участника о том, что, несмотря на законодательные положения, предусматривающие право на эффективную защиту и средства правовой защиты, на рассмотрение судов не было представлено ни одного дела, в котором бы содержались ссылки на соответствующие положения Уголовного кодекса, касающиеся расовой дискриминации (статья 6).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просит государство-участник включить в свой следующий периодический доклад статистическую информацию о случаях возбуждения уголовного преследования и о назначенных наказаниях за совершение правонарушений, связанных с расовой дискриминацией, а также примеры применения соответствующих положений существующего внутреннего законодательства.  Комитет напоминает государству-участнику, что сам по себе факт отсутствия жалоб и судебных исков со стороны жертв расовой дискриминации может в значительной степени указывать на отсутствие соответствующего конкретного законодательства, на отсутствие осведомленности о наличии средств правовой защиты или на недостаточную решимость со стороны властей преследовать такие деяния.  Поэтому необходимо предусмотреть соответствующие положения в национальном законодательстве и проинформировать население о наличии всех средств правовой защиты в области расовой дискриминации.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16.</w:t>
      </w:r>
      <w:r>
        <w:tab/>
        <w:t>Комитет сожалеет по поводу отсутствия информации о принятых государством-участником мерах по развитию взаимопонимания, уважения и терпимости в отношениях между различными этническими группами в Азербайджане, в частности о программах, если такие осуществляются, которые были приняты для обеспечения межкультурного образования (статья 7).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рекомендует государству-участнику принять меры по поощрению межкультурного взаимопонимания и образования между этническими группами и представить более подробную информацию по данному вопросу в своем следующем периодическом докладе.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17.</w:t>
      </w:r>
      <w:r>
        <w:tab/>
        <w:t>Приняв к сведению представленную делегацией информацию, Комитет вместе с тем по</w:t>
      </w:r>
      <w:r>
        <w:noBreakHyphen/>
        <w:t>прежнему считает, что имеются возможности для дальнейшего укрепления мер, принимаемых с целью просвещения населения, сотрудников правоохранительных органов, сторонников политических партий и специалистов средств массовой информации по вопросам, касающимся положений Конвенции (статья 7).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призывает государство-участник расширить и активизировать осуществляемые им усилия в области просвещения по вопросам прав человека.  Кроме того, особое внимание следует уделить общей рекомендации ХIII, в соответствии с которой сотрудники правоохранительных органов должны получить конкретную подготовку, призванную обеспечить, чтобы при выполнении своих обязанностей они уважали и защищали права человека всех лиц без различия по признаку расы, цвета кожи, происхождения либо национальной или этнической принадлежности.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18.</w:t>
      </w:r>
      <w:r>
        <w:tab/>
        <w:t>Комитет отмечает отсутствие достаточной информации об усилиях, предпринятых государством-участником с целью привлечения неправительственных организаций к подготовке периодического доклада, а также выражает свою обеспокоенность по поводу наличия свободы действий у организаций гражданского общества, включая организации, чья деятельность направлена на борьбу против расовой дискриминации.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подчеркивает важную роль гражданского общества в области всестороннего соблюдения Конвенции и рекомендует государству-участнику поощрять свободу действий организаций гражданского общества, вносящих вклад в укрепление прав человека и борьбу против расовой дискриминации.  Кроме того, Комитет рекомендует государству-участнику при подготовке своего следующего периодического доклада консультироваться с группами гражданского общества, занимающимися вопросами борьбы против расовой дискриминации.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19.</w:t>
      </w:r>
      <w:r>
        <w:tab/>
        <w:t>Комитет настоятельно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– участников Конвенции и одобренные Генеральной Ассамблеей в ее резолюции 47/111.  В этой связи Комитет ссылается на резолюцию 57/194 Генеральной Ассамблеи, в которой Ассамблея настоятельно призвала государства-участники ускорить свои национальные процедуры ратификации поправки и оперативно уведомить Генерального секретаря в письменной форме об их согласии с ней.  Аналогичный призыв содержится в резолюции 58/160 Генеральной Ассамблеи.</w:t>
      </w:r>
    </w:p>
    <w:p w:rsidR="00000000" w:rsidRDefault="00000000"/>
    <w:p w:rsidR="00000000" w:rsidRDefault="00000000">
      <w:r>
        <w:t>20.</w:t>
      </w:r>
      <w:r>
        <w:tab/>
        <w:t>Комитет рекомендует государству-участнику по</w:t>
      </w:r>
      <w:r>
        <w:noBreakHyphen/>
        <w:t>прежнему принимать во внимание при осуществлении Конвенции во внутренней правовой системе, в частности в отношении статей 2–7 Конвенции, соответствующие части Дурбанской декларации и Программы действий.  Он также рекомендует ему включить в свой следующий периодический доклад информацию о мерах, принятых для осуществления Дурбанской декларации и Программы действий на национальном уровне, в частности в связи с подготовкой и осуществлением национального плана действий.</w:t>
      </w:r>
    </w:p>
    <w:p w:rsidR="00000000" w:rsidRDefault="00000000"/>
    <w:p w:rsidR="00000000" w:rsidRDefault="00000000">
      <w:r>
        <w:t>21.</w:t>
      </w:r>
      <w:r>
        <w:tab/>
        <w:t>Комитет рекомендует государству-участнику предавать гласности свои доклады сразу же после их представления, а также обеспечивать широкое распространение заключительных замечаний Комитета по этим докладам.</w:t>
      </w:r>
    </w:p>
    <w:p w:rsidR="00000000" w:rsidRDefault="00000000"/>
    <w:p w:rsidR="00000000" w:rsidRDefault="00000000">
      <w:r>
        <w:t>22.</w:t>
      </w:r>
      <w:r>
        <w:tab/>
        <w:t>Государству-участнику следует в течение одного года представить информацию о принятых им мерах в связи с рекомендациями Комитета, содержащимися в пунктах 10 и 13 (пункт 1 правила 65 правил процедуры).  Комитет рекомендует государству-участнику представить свой пятый периодический доклад совместно со своим шестым периодическим докладом 15 сентября 2007 года, а также отразить в этом докладе все вопросы, затронутые в настоящих заключительных замечаниях.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</w:t>
      </w:r>
    </w:p>
    <w:p w:rsidR="00000000" w:rsidRDefault="00000000">
      <w:pPr>
        <w:tabs>
          <w:tab w:val="left" w:pos="0"/>
        </w:tabs>
        <w:suppressAutoHyphens/>
      </w:pP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CERD/C/AZE/CO/4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ind w:left="6804"/>
      <w:rPr>
        <w:lang w:val="en-US"/>
      </w:rPr>
    </w:pPr>
    <w:r>
      <w:rPr>
        <w:lang w:val="en-US"/>
      </w:rPr>
      <w:t>CERD/C/AZE/CO/4</w:t>
    </w:r>
  </w:p>
  <w:p w:rsidR="00000000" w:rsidRDefault="00000000">
    <w:pPr>
      <w:pStyle w:val="Header"/>
      <w:tabs>
        <w:tab w:val="left" w:pos="6237"/>
      </w:tabs>
      <w:ind w:left="6804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3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2031</Words>
  <Characters>11577</Characters>
  <Application>Microsoft Office Word</Application>
  <DocSecurity>4</DocSecurity>
  <Lines>96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0541082</vt:lpstr>
    </vt:vector>
  </TitlesOfParts>
  <Company> 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0541082</dc:title>
  <dc:subject>Бебенин</dc:subject>
  <dc:creator>Belova Natalia</dc:creator>
  <cp:keywords/>
  <dc:description/>
  <cp:lastModifiedBy>Belova Natalia</cp:lastModifiedBy>
  <cp:revision>2</cp:revision>
  <cp:lastPrinted>2005-05-11T13:18:00Z</cp:lastPrinted>
  <dcterms:created xsi:type="dcterms:W3CDTF">2005-05-11T13:19:00Z</dcterms:created>
  <dcterms:modified xsi:type="dcterms:W3CDTF">2005-05-11T13:19:00Z</dcterms:modified>
</cp:coreProperties>
</file>