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C6E5A" w14:textId="77777777" w:rsidR="002A020E" w:rsidRDefault="002A020E" w:rsidP="002A020E">
      <w:pPr>
        <w:spacing w:line="240" w:lineRule="auto"/>
        <w:jc w:val="left"/>
        <w:rPr>
          <w:szCs w:val="2"/>
        </w:rPr>
        <w:sectPr w:rsidR="002A020E" w:rsidSect="00EA1D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1440" w:right="1200" w:bottom="1757" w:left="1200" w:header="432" w:footer="504" w:gutter="0"/>
          <w:cols w:space="720"/>
          <w:titlePg/>
          <w:bidi/>
          <w:rtlGutter/>
          <w:docGrid w:linePitch="278"/>
        </w:sectPr>
      </w:pPr>
      <w:r>
        <w:rPr>
          <w:rStyle w:val="CommentReference"/>
        </w:rPr>
        <w:commentReference w:id="0"/>
      </w:r>
    </w:p>
    <w:p w14:paraId="664A9892" w14:textId="519D5019" w:rsidR="00EA1D02" w:rsidRPr="00EA1D02" w:rsidRDefault="00EA1D02" w:rsidP="00EA1D02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 w:rsidRPr="00EA1D02">
        <w:rPr>
          <w:rtl/>
        </w:rPr>
        <w:t>اللجنة</w:t>
      </w:r>
      <w:r w:rsidR="004534DC">
        <w:rPr>
          <w:rtl/>
        </w:rPr>
        <w:t xml:space="preserve"> </w:t>
      </w:r>
      <w:r w:rsidRPr="00EA1D02">
        <w:rPr>
          <w:rtl/>
        </w:rPr>
        <w:t>المعنية</w:t>
      </w:r>
      <w:r w:rsidR="004534DC">
        <w:rPr>
          <w:rtl/>
        </w:rPr>
        <w:t xml:space="preserve"> </w:t>
      </w:r>
      <w:r w:rsidRPr="00EA1D02">
        <w:rPr>
          <w:rtl/>
        </w:rPr>
        <w:t>بالقضاء</w:t>
      </w:r>
      <w:r w:rsidR="004534DC">
        <w:rPr>
          <w:rtl/>
        </w:rPr>
        <w:t xml:space="preserve"> </w:t>
      </w:r>
      <w:r w:rsidRPr="00EA1D02">
        <w:rPr>
          <w:rtl/>
        </w:rPr>
        <w:t>على</w:t>
      </w:r>
      <w:r w:rsidR="004534DC">
        <w:rPr>
          <w:rtl/>
        </w:rPr>
        <w:t xml:space="preserve"> </w:t>
      </w:r>
      <w:r w:rsidRPr="00EA1D02">
        <w:rPr>
          <w:rtl/>
        </w:rPr>
        <w:t>التمييز</w:t>
      </w:r>
      <w:r w:rsidR="004534DC">
        <w:rPr>
          <w:rtl/>
        </w:rPr>
        <w:t xml:space="preserve"> </w:t>
      </w:r>
      <w:r w:rsidRPr="00EA1D02">
        <w:rPr>
          <w:rtl/>
        </w:rPr>
        <w:t>ضد</w:t>
      </w:r>
      <w:r w:rsidR="004534DC">
        <w:rPr>
          <w:rtl/>
        </w:rPr>
        <w:t xml:space="preserve"> </w:t>
      </w:r>
      <w:r w:rsidRPr="00EA1D02">
        <w:rPr>
          <w:rtl/>
        </w:rPr>
        <w:t>المرأة</w:t>
      </w:r>
    </w:p>
    <w:p w14:paraId="56CC1618" w14:textId="6F558D37" w:rsidR="00EA1D02" w:rsidRPr="00EA1D02" w:rsidRDefault="00EA1D02" w:rsidP="00EA1D02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40175E28" w14:textId="5B840304" w:rsidR="00EA1D02" w:rsidRPr="00EA1D02" w:rsidRDefault="00EA1D02" w:rsidP="00EA1D02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72748C2A" w14:textId="7C320DAE" w:rsidR="00EA1D02" w:rsidRPr="00EA1D02" w:rsidRDefault="00EA1D02" w:rsidP="00EA1D02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2777015F" w14:textId="0E76E0B8" w:rsidR="00EA1D02" w:rsidRPr="00EA1D02" w:rsidRDefault="00EA1D02" w:rsidP="00EA1D02">
      <w:pPr>
        <w:pStyle w:val="TitleHCH"/>
        <w:rPr>
          <w:rtl/>
        </w:rPr>
      </w:pPr>
      <w:r w:rsidRPr="00EA1D02">
        <w:rPr>
          <w:rtl/>
        </w:rPr>
        <w:tab/>
      </w:r>
      <w:r w:rsidRPr="00EA1D02">
        <w:rPr>
          <w:rtl/>
        </w:rPr>
        <w:tab/>
        <w:t>الملاحظات</w:t>
      </w:r>
      <w:r w:rsidR="004534DC">
        <w:rPr>
          <w:rtl/>
        </w:rPr>
        <w:t xml:space="preserve"> </w:t>
      </w:r>
      <w:r w:rsidRPr="00EA1D02">
        <w:rPr>
          <w:rtl/>
        </w:rPr>
        <w:t>الختامية</w:t>
      </w:r>
      <w:r w:rsidR="004534DC">
        <w:rPr>
          <w:rtl/>
        </w:rPr>
        <w:t xml:space="preserve"> </w:t>
      </w:r>
      <w:r w:rsidRPr="00EA1D02">
        <w:rPr>
          <w:rtl/>
        </w:rPr>
        <w:t>بشأن</w:t>
      </w:r>
      <w:r w:rsidR="004534DC">
        <w:rPr>
          <w:rtl/>
        </w:rPr>
        <w:t xml:space="preserve"> </w:t>
      </w:r>
      <w:r w:rsidRPr="00EA1D02">
        <w:rPr>
          <w:rtl/>
        </w:rPr>
        <w:t>التقرير</w:t>
      </w:r>
      <w:r w:rsidR="004534DC">
        <w:rPr>
          <w:rtl/>
        </w:rPr>
        <w:t xml:space="preserve"> </w:t>
      </w:r>
      <w:r w:rsidRPr="00EA1D02">
        <w:rPr>
          <w:rFonts w:hint="cs"/>
          <w:rtl/>
        </w:rPr>
        <w:t>الدوري</w:t>
      </w:r>
      <w:r w:rsidR="004534DC">
        <w:rPr>
          <w:rFonts w:hint="cs"/>
          <w:rtl/>
        </w:rPr>
        <w:t xml:space="preserve"> </w:t>
      </w:r>
      <w:r w:rsidRPr="00EA1D02">
        <w:rPr>
          <w:rFonts w:hint="cs"/>
          <w:rtl/>
        </w:rPr>
        <w:t>الخامس</w:t>
      </w:r>
      <w:r w:rsidR="004534DC">
        <w:rPr>
          <w:rtl/>
        </w:rPr>
        <w:t xml:space="preserve"> </w:t>
      </w:r>
      <w:r w:rsidRPr="00EA1D02">
        <w:rPr>
          <w:rtl/>
        </w:rPr>
        <w:t>للكويت</w:t>
      </w:r>
    </w:p>
    <w:p w14:paraId="1B7C66B1" w14:textId="70C63C14" w:rsidR="00EA1D02" w:rsidRPr="00EA1D02" w:rsidRDefault="00EA1D02" w:rsidP="00EA1D02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7FFBB4E9" w14:textId="76585357" w:rsidR="00EA1D02" w:rsidRPr="00EA1D02" w:rsidRDefault="00EA1D02" w:rsidP="00EA1D02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515EA904" w14:textId="77777777" w:rsidR="00EA1D02" w:rsidRPr="00EA1D02" w:rsidRDefault="00EA1D02" w:rsidP="00EA1D02">
      <w:pPr>
        <w:pStyle w:val="TitleH2"/>
        <w:rPr>
          <w:rtl/>
        </w:rPr>
      </w:pPr>
      <w:r w:rsidRPr="00EA1D02">
        <w:rPr>
          <w:rtl/>
        </w:rPr>
        <w:tab/>
      </w:r>
      <w:r w:rsidRPr="00EA1D02">
        <w:rPr>
          <w:rtl/>
        </w:rPr>
        <w:tab/>
        <w:t>إضافة</w:t>
      </w:r>
    </w:p>
    <w:p w14:paraId="3786DA17" w14:textId="5CCB5BA3" w:rsidR="00EA1D02" w:rsidRPr="00EA1D02" w:rsidRDefault="00EA1D02" w:rsidP="00EA1D02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008763C5" w14:textId="650B3117" w:rsidR="00EA1D02" w:rsidRPr="00EA1D02" w:rsidRDefault="00EA1D02" w:rsidP="00EA1D02">
      <w:pPr>
        <w:pStyle w:val="SingleTxt"/>
        <w:spacing w:after="0" w:line="120" w:lineRule="exact"/>
        <w:rPr>
          <w:b/>
          <w:bCs/>
          <w:sz w:val="10"/>
          <w:rtl/>
        </w:rPr>
      </w:pPr>
    </w:p>
    <w:p w14:paraId="29F2AC23" w14:textId="7B203661" w:rsidR="00EA1D02" w:rsidRPr="00EA1D02" w:rsidRDefault="00EA1D02" w:rsidP="00EA1D02">
      <w:pPr>
        <w:pStyle w:val="TitleHCH"/>
        <w:rPr>
          <w:rtl/>
        </w:rPr>
      </w:pPr>
      <w:r w:rsidRPr="00EA1D02">
        <w:rPr>
          <w:rFonts w:hint="cs"/>
          <w:rtl/>
        </w:rPr>
        <w:tab/>
      </w:r>
      <w:r w:rsidRPr="00EA1D02">
        <w:rPr>
          <w:rtl/>
        </w:rPr>
        <w:tab/>
        <w:t>معلومات</w:t>
      </w:r>
      <w:r w:rsidR="004534DC">
        <w:rPr>
          <w:rtl/>
        </w:rPr>
        <w:t xml:space="preserve"> </w:t>
      </w:r>
      <w:r w:rsidRPr="00EA1D02">
        <w:rPr>
          <w:rtl/>
        </w:rPr>
        <w:t>مقدمة</w:t>
      </w:r>
      <w:r w:rsidR="004534DC">
        <w:rPr>
          <w:rtl/>
        </w:rPr>
        <w:t xml:space="preserve"> </w:t>
      </w:r>
      <w:r w:rsidRPr="00EA1D02">
        <w:rPr>
          <w:rtl/>
        </w:rPr>
        <w:t>من</w:t>
      </w:r>
      <w:r w:rsidR="004534DC">
        <w:rPr>
          <w:rtl/>
        </w:rPr>
        <w:t xml:space="preserve"> </w:t>
      </w:r>
      <w:r w:rsidRPr="00EA1D02">
        <w:rPr>
          <w:rtl/>
        </w:rPr>
        <w:t>الكويت</w:t>
      </w:r>
      <w:r w:rsidR="004534DC">
        <w:rPr>
          <w:rtl/>
        </w:rPr>
        <w:t xml:space="preserve"> </w:t>
      </w:r>
      <w:r w:rsidRPr="00EA1D02">
        <w:rPr>
          <w:rtl/>
        </w:rPr>
        <w:t>في</w:t>
      </w:r>
      <w:r w:rsidR="004534DC">
        <w:rPr>
          <w:rtl/>
        </w:rPr>
        <w:t xml:space="preserve"> </w:t>
      </w:r>
      <w:r w:rsidRPr="00EA1D02">
        <w:rPr>
          <w:rtl/>
        </w:rPr>
        <w:t>إطار</w:t>
      </w:r>
      <w:r w:rsidR="004534DC">
        <w:rPr>
          <w:rtl/>
        </w:rPr>
        <w:t xml:space="preserve"> </w:t>
      </w:r>
      <w:r w:rsidRPr="00EA1D02">
        <w:rPr>
          <w:rtl/>
        </w:rPr>
        <w:t>متابعة</w:t>
      </w:r>
      <w:r w:rsidR="004534DC">
        <w:rPr>
          <w:rtl/>
        </w:rPr>
        <w:t xml:space="preserve"> </w:t>
      </w:r>
      <w:r w:rsidRPr="00EA1D02">
        <w:rPr>
          <w:rtl/>
        </w:rPr>
        <w:t>الملاحظات</w:t>
      </w:r>
      <w:r w:rsidR="004534DC">
        <w:rPr>
          <w:rtl/>
        </w:rPr>
        <w:t xml:space="preserve"> </w:t>
      </w:r>
      <w:r w:rsidRPr="00EA1D02">
        <w:rPr>
          <w:rtl/>
        </w:rPr>
        <w:t>الختامية</w:t>
      </w:r>
      <w:r w:rsidR="00B40773">
        <w:rPr>
          <w:rFonts w:hint="cs"/>
          <w:rtl/>
        </w:rPr>
        <w:t>*</w:t>
      </w:r>
    </w:p>
    <w:p w14:paraId="5DC291EE" w14:textId="05243A73" w:rsidR="00EA1D02" w:rsidRPr="00EA1D02" w:rsidRDefault="00EA1D02" w:rsidP="00EA1D02">
      <w:pPr>
        <w:pStyle w:val="SingleTxt"/>
        <w:spacing w:after="0" w:line="120" w:lineRule="exact"/>
        <w:rPr>
          <w:sz w:val="10"/>
          <w:rtl/>
        </w:rPr>
      </w:pPr>
    </w:p>
    <w:p w14:paraId="23998C32" w14:textId="4BA7ABD6" w:rsidR="00EA1D02" w:rsidRPr="00EA1D02" w:rsidRDefault="00EA1D02" w:rsidP="00952391">
      <w:pPr>
        <w:pStyle w:val="SingleTxt"/>
        <w:tabs>
          <w:tab w:val="clear" w:pos="3917"/>
          <w:tab w:val="right" w:pos="3960"/>
        </w:tabs>
        <w:bidi w:val="0"/>
      </w:pPr>
      <w:r w:rsidRPr="00EA1D02">
        <w:rPr>
          <w:rtl/>
        </w:rPr>
        <w:t>[تاريخ</w:t>
      </w:r>
      <w:r w:rsidR="004534DC">
        <w:rPr>
          <w:rtl/>
        </w:rPr>
        <w:t xml:space="preserve"> </w:t>
      </w:r>
      <w:r w:rsidRPr="00EA1D02">
        <w:rPr>
          <w:rtl/>
        </w:rPr>
        <w:t>الاستلام:</w:t>
      </w:r>
      <w:r w:rsidR="004534DC">
        <w:rPr>
          <w:rtl/>
        </w:rPr>
        <w:t xml:space="preserve"> </w:t>
      </w:r>
      <w:r w:rsidRPr="00EA1D02">
        <w:rPr>
          <w:rFonts w:hint="cs"/>
          <w:rtl/>
        </w:rPr>
        <w:t>2</w:t>
      </w:r>
      <w:r w:rsidRPr="00EA1D02">
        <w:rPr>
          <w:rtl/>
        </w:rPr>
        <w:t>6</w:t>
      </w:r>
      <w:r w:rsidR="004534DC">
        <w:rPr>
          <w:rtl/>
        </w:rPr>
        <w:t xml:space="preserve"> </w:t>
      </w:r>
      <w:r w:rsidRPr="00EA1D02">
        <w:rPr>
          <w:rFonts w:hint="cs"/>
          <w:rtl/>
        </w:rPr>
        <w:t>تموز</w:t>
      </w:r>
      <w:r w:rsidRPr="00EA1D02">
        <w:rPr>
          <w:rtl/>
        </w:rPr>
        <w:t>/ي</w:t>
      </w:r>
      <w:r w:rsidRPr="00EA1D02">
        <w:rPr>
          <w:rFonts w:hint="cs"/>
          <w:rtl/>
        </w:rPr>
        <w:t>وليه</w:t>
      </w:r>
      <w:r w:rsidR="004534DC">
        <w:rPr>
          <w:rtl/>
        </w:rPr>
        <w:t xml:space="preserve"> </w:t>
      </w:r>
      <w:r w:rsidRPr="00EA1D02">
        <w:rPr>
          <w:rtl/>
        </w:rPr>
        <w:t>201</w:t>
      </w:r>
      <w:r w:rsidRPr="00EA1D02">
        <w:rPr>
          <w:rFonts w:hint="cs"/>
          <w:rtl/>
        </w:rPr>
        <w:t>9</w:t>
      </w:r>
      <w:r w:rsidRPr="00EA1D02">
        <w:rPr>
          <w:rtl/>
        </w:rPr>
        <w:t>]</w:t>
      </w:r>
    </w:p>
    <w:p w14:paraId="31981C9B" w14:textId="77777777" w:rsidR="00952391" w:rsidRPr="00952391" w:rsidRDefault="00952391" w:rsidP="00952391">
      <w:pPr>
        <w:pStyle w:val="SingleTxt"/>
        <w:spacing w:after="0" w:line="120" w:lineRule="exact"/>
        <w:rPr>
          <w:sz w:val="10"/>
          <w:rtl/>
        </w:rPr>
      </w:pPr>
    </w:p>
    <w:p w14:paraId="633525C7" w14:textId="1C2E2E47" w:rsidR="00EA1D02" w:rsidRPr="00EA1D02" w:rsidRDefault="00C13813" w:rsidP="00C1381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lang w:val="en-GB"/>
        </w:rPr>
      </w:pPr>
      <w:r>
        <w:rPr>
          <w:rtl/>
        </w:rPr>
        <w:tab/>
      </w:r>
      <w:r w:rsidR="00952391">
        <w:rPr>
          <w:rFonts w:hint="cs"/>
          <w:rtl/>
        </w:rPr>
        <w:t>1</w:t>
      </w:r>
      <w:r w:rsidR="004534DC">
        <w:rPr>
          <w:rFonts w:hint="cs"/>
          <w:rtl/>
        </w:rPr>
        <w:t xml:space="preserve"> </w:t>
      </w:r>
      <w:r w:rsidR="00952391">
        <w:rPr>
          <w:rFonts w:hint="cs"/>
          <w:rtl/>
        </w:rPr>
        <w:t>-</w:t>
      </w:r>
      <w:r w:rsidR="00952391">
        <w:rPr>
          <w:rtl/>
        </w:rPr>
        <w:tab/>
      </w:r>
      <w:r w:rsidR="00EA1D02" w:rsidRPr="00EA1D02">
        <w:rPr>
          <w:rtl/>
        </w:rPr>
        <w:t>التوصية</w:t>
      </w:r>
      <w:r w:rsidR="004534DC">
        <w:rPr>
          <w:rFonts w:hint="cs"/>
          <w:rtl/>
        </w:rPr>
        <w:t xml:space="preserve"> </w:t>
      </w:r>
      <w:r w:rsidR="00EA1D02" w:rsidRPr="00EA1D02">
        <w:rPr>
          <w:rFonts w:hint="cs"/>
          <w:rtl/>
        </w:rPr>
        <w:t>الواردة</w:t>
      </w:r>
      <w:r w:rsidR="004534DC">
        <w:rPr>
          <w:rFonts w:hint="cs"/>
          <w:rtl/>
        </w:rPr>
        <w:t xml:space="preserve"> </w:t>
      </w:r>
      <w:r w:rsidR="00EA1D02" w:rsidRPr="00EA1D02">
        <w:rPr>
          <w:rFonts w:hint="cs"/>
          <w:rtl/>
        </w:rPr>
        <w:t>في</w:t>
      </w:r>
      <w:r w:rsidR="004534DC">
        <w:rPr>
          <w:rFonts w:hint="cs"/>
          <w:rtl/>
        </w:rPr>
        <w:t xml:space="preserve"> </w:t>
      </w:r>
      <w:r w:rsidR="00EA1D02" w:rsidRPr="00EA1D02">
        <w:rPr>
          <w:rFonts w:hint="cs"/>
          <w:rtl/>
        </w:rPr>
        <w:t>الفقرة</w:t>
      </w:r>
      <w:r w:rsidR="004534DC">
        <w:rPr>
          <w:rtl/>
        </w:rPr>
        <w:t xml:space="preserve"> </w:t>
      </w:r>
      <w:r w:rsidR="00EA1D02" w:rsidRPr="00EA1D02">
        <w:rPr>
          <w:rtl/>
        </w:rPr>
        <w:t>(13):</w:t>
      </w:r>
      <w:r w:rsidR="004534DC">
        <w:rPr>
          <w:rFonts w:hint="cs"/>
          <w:rtl/>
        </w:rPr>
        <w:t xml:space="preserve"> </w:t>
      </w:r>
    </w:p>
    <w:p w14:paraId="08F728F9" w14:textId="11EE870F" w:rsidR="00EA1D02" w:rsidRPr="00EA1D02" w:rsidRDefault="002E7C29" w:rsidP="002E7C29">
      <w:pPr>
        <w:pStyle w:val="SingleTxt"/>
        <w:ind w:left="1930" w:hanging="666"/>
        <w:rPr>
          <w:lang w:val="en-GB"/>
        </w:rPr>
      </w:pPr>
      <w:r>
        <w:rPr>
          <w:rtl/>
        </w:rPr>
        <w:tab/>
      </w:r>
      <w:r w:rsidR="00952391">
        <w:rPr>
          <w:rFonts w:hint="cs"/>
          <w:rtl/>
        </w:rPr>
        <w:t>”</w:t>
      </w:r>
      <w:r w:rsidR="00EA1D02" w:rsidRPr="00EA1D02">
        <w:rPr>
          <w:i/>
          <w:iCs/>
          <w:rtl/>
        </w:rPr>
        <w:t>تكرر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اللجنة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توصيتها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السابقة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(</w:t>
      </w:r>
      <w:r w:rsidR="00EA1D02" w:rsidRPr="00EA1D02">
        <w:rPr>
          <w:i/>
          <w:iCs/>
          <w:lang w:val="en-GB"/>
        </w:rPr>
        <w:t>CEDAW/C/KWT/CO/3-4</w:t>
      </w:r>
      <w:r w:rsidR="00EA1D02" w:rsidRPr="00EA1D02">
        <w:rPr>
          <w:rFonts w:hint="cs"/>
          <w:i/>
          <w:iCs/>
          <w:rtl/>
        </w:rPr>
        <w:t>،</w:t>
      </w:r>
      <w:r w:rsidR="004534DC">
        <w:rPr>
          <w:rFonts w:hint="cs"/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الفقرة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18)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بأن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تدرج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الدولة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الطرف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في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تشريعاتها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تعريفاً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للتمييز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ضد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المرأة،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يشمل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التمييز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المباشر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وغير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المباشر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في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المجالين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العام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والخاص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وفقاً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للمادة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رقم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(1)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من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الاتفاقية</w:t>
      </w:r>
      <w:r w:rsidR="00952391">
        <w:rPr>
          <w:rFonts w:hint="eastAsia"/>
          <w:rtl/>
        </w:rPr>
        <w:t>“</w:t>
      </w:r>
      <w:r w:rsidR="00EA1D02" w:rsidRPr="00EA1D02">
        <w:rPr>
          <w:rtl/>
        </w:rPr>
        <w:t>.</w:t>
      </w:r>
      <w:r w:rsidR="004534DC">
        <w:rPr>
          <w:i/>
          <w:iCs/>
          <w:rtl/>
        </w:rPr>
        <w:t xml:space="preserve"> </w:t>
      </w:r>
    </w:p>
    <w:p w14:paraId="0CEB9E98" w14:textId="24729D36" w:rsidR="00EA1D02" w:rsidRPr="00EA1D02" w:rsidRDefault="002E7C29" w:rsidP="00EA1D02">
      <w:pPr>
        <w:pStyle w:val="SingleTxt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تجدر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الإشارة</w:t>
      </w:r>
      <w:r w:rsidR="004534DC">
        <w:rPr>
          <w:rtl/>
        </w:rPr>
        <w:t xml:space="preserve"> </w:t>
      </w:r>
      <w:r w:rsidR="00EA1D02" w:rsidRPr="00EA1D02">
        <w:rPr>
          <w:rtl/>
        </w:rPr>
        <w:t>إلى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أنه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بانضمام</w:t>
      </w:r>
      <w:r w:rsidR="004534DC">
        <w:rPr>
          <w:rtl/>
        </w:rPr>
        <w:t xml:space="preserve"> </w:t>
      </w:r>
      <w:r w:rsidR="00EA1D02" w:rsidRPr="00EA1D02">
        <w:rPr>
          <w:rtl/>
        </w:rPr>
        <w:t>دولة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</w:t>
      </w:r>
      <w:r w:rsidR="004534DC">
        <w:rPr>
          <w:rtl/>
        </w:rPr>
        <w:t xml:space="preserve"> </w:t>
      </w:r>
      <w:r w:rsidR="00EA1D02" w:rsidRPr="00EA1D02">
        <w:rPr>
          <w:rtl/>
        </w:rPr>
        <w:t>إلى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اتفاقية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القضاء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جميع</w:t>
      </w:r>
      <w:r w:rsidR="004534DC">
        <w:rPr>
          <w:rtl/>
        </w:rPr>
        <w:t xml:space="preserve"> </w:t>
      </w:r>
      <w:r w:rsidR="00EA1D02" w:rsidRPr="00EA1D02">
        <w:rPr>
          <w:rtl/>
        </w:rPr>
        <w:t>أشكال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التمييز</w:t>
      </w:r>
      <w:r w:rsidR="004534DC">
        <w:rPr>
          <w:rtl/>
        </w:rPr>
        <w:t xml:space="preserve"> </w:t>
      </w:r>
      <w:r w:rsidR="00EA1D02" w:rsidRPr="00EA1D02">
        <w:rPr>
          <w:rtl/>
        </w:rPr>
        <w:t>ضد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المرأة</w:t>
      </w:r>
      <w:r w:rsidR="004534DC">
        <w:rPr>
          <w:rtl/>
        </w:rPr>
        <w:t xml:space="preserve"> </w:t>
      </w:r>
      <w:r w:rsidR="00EA1D02" w:rsidRPr="00EA1D02">
        <w:rPr>
          <w:rtl/>
        </w:rPr>
        <w:t>بموجب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المرسوم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الأميري</w:t>
      </w:r>
      <w:r w:rsidR="004534DC">
        <w:rPr>
          <w:rtl/>
        </w:rPr>
        <w:t xml:space="preserve"> </w:t>
      </w:r>
      <w:r w:rsidR="00EA1D02" w:rsidRPr="00EA1D02">
        <w:rPr>
          <w:rtl/>
        </w:rPr>
        <w:t>رقم</w:t>
      </w:r>
      <w:r w:rsidR="004534DC">
        <w:rPr>
          <w:rtl/>
        </w:rPr>
        <w:t xml:space="preserve"> </w:t>
      </w:r>
      <w:r w:rsidR="00EA1D02" w:rsidRPr="00EA1D02">
        <w:rPr>
          <w:rtl/>
        </w:rPr>
        <w:t>(24)</w:t>
      </w:r>
      <w:r w:rsidR="004534DC">
        <w:rPr>
          <w:rtl/>
        </w:rPr>
        <w:t xml:space="preserve"> </w:t>
      </w:r>
      <w:r w:rsidR="00EA1D02" w:rsidRPr="00EA1D02">
        <w:rPr>
          <w:rtl/>
        </w:rPr>
        <w:t>لسنة</w:t>
      </w:r>
      <w:r w:rsidR="004534DC">
        <w:rPr>
          <w:rtl/>
        </w:rPr>
        <w:t xml:space="preserve"> </w:t>
      </w:r>
      <w:r w:rsidR="00EA1D02" w:rsidRPr="00EA1D02">
        <w:rPr>
          <w:rtl/>
        </w:rPr>
        <w:t>1994</w:t>
      </w:r>
      <w:r w:rsidR="004534DC">
        <w:rPr>
          <w:rtl/>
        </w:rPr>
        <w:t xml:space="preserve"> </w:t>
      </w:r>
      <w:r w:rsidR="00EA1D02" w:rsidRPr="00EA1D02">
        <w:rPr>
          <w:rtl/>
        </w:rPr>
        <w:t>أصبحت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تاريخ</w:t>
      </w:r>
      <w:r w:rsidR="004534DC">
        <w:rPr>
          <w:rtl/>
        </w:rPr>
        <w:t xml:space="preserve"> </w:t>
      </w:r>
      <w:r w:rsidR="00EA1D02" w:rsidRPr="00EA1D02">
        <w:rPr>
          <w:rtl/>
        </w:rPr>
        <w:t>نفاذها</w:t>
      </w:r>
      <w:r w:rsidR="004534DC">
        <w:rPr>
          <w:rtl/>
        </w:rPr>
        <w:t xml:space="preserve"> </w:t>
      </w:r>
      <w:r w:rsidR="00EA1D02" w:rsidRPr="00EA1D02">
        <w:rPr>
          <w:rtl/>
        </w:rPr>
        <w:t>جزءً</w:t>
      </w:r>
      <w:r w:rsidR="004534DC">
        <w:rPr>
          <w:rtl/>
        </w:rPr>
        <w:t xml:space="preserve"> </w:t>
      </w:r>
      <w:r w:rsidR="00EA1D02" w:rsidRPr="00EA1D02">
        <w:rPr>
          <w:rtl/>
        </w:rPr>
        <w:t>لا</w:t>
      </w:r>
      <w:r w:rsidR="004534DC">
        <w:rPr>
          <w:rtl/>
        </w:rPr>
        <w:t xml:space="preserve"> </w:t>
      </w:r>
      <w:r w:rsidR="00EA1D02" w:rsidRPr="00EA1D02">
        <w:rPr>
          <w:rtl/>
        </w:rPr>
        <w:t>يتجزأ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التشريعات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الوطنية،</w:t>
      </w:r>
      <w:r w:rsidR="004534DC">
        <w:rPr>
          <w:rtl/>
        </w:rPr>
        <w:t xml:space="preserve"> </w:t>
      </w:r>
      <w:r w:rsidR="00EA1D02" w:rsidRPr="00EA1D02">
        <w:rPr>
          <w:rtl/>
        </w:rPr>
        <w:t>يُضم</w:t>
      </w:r>
      <w:r w:rsidR="004534DC">
        <w:rPr>
          <w:rtl/>
        </w:rPr>
        <w:t xml:space="preserve"> </w:t>
      </w:r>
      <w:r w:rsidR="00EA1D02" w:rsidRPr="00EA1D02">
        <w:rPr>
          <w:rtl/>
        </w:rPr>
        <w:t>إلى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المنظومة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الداخلية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لدولة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الكويت،</w:t>
      </w:r>
      <w:r w:rsidR="004534DC">
        <w:rPr>
          <w:rtl/>
        </w:rPr>
        <w:t xml:space="preserve"> </w:t>
      </w:r>
      <w:r w:rsidR="00EA1D02" w:rsidRPr="00EA1D02">
        <w:rPr>
          <w:rtl/>
        </w:rPr>
        <w:t>ومن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ثم</w:t>
      </w:r>
      <w:r w:rsidR="004534DC">
        <w:rPr>
          <w:rtl/>
        </w:rPr>
        <w:t xml:space="preserve"> </w:t>
      </w:r>
      <w:r w:rsidR="00EA1D02" w:rsidRPr="00EA1D02">
        <w:rPr>
          <w:rtl/>
        </w:rPr>
        <w:t>يكون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جميع</w:t>
      </w:r>
      <w:r w:rsidR="004534DC">
        <w:rPr>
          <w:rtl/>
        </w:rPr>
        <w:t xml:space="preserve"> </w:t>
      </w:r>
      <w:r w:rsidR="00EA1D02" w:rsidRPr="00EA1D02">
        <w:rPr>
          <w:rtl/>
        </w:rPr>
        <w:t>هيئات</w:t>
      </w:r>
      <w:r w:rsidR="004534DC">
        <w:rPr>
          <w:rtl/>
        </w:rPr>
        <w:t xml:space="preserve"> </w:t>
      </w:r>
      <w:r w:rsidR="00EA1D02" w:rsidRPr="00EA1D02">
        <w:rPr>
          <w:rtl/>
        </w:rPr>
        <w:t>ومؤسسات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الحكومة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والأفراد،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الالتزام</w:t>
      </w:r>
      <w:r w:rsidR="004534DC">
        <w:rPr>
          <w:rtl/>
        </w:rPr>
        <w:t xml:space="preserve"> </w:t>
      </w:r>
      <w:r w:rsidR="00EA1D02" w:rsidRPr="00EA1D02">
        <w:rPr>
          <w:rtl/>
        </w:rPr>
        <w:t>بأحكامها،</w:t>
      </w:r>
      <w:r w:rsidR="004534DC">
        <w:rPr>
          <w:rtl/>
        </w:rPr>
        <w:t xml:space="preserve"> </w:t>
      </w:r>
      <w:r w:rsidR="00EA1D02" w:rsidRPr="00EA1D02">
        <w:rPr>
          <w:rtl/>
        </w:rPr>
        <w:t>ليس</w:t>
      </w:r>
      <w:r w:rsidR="004534DC">
        <w:rPr>
          <w:rtl/>
        </w:rPr>
        <w:t xml:space="preserve"> </w:t>
      </w:r>
      <w:r w:rsidR="00EA1D02" w:rsidRPr="00EA1D02">
        <w:rPr>
          <w:rtl/>
        </w:rPr>
        <w:t>هذا</w:t>
      </w:r>
      <w:r w:rsidR="004534DC">
        <w:rPr>
          <w:rtl/>
        </w:rPr>
        <w:t xml:space="preserve"> </w:t>
      </w:r>
      <w:r w:rsidR="00EA1D02" w:rsidRPr="00EA1D02">
        <w:rPr>
          <w:rtl/>
        </w:rPr>
        <w:t>فقط</w:t>
      </w:r>
      <w:r w:rsidR="004534DC">
        <w:rPr>
          <w:rtl/>
        </w:rPr>
        <w:t xml:space="preserve"> </w:t>
      </w:r>
      <w:r w:rsidR="00EA1D02" w:rsidRPr="00EA1D02">
        <w:rPr>
          <w:rtl/>
        </w:rPr>
        <w:t>بل</w:t>
      </w:r>
      <w:r w:rsidR="004534DC">
        <w:rPr>
          <w:rtl/>
        </w:rPr>
        <w:t xml:space="preserve"> </w:t>
      </w:r>
      <w:r w:rsidR="00EA1D02" w:rsidRPr="00EA1D02">
        <w:rPr>
          <w:rtl/>
        </w:rPr>
        <w:t>أن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القضاء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الكويتي</w:t>
      </w:r>
      <w:r w:rsidR="004534DC">
        <w:rPr>
          <w:rtl/>
        </w:rPr>
        <w:t xml:space="preserve"> </w:t>
      </w:r>
      <w:r w:rsidR="00EA1D02" w:rsidRPr="00EA1D02">
        <w:rPr>
          <w:rtl/>
        </w:rPr>
        <w:t>يكون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عاتقه</w:t>
      </w:r>
      <w:r w:rsidR="004534DC">
        <w:rPr>
          <w:rtl/>
        </w:rPr>
        <w:t xml:space="preserve"> </w:t>
      </w:r>
      <w:r w:rsidR="00EA1D02" w:rsidRPr="00EA1D02">
        <w:rPr>
          <w:rtl/>
        </w:rPr>
        <w:t>كفالة</w:t>
      </w:r>
      <w:r w:rsidR="004534DC">
        <w:rPr>
          <w:rtl/>
        </w:rPr>
        <w:t xml:space="preserve"> </w:t>
      </w:r>
      <w:r w:rsidR="00EA1D02" w:rsidRPr="00EA1D02">
        <w:rPr>
          <w:rtl/>
        </w:rPr>
        <w:t>احترامها</w:t>
      </w:r>
      <w:r w:rsidR="004534DC">
        <w:rPr>
          <w:rtl/>
        </w:rPr>
        <w:t xml:space="preserve"> </w:t>
      </w:r>
      <w:r w:rsidR="00EA1D02" w:rsidRPr="00EA1D02">
        <w:rPr>
          <w:rtl/>
        </w:rPr>
        <w:t>وحمايتها.</w:t>
      </w:r>
      <w:r w:rsidR="004534DC">
        <w:rPr>
          <w:rtl/>
        </w:rPr>
        <w:t xml:space="preserve"> </w:t>
      </w:r>
    </w:p>
    <w:p w14:paraId="462FE14B" w14:textId="5B2FB03C" w:rsidR="00EA1D02" w:rsidRPr="00EA1D02" w:rsidRDefault="002E7C29" w:rsidP="00EA1D02">
      <w:pPr>
        <w:pStyle w:val="SingleTxt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وتأتي</w:t>
      </w:r>
      <w:r w:rsidR="004534DC">
        <w:rPr>
          <w:rtl/>
        </w:rPr>
        <w:t xml:space="preserve"> </w:t>
      </w:r>
      <w:r w:rsidR="00EA1D02" w:rsidRPr="00EA1D02">
        <w:rPr>
          <w:rtl/>
        </w:rPr>
        <w:t>هذه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الالزامية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الوطنية،</w:t>
      </w:r>
      <w:r w:rsidR="004534DC">
        <w:rPr>
          <w:rtl/>
        </w:rPr>
        <w:t xml:space="preserve"> </w:t>
      </w:r>
      <w:r w:rsidR="00EA1D02" w:rsidRPr="00EA1D02">
        <w:rPr>
          <w:rtl/>
        </w:rPr>
        <w:t>استناداً</w:t>
      </w:r>
      <w:r w:rsidR="004534DC">
        <w:rPr>
          <w:rtl/>
        </w:rPr>
        <w:t xml:space="preserve"> </w:t>
      </w:r>
      <w:r w:rsidR="00EA1D02" w:rsidRPr="00EA1D02">
        <w:rPr>
          <w:rtl/>
        </w:rPr>
        <w:t>إلى</w:t>
      </w:r>
      <w:r w:rsidR="004534DC">
        <w:rPr>
          <w:rtl/>
        </w:rPr>
        <w:t xml:space="preserve"> </w:t>
      </w:r>
      <w:r w:rsidR="00EA1D02" w:rsidRPr="00EA1D02">
        <w:rPr>
          <w:rtl/>
        </w:rPr>
        <w:t>نص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المادة</w:t>
      </w:r>
      <w:r w:rsidR="004534DC">
        <w:rPr>
          <w:rtl/>
        </w:rPr>
        <w:t xml:space="preserve"> </w:t>
      </w:r>
      <w:r w:rsidR="00EA1D02" w:rsidRPr="00EA1D02">
        <w:rPr>
          <w:rtl/>
        </w:rPr>
        <w:t>رقم</w:t>
      </w:r>
      <w:r w:rsidR="004534DC">
        <w:rPr>
          <w:rtl/>
        </w:rPr>
        <w:t xml:space="preserve"> </w:t>
      </w:r>
      <w:r w:rsidR="00EA1D02" w:rsidRPr="00EA1D02">
        <w:rPr>
          <w:rtl/>
        </w:rPr>
        <w:t>(70)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دستور</w:t>
      </w:r>
      <w:r w:rsidR="004534DC">
        <w:rPr>
          <w:rtl/>
        </w:rPr>
        <w:t xml:space="preserve"> </w:t>
      </w:r>
      <w:r w:rsidR="00EA1D02" w:rsidRPr="00EA1D02">
        <w:rPr>
          <w:rtl/>
        </w:rPr>
        <w:t>دولة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الكويت،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والتي</w:t>
      </w:r>
      <w:r w:rsidR="004534DC">
        <w:rPr>
          <w:rtl/>
        </w:rPr>
        <w:t xml:space="preserve"> </w:t>
      </w:r>
      <w:r w:rsidR="00EA1D02" w:rsidRPr="00EA1D02">
        <w:rPr>
          <w:rtl/>
        </w:rPr>
        <w:t>تنص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أنه</w:t>
      </w:r>
      <w:r w:rsidR="004534DC">
        <w:rPr>
          <w:rtl/>
        </w:rPr>
        <w:t xml:space="preserve"> </w:t>
      </w:r>
      <w:r w:rsidR="00952391">
        <w:rPr>
          <w:rFonts w:hint="eastAsia"/>
          <w:rtl/>
        </w:rPr>
        <w:t>”</w:t>
      </w:r>
      <w:r w:rsidR="00EA1D02" w:rsidRPr="00EA1D02">
        <w:rPr>
          <w:rtl/>
        </w:rPr>
        <w:t>يبرم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الأمير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المعاهدات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بمرسوم</w:t>
      </w:r>
      <w:r w:rsidR="004534DC">
        <w:rPr>
          <w:rtl/>
        </w:rPr>
        <w:t xml:space="preserve"> </w:t>
      </w:r>
      <w:r w:rsidR="00EA1D02" w:rsidRPr="00EA1D02">
        <w:rPr>
          <w:rtl/>
        </w:rPr>
        <w:t>ويبلغها</w:t>
      </w:r>
      <w:r w:rsidR="004534DC">
        <w:rPr>
          <w:rtl/>
        </w:rPr>
        <w:t xml:space="preserve"> </w:t>
      </w:r>
      <w:r w:rsidR="00EA1D02" w:rsidRPr="00EA1D02">
        <w:rPr>
          <w:rtl/>
        </w:rPr>
        <w:t>مجلس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الأمة</w:t>
      </w:r>
      <w:r w:rsidR="004534DC">
        <w:rPr>
          <w:rtl/>
        </w:rPr>
        <w:t xml:space="preserve"> </w:t>
      </w:r>
      <w:r w:rsidR="00EA1D02" w:rsidRPr="00EA1D02">
        <w:rPr>
          <w:rtl/>
        </w:rPr>
        <w:t>فوراً</w:t>
      </w:r>
      <w:r w:rsidR="004534DC">
        <w:rPr>
          <w:rtl/>
        </w:rPr>
        <w:t xml:space="preserve"> </w:t>
      </w:r>
      <w:r w:rsidR="00EA1D02" w:rsidRPr="00EA1D02">
        <w:rPr>
          <w:rtl/>
        </w:rPr>
        <w:t>مشفوعة</w:t>
      </w:r>
      <w:r w:rsidR="004534DC">
        <w:rPr>
          <w:rtl/>
        </w:rPr>
        <w:t xml:space="preserve"> </w:t>
      </w:r>
      <w:r w:rsidR="00EA1D02" w:rsidRPr="00EA1D02">
        <w:rPr>
          <w:rtl/>
        </w:rPr>
        <w:t>بما</w:t>
      </w:r>
      <w:r w:rsidR="004534DC">
        <w:rPr>
          <w:rtl/>
        </w:rPr>
        <w:t xml:space="preserve"> </w:t>
      </w:r>
      <w:r w:rsidR="00EA1D02" w:rsidRPr="00EA1D02">
        <w:rPr>
          <w:rtl/>
        </w:rPr>
        <w:t>يناسب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البيان،</w:t>
      </w:r>
      <w:r w:rsidR="004534DC">
        <w:rPr>
          <w:rtl/>
        </w:rPr>
        <w:t xml:space="preserve"> </w:t>
      </w:r>
      <w:r w:rsidR="00EA1D02" w:rsidRPr="00EA1D02">
        <w:rPr>
          <w:rtl/>
        </w:rPr>
        <w:t>وتكون</w:t>
      </w:r>
      <w:r w:rsidR="004534DC">
        <w:rPr>
          <w:rtl/>
        </w:rPr>
        <w:t xml:space="preserve"> </w:t>
      </w:r>
      <w:r w:rsidR="00EA1D02" w:rsidRPr="00EA1D02">
        <w:rPr>
          <w:rtl/>
        </w:rPr>
        <w:t>للمعاهدة</w:t>
      </w:r>
      <w:r w:rsidR="004534DC">
        <w:rPr>
          <w:rtl/>
        </w:rPr>
        <w:t xml:space="preserve"> </w:t>
      </w:r>
      <w:r w:rsidR="00EA1D02" w:rsidRPr="00EA1D02">
        <w:rPr>
          <w:rtl/>
        </w:rPr>
        <w:t>قوة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بعد</w:t>
      </w:r>
      <w:r w:rsidR="004534DC">
        <w:rPr>
          <w:rtl/>
        </w:rPr>
        <w:t xml:space="preserve"> </w:t>
      </w:r>
      <w:r w:rsidR="00EA1D02" w:rsidRPr="00EA1D02">
        <w:rPr>
          <w:rtl/>
        </w:rPr>
        <w:t>إبرامها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والتصديق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عليها</w:t>
      </w:r>
      <w:r w:rsidR="004534DC">
        <w:rPr>
          <w:rtl/>
        </w:rPr>
        <w:t xml:space="preserve"> </w:t>
      </w:r>
      <w:r w:rsidR="00EA1D02" w:rsidRPr="00EA1D02">
        <w:rPr>
          <w:rtl/>
        </w:rPr>
        <w:t>ونشرها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الجريدة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الرسمية</w:t>
      </w:r>
      <w:r w:rsidR="001E4A8C">
        <w:rPr>
          <w:rFonts w:hint="cs"/>
          <w:rtl/>
        </w:rPr>
        <w:t xml:space="preserve"> </w:t>
      </w:r>
      <w:r w:rsidR="00EA1D02" w:rsidRPr="00EA1D02">
        <w:rPr>
          <w:rtl/>
        </w:rPr>
        <w:t>...</w:t>
      </w:r>
      <w:r w:rsidR="00952391">
        <w:rPr>
          <w:rFonts w:hint="eastAsia"/>
          <w:rtl/>
        </w:rPr>
        <w:t>“</w:t>
      </w:r>
      <w:r w:rsidR="00EA1D02" w:rsidRPr="00EA1D02">
        <w:rPr>
          <w:rtl/>
        </w:rPr>
        <w:t>.</w:t>
      </w:r>
    </w:p>
    <w:p w14:paraId="348C3B24" w14:textId="1444D7CC" w:rsidR="00B40773" w:rsidRPr="00B40773" w:rsidRDefault="00B40773" w:rsidP="00B40773">
      <w:pPr>
        <w:framePr w:w="9792" w:h="432" w:hSpace="180" w:wrap="notBeside" w:hAnchor="page" w:x="1196" w:yAlign="bottom"/>
        <w:spacing w:line="240" w:lineRule="auto"/>
        <w:rPr>
          <w:szCs w:val="6"/>
          <w:rtl/>
        </w:rPr>
      </w:pPr>
      <w:r w:rsidRPr="00B40773">
        <w:rPr>
          <w:noProof/>
          <w:szCs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76E13" wp14:editId="61EA94F7">
                <wp:simplePos x="0" y="0"/>
                <wp:positionH relativeFrom="column">
                  <wp:posOffset>5029200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F49F2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-1pt" to="46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" strokecolor="#010000"/>
            </w:pict>
          </mc:Fallback>
        </mc:AlternateContent>
      </w:r>
    </w:p>
    <w:p w14:paraId="23FBDC71" w14:textId="3A84F2DA" w:rsidR="00B40773" w:rsidRPr="00B40773" w:rsidRDefault="00B40773" w:rsidP="00B40773">
      <w:pPr>
        <w:framePr w:w="9792" w:h="432" w:hSpace="180" w:wrap="notBeside" w:hAnchor="page" w:x="1196" w:yAlign="bottom"/>
        <w:tabs>
          <w:tab w:val="right" w:pos="1195"/>
          <w:tab w:val="left" w:pos="1267"/>
        </w:tabs>
        <w:spacing w:after="80" w:line="280" w:lineRule="exact"/>
        <w:ind w:left="1267" w:right="1267" w:hanging="547"/>
        <w:rPr>
          <w:sz w:val="17"/>
          <w:szCs w:val="24"/>
        </w:rPr>
      </w:pPr>
      <w:r>
        <w:rPr>
          <w:sz w:val="17"/>
          <w:szCs w:val="24"/>
          <w:rtl/>
        </w:rPr>
        <w:tab/>
      </w:r>
      <w:r>
        <w:rPr>
          <w:rFonts w:hint="cs"/>
          <w:sz w:val="17"/>
          <w:szCs w:val="24"/>
          <w:rtl/>
        </w:rPr>
        <w:t>*</w:t>
      </w:r>
      <w:r>
        <w:rPr>
          <w:sz w:val="17"/>
          <w:szCs w:val="24"/>
          <w:rtl/>
        </w:rPr>
        <w:tab/>
      </w:r>
      <w:r w:rsidRPr="00B40773">
        <w:rPr>
          <w:sz w:val="17"/>
          <w:szCs w:val="24"/>
          <w:rtl/>
        </w:rPr>
        <w:t>تصدر هذه الوثيقة دون تحرير رسمي</w:t>
      </w:r>
      <w:r w:rsidRPr="00B40773">
        <w:rPr>
          <w:rFonts w:hint="cs"/>
          <w:sz w:val="17"/>
          <w:szCs w:val="24"/>
          <w:rtl/>
        </w:rPr>
        <w:t>.</w:t>
      </w:r>
    </w:p>
    <w:p w14:paraId="35E2DD4D" w14:textId="6C8E0150" w:rsidR="00EA1D02" w:rsidRPr="00EA1D02" w:rsidRDefault="002E7C29" w:rsidP="00EA1D02">
      <w:pPr>
        <w:pStyle w:val="SingleTxt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وتجدر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الإشارة</w:t>
      </w:r>
      <w:r w:rsidR="004534DC">
        <w:rPr>
          <w:rtl/>
        </w:rPr>
        <w:t xml:space="preserve"> </w:t>
      </w:r>
      <w:r w:rsidR="00EA1D02" w:rsidRPr="00EA1D02">
        <w:rPr>
          <w:rtl/>
        </w:rPr>
        <w:t>إلى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أن</w:t>
      </w:r>
      <w:r w:rsidR="004534DC">
        <w:rPr>
          <w:rtl/>
        </w:rPr>
        <w:t xml:space="preserve"> </w:t>
      </w:r>
      <w:r w:rsidR="00EA1D02" w:rsidRPr="00EA1D02">
        <w:rPr>
          <w:rtl/>
        </w:rPr>
        <w:t>منهجية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دولة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الكويت،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نبذ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العنصرية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والتمييز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العنصري،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والعدل</w:t>
      </w:r>
      <w:r w:rsidR="004534DC">
        <w:rPr>
          <w:rtl/>
        </w:rPr>
        <w:t xml:space="preserve"> </w:t>
      </w:r>
      <w:r w:rsidR="00EA1D02" w:rsidRPr="00EA1D02">
        <w:rPr>
          <w:rtl/>
        </w:rPr>
        <w:t>هي</w:t>
      </w:r>
      <w:r w:rsidR="004534DC">
        <w:rPr>
          <w:rtl/>
        </w:rPr>
        <w:t xml:space="preserve"> </w:t>
      </w:r>
      <w:r w:rsidR="00EA1D02" w:rsidRPr="00EA1D02">
        <w:rPr>
          <w:rtl/>
        </w:rPr>
        <w:t>إعمالاً</w:t>
      </w:r>
      <w:r w:rsidR="004534DC">
        <w:rPr>
          <w:rtl/>
        </w:rPr>
        <w:t xml:space="preserve"> </w:t>
      </w:r>
      <w:r w:rsidR="00EA1D02" w:rsidRPr="00EA1D02">
        <w:rPr>
          <w:rtl/>
        </w:rPr>
        <w:t>لما</w:t>
      </w:r>
      <w:r w:rsidR="004534DC">
        <w:rPr>
          <w:rtl/>
        </w:rPr>
        <w:t xml:space="preserve"> </w:t>
      </w:r>
      <w:r w:rsidR="00EA1D02" w:rsidRPr="00EA1D02">
        <w:rPr>
          <w:rtl/>
        </w:rPr>
        <w:t>جاء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الشريعة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الإسلامية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حيث</w:t>
      </w:r>
      <w:r w:rsidR="004534DC">
        <w:rPr>
          <w:rtl/>
        </w:rPr>
        <w:t xml:space="preserve"> </w:t>
      </w:r>
      <w:r w:rsidR="00EA1D02" w:rsidRPr="00EA1D02">
        <w:rPr>
          <w:rtl/>
        </w:rPr>
        <w:t>تعد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المصدر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الرئيسي</w:t>
      </w:r>
      <w:r w:rsidR="004534DC">
        <w:rPr>
          <w:rtl/>
        </w:rPr>
        <w:t xml:space="preserve"> </w:t>
      </w:r>
      <w:r w:rsidR="00EA1D02" w:rsidRPr="00EA1D02">
        <w:rPr>
          <w:rtl/>
        </w:rPr>
        <w:t>لقواعد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الدستور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الكويتي،</w:t>
      </w:r>
      <w:r w:rsidR="004534DC">
        <w:rPr>
          <w:rtl/>
        </w:rPr>
        <w:t xml:space="preserve"> </w:t>
      </w:r>
      <w:r w:rsidR="00EA1D02" w:rsidRPr="00EA1D02">
        <w:rPr>
          <w:rtl/>
        </w:rPr>
        <w:t>بحسب</w:t>
      </w:r>
      <w:r w:rsidR="004534DC">
        <w:rPr>
          <w:rtl/>
        </w:rPr>
        <w:t xml:space="preserve"> </w:t>
      </w:r>
      <w:r w:rsidR="00EA1D02" w:rsidRPr="00EA1D02">
        <w:rPr>
          <w:rtl/>
        </w:rPr>
        <w:t>ما</w:t>
      </w:r>
      <w:r w:rsidR="00760579">
        <w:rPr>
          <w:rFonts w:hint="eastAsia"/>
          <w:rtl/>
        </w:rPr>
        <w:t> </w:t>
      </w:r>
      <w:r w:rsidR="00EA1D02" w:rsidRPr="00EA1D02">
        <w:rPr>
          <w:rtl/>
        </w:rPr>
        <w:t>نصت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عليه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المادة</w:t>
      </w:r>
      <w:r w:rsidR="004534DC">
        <w:rPr>
          <w:rtl/>
        </w:rPr>
        <w:t xml:space="preserve"> </w:t>
      </w:r>
      <w:r w:rsidR="00EA1D02" w:rsidRPr="00EA1D02">
        <w:rPr>
          <w:rtl/>
        </w:rPr>
        <w:t>رقم</w:t>
      </w:r>
      <w:r w:rsidR="004534DC">
        <w:rPr>
          <w:rtl/>
        </w:rPr>
        <w:t xml:space="preserve"> </w:t>
      </w:r>
      <w:r w:rsidR="00EA1D02" w:rsidRPr="00EA1D02">
        <w:rPr>
          <w:rtl/>
        </w:rPr>
        <w:t>(2)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الدستور.</w:t>
      </w:r>
      <w:r w:rsidR="004534DC">
        <w:rPr>
          <w:rtl/>
        </w:rPr>
        <w:t xml:space="preserve"> </w:t>
      </w:r>
    </w:p>
    <w:p w14:paraId="5B50B1C1" w14:textId="5903177B" w:rsidR="00EA1D02" w:rsidRPr="00EA1D02" w:rsidRDefault="00C23FC7" w:rsidP="00EA1D02">
      <w:pPr>
        <w:pStyle w:val="SingleTxt"/>
        <w:rPr>
          <w:rtl/>
        </w:rPr>
      </w:pPr>
      <w:r>
        <w:rPr>
          <w:rtl/>
        </w:rPr>
        <w:lastRenderedPageBreak/>
        <w:tab/>
      </w:r>
      <w:r w:rsidR="00EA1D02" w:rsidRPr="00EA1D02">
        <w:rPr>
          <w:rtl/>
        </w:rPr>
        <w:t>كما</w:t>
      </w:r>
      <w:r w:rsidR="004534DC">
        <w:rPr>
          <w:rtl/>
        </w:rPr>
        <w:t xml:space="preserve"> </w:t>
      </w:r>
      <w:r w:rsidR="00EA1D02" w:rsidRPr="00EA1D02">
        <w:rPr>
          <w:rtl/>
        </w:rPr>
        <w:t>أرست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المادة</w:t>
      </w:r>
      <w:r w:rsidR="004534DC">
        <w:rPr>
          <w:rtl/>
        </w:rPr>
        <w:t xml:space="preserve"> </w:t>
      </w:r>
      <w:r w:rsidR="00EA1D02" w:rsidRPr="00EA1D02">
        <w:rPr>
          <w:rtl/>
        </w:rPr>
        <w:t>رقم</w:t>
      </w:r>
      <w:r w:rsidR="004534DC">
        <w:rPr>
          <w:rtl/>
        </w:rPr>
        <w:t xml:space="preserve"> </w:t>
      </w:r>
      <w:r w:rsidR="00EA1D02" w:rsidRPr="00EA1D02">
        <w:rPr>
          <w:rtl/>
        </w:rPr>
        <w:t>(29)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الدستور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المبدأ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العام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مناهضة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العنصرية،</w:t>
      </w:r>
      <w:r w:rsidR="004534DC">
        <w:rPr>
          <w:rtl/>
        </w:rPr>
        <w:t xml:space="preserve"> </w:t>
      </w:r>
      <w:r w:rsidR="00EA1D02" w:rsidRPr="00EA1D02">
        <w:rPr>
          <w:rtl/>
        </w:rPr>
        <w:t>حين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رسخت</w:t>
      </w:r>
      <w:r w:rsidR="004534DC">
        <w:rPr>
          <w:rtl/>
        </w:rPr>
        <w:t xml:space="preserve"> </w:t>
      </w:r>
      <w:r w:rsidR="00EA1D02" w:rsidRPr="00EA1D02">
        <w:rPr>
          <w:rtl/>
        </w:rPr>
        <w:t>وأسست</w:t>
      </w:r>
      <w:r w:rsidR="004534DC">
        <w:rPr>
          <w:rtl/>
        </w:rPr>
        <w:t xml:space="preserve"> </w:t>
      </w:r>
      <w:r w:rsidR="00EA1D02" w:rsidRPr="00EA1D02">
        <w:rPr>
          <w:rtl/>
        </w:rPr>
        <w:t>قواعد</w:t>
      </w:r>
      <w:r w:rsidR="004534DC">
        <w:rPr>
          <w:rtl/>
        </w:rPr>
        <w:t xml:space="preserve"> </w:t>
      </w:r>
      <w:r w:rsidR="00EA1D02" w:rsidRPr="00EA1D02">
        <w:rPr>
          <w:rtl/>
        </w:rPr>
        <w:t>وأطر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المساواة</w:t>
      </w:r>
      <w:r w:rsidR="004534DC">
        <w:rPr>
          <w:rtl/>
        </w:rPr>
        <w:t xml:space="preserve"> </w:t>
      </w:r>
      <w:r w:rsidR="00EA1D02" w:rsidRPr="00EA1D02">
        <w:rPr>
          <w:rtl/>
        </w:rPr>
        <w:t>ومناهضة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التمييز</w:t>
      </w:r>
      <w:r w:rsidR="004534DC">
        <w:rPr>
          <w:rtl/>
        </w:rPr>
        <w:t xml:space="preserve"> </w:t>
      </w:r>
      <w:r w:rsidR="00EA1D02" w:rsidRPr="00EA1D02">
        <w:rPr>
          <w:rtl/>
        </w:rPr>
        <w:t>وإعلاء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الكرامة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الإنسانية،</w:t>
      </w:r>
      <w:r w:rsidR="004534DC">
        <w:rPr>
          <w:rtl/>
        </w:rPr>
        <w:t xml:space="preserve"> </w:t>
      </w:r>
      <w:r w:rsidR="00EA1D02" w:rsidRPr="00EA1D02">
        <w:rPr>
          <w:rtl/>
        </w:rPr>
        <w:t>حيث</w:t>
      </w:r>
      <w:r w:rsidR="004534DC">
        <w:rPr>
          <w:rtl/>
        </w:rPr>
        <w:t xml:space="preserve"> </w:t>
      </w:r>
      <w:r w:rsidR="00EA1D02" w:rsidRPr="00EA1D02">
        <w:rPr>
          <w:rtl/>
        </w:rPr>
        <w:t>نصت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أن</w:t>
      </w:r>
      <w:r w:rsidR="004534DC">
        <w:rPr>
          <w:rtl/>
        </w:rPr>
        <w:t xml:space="preserve"> </w:t>
      </w:r>
      <w:r w:rsidR="00952391">
        <w:rPr>
          <w:rFonts w:hint="eastAsia"/>
          <w:rtl/>
        </w:rPr>
        <w:t>”</w:t>
      </w:r>
      <w:r w:rsidR="00EA1D02" w:rsidRPr="00EA1D02">
        <w:rPr>
          <w:rtl/>
        </w:rPr>
        <w:t>الناس</w:t>
      </w:r>
      <w:r w:rsidR="006F2048">
        <w:rPr>
          <w:rFonts w:hint="cs"/>
          <w:rtl/>
        </w:rPr>
        <w:t> </w:t>
      </w:r>
      <w:r w:rsidR="00EA1D02" w:rsidRPr="00EA1D02">
        <w:rPr>
          <w:rtl/>
        </w:rPr>
        <w:t>سواسية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الكرامة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الإنسانية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وهم</w:t>
      </w:r>
      <w:r w:rsidR="004534DC">
        <w:rPr>
          <w:rtl/>
        </w:rPr>
        <w:t xml:space="preserve"> </w:t>
      </w:r>
      <w:r w:rsidR="00EA1D02" w:rsidRPr="00EA1D02">
        <w:rPr>
          <w:rtl/>
        </w:rPr>
        <w:t>متساوون</w:t>
      </w:r>
      <w:r w:rsidR="004534DC">
        <w:rPr>
          <w:rtl/>
        </w:rPr>
        <w:t xml:space="preserve"> </w:t>
      </w:r>
      <w:r w:rsidR="00EA1D02" w:rsidRPr="00EA1D02">
        <w:rPr>
          <w:rtl/>
        </w:rPr>
        <w:t>لدى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الحقوق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والواجبات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العامة</w:t>
      </w:r>
      <w:r w:rsidR="004534DC">
        <w:rPr>
          <w:rtl/>
        </w:rPr>
        <w:t xml:space="preserve"> </w:t>
      </w:r>
      <w:r w:rsidR="00EA1D02" w:rsidRPr="00EA1D02">
        <w:rPr>
          <w:rtl/>
        </w:rPr>
        <w:t>لا</w:t>
      </w:r>
      <w:r w:rsidR="004534DC">
        <w:rPr>
          <w:rtl/>
        </w:rPr>
        <w:t xml:space="preserve"> </w:t>
      </w:r>
      <w:r w:rsidR="00EA1D02" w:rsidRPr="00EA1D02">
        <w:rPr>
          <w:rtl/>
        </w:rPr>
        <w:t>تمييز</w:t>
      </w:r>
      <w:r w:rsidR="004534DC">
        <w:rPr>
          <w:rtl/>
        </w:rPr>
        <w:t xml:space="preserve"> </w:t>
      </w:r>
      <w:r w:rsidR="00EA1D02" w:rsidRPr="00EA1D02">
        <w:rPr>
          <w:rtl/>
        </w:rPr>
        <w:t>بينهم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ذلك</w:t>
      </w:r>
      <w:r w:rsidR="004534DC">
        <w:rPr>
          <w:rtl/>
        </w:rPr>
        <w:t xml:space="preserve"> </w:t>
      </w:r>
      <w:r w:rsidR="00EA1D02" w:rsidRPr="00EA1D02">
        <w:rPr>
          <w:rtl/>
        </w:rPr>
        <w:t>بسبب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الجنس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الأصل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اللغة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الدين</w:t>
      </w:r>
      <w:r w:rsidR="00952391">
        <w:rPr>
          <w:rFonts w:hint="eastAsia"/>
          <w:rtl/>
        </w:rPr>
        <w:t>“</w:t>
      </w:r>
      <w:r w:rsidR="00EA1D02" w:rsidRPr="00EA1D02">
        <w:rPr>
          <w:rtl/>
        </w:rPr>
        <w:t>.</w:t>
      </w:r>
    </w:p>
    <w:p w14:paraId="41C030B3" w14:textId="40D9B2F2" w:rsidR="00EA1D02" w:rsidRPr="00EA1D02" w:rsidRDefault="00C23FC7" w:rsidP="00EA1D02">
      <w:pPr>
        <w:pStyle w:val="SingleTxt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وجاءت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المادة</w:t>
      </w:r>
      <w:r w:rsidR="004534DC">
        <w:rPr>
          <w:rtl/>
        </w:rPr>
        <w:t xml:space="preserve"> </w:t>
      </w:r>
      <w:r w:rsidR="00EA1D02" w:rsidRPr="00EA1D02">
        <w:rPr>
          <w:rtl/>
        </w:rPr>
        <w:t>رقم</w:t>
      </w:r>
      <w:r w:rsidR="004534DC">
        <w:rPr>
          <w:rtl/>
        </w:rPr>
        <w:t xml:space="preserve"> </w:t>
      </w:r>
      <w:r w:rsidR="00EA1D02" w:rsidRPr="00EA1D02">
        <w:rPr>
          <w:rtl/>
        </w:rPr>
        <w:t>(7)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الدستور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الكويتي،</w:t>
      </w:r>
      <w:r w:rsidR="004534DC">
        <w:rPr>
          <w:rtl/>
        </w:rPr>
        <w:t xml:space="preserve"> </w:t>
      </w:r>
      <w:r w:rsidR="00EA1D02" w:rsidRPr="00EA1D02">
        <w:rPr>
          <w:rtl/>
        </w:rPr>
        <w:t>لتنص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أن</w:t>
      </w:r>
      <w:r w:rsidR="004534DC">
        <w:rPr>
          <w:rtl/>
        </w:rPr>
        <w:t xml:space="preserve"> </w:t>
      </w:r>
      <w:r w:rsidR="00952391">
        <w:rPr>
          <w:rFonts w:hint="eastAsia"/>
          <w:rtl/>
        </w:rPr>
        <w:t>”</w:t>
      </w:r>
      <w:r w:rsidR="00EA1D02" w:rsidRPr="00EA1D02">
        <w:rPr>
          <w:rtl/>
        </w:rPr>
        <w:t>العدل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والحرية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والمساواة</w:t>
      </w:r>
      <w:r w:rsidR="004534DC">
        <w:rPr>
          <w:rtl/>
        </w:rPr>
        <w:t xml:space="preserve"> </w:t>
      </w:r>
      <w:r w:rsidR="00EA1D02" w:rsidRPr="00EA1D02">
        <w:rPr>
          <w:rtl/>
        </w:rPr>
        <w:t>دعامات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المجتمع،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والتعاون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والتراحم</w:t>
      </w:r>
      <w:r w:rsidR="004534DC">
        <w:rPr>
          <w:rtl/>
        </w:rPr>
        <w:t xml:space="preserve"> </w:t>
      </w:r>
      <w:r w:rsidR="00EA1D02" w:rsidRPr="00EA1D02">
        <w:rPr>
          <w:rtl/>
        </w:rPr>
        <w:t>صلة</w:t>
      </w:r>
      <w:r w:rsidR="004534DC">
        <w:rPr>
          <w:rtl/>
        </w:rPr>
        <w:t xml:space="preserve"> </w:t>
      </w:r>
      <w:r w:rsidR="00EA1D02" w:rsidRPr="00EA1D02">
        <w:rPr>
          <w:rtl/>
        </w:rPr>
        <w:t>وثقى</w:t>
      </w:r>
      <w:r w:rsidR="004534DC">
        <w:rPr>
          <w:rtl/>
        </w:rPr>
        <w:t xml:space="preserve"> </w:t>
      </w:r>
      <w:r w:rsidR="00EA1D02" w:rsidRPr="00EA1D02">
        <w:rPr>
          <w:rtl/>
        </w:rPr>
        <w:t>بين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المواطنين</w:t>
      </w:r>
      <w:r w:rsidR="00952391">
        <w:rPr>
          <w:rFonts w:hint="eastAsia"/>
          <w:rtl/>
        </w:rPr>
        <w:t>“</w:t>
      </w:r>
      <w:r w:rsidR="00EA1D02" w:rsidRPr="00EA1D02">
        <w:rPr>
          <w:rtl/>
        </w:rPr>
        <w:t>.</w:t>
      </w:r>
      <w:r w:rsidR="004534DC">
        <w:rPr>
          <w:rtl/>
        </w:rPr>
        <w:t xml:space="preserve"> </w:t>
      </w:r>
    </w:p>
    <w:p w14:paraId="051918F9" w14:textId="5E3DCE40" w:rsidR="00EA1D02" w:rsidRPr="00EA1D02" w:rsidRDefault="00C23FC7" w:rsidP="00EA1D02">
      <w:pPr>
        <w:pStyle w:val="SingleTxt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وقد</w:t>
      </w:r>
      <w:r w:rsidR="004534DC">
        <w:rPr>
          <w:rtl/>
        </w:rPr>
        <w:t xml:space="preserve"> </w:t>
      </w:r>
      <w:r w:rsidR="00EA1D02" w:rsidRPr="00EA1D02">
        <w:rPr>
          <w:rtl/>
        </w:rPr>
        <w:t>أشارت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المذكرة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التفسيرية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لدستور</w:t>
      </w:r>
      <w:r w:rsidR="004534DC">
        <w:rPr>
          <w:rtl/>
        </w:rPr>
        <w:t xml:space="preserve"> </w:t>
      </w:r>
      <w:r w:rsidR="00EA1D02" w:rsidRPr="00EA1D02">
        <w:rPr>
          <w:rtl/>
        </w:rPr>
        <w:t>دولة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الكويت،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تفسيرها</w:t>
      </w:r>
      <w:r w:rsidR="004534DC">
        <w:rPr>
          <w:rtl/>
        </w:rPr>
        <w:t xml:space="preserve"> </w:t>
      </w:r>
      <w:r w:rsidR="00EA1D02" w:rsidRPr="00EA1D02">
        <w:rPr>
          <w:rtl/>
        </w:rPr>
        <w:t>لنص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المادة</w:t>
      </w:r>
      <w:r w:rsidR="004534DC">
        <w:rPr>
          <w:rtl/>
        </w:rPr>
        <w:t xml:space="preserve"> </w:t>
      </w:r>
      <w:r w:rsidR="00EA1D02" w:rsidRPr="00EA1D02">
        <w:rPr>
          <w:rtl/>
        </w:rPr>
        <w:t>(29)،</w:t>
      </w:r>
      <w:r w:rsidR="004534DC">
        <w:rPr>
          <w:rtl/>
        </w:rPr>
        <w:t xml:space="preserve"> </w:t>
      </w:r>
      <w:r w:rsidR="00EA1D02" w:rsidRPr="00EA1D02">
        <w:rPr>
          <w:rtl/>
        </w:rPr>
        <w:t>إلى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أن</w:t>
      </w:r>
      <w:r w:rsidR="004534DC">
        <w:rPr>
          <w:rtl/>
        </w:rPr>
        <w:t xml:space="preserve"> </w:t>
      </w:r>
      <w:r w:rsidR="00EA1D02" w:rsidRPr="00EA1D02">
        <w:rPr>
          <w:rtl/>
        </w:rPr>
        <w:t>هذه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المادة</w:t>
      </w:r>
      <w:r w:rsidR="004534DC">
        <w:rPr>
          <w:rtl/>
        </w:rPr>
        <w:t xml:space="preserve"> </w:t>
      </w:r>
      <w:r w:rsidR="00EA1D02" w:rsidRPr="00EA1D02">
        <w:rPr>
          <w:rtl/>
        </w:rPr>
        <w:t>قد</w:t>
      </w:r>
      <w:r w:rsidR="004534DC">
        <w:rPr>
          <w:rtl/>
        </w:rPr>
        <w:t xml:space="preserve"> </w:t>
      </w:r>
      <w:r w:rsidR="00EA1D02" w:rsidRPr="00EA1D02">
        <w:rPr>
          <w:rtl/>
        </w:rPr>
        <w:t>نصت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مبدأ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المساواة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الحقوق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والواجبات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بصفة</w:t>
      </w:r>
      <w:r w:rsidR="004534DC">
        <w:rPr>
          <w:rtl/>
        </w:rPr>
        <w:t xml:space="preserve"> </w:t>
      </w:r>
      <w:r w:rsidR="00EA1D02" w:rsidRPr="00EA1D02">
        <w:rPr>
          <w:rtl/>
        </w:rPr>
        <w:t>عامة،</w:t>
      </w:r>
      <w:r w:rsidR="004534DC">
        <w:rPr>
          <w:rtl/>
        </w:rPr>
        <w:t xml:space="preserve"> </w:t>
      </w:r>
      <w:r w:rsidR="00EA1D02" w:rsidRPr="00EA1D02">
        <w:rPr>
          <w:rtl/>
        </w:rPr>
        <w:t>وأنها</w:t>
      </w:r>
      <w:r w:rsidR="004534DC">
        <w:rPr>
          <w:rtl/>
        </w:rPr>
        <w:t xml:space="preserve"> </w:t>
      </w:r>
      <w:r w:rsidR="00EA1D02" w:rsidRPr="00EA1D02">
        <w:rPr>
          <w:rtl/>
        </w:rPr>
        <w:t>خصت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بالذكر</w:t>
      </w:r>
      <w:r w:rsidR="004534DC">
        <w:rPr>
          <w:rtl/>
        </w:rPr>
        <w:t xml:space="preserve"> </w:t>
      </w:r>
      <w:r w:rsidR="00EA1D02" w:rsidRPr="00EA1D02">
        <w:rPr>
          <w:rtl/>
        </w:rPr>
        <w:t>أهم</w:t>
      </w:r>
      <w:r w:rsidR="004534DC">
        <w:rPr>
          <w:rtl/>
        </w:rPr>
        <w:t xml:space="preserve"> </w:t>
      </w:r>
      <w:r w:rsidR="00EA1D02" w:rsidRPr="00EA1D02">
        <w:rPr>
          <w:rtl/>
        </w:rPr>
        <w:t>تطبيقات</w:t>
      </w:r>
      <w:r w:rsidR="004534DC">
        <w:rPr>
          <w:rtl/>
        </w:rPr>
        <w:t xml:space="preserve"> </w:t>
      </w:r>
      <w:r w:rsidR="00EA1D02" w:rsidRPr="00EA1D02">
        <w:rPr>
          <w:rtl/>
        </w:rPr>
        <w:t>هذا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المبدأ</w:t>
      </w:r>
      <w:r w:rsidR="004534DC">
        <w:rPr>
          <w:rtl/>
        </w:rPr>
        <w:t xml:space="preserve"> </w:t>
      </w:r>
      <w:r w:rsidR="00EA1D02" w:rsidRPr="00EA1D02">
        <w:rPr>
          <w:rtl/>
        </w:rPr>
        <w:t>بقولها</w:t>
      </w:r>
      <w:r w:rsidR="004534DC">
        <w:rPr>
          <w:rtl/>
        </w:rPr>
        <w:t xml:space="preserve"> </w:t>
      </w:r>
      <w:r w:rsidR="00952391">
        <w:rPr>
          <w:rFonts w:hint="eastAsia"/>
          <w:rtl/>
        </w:rPr>
        <w:t>”</w:t>
      </w:r>
      <w:r w:rsidR="00EA1D02" w:rsidRPr="00EA1D02">
        <w:rPr>
          <w:rtl/>
        </w:rPr>
        <w:t>لا</w:t>
      </w:r>
      <w:r w:rsidR="004534DC">
        <w:rPr>
          <w:rtl/>
        </w:rPr>
        <w:t xml:space="preserve"> </w:t>
      </w:r>
      <w:r w:rsidR="00EA1D02" w:rsidRPr="00EA1D02">
        <w:rPr>
          <w:rtl/>
        </w:rPr>
        <w:t>تمييز</w:t>
      </w:r>
      <w:r w:rsidR="004534DC">
        <w:rPr>
          <w:rtl/>
        </w:rPr>
        <w:t xml:space="preserve"> </w:t>
      </w:r>
      <w:r w:rsidR="00EA1D02" w:rsidRPr="00EA1D02">
        <w:rPr>
          <w:rtl/>
        </w:rPr>
        <w:t>بينهم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ذلك</w:t>
      </w:r>
      <w:r w:rsidR="004534DC">
        <w:rPr>
          <w:rtl/>
        </w:rPr>
        <w:t xml:space="preserve"> </w:t>
      </w:r>
      <w:r w:rsidR="00EA1D02" w:rsidRPr="00EA1D02">
        <w:rPr>
          <w:rtl/>
        </w:rPr>
        <w:t>بسبب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الجنس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الأصل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اللغة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الدين</w:t>
      </w:r>
      <w:r w:rsidR="00952391">
        <w:rPr>
          <w:rFonts w:hint="eastAsia"/>
          <w:rtl/>
        </w:rPr>
        <w:t>“</w:t>
      </w:r>
      <w:r w:rsidR="004534DC">
        <w:rPr>
          <w:rtl/>
        </w:rPr>
        <w:t xml:space="preserve"> </w:t>
      </w:r>
      <w:r w:rsidR="00EA1D02" w:rsidRPr="00EA1D02">
        <w:rPr>
          <w:rtl/>
        </w:rPr>
        <w:t>وقد</w:t>
      </w:r>
      <w:r w:rsidR="004534DC">
        <w:rPr>
          <w:rtl/>
        </w:rPr>
        <w:t xml:space="preserve"> </w:t>
      </w:r>
      <w:r w:rsidR="00EA1D02" w:rsidRPr="00EA1D02">
        <w:rPr>
          <w:rtl/>
        </w:rPr>
        <w:t>آثرت</w:t>
      </w:r>
      <w:r w:rsidR="004534DC">
        <w:rPr>
          <w:rtl/>
        </w:rPr>
        <w:t xml:space="preserve"> </w:t>
      </w:r>
      <w:r w:rsidR="00EA1D02" w:rsidRPr="00EA1D02">
        <w:rPr>
          <w:rtl/>
        </w:rPr>
        <w:t>هذه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المادة</w:t>
      </w:r>
      <w:r w:rsidR="004534DC">
        <w:rPr>
          <w:rtl/>
        </w:rPr>
        <w:t xml:space="preserve"> </w:t>
      </w:r>
      <w:r w:rsidR="00EA1D02" w:rsidRPr="00EA1D02">
        <w:rPr>
          <w:rtl/>
        </w:rPr>
        <w:t>ألا</w:t>
      </w:r>
      <w:r w:rsidR="004534DC">
        <w:rPr>
          <w:rtl/>
        </w:rPr>
        <w:t xml:space="preserve"> </w:t>
      </w:r>
      <w:r w:rsidR="00EA1D02" w:rsidRPr="00EA1D02">
        <w:rPr>
          <w:rtl/>
        </w:rPr>
        <w:t>تضيف</w:t>
      </w:r>
      <w:r w:rsidR="004534DC">
        <w:rPr>
          <w:rtl/>
        </w:rPr>
        <w:t xml:space="preserve"> </w:t>
      </w:r>
      <w:r w:rsidR="00EA1D02" w:rsidRPr="00EA1D02">
        <w:rPr>
          <w:rtl/>
        </w:rPr>
        <w:t>إلى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ذلك</w:t>
      </w:r>
      <w:r w:rsidR="004534DC">
        <w:rPr>
          <w:rtl/>
        </w:rPr>
        <w:t xml:space="preserve"> </w:t>
      </w:r>
      <w:r w:rsidR="00EA1D02" w:rsidRPr="00EA1D02">
        <w:rPr>
          <w:rtl/>
        </w:rPr>
        <w:t>عبارة</w:t>
      </w:r>
      <w:r w:rsidR="004534DC">
        <w:rPr>
          <w:rFonts w:hint="cs"/>
          <w:rtl/>
        </w:rPr>
        <w:t xml:space="preserve"> </w:t>
      </w:r>
      <w:r w:rsidR="00952391">
        <w:rPr>
          <w:rFonts w:hint="eastAsia"/>
          <w:rtl/>
        </w:rPr>
        <w:t>”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اللون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الثروة</w:t>
      </w:r>
      <w:r w:rsidR="00952391">
        <w:rPr>
          <w:rFonts w:hint="eastAsia"/>
          <w:rtl/>
        </w:rPr>
        <w:t>“</w:t>
      </w:r>
      <w:r w:rsidR="00EA1D02" w:rsidRPr="00EA1D02">
        <w:rPr>
          <w:rtl/>
        </w:rPr>
        <w:t>،</w:t>
      </w:r>
      <w:r w:rsidR="004534DC">
        <w:rPr>
          <w:rtl/>
        </w:rPr>
        <w:t xml:space="preserve"> </w:t>
      </w:r>
      <w:r w:rsidR="00EA1D02" w:rsidRPr="00EA1D02">
        <w:rPr>
          <w:rtl/>
        </w:rPr>
        <w:t>برغم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ورود</w:t>
      </w:r>
      <w:r w:rsidR="004534DC">
        <w:rPr>
          <w:rtl/>
        </w:rPr>
        <w:t xml:space="preserve"> </w:t>
      </w:r>
      <w:r w:rsidR="00EA1D02" w:rsidRPr="00EA1D02">
        <w:rPr>
          <w:rtl/>
        </w:rPr>
        <w:t>مثل</w:t>
      </w:r>
      <w:r w:rsidR="004534DC">
        <w:rPr>
          <w:rtl/>
        </w:rPr>
        <w:t xml:space="preserve"> </w:t>
      </w:r>
      <w:r w:rsidR="00EA1D02" w:rsidRPr="00EA1D02">
        <w:rPr>
          <w:rtl/>
        </w:rPr>
        <w:t>هذه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العبارة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الإعلان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العالمي</w:t>
      </w:r>
      <w:r w:rsidR="004534DC">
        <w:rPr>
          <w:rtl/>
        </w:rPr>
        <w:t xml:space="preserve"> </w:t>
      </w:r>
      <w:r w:rsidR="00EA1D02" w:rsidRPr="00EA1D02">
        <w:rPr>
          <w:rtl/>
        </w:rPr>
        <w:t>لحقوق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الإنسان،</w:t>
      </w:r>
      <w:r w:rsidR="004534DC">
        <w:rPr>
          <w:rtl/>
        </w:rPr>
        <w:t xml:space="preserve"> </w:t>
      </w:r>
      <w:r w:rsidR="00EA1D02" w:rsidRPr="00EA1D02">
        <w:rPr>
          <w:rtl/>
        </w:rPr>
        <w:t>وذلك</w:t>
      </w:r>
      <w:r w:rsidR="004534DC">
        <w:rPr>
          <w:rtl/>
        </w:rPr>
        <w:t xml:space="preserve"> </w:t>
      </w:r>
      <w:r w:rsidR="00EA1D02" w:rsidRPr="00EA1D02">
        <w:rPr>
          <w:rtl/>
        </w:rPr>
        <w:t>لأن</w:t>
      </w:r>
      <w:r w:rsidR="004534DC">
        <w:rPr>
          <w:rtl/>
        </w:rPr>
        <w:t xml:space="preserve"> </w:t>
      </w:r>
      <w:r w:rsidR="00EA1D02" w:rsidRPr="00EA1D02">
        <w:rPr>
          <w:rtl/>
        </w:rPr>
        <w:t>شبهة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التفريق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العنصري</w:t>
      </w:r>
      <w:r w:rsidR="004534DC">
        <w:rPr>
          <w:rtl/>
        </w:rPr>
        <w:t xml:space="preserve"> </w:t>
      </w:r>
      <w:r w:rsidR="00EA1D02" w:rsidRPr="00EA1D02">
        <w:rPr>
          <w:rtl/>
        </w:rPr>
        <w:t>لا</w:t>
      </w:r>
      <w:r w:rsidR="004534DC">
        <w:rPr>
          <w:rtl/>
        </w:rPr>
        <w:t xml:space="preserve"> </w:t>
      </w:r>
      <w:r w:rsidR="00EA1D02" w:rsidRPr="00EA1D02">
        <w:rPr>
          <w:rtl/>
        </w:rPr>
        <w:t>وجود</w:t>
      </w:r>
      <w:r w:rsidR="004534DC">
        <w:rPr>
          <w:rtl/>
        </w:rPr>
        <w:t xml:space="preserve"> </w:t>
      </w:r>
      <w:r w:rsidR="00EA1D02" w:rsidRPr="00EA1D02">
        <w:rPr>
          <w:rtl/>
        </w:rPr>
        <w:t>لها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البلاد،</w:t>
      </w:r>
      <w:r w:rsidR="004534DC">
        <w:rPr>
          <w:rtl/>
        </w:rPr>
        <w:t xml:space="preserve"> </w:t>
      </w:r>
      <w:r w:rsidR="00EA1D02" w:rsidRPr="00EA1D02">
        <w:rPr>
          <w:rtl/>
        </w:rPr>
        <w:t>فضلاً</w:t>
      </w:r>
      <w:r w:rsidR="004534DC">
        <w:rPr>
          <w:rtl/>
        </w:rPr>
        <w:t xml:space="preserve"> </w:t>
      </w:r>
      <w:r w:rsidR="00EA1D02" w:rsidRPr="00EA1D02">
        <w:rPr>
          <w:rtl/>
        </w:rPr>
        <w:t>عن</w:t>
      </w:r>
      <w:r w:rsidR="004534DC">
        <w:rPr>
          <w:rtl/>
        </w:rPr>
        <w:t xml:space="preserve"> </w:t>
      </w:r>
      <w:r w:rsidR="00EA1D02" w:rsidRPr="00EA1D02">
        <w:rPr>
          <w:rtl/>
        </w:rPr>
        <w:t>كفاية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نص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المادة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دفع</w:t>
      </w:r>
      <w:r w:rsidR="004534DC">
        <w:rPr>
          <w:rtl/>
        </w:rPr>
        <w:t xml:space="preserve"> </w:t>
      </w:r>
      <w:r w:rsidR="00EA1D02" w:rsidRPr="00EA1D02">
        <w:rPr>
          <w:rtl/>
        </w:rPr>
        <w:t>هذه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الشبهة،</w:t>
      </w:r>
      <w:r w:rsidR="004534DC">
        <w:rPr>
          <w:rtl/>
        </w:rPr>
        <w:t xml:space="preserve"> </w:t>
      </w:r>
      <w:r w:rsidR="00EA1D02" w:rsidRPr="00EA1D02">
        <w:rPr>
          <w:rtl/>
        </w:rPr>
        <w:t>كما</w:t>
      </w:r>
      <w:r w:rsidR="004534DC">
        <w:rPr>
          <w:rtl/>
        </w:rPr>
        <w:t xml:space="preserve"> </w:t>
      </w:r>
      <w:r w:rsidR="00EA1D02" w:rsidRPr="00EA1D02">
        <w:rPr>
          <w:rtl/>
        </w:rPr>
        <w:t>أن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التفريق</w:t>
      </w:r>
      <w:r w:rsidR="004534DC">
        <w:rPr>
          <w:rtl/>
        </w:rPr>
        <w:t xml:space="preserve"> </w:t>
      </w:r>
      <w:r w:rsidR="00EA1D02" w:rsidRPr="00EA1D02">
        <w:rPr>
          <w:rtl/>
        </w:rPr>
        <w:t>بين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الناس</w:t>
      </w:r>
      <w:r w:rsidR="004534DC">
        <w:rPr>
          <w:rtl/>
        </w:rPr>
        <w:t xml:space="preserve"> </w:t>
      </w:r>
      <w:r w:rsidR="00EA1D02" w:rsidRPr="00EA1D02">
        <w:rPr>
          <w:rtl/>
        </w:rPr>
        <w:t>بسبب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الثروة،</w:t>
      </w:r>
      <w:r w:rsidR="004534DC">
        <w:rPr>
          <w:rtl/>
        </w:rPr>
        <w:t xml:space="preserve"> </w:t>
      </w:r>
      <w:r w:rsidR="00EA1D02" w:rsidRPr="00EA1D02">
        <w:rPr>
          <w:rtl/>
        </w:rPr>
        <w:t>أمر</w:t>
      </w:r>
      <w:r w:rsidR="004534DC">
        <w:rPr>
          <w:rtl/>
        </w:rPr>
        <w:t xml:space="preserve"> </w:t>
      </w:r>
      <w:r w:rsidR="00EA1D02" w:rsidRPr="00EA1D02">
        <w:rPr>
          <w:rtl/>
        </w:rPr>
        <w:t>منتف</w:t>
      </w:r>
      <w:r w:rsidR="004534DC">
        <w:rPr>
          <w:rtl/>
        </w:rPr>
        <w:t xml:space="preserve"> </w:t>
      </w:r>
      <w:r w:rsidR="00EA1D02" w:rsidRPr="00EA1D02">
        <w:rPr>
          <w:rtl/>
        </w:rPr>
        <w:t>بذاته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المجتمع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الكويتي،</w:t>
      </w:r>
      <w:r w:rsidR="004534DC">
        <w:rPr>
          <w:rtl/>
        </w:rPr>
        <w:t xml:space="preserve"> </w:t>
      </w:r>
      <w:r w:rsidR="00EA1D02" w:rsidRPr="00EA1D02">
        <w:rPr>
          <w:rtl/>
        </w:rPr>
        <w:t>فلا</w:t>
      </w:r>
      <w:r w:rsidR="004534DC">
        <w:rPr>
          <w:rtl/>
        </w:rPr>
        <w:t xml:space="preserve"> </w:t>
      </w:r>
      <w:r w:rsidR="00EA1D02" w:rsidRPr="00EA1D02">
        <w:rPr>
          <w:rtl/>
        </w:rPr>
        <w:t>حاجة</w:t>
      </w:r>
      <w:r w:rsidR="004534DC">
        <w:rPr>
          <w:rtl/>
        </w:rPr>
        <w:t xml:space="preserve"> </w:t>
      </w:r>
      <w:r w:rsidR="00EA1D02" w:rsidRPr="00EA1D02">
        <w:rPr>
          <w:rtl/>
        </w:rPr>
        <w:t>للنص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نفيه</w:t>
      </w:r>
      <w:r w:rsidR="004534DC">
        <w:rPr>
          <w:rtl/>
        </w:rPr>
        <w:t xml:space="preserve"> </w:t>
      </w:r>
      <w:r w:rsidR="00EA1D02" w:rsidRPr="00EA1D02">
        <w:rPr>
          <w:rtl/>
        </w:rPr>
        <w:t>بحكم</w:t>
      </w:r>
      <w:r w:rsidR="004534DC">
        <w:rPr>
          <w:rtl/>
        </w:rPr>
        <w:t xml:space="preserve"> </w:t>
      </w:r>
      <w:r w:rsidR="00EA1D02" w:rsidRPr="00EA1D02">
        <w:rPr>
          <w:rtl/>
        </w:rPr>
        <w:t>خاص.</w:t>
      </w:r>
      <w:r w:rsidR="004534DC">
        <w:rPr>
          <w:rtl/>
        </w:rPr>
        <w:t xml:space="preserve"> </w:t>
      </w:r>
    </w:p>
    <w:p w14:paraId="2EDFC90C" w14:textId="1ED2E4DA" w:rsidR="00EA1D02" w:rsidRPr="00EA1D02" w:rsidRDefault="00C23FC7" w:rsidP="00EA1D02">
      <w:pPr>
        <w:pStyle w:val="SingleTxt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وتعزيزاً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المشرع</w:t>
      </w:r>
      <w:r w:rsidR="004534DC">
        <w:rPr>
          <w:rtl/>
        </w:rPr>
        <w:t xml:space="preserve"> </w:t>
      </w:r>
      <w:r w:rsidR="00EA1D02" w:rsidRPr="00EA1D02">
        <w:rPr>
          <w:rtl/>
        </w:rPr>
        <w:t>للمساواة</w:t>
      </w:r>
      <w:r w:rsidR="004534DC">
        <w:rPr>
          <w:rtl/>
        </w:rPr>
        <w:t xml:space="preserve"> </w:t>
      </w:r>
      <w:r w:rsidR="00EA1D02" w:rsidRPr="00EA1D02">
        <w:rPr>
          <w:rtl/>
        </w:rPr>
        <w:t>بين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الرجل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والمرأة،</w:t>
      </w:r>
      <w:r w:rsidR="004534DC">
        <w:rPr>
          <w:rtl/>
        </w:rPr>
        <w:t xml:space="preserve"> </w:t>
      </w:r>
      <w:r w:rsidR="00EA1D02" w:rsidRPr="00EA1D02">
        <w:rPr>
          <w:rtl/>
        </w:rPr>
        <w:t>فقد</w:t>
      </w:r>
      <w:r w:rsidR="004534DC">
        <w:rPr>
          <w:rtl/>
        </w:rPr>
        <w:t xml:space="preserve"> </w:t>
      </w:r>
      <w:r w:rsidR="00EA1D02" w:rsidRPr="00EA1D02">
        <w:rPr>
          <w:rtl/>
        </w:rPr>
        <w:t>استخدم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المشرع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الدستوري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الكويتي</w:t>
      </w:r>
      <w:r w:rsidR="004534DC">
        <w:rPr>
          <w:rtl/>
        </w:rPr>
        <w:t xml:space="preserve"> </w:t>
      </w:r>
      <w:r w:rsidR="00EA1D02" w:rsidRPr="00EA1D02">
        <w:rPr>
          <w:rtl/>
        </w:rPr>
        <w:t>صيغة</w:t>
      </w:r>
      <w:r w:rsidR="004534DC">
        <w:rPr>
          <w:rtl/>
        </w:rPr>
        <w:t xml:space="preserve"> </w:t>
      </w:r>
      <w:r w:rsidR="00EA1D02" w:rsidRPr="00EA1D02">
        <w:rPr>
          <w:rtl/>
        </w:rPr>
        <w:t>عامة</w:t>
      </w:r>
      <w:r w:rsidR="004534DC">
        <w:rPr>
          <w:rtl/>
        </w:rPr>
        <w:t xml:space="preserve"> </w:t>
      </w:r>
      <w:r w:rsidR="00EA1D02" w:rsidRPr="00EA1D02">
        <w:rPr>
          <w:rtl/>
        </w:rPr>
        <w:t>للمكلفين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بأحكامه</w:t>
      </w:r>
      <w:r w:rsidR="004534DC">
        <w:rPr>
          <w:rtl/>
        </w:rPr>
        <w:t xml:space="preserve"> </w:t>
      </w:r>
      <w:r w:rsidR="00EA1D02" w:rsidRPr="00EA1D02">
        <w:rPr>
          <w:rtl/>
        </w:rPr>
        <w:t>دون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أدنى</w:t>
      </w:r>
      <w:r w:rsidR="004534DC">
        <w:rPr>
          <w:rtl/>
        </w:rPr>
        <w:t xml:space="preserve"> </w:t>
      </w:r>
      <w:r w:rsidR="00EA1D02" w:rsidRPr="00EA1D02">
        <w:rPr>
          <w:rtl/>
        </w:rPr>
        <w:t>تفرقة</w:t>
      </w:r>
      <w:r w:rsidR="004534DC">
        <w:rPr>
          <w:rtl/>
        </w:rPr>
        <w:t xml:space="preserve"> </w:t>
      </w:r>
      <w:r w:rsidR="00EA1D02" w:rsidRPr="00EA1D02">
        <w:rPr>
          <w:rtl/>
        </w:rPr>
        <w:t>بين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الأجناس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الألوان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الأديان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حتى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اللغات.</w:t>
      </w:r>
      <w:r w:rsidR="004534DC">
        <w:rPr>
          <w:rtl/>
        </w:rPr>
        <w:t xml:space="preserve"> </w:t>
      </w:r>
    </w:p>
    <w:p w14:paraId="5A309ADD" w14:textId="15C28330" w:rsidR="00EA1D02" w:rsidRPr="00EA1D02" w:rsidRDefault="00C23FC7" w:rsidP="00EA1D02">
      <w:pPr>
        <w:pStyle w:val="SingleTxt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وفي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سياق</w:t>
      </w:r>
      <w:r w:rsidR="004534DC">
        <w:rPr>
          <w:rtl/>
        </w:rPr>
        <w:t xml:space="preserve"> </w:t>
      </w:r>
      <w:r w:rsidR="00EA1D02" w:rsidRPr="00EA1D02">
        <w:rPr>
          <w:rtl/>
        </w:rPr>
        <w:t>متصل</w:t>
      </w:r>
      <w:r w:rsidR="004534DC">
        <w:rPr>
          <w:rtl/>
        </w:rPr>
        <w:t xml:space="preserve"> </w:t>
      </w:r>
      <w:r w:rsidR="00EA1D02" w:rsidRPr="00EA1D02">
        <w:rPr>
          <w:rtl/>
        </w:rPr>
        <w:t>وتأكيداً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مبدأ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المساواة</w:t>
      </w:r>
      <w:r w:rsidR="004534DC">
        <w:rPr>
          <w:rtl/>
        </w:rPr>
        <w:t xml:space="preserve"> </w:t>
      </w:r>
      <w:r w:rsidR="00EA1D02" w:rsidRPr="00EA1D02">
        <w:rPr>
          <w:rtl/>
        </w:rPr>
        <w:t>فقد</w:t>
      </w:r>
      <w:r w:rsidR="004534DC">
        <w:rPr>
          <w:rtl/>
        </w:rPr>
        <w:t xml:space="preserve"> </w:t>
      </w:r>
      <w:r w:rsidR="00EA1D02" w:rsidRPr="00EA1D02">
        <w:rPr>
          <w:rtl/>
        </w:rPr>
        <w:t>ساوى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الدستور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الكويتي</w:t>
      </w:r>
      <w:r w:rsidR="004534DC">
        <w:rPr>
          <w:rtl/>
        </w:rPr>
        <w:t xml:space="preserve"> </w:t>
      </w:r>
      <w:r w:rsidR="00EA1D02" w:rsidRPr="00EA1D02">
        <w:rPr>
          <w:rtl/>
        </w:rPr>
        <w:t>بين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جميع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المواطنين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أمام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الحقوق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والواجبات،</w:t>
      </w:r>
      <w:r w:rsidR="004534DC">
        <w:rPr>
          <w:rtl/>
        </w:rPr>
        <w:t xml:space="preserve"> </w:t>
      </w:r>
      <w:r w:rsidR="00EA1D02" w:rsidRPr="00EA1D02">
        <w:rPr>
          <w:rtl/>
        </w:rPr>
        <w:t>لذلك</w:t>
      </w:r>
      <w:r w:rsidR="004534DC">
        <w:rPr>
          <w:rtl/>
        </w:rPr>
        <w:t xml:space="preserve"> </w:t>
      </w:r>
      <w:r w:rsidR="00EA1D02" w:rsidRPr="00EA1D02">
        <w:rPr>
          <w:rtl/>
        </w:rPr>
        <w:t>جاءت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القوانين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ملتزمة</w:t>
      </w:r>
      <w:r w:rsidR="004534DC">
        <w:rPr>
          <w:rtl/>
        </w:rPr>
        <w:t xml:space="preserve"> </w:t>
      </w:r>
      <w:r w:rsidR="00EA1D02" w:rsidRPr="00EA1D02">
        <w:rPr>
          <w:rtl/>
        </w:rPr>
        <w:t>بتلك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المبادئ</w:t>
      </w:r>
      <w:r w:rsidR="004534DC">
        <w:rPr>
          <w:rtl/>
        </w:rPr>
        <w:t xml:space="preserve"> </w:t>
      </w:r>
      <w:r w:rsidR="00EA1D02" w:rsidRPr="00EA1D02">
        <w:rPr>
          <w:rtl/>
        </w:rPr>
        <w:t>فعلى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سبيل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المثال</w:t>
      </w:r>
      <w:r w:rsidR="004534DC">
        <w:rPr>
          <w:rtl/>
        </w:rPr>
        <w:t xml:space="preserve"> </w:t>
      </w:r>
      <w:r w:rsidR="00EA1D02" w:rsidRPr="00EA1D02">
        <w:rPr>
          <w:rtl/>
        </w:rPr>
        <w:t>أكد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رقم</w:t>
      </w:r>
      <w:r w:rsidR="004534DC">
        <w:rPr>
          <w:rtl/>
        </w:rPr>
        <w:t xml:space="preserve"> </w:t>
      </w:r>
      <w:r w:rsidR="00EA1D02" w:rsidRPr="00EA1D02">
        <w:rPr>
          <w:rtl/>
        </w:rPr>
        <w:t>(16)</w:t>
      </w:r>
      <w:r w:rsidR="004534DC">
        <w:rPr>
          <w:rtl/>
        </w:rPr>
        <w:t xml:space="preserve"> </w:t>
      </w:r>
      <w:r w:rsidR="00EA1D02" w:rsidRPr="00EA1D02">
        <w:rPr>
          <w:rtl/>
        </w:rPr>
        <w:t>لسنة</w:t>
      </w:r>
      <w:r w:rsidR="004534DC">
        <w:rPr>
          <w:rtl/>
        </w:rPr>
        <w:t xml:space="preserve"> </w:t>
      </w:r>
      <w:r w:rsidR="00EA1D02" w:rsidRPr="00EA1D02">
        <w:rPr>
          <w:rtl/>
        </w:rPr>
        <w:t>1960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الخاص</w:t>
      </w:r>
      <w:r w:rsidR="004534DC">
        <w:rPr>
          <w:rtl/>
        </w:rPr>
        <w:t xml:space="preserve"> </w:t>
      </w:r>
      <w:r w:rsidR="00C13813" w:rsidRPr="00EA1D02">
        <w:rPr>
          <w:rFonts w:hint="cs"/>
          <w:rtl/>
        </w:rPr>
        <w:t>بإصدار</w:t>
      </w:r>
      <w:r w:rsidR="004534DC">
        <w:rPr>
          <w:rtl/>
        </w:rPr>
        <w:t xml:space="preserve"> </w:t>
      </w:r>
      <w:r w:rsidR="00EA1D02" w:rsidRPr="00EA1D02">
        <w:rPr>
          <w:rtl/>
        </w:rPr>
        <w:t>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الجزاء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مبدأ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المساواة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تطبيق</w:t>
      </w:r>
      <w:r w:rsidR="004534DC">
        <w:rPr>
          <w:rtl/>
        </w:rPr>
        <w:t xml:space="preserve"> </w:t>
      </w:r>
      <w:r w:rsidR="00EA1D02" w:rsidRPr="00EA1D02">
        <w:rPr>
          <w:rtl/>
        </w:rPr>
        <w:t>أحكامه</w:t>
      </w:r>
      <w:r w:rsidR="004534DC">
        <w:rPr>
          <w:rtl/>
        </w:rPr>
        <w:t xml:space="preserve"> </w:t>
      </w:r>
      <w:r w:rsidR="00EA1D02" w:rsidRPr="00EA1D02">
        <w:rPr>
          <w:rtl/>
        </w:rPr>
        <w:t>حيث</w:t>
      </w:r>
      <w:r w:rsidR="004534DC">
        <w:rPr>
          <w:rtl/>
        </w:rPr>
        <w:t xml:space="preserve"> </w:t>
      </w:r>
      <w:r w:rsidR="00EA1D02" w:rsidRPr="00EA1D02">
        <w:rPr>
          <w:rtl/>
        </w:rPr>
        <w:t>نصت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المادة</w:t>
      </w:r>
      <w:r w:rsidR="004534DC">
        <w:rPr>
          <w:rtl/>
        </w:rPr>
        <w:t xml:space="preserve"> </w:t>
      </w:r>
      <w:r w:rsidR="00EA1D02" w:rsidRPr="00EA1D02">
        <w:rPr>
          <w:rtl/>
        </w:rPr>
        <w:t>(11)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سريان</w:t>
      </w:r>
      <w:r w:rsidR="004534DC">
        <w:rPr>
          <w:rtl/>
        </w:rPr>
        <w:t xml:space="preserve"> </w:t>
      </w:r>
      <w:r w:rsidR="00EA1D02" w:rsidRPr="00EA1D02">
        <w:rPr>
          <w:rtl/>
        </w:rPr>
        <w:t>أحكامه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كل</w:t>
      </w:r>
      <w:r w:rsidR="004534DC">
        <w:rPr>
          <w:rtl/>
        </w:rPr>
        <w:t xml:space="preserve"> </w:t>
      </w:r>
      <w:r w:rsidR="00EA1D02" w:rsidRPr="00EA1D02">
        <w:rPr>
          <w:rtl/>
        </w:rPr>
        <w:t>شخص</w:t>
      </w:r>
      <w:r w:rsidR="004534DC">
        <w:rPr>
          <w:rtl/>
        </w:rPr>
        <w:t xml:space="preserve"> </w:t>
      </w:r>
      <w:r w:rsidR="00EA1D02" w:rsidRPr="00EA1D02">
        <w:rPr>
          <w:rtl/>
        </w:rPr>
        <w:t>يرتكب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إقليم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</w:t>
      </w:r>
      <w:r w:rsidR="004534DC">
        <w:rPr>
          <w:rtl/>
        </w:rPr>
        <w:t xml:space="preserve"> </w:t>
      </w:r>
      <w:r w:rsidR="00EA1D02" w:rsidRPr="00EA1D02">
        <w:rPr>
          <w:rtl/>
        </w:rPr>
        <w:t>جريمة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الجرائم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المنصوص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عليها</w:t>
      </w:r>
      <w:r w:rsidR="004534DC">
        <w:rPr>
          <w:rtl/>
        </w:rPr>
        <w:t xml:space="preserve"> </w:t>
      </w:r>
      <w:r w:rsidR="00EA1D02" w:rsidRPr="00EA1D02">
        <w:rPr>
          <w:rtl/>
        </w:rPr>
        <w:t>فيه،</w:t>
      </w:r>
      <w:r w:rsidR="004534DC">
        <w:rPr>
          <w:rtl/>
        </w:rPr>
        <w:t xml:space="preserve"> </w:t>
      </w:r>
      <w:r w:rsidR="00EA1D02" w:rsidRPr="00EA1D02">
        <w:rPr>
          <w:rtl/>
        </w:rPr>
        <w:t>كما</w:t>
      </w:r>
      <w:r w:rsidR="004534DC">
        <w:rPr>
          <w:rtl/>
        </w:rPr>
        <w:t xml:space="preserve"> </w:t>
      </w:r>
      <w:r w:rsidR="00EA1D02" w:rsidRPr="00EA1D02">
        <w:rPr>
          <w:rtl/>
        </w:rPr>
        <w:t>يطبق</w:t>
      </w:r>
      <w:r w:rsidR="004534DC">
        <w:rPr>
          <w:rtl/>
        </w:rPr>
        <w:t xml:space="preserve"> </w:t>
      </w:r>
      <w:r w:rsidR="00EA1D02" w:rsidRPr="00EA1D02">
        <w:rPr>
          <w:rtl/>
        </w:rPr>
        <w:t>مبدأ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المساواة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تقلد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الوظائف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العامة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والعمل</w:t>
      </w:r>
      <w:r w:rsidR="004534DC">
        <w:rPr>
          <w:rtl/>
        </w:rPr>
        <w:t xml:space="preserve"> </w:t>
      </w:r>
      <w:r w:rsidR="00EA1D02" w:rsidRPr="00EA1D02">
        <w:rPr>
          <w:rtl/>
        </w:rPr>
        <w:t>وحرية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اختياره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والحق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التعليم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والرعاية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الصحية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والانتقال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والإقامة</w:t>
      </w:r>
      <w:r w:rsidR="004534DC">
        <w:rPr>
          <w:rtl/>
        </w:rPr>
        <w:t xml:space="preserve"> </w:t>
      </w:r>
      <w:r w:rsidR="00EA1D02" w:rsidRPr="00EA1D02">
        <w:rPr>
          <w:rtl/>
        </w:rPr>
        <w:t>واختيار</w:t>
      </w:r>
      <w:r w:rsidR="004534DC">
        <w:rPr>
          <w:rtl/>
        </w:rPr>
        <w:t xml:space="preserve"> </w:t>
      </w:r>
      <w:r w:rsidR="00EA1D02" w:rsidRPr="00EA1D02">
        <w:rPr>
          <w:rtl/>
        </w:rPr>
        <w:t>مكان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السكن</w:t>
      </w:r>
      <w:r w:rsidR="004534DC">
        <w:rPr>
          <w:rtl/>
        </w:rPr>
        <w:t xml:space="preserve"> </w:t>
      </w:r>
      <w:r w:rsidR="00EA1D02" w:rsidRPr="00EA1D02">
        <w:rPr>
          <w:rtl/>
        </w:rPr>
        <w:t>وغيرها،</w:t>
      </w:r>
      <w:r w:rsidR="004534DC">
        <w:rPr>
          <w:rtl/>
        </w:rPr>
        <w:t xml:space="preserve"> </w:t>
      </w:r>
      <w:r w:rsidR="00EA1D02" w:rsidRPr="00EA1D02">
        <w:rPr>
          <w:rtl/>
        </w:rPr>
        <w:t>كذلك</w:t>
      </w:r>
      <w:r w:rsidR="004534DC">
        <w:rPr>
          <w:rtl/>
        </w:rPr>
        <w:t xml:space="preserve"> </w:t>
      </w:r>
      <w:r w:rsidR="00EA1D02" w:rsidRPr="00EA1D02">
        <w:rPr>
          <w:rtl/>
        </w:rPr>
        <w:t>حظرت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المادة</w:t>
      </w:r>
      <w:r w:rsidR="004534DC">
        <w:rPr>
          <w:rtl/>
        </w:rPr>
        <w:t xml:space="preserve"> </w:t>
      </w:r>
      <w:r w:rsidR="00EA1D02" w:rsidRPr="00EA1D02">
        <w:rPr>
          <w:rtl/>
        </w:rPr>
        <w:t>(31)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الدستور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القبض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إنسان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حبسه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تفتيشه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تحديد</w:t>
      </w:r>
      <w:r w:rsidR="004534DC">
        <w:rPr>
          <w:rtl/>
        </w:rPr>
        <w:t xml:space="preserve"> </w:t>
      </w:r>
      <w:r w:rsidR="00EA1D02" w:rsidRPr="00EA1D02">
        <w:rPr>
          <w:rtl/>
        </w:rPr>
        <w:t>إقامته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تقييد</w:t>
      </w:r>
      <w:r w:rsidR="004534DC">
        <w:rPr>
          <w:rtl/>
        </w:rPr>
        <w:t xml:space="preserve"> </w:t>
      </w:r>
      <w:r w:rsidR="00EA1D02" w:rsidRPr="00EA1D02">
        <w:rPr>
          <w:rtl/>
        </w:rPr>
        <w:t>حريته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الإقامة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التنقل</w:t>
      </w:r>
      <w:r w:rsidR="004534DC">
        <w:rPr>
          <w:rtl/>
        </w:rPr>
        <w:t xml:space="preserve"> </w:t>
      </w:r>
      <w:r w:rsidR="00EA1D02" w:rsidRPr="00EA1D02">
        <w:rPr>
          <w:rtl/>
        </w:rPr>
        <w:t>إلا</w:t>
      </w:r>
      <w:r w:rsidR="004534DC">
        <w:rPr>
          <w:rtl/>
        </w:rPr>
        <w:t xml:space="preserve"> </w:t>
      </w:r>
      <w:r w:rsidR="00EA1D02" w:rsidRPr="00EA1D02">
        <w:rPr>
          <w:rtl/>
        </w:rPr>
        <w:t>وفق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القانون.</w:t>
      </w:r>
      <w:r w:rsidR="004534DC">
        <w:rPr>
          <w:rtl/>
        </w:rPr>
        <w:t xml:space="preserve"> </w:t>
      </w:r>
    </w:p>
    <w:p w14:paraId="15B1F165" w14:textId="3827753F" w:rsidR="00EA1D02" w:rsidRPr="00EA1D02" w:rsidRDefault="00C23FC7" w:rsidP="00EA1D02">
      <w:pPr>
        <w:pStyle w:val="SingleTxt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أما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بالنسبة</w:t>
      </w:r>
      <w:r w:rsidR="004534DC">
        <w:rPr>
          <w:rtl/>
        </w:rPr>
        <w:t xml:space="preserve"> </w:t>
      </w:r>
      <w:r w:rsidR="00EA1D02" w:rsidRPr="00EA1D02">
        <w:rPr>
          <w:rtl/>
        </w:rPr>
        <w:t>للتأكيد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تمتع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المرأة</w:t>
      </w:r>
      <w:r w:rsidR="004534DC">
        <w:rPr>
          <w:rtl/>
        </w:rPr>
        <w:t xml:space="preserve"> </w:t>
      </w:r>
      <w:r w:rsidR="00EA1D02" w:rsidRPr="00EA1D02">
        <w:rPr>
          <w:rtl/>
        </w:rPr>
        <w:t>بأهلية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قانونية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مماثلة</w:t>
      </w:r>
      <w:r w:rsidR="004534DC">
        <w:rPr>
          <w:rtl/>
        </w:rPr>
        <w:t xml:space="preserve"> </w:t>
      </w:r>
      <w:r w:rsidR="00EA1D02" w:rsidRPr="00EA1D02">
        <w:rPr>
          <w:rtl/>
        </w:rPr>
        <w:t>لأهلية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الرجل</w:t>
      </w:r>
      <w:r w:rsidR="004534DC">
        <w:rPr>
          <w:rtl/>
        </w:rPr>
        <w:t xml:space="preserve"> </w:t>
      </w:r>
      <w:r w:rsidR="00EA1D02" w:rsidRPr="00EA1D02">
        <w:rPr>
          <w:rtl/>
        </w:rPr>
        <w:t>فإن</w:t>
      </w:r>
      <w:r w:rsidR="004534DC">
        <w:rPr>
          <w:rtl/>
        </w:rPr>
        <w:t xml:space="preserve"> </w:t>
      </w:r>
      <w:r w:rsidR="00EA1D02" w:rsidRPr="00EA1D02">
        <w:rPr>
          <w:rtl/>
        </w:rPr>
        <w:t>أحكام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المدني</w:t>
      </w:r>
      <w:r w:rsidR="004534DC">
        <w:rPr>
          <w:rtl/>
        </w:rPr>
        <w:t xml:space="preserve"> </w:t>
      </w:r>
      <w:r w:rsidR="00EA1D02" w:rsidRPr="00EA1D02">
        <w:rPr>
          <w:rtl/>
        </w:rPr>
        <w:t>جاءت</w:t>
      </w:r>
      <w:r w:rsidR="004534DC">
        <w:rPr>
          <w:rtl/>
        </w:rPr>
        <w:t xml:space="preserve"> </w:t>
      </w:r>
      <w:r w:rsidR="00EA1D02" w:rsidRPr="00EA1D02">
        <w:rPr>
          <w:rtl/>
        </w:rPr>
        <w:t>متفقة</w:t>
      </w:r>
      <w:r w:rsidR="004534DC">
        <w:rPr>
          <w:rtl/>
        </w:rPr>
        <w:t xml:space="preserve"> </w:t>
      </w:r>
      <w:r w:rsidR="00EA1D02" w:rsidRPr="00EA1D02">
        <w:rPr>
          <w:rtl/>
        </w:rPr>
        <w:t>مع</w:t>
      </w:r>
      <w:r w:rsidR="004534DC">
        <w:rPr>
          <w:rtl/>
        </w:rPr>
        <w:t xml:space="preserve"> </w:t>
      </w:r>
      <w:r w:rsidR="00EA1D02" w:rsidRPr="00EA1D02">
        <w:rPr>
          <w:rtl/>
        </w:rPr>
        <w:t>تلك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المبادئ</w:t>
      </w:r>
      <w:r w:rsidR="004534DC">
        <w:rPr>
          <w:rtl/>
        </w:rPr>
        <w:t xml:space="preserve"> </w:t>
      </w:r>
      <w:r w:rsidR="00EA1D02" w:rsidRPr="00EA1D02">
        <w:rPr>
          <w:rtl/>
        </w:rPr>
        <w:t>ومقررة</w:t>
      </w:r>
      <w:r w:rsidR="004534DC">
        <w:rPr>
          <w:rtl/>
        </w:rPr>
        <w:t xml:space="preserve"> </w:t>
      </w:r>
      <w:r w:rsidR="00EA1D02" w:rsidRPr="00EA1D02">
        <w:rPr>
          <w:rtl/>
        </w:rPr>
        <w:t>أن</w:t>
      </w:r>
      <w:r w:rsidR="004534DC">
        <w:rPr>
          <w:rtl/>
        </w:rPr>
        <w:t xml:space="preserve"> </w:t>
      </w:r>
      <w:r w:rsidR="00EA1D02" w:rsidRPr="00EA1D02">
        <w:rPr>
          <w:rtl/>
        </w:rPr>
        <w:t>شخصية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الإنسان</w:t>
      </w:r>
      <w:r w:rsidR="004534DC">
        <w:rPr>
          <w:rtl/>
        </w:rPr>
        <w:t xml:space="preserve"> </w:t>
      </w:r>
      <w:r w:rsidR="00EA1D02" w:rsidRPr="00EA1D02">
        <w:rPr>
          <w:rtl/>
        </w:rPr>
        <w:t>تبدأ</w:t>
      </w:r>
      <w:r w:rsidR="004534DC">
        <w:rPr>
          <w:rtl/>
        </w:rPr>
        <w:t xml:space="preserve"> </w:t>
      </w:r>
      <w:r w:rsidR="00EA1D02" w:rsidRPr="00EA1D02">
        <w:rPr>
          <w:rtl/>
        </w:rPr>
        <w:t>بتمام</w:t>
      </w:r>
      <w:r w:rsidR="004534DC">
        <w:rPr>
          <w:rtl/>
        </w:rPr>
        <w:t xml:space="preserve"> </w:t>
      </w:r>
      <w:r w:rsidR="00EA1D02" w:rsidRPr="00EA1D02">
        <w:rPr>
          <w:rtl/>
        </w:rPr>
        <w:t>ولادته</w:t>
      </w:r>
      <w:r w:rsidR="004534DC">
        <w:rPr>
          <w:rtl/>
        </w:rPr>
        <w:t xml:space="preserve"> </w:t>
      </w:r>
      <w:r w:rsidR="00EA1D02" w:rsidRPr="00EA1D02">
        <w:rPr>
          <w:rtl/>
        </w:rPr>
        <w:t>حياً</w:t>
      </w:r>
      <w:r w:rsidR="004534DC">
        <w:rPr>
          <w:rtl/>
        </w:rPr>
        <w:t xml:space="preserve"> </w:t>
      </w:r>
      <w:r w:rsidR="00EA1D02" w:rsidRPr="00EA1D02">
        <w:rPr>
          <w:rtl/>
        </w:rPr>
        <w:t>وتنتهي</w:t>
      </w:r>
      <w:r w:rsidR="004534DC">
        <w:rPr>
          <w:rtl/>
        </w:rPr>
        <w:t xml:space="preserve"> </w:t>
      </w:r>
      <w:r w:rsidR="00EA1D02" w:rsidRPr="00EA1D02">
        <w:rPr>
          <w:rtl/>
        </w:rPr>
        <w:t>بوفاته</w:t>
      </w:r>
      <w:r w:rsidR="004534DC">
        <w:rPr>
          <w:rtl/>
        </w:rPr>
        <w:t xml:space="preserve"> </w:t>
      </w:r>
      <w:r w:rsidR="00EA1D02" w:rsidRPr="00EA1D02">
        <w:rPr>
          <w:rtl/>
        </w:rPr>
        <w:t>(المادة</w:t>
      </w:r>
      <w:r w:rsidR="004534DC">
        <w:rPr>
          <w:rFonts w:hint="cs"/>
          <w:rtl/>
        </w:rPr>
        <w:t xml:space="preserve"> </w:t>
      </w:r>
      <w:r w:rsidR="00EA1D02" w:rsidRPr="00EA1D02">
        <w:rPr>
          <w:rtl/>
        </w:rPr>
        <w:t>9</w:t>
      </w:r>
      <w:r w:rsidR="004534DC">
        <w:rPr>
          <w:rFonts w:hint="cs"/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رقم</w:t>
      </w:r>
      <w:r w:rsidR="004534DC">
        <w:rPr>
          <w:rtl/>
        </w:rPr>
        <w:t xml:space="preserve"> </w:t>
      </w:r>
      <w:r w:rsidR="00EA1D02" w:rsidRPr="00EA1D02">
        <w:rPr>
          <w:rtl/>
        </w:rPr>
        <w:t>67</w:t>
      </w:r>
      <w:r w:rsidR="004534DC">
        <w:rPr>
          <w:rtl/>
        </w:rPr>
        <w:t xml:space="preserve"> </w:t>
      </w:r>
      <w:r w:rsidR="00EA1D02" w:rsidRPr="00EA1D02">
        <w:rPr>
          <w:rtl/>
        </w:rPr>
        <w:t>لسنة</w:t>
      </w:r>
      <w:r w:rsidR="004534DC">
        <w:rPr>
          <w:rtl/>
        </w:rPr>
        <w:t xml:space="preserve"> </w:t>
      </w:r>
      <w:r w:rsidR="00EA1D02" w:rsidRPr="00EA1D02">
        <w:rPr>
          <w:rtl/>
        </w:rPr>
        <w:t>1980</w:t>
      </w:r>
      <w:r w:rsidR="004534DC">
        <w:rPr>
          <w:rtl/>
        </w:rPr>
        <w:t xml:space="preserve"> </w:t>
      </w:r>
      <w:r w:rsidR="002F3A8D" w:rsidRPr="00EA1D02">
        <w:rPr>
          <w:rFonts w:hint="cs"/>
          <w:rtl/>
        </w:rPr>
        <w:t>بإصدار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المدني)</w:t>
      </w:r>
      <w:r w:rsidR="004534DC">
        <w:rPr>
          <w:rtl/>
        </w:rPr>
        <w:t xml:space="preserve"> </w:t>
      </w:r>
      <w:r w:rsidR="00EA1D02" w:rsidRPr="00EA1D02">
        <w:rPr>
          <w:rtl/>
        </w:rPr>
        <w:t>ونص</w:t>
      </w:r>
      <w:r w:rsidR="004534DC">
        <w:rPr>
          <w:rtl/>
        </w:rPr>
        <w:t xml:space="preserve"> </w:t>
      </w:r>
      <w:r w:rsidR="00EA1D02" w:rsidRPr="00EA1D02">
        <w:rPr>
          <w:rtl/>
        </w:rPr>
        <w:t>أيضاً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مادته</w:t>
      </w:r>
      <w:r w:rsidR="004534DC">
        <w:rPr>
          <w:rtl/>
        </w:rPr>
        <w:t xml:space="preserve"> </w:t>
      </w:r>
      <w:r w:rsidR="00EA1D02" w:rsidRPr="00EA1D02">
        <w:rPr>
          <w:rtl/>
        </w:rPr>
        <w:t>رقم</w:t>
      </w:r>
      <w:r w:rsidR="004534DC">
        <w:rPr>
          <w:rtl/>
        </w:rPr>
        <w:t xml:space="preserve"> </w:t>
      </w:r>
      <w:r w:rsidR="00EA1D02" w:rsidRPr="00EA1D02">
        <w:rPr>
          <w:rtl/>
        </w:rPr>
        <w:t>(84)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أن</w:t>
      </w:r>
      <w:r w:rsidR="004534DC">
        <w:rPr>
          <w:rtl/>
        </w:rPr>
        <w:t xml:space="preserve"> </w:t>
      </w:r>
      <w:r w:rsidR="00EA1D02" w:rsidRPr="00EA1D02">
        <w:rPr>
          <w:rtl/>
        </w:rPr>
        <w:t>كل</w:t>
      </w:r>
      <w:r w:rsidR="004534DC">
        <w:rPr>
          <w:rtl/>
        </w:rPr>
        <w:t xml:space="preserve"> </w:t>
      </w:r>
      <w:r w:rsidR="00EA1D02" w:rsidRPr="00EA1D02">
        <w:rPr>
          <w:rtl/>
        </w:rPr>
        <w:t>شخص</w:t>
      </w:r>
      <w:r w:rsidR="004534DC">
        <w:rPr>
          <w:rtl/>
        </w:rPr>
        <w:t xml:space="preserve"> </w:t>
      </w:r>
      <w:r w:rsidR="00EA1D02" w:rsidRPr="00EA1D02">
        <w:rPr>
          <w:rtl/>
        </w:rPr>
        <w:t>أهل</w:t>
      </w:r>
      <w:r w:rsidR="004534DC">
        <w:rPr>
          <w:rtl/>
        </w:rPr>
        <w:t xml:space="preserve"> </w:t>
      </w:r>
      <w:r w:rsidR="00EA1D02" w:rsidRPr="00EA1D02">
        <w:rPr>
          <w:rtl/>
        </w:rPr>
        <w:t>للتعاقد</w:t>
      </w:r>
      <w:r w:rsidR="004534DC">
        <w:rPr>
          <w:rtl/>
        </w:rPr>
        <w:t xml:space="preserve"> </w:t>
      </w:r>
      <w:r w:rsidR="00EA1D02" w:rsidRPr="00EA1D02">
        <w:rPr>
          <w:rtl/>
        </w:rPr>
        <w:t>ما</w:t>
      </w:r>
      <w:r w:rsidR="004534DC">
        <w:rPr>
          <w:rtl/>
        </w:rPr>
        <w:t xml:space="preserve"> </w:t>
      </w:r>
      <w:r w:rsidR="00EA1D02" w:rsidRPr="00EA1D02">
        <w:rPr>
          <w:rtl/>
        </w:rPr>
        <w:t>لم</w:t>
      </w:r>
      <w:r w:rsidR="004534DC">
        <w:rPr>
          <w:rtl/>
        </w:rPr>
        <w:t xml:space="preserve"> </w:t>
      </w:r>
      <w:r w:rsidR="00EA1D02" w:rsidRPr="00EA1D02">
        <w:rPr>
          <w:rtl/>
        </w:rPr>
        <w:t>يقرر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عدم</w:t>
      </w:r>
      <w:r w:rsidR="004534DC">
        <w:rPr>
          <w:rtl/>
        </w:rPr>
        <w:t xml:space="preserve"> </w:t>
      </w:r>
      <w:r w:rsidR="00EA1D02" w:rsidRPr="00EA1D02">
        <w:rPr>
          <w:rtl/>
        </w:rPr>
        <w:t>أهليته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ينتقص</w:t>
      </w:r>
      <w:r w:rsidR="004534DC">
        <w:rPr>
          <w:rtl/>
        </w:rPr>
        <w:t xml:space="preserve"> </w:t>
      </w:r>
      <w:r w:rsidR="00EA1D02" w:rsidRPr="00EA1D02">
        <w:rPr>
          <w:rtl/>
        </w:rPr>
        <w:t>منها.</w:t>
      </w:r>
      <w:r w:rsidR="004534DC">
        <w:rPr>
          <w:rtl/>
        </w:rPr>
        <w:t xml:space="preserve"> </w:t>
      </w:r>
    </w:p>
    <w:p w14:paraId="668672C0" w14:textId="04541922" w:rsidR="00EA1D02" w:rsidRPr="00EA1D02" w:rsidRDefault="00C23FC7" w:rsidP="00EA1D02">
      <w:pPr>
        <w:pStyle w:val="SingleTxt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وبينت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المادة</w:t>
      </w:r>
      <w:r w:rsidR="004534DC">
        <w:rPr>
          <w:rtl/>
        </w:rPr>
        <w:t xml:space="preserve"> </w:t>
      </w:r>
      <w:r w:rsidR="00EA1D02" w:rsidRPr="00EA1D02">
        <w:rPr>
          <w:rtl/>
        </w:rPr>
        <w:t>(96)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المدني</w:t>
      </w:r>
      <w:r w:rsidR="004534DC">
        <w:rPr>
          <w:rtl/>
        </w:rPr>
        <w:t xml:space="preserve"> </w:t>
      </w:r>
      <w:r w:rsidR="00EA1D02" w:rsidRPr="00EA1D02">
        <w:rPr>
          <w:rtl/>
        </w:rPr>
        <w:t>أن</w:t>
      </w:r>
      <w:r w:rsidR="004534DC">
        <w:rPr>
          <w:rtl/>
        </w:rPr>
        <w:t xml:space="preserve"> </w:t>
      </w:r>
      <w:r w:rsidR="00EA1D02" w:rsidRPr="00EA1D02">
        <w:rPr>
          <w:rtl/>
        </w:rPr>
        <w:t>كل</w:t>
      </w:r>
      <w:r w:rsidR="004534DC">
        <w:rPr>
          <w:rtl/>
        </w:rPr>
        <w:t xml:space="preserve"> </w:t>
      </w:r>
      <w:r w:rsidR="00EA1D02" w:rsidRPr="00EA1D02">
        <w:rPr>
          <w:rtl/>
        </w:rPr>
        <w:t>شخص</w:t>
      </w:r>
      <w:r w:rsidR="004534DC">
        <w:rPr>
          <w:rtl/>
        </w:rPr>
        <w:t xml:space="preserve"> </w:t>
      </w:r>
      <w:r w:rsidR="00EA1D02" w:rsidRPr="00EA1D02">
        <w:rPr>
          <w:rtl/>
        </w:rPr>
        <w:t>بلغ</w:t>
      </w:r>
      <w:r w:rsidR="004534DC">
        <w:rPr>
          <w:rtl/>
        </w:rPr>
        <w:t xml:space="preserve"> </w:t>
      </w:r>
      <w:r w:rsidR="00EA1D02" w:rsidRPr="00EA1D02">
        <w:rPr>
          <w:rtl/>
        </w:rPr>
        <w:t>سن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الرشد</w:t>
      </w:r>
      <w:r w:rsidR="004534DC">
        <w:rPr>
          <w:rtl/>
        </w:rPr>
        <w:t xml:space="preserve"> </w:t>
      </w:r>
      <w:r w:rsidR="00EA1D02" w:rsidRPr="00EA1D02">
        <w:rPr>
          <w:rtl/>
        </w:rPr>
        <w:t>يكون</w:t>
      </w:r>
      <w:r w:rsidR="004534DC">
        <w:rPr>
          <w:rtl/>
        </w:rPr>
        <w:t xml:space="preserve"> </w:t>
      </w:r>
      <w:r w:rsidR="00EA1D02" w:rsidRPr="00EA1D02">
        <w:rPr>
          <w:rtl/>
        </w:rPr>
        <w:t>كامل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الأهلية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لأداء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التصرفات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القانونية،</w:t>
      </w:r>
      <w:r w:rsidR="004534DC">
        <w:rPr>
          <w:rtl/>
        </w:rPr>
        <w:t xml:space="preserve"> </w:t>
      </w:r>
      <w:r w:rsidR="00EA1D02" w:rsidRPr="00EA1D02">
        <w:rPr>
          <w:rtl/>
        </w:rPr>
        <w:t>وسن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الرشد</w:t>
      </w:r>
      <w:r w:rsidR="004534DC">
        <w:rPr>
          <w:rtl/>
        </w:rPr>
        <w:t xml:space="preserve"> </w:t>
      </w:r>
      <w:r w:rsidR="00EA1D02" w:rsidRPr="00EA1D02">
        <w:rPr>
          <w:rtl/>
        </w:rPr>
        <w:t>حسب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هي</w:t>
      </w:r>
      <w:r w:rsidR="004534DC">
        <w:rPr>
          <w:rtl/>
        </w:rPr>
        <w:t xml:space="preserve"> </w:t>
      </w:r>
      <w:r w:rsidR="00EA1D02" w:rsidRPr="00EA1D02">
        <w:rPr>
          <w:rtl/>
        </w:rPr>
        <w:t>إحدى</w:t>
      </w:r>
      <w:r w:rsidR="004534DC">
        <w:rPr>
          <w:rtl/>
        </w:rPr>
        <w:t xml:space="preserve"> </w:t>
      </w:r>
      <w:r w:rsidR="00EA1D02" w:rsidRPr="00EA1D02">
        <w:rPr>
          <w:rtl/>
        </w:rPr>
        <w:t>وعشرون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سنة</w:t>
      </w:r>
      <w:r w:rsidR="004534DC">
        <w:rPr>
          <w:rtl/>
        </w:rPr>
        <w:t xml:space="preserve"> </w:t>
      </w:r>
      <w:r w:rsidR="00EA1D02" w:rsidRPr="00EA1D02">
        <w:rPr>
          <w:rtl/>
        </w:rPr>
        <w:t>ميلادية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كاملة،</w:t>
      </w:r>
      <w:r w:rsidR="004534DC">
        <w:rPr>
          <w:rtl/>
        </w:rPr>
        <w:t xml:space="preserve"> </w:t>
      </w:r>
      <w:r w:rsidR="00EA1D02" w:rsidRPr="00EA1D02">
        <w:rPr>
          <w:rtl/>
        </w:rPr>
        <w:t>ويستمر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بلغ</w:t>
      </w:r>
      <w:r w:rsidR="004534DC">
        <w:rPr>
          <w:rtl/>
        </w:rPr>
        <w:t xml:space="preserve"> </w:t>
      </w:r>
      <w:r w:rsidR="00EA1D02" w:rsidRPr="00EA1D02">
        <w:rPr>
          <w:rtl/>
        </w:rPr>
        <w:t>سن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الرشد</w:t>
      </w:r>
      <w:r w:rsidR="004534DC">
        <w:rPr>
          <w:rtl/>
        </w:rPr>
        <w:t xml:space="preserve"> </w:t>
      </w:r>
      <w:r w:rsidR="00EA1D02" w:rsidRPr="00EA1D02">
        <w:rPr>
          <w:rtl/>
        </w:rPr>
        <w:t>مكتمل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الأهلية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ما</w:t>
      </w:r>
      <w:r w:rsidR="004534DC">
        <w:rPr>
          <w:rtl/>
        </w:rPr>
        <w:t xml:space="preserve"> </w:t>
      </w:r>
      <w:r w:rsidR="00EA1D02" w:rsidRPr="00EA1D02">
        <w:rPr>
          <w:rtl/>
        </w:rPr>
        <w:t>لم</w:t>
      </w:r>
      <w:r w:rsidR="004534DC">
        <w:rPr>
          <w:rtl/>
        </w:rPr>
        <w:t xml:space="preserve"> </w:t>
      </w:r>
      <w:r w:rsidR="00EA1D02" w:rsidRPr="00EA1D02">
        <w:rPr>
          <w:rtl/>
        </w:rPr>
        <w:t>يطرأ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عليها</w:t>
      </w:r>
      <w:r w:rsidR="004534DC">
        <w:rPr>
          <w:rtl/>
        </w:rPr>
        <w:t xml:space="preserve"> </w:t>
      </w:r>
      <w:r w:rsidR="00EA1D02" w:rsidRPr="00EA1D02">
        <w:rPr>
          <w:rtl/>
        </w:rPr>
        <w:t>عارضاً</w:t>
      </w:r>
      <w:r w:rsidR="004534DC">
        <w:rPr>
          <w:rtl/>
        </w:rPr>
        <w:t xml:space="preserve"> </w:t>
      </w:r>
      <w:r w:rsidR="00EA1D02" w:rsidRPr="00EA1D02">
        <w:rPr>
          <w:rtl/>
        </w:rPr>
        <w:t>يخل</w:t>
      </w:r>
      <w:r w:rsidR="004534DC">
        <w:rPr>
          <w:rtl/>
        </w:rPr>
        <w:t xml:space="preserve"> </w:t>
      </w:r>
      <w:r w:rsidR="00EA1D02" w:rsidRPr="00EA1D02">
        <w:rPr>
          <w:rtl/>
        </w:rPr>
        <w:t>بها.</w:t>
      </w:r>
      <w:r w:rsidR="004534DC">
        <w:rPr>
          <w:rtl/>
        </w:rPr>
        <w:t xml:space="preserve"> </w:t>
      </w:r>
    </w:p>
    <w:p w14:paraId="4EED1F64" w14:textId="2BC62065" w:rsidR="00EA1D02" w:rsidRPr="00EA1D02" w:rsidRDefault="00C23FC7" w:rsidP="00EA1D02">
      <w:pPr>
        <w:pStyle w:val="SingleTxt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ويتضح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هذا</w:t>
      </w:r>
      <w:r w:rsidR="004534DC">
        <w:rPr>
          <w:rtl/>
        </w:rPr>
        <w:t xml:space="preserve"> </w:t>
      </w:r>
      <w:r w:rsidR="00EA1D02" w:rsidRPr="00EA1D02">
        <w:rPr>
          <w:rtl/>
        </w:rPr>
        <w:t>أن</w:t>
      </w:r>
      <w:r w:rsidR="004534DC">
        <w:rPr>
          <w:rtl/>
        </w:rPr>
        <w:t xml:space="preserve"> </w:t>
      </w:r>
      <w:r w:rsidR="00EA1D02" w:rsidRPr="00EA1D02">
        <w:rPr>
          <w:rtl/>
        </w:rPr>
        <w:t>أحكام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المدني</w:t>
      </w:r>
      <w:r w:rsidR="004534DC">
        <w:rPr>
          <w:rtl/>
        </w:rPr>
        <w:t xml:space="preserve"> </w:t>
      </w:r>
      <w:r w:rsidR="00EA1D02" w:rsidRPr="00EA1D02">
        <w:rPr>
          <w:rtl/>
        </w:rPr>
        <w:t>قد</w:t>
      </w:r>
      <w:r w:rsidR="004534DC">
        <w:rPr>
          <w:rtl/>
        </w:rPr>
        <w:t xml:space="preserve"> </w:t>
      </w:r>
      <w:r w:rsidR="00EA1D02" w:rsidRPr="00EA1D02">
        <w:rPr>
          <w:rtl/>
        </w:rPr>
        <w:t>جاءت</w:t>
      </w:r>
      <w:r w:rsidR="004534DC">
        <w:rPr>
          <w:rtl/>
        </w:rPr>
        <w:t xml:space="preserve"> </w:t>
      </w:r>
      <w:r w:rsidR="00EA1D02" w:rsidRPr="00EA1D02">
        <w:rPr>
          <w:rtl/>
        </w:rPr>
        <w:t>عامة</w:t>
      </w:r>
      <w:r w:rsidR="004534DC">
        <w:rPr>
          <w:rtl/>
        </w:rPr>
        <w:t xml:space="preserve"> </w:t>
      </w:r>
      <w:r w:rsidR="00EA1D02" w:rsidRPr="00EA1D02">
        <w:rPr>
          <w:rtl/>
        </w:rPr>
        <w:t>ومجردة</w:t>
      </w:r>
      <w:r w:rsidR="004534DC">
        <w:rPr>
          <w:rtl/>
        </w:rPr>
        <w:t xml:space="preserve"> </w:t>
      </w:r>
      <w:r w:rsidR="00EA1D02" w:rsidRPr="00EA1D02">
        <w:rPr>
          <w:rtl/>
        </w:rPr>
        <w:t>دون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أية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تفرقة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تمييز</w:t>
      </w:r>
      <w:r w:rsidR="004534DC">
        <w:rPr>
          <w:rtl/>
        </w:rPr>
        <w:t xml:space="preserve"> </w:t>
      </w:r>
      <w:r w:rsidR="00EA1D02" w:rsidRPr="00EA1D02">
        <w:rPr>
          <w:rtl/>
        </w:rPr>
        <w:t>بين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الرجل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والمرأة</w:t>
      </w:r>
      <w:r w:rsidR="004534DC">
        <w:rPr>
          <w:rtl/>
        </w:rPr>
        <w:t xml:space="preserve"> </w:t>
      </w:r>
      <w:r w:rsidR="00EA1D02" w:rsidRPr="00EA1D02">
        <w:rPr>
          <w:rtl/>
        </w:rPr>
        <w:t>كما</w:t>
      </w:r>
      <w:r w:rsidR="004534DC">
        <w:rPr>
          <w:rtl/>
        </w:rPr>
        <w:t xml:space="preserve"> </w:t>
      </w:r>
      <w:r w:rsidR="00EA1D02" w:rsidRPr="00EA1D02">
        <w:rPr>
          <w:rtl/>
        </w:rPr>
        <w:t>لم</w:t>
      </w:r>
      <w:r w:rsidR="004534DC">
        <w:rPr>
          <w:rtl/>
        </w:rPr>
        <w:t xml:space="preserve"> </w:t>
      </w:r>
      <w:r w:rsidR="00EA1D02" w:rsidRPr="00EA1D02">
        <w:rPr>
          <w:rtl/>
        </w:rPr>
        <w:t>تتضمن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أية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قيود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الأهلية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للمرأة</w:t>
      </w:r>
      <w:r w:rsidR="004534DC">
        <w:rPr>
          <w:rtl/>
        </w:rPr>
        <w:t xml:space="preserve"> </w:t>
      </w:r>
      <w:r w:rsidR="00EA1D02" w:rsidRPr="00EA1D02">
        <w:rPr>
          <w:rtl/>
        </w:rPr>
        <w:t>بسبب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الزواج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صلة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القربى</w:t>
      </w:r>
      <w:r w:rsidR="004534DC">
        <w:rPr>
          <w:rtl/>
        </w:rPr>
        <w:t xml:space="preserve"> </w:t>
      </w:r>
      <w:r w:rsidR="00EA1D02" w:rsidRPr="00EA1D02">
        <w:rPr>
          <w:rtl/>
        </w:rPr>
        <w:t>ومن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ثم</w:t>
      </w:r>
      <w:r w:rsidR="004534DC">
        <w:rPr>
          <w:rtl/>
        </w:rPr>
        <w:t xml:space="preserve"> </w:t>
      </w:r>
      <w:r w:rsidR="00EA1D02" w:rsidRPr="00EA1D02">
        <w:rPr>
          <w:rtl/>
        </w:rPr>
        <w:t>إذا</w:t>
      </w:r>
      <w:r w:rsidR="0079280C">
        <w:rPr>
          <w:rFonts w:hint="eastAsia"/>
          <w:rtl/>
        </w:rPr>
        <w:t> </w:t>
      </w:r>
      <w:r w:rsidR="00EA1D02" w:rsidRPr="00EA1D02">
        <w:rPr>
          <w:rtl/>
        </w:rPr>
        <w:t>بلغت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المرأة</w:t>
      </w:r>
      <w:r w:rsidR="004534DC">
        <w:rPr>
          <w:rtl/>
        </w:rPr>
        <w:t xml:space="preserve"> </w:t>
      </w:r>
      <w:r w:rsidR="00EA1D02" w:rsidRPr="00EA1D02">
        <w:rPr>
          <w:rtl/>
        </w:rPr>
        <w:t>سن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الرشد</w:t>
      </w:r>
      <w:r w:rsidR="004534DC">
        <w:rPr>
          <w:rtl/>
        </w:rPr>
        <w:t xml:space="preserve"> </w:t>
      </w:r>
      <w:r w:rsidR="00EA1D02" w:rsidRPr="00EA1D02">
        <w:rPr>
          <w:rtl/>
        </w:rPr>
        <w:t>حسب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فهي</w:t>
      </w:r>
      <w:r w:rsidR="004534DC">
        <w:rPr>
          <w:rtl/>
        </w:rPr>
        <w:t xml:space="preserve"> </w:t>
      </w:r>
      <w:r w:rsidR="00EA1D02" w:rsidRPr="00EA1D02">
        <w:rPr>
          <w:rtl/>
        </w:rPr>
        <w:t>تملك</w:t>
      </w:r>
      <w:r w:rsidR="004534DC">
        <w:rPr>
          <w:rtl/>
        </w:rPr>
        <w:t xml:space="preserve"> </w:t>
      </w:r>
      <w:r w:rsidR="00EA1D02" w:rsidRPr="00EA1D02">
        <w:rPr>
          <w:rtl/>
        </w:rPr>
        <w:t>كافة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الحقوق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والتصرفات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التي</w:t>
      </w:r>
      <w:r w:rsidR="004534DC">
        <w:rPr>
          <w:rtl/>
        </w:rPr>
        <w:t xml:space="preserve"> </w:t>
      </w:r>
      <w:r w:rsidR="00EA1D02" w:rsidRPr="00EA1D02">
        <w:rPr>
          <w:rtl/>
        </w:rPr>
        <w:t>قررها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lastRenderedPageBreak/>
        <w:t>المدني</w:t>
      </w:r>
      <w:r w:rsidR="004534DC">
        <w:rPr>
          <w:rtl/>
        </w:rPr>
        <w:t xml:space="preserve"> </w:t>
      </w:r>
      <w:r w:rsidR="00EA1D02" w:rsidRPr="00EA1D02">
        <w:rPr>
          <w:rtl/>
        </w:rPr>
        <w:t>وغيره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القوانين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النافذة</w:t>
      </w:r>
      <w:r w:rsidR="004534DC">
        <w:rPr>
          <w:rtl/>
        </w:rPr>
        <w:t xml:space="preserve"> </w:t>
      </w:r>
      <w:r w:rsidR="00EA1D02" w:rsidRPr="00EA1D02">
        <w:rPr>
          <w:rtl/>
        </w:rPr>
        <w:t>كما</w:t>
      </w:r>
      <w:r w:rsidR="004534DC">
        <w:rPr>
          <w:rtl/>
        </w:rPr>
        <w:t xml:space="preserve"> </w:t>
      </w:r>
      <w:r w:rsidR="00EA1D02" w:rsidRPr="00EA1D02">
        <w:rPr>
          <w:rtl/>
        </w:rPr>
        <w:t>تملك</w:t>
      </w:r>
      <w:r w:rsidR="004534DC">
        <w:rPr>
          <w:rtl/>
        </w:rPr>
        <w:t xml:space="preserve"> </w:t>
      </w:r>
      <w:r w:rsidR="00EA1D02" w:rsidRPr="00EA1D02">
        <w:rPr>
          <w:rtl/>
        </w:rPr>
        <w:t>إدارة</w:t>
      </w:r>
      <w:r w:rsidR="004534DC">
        <w:rPr>
          <w:rtl/>
        </w:rPr>
        <w:t xml:space="preserve"> </w:t>
      </w:r>
      <w:r w:rsidR="00EA1D02" w:rsidRPr="00EA1D02">
        <w:rPr>
          <w:rtl/>
        </w:rPr>
        <w:t>أموالها</w:t>
      </w:r>
      <w:r w:rsidR="004534DC">
        <w:rPr>
          <w:rtl/>
        </w:rPr>
        <w:t xml:space="preserve"> </w:t>
      </w:r>
      <w:r w:rsidR="00EA1D02" w:rsidRPr="00EA1D02">
        <w:rPr>
          <w:rtl/>
        </w:rPr>
        <w:t>وأملاكها</w:t>
      </w:r>
      <w:r w:rsidR="004534DC">
        <w:rPr>
          <w:rtl/>
        </w:rPr>
        <w:t xml:space="preserve"> </w:t>
      </w:r>
      <w:r w:rsidR="00EA1D02" w:rsidRPr="00EA1D02">
        <w:rPr>
          <w:rtl/>
        </w:rPr>
        <w:t>وشؤونها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الخاصة</w:t>
      </w:r>
      <w:r w:rsidR="004534DC">
        <w:rPr>
          <w:rtl/>
        </w:rPr>
        <w:t xml:space="preserve"> </w:t>
      </w:r>
      <w:r w:rsidR="00EA1D02" w:rsidRPr="00EA1D02">
        <w:rPr>
          <w:rtl/>
        </w:rPr>
        <w:t>دون</w:t>
      </w:r>
      <w:r w:rsidR="004534DC">
        <w:rPr>
          <w:rtl/>
        </w:rPr>
        <w:t xml:space="preserve"> </w:t>
      </w:r>
      <w:r w:rsidR="00EA1D02" w:rsidRPr="00EA1D02">
        <w:rPr>
          <w:rtl/>
        </w:rPr>
        <w:t>قيد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شرط</w:t>
      </w:r>
      <w:r w:rsidR="004534DC">
        <w:rPr>
          <w:rtl/>
        </w:rPr>
        <w:t xml:space="preserve"> </w:t>
      </w:r>
      <w:r w:rsidR="00EA1D02" w:rsidRPr="00EA1D02">
        <w:rPr>
          <w:rtl/>
        </w:rPr>
        <w:t>يحد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AF3613">
        <w:rPr>
          <w:rFonts w:hint="cs"/>
          <w:rtl/>
        </w:rPr>
        <w:t> </w:t>
      </w:r>
      <w:r w:rsidR="00EA1D02" w:rsidRPr="00EA1D02">
        <w:rPr>
          <w:rtl/>
        </w:rPr>
        <w:t>يحول</w:t>
      </w:r>
      <w:r w:rsidR="004534DC">
        <w:rPr>
          <w:rtl/>
        </w:rPr>
        <w:t xml:space="preserve"> </w:t>
      </w:r>
      <w:r w:rsidR="00EA1D02" w:rsidRPr="00EA1D02">
        <w:rPr>
          <w:rtl/>
        </w:rPr>
        <w:t>دون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أهليتها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ذلك</w:t>
      </w:r>
      <w:r w:rsidR="00EA1D02" w:rsidRPr="00EA1D02">
        <w:rPr>
          <w:rFonts w:hint="cs"/>
          <w:rtl/>
        </w:rPr>
        <w:t>.</w:t>
      </w:r>
      <w:r w:rsidR="004534DC">
        <w:rPr>
          <w:rtl/>
        </w:rPr>
        <w:t xml:space="preserve"> </w:t>
      </w:r>
    </w:p>
    <w:p w14:paraId="79DA31E4" w14:textId="381E2492" w:rsidR="00EA1D02" w:rsidRPr="00EA1D02" w:rsidRDefault="005C3529" w:rsidP="00EA1D02">
      <w:pPr>
        <w:pStyle w:val="SingleTxt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وينظم</w:t>
      </w:r>
      <w:r w:rsidR="004534DC">
        <w:rPr>
          <w:rtl/>
        </w:rPr>
        <w:t xml:space="preserve"> </w:t>
      </w:r>
      <w:r w:rsidR="00EA1D02" w:rsidRPr="00EA1D02">
        <w:rPr>
          <w:rtl/>
        </w:rPr>
        <w:t>إجراءات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التقاضي</w:t>
      </w:r>
      <w:r w:rsidR="004534DC">
        <w:rPr>
          <w:rtl/>
        </w:rPr>
        <w:t xml:space="preserve"> </w:t>
      </w:r>
      <w:r w:rsidR="00EA1D02" w:rsidRPr="00EA1D02">
        <w:rPr>
          <w:rtl/>
        </w:rPr>
        <w:t>أمام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المحاكم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اختلاف</w:t>
      </w:r>
      <w:r w:rsidR="004534DC">
        <w:rPr>
          <w:rtl/>
        </w:rPr>
        <w:t xml:space="preserve"> </w:t>
      </w:r>
      <w:r w:rsidR="00EA1D02" w:rsidRPr="00EA1D02">
        <w:rPr>
          <w:rtl/>
        </w:rPr>
        <w:t>درجاتها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رقم</w:t>
      </w:r>
      <w:r w:rsidR="004534DC">
        <w:rPr>
          <w:rtl/>
        </w:rPr>
        <w:t xml:space="preserve"> </w:t>
      </w:r>
      <w:r w:rsidR="00EA1D02" w:rsidRPr="00EA1D02">
        <w:rPr>
          <w:rtl/>
        </w:rPr>
        <w:t>(38)</w:t>
      </w:r>
      <w:r w:rsidR="00AF3613">
        <w:rPr>
          <w:rFonts w:hint="cs"/>
          <w:rtl/>
        </w:rPr>
        <w:t> </w:t>
      </w:r>
      <w:r w:rsidR="00EA1D02" w:rsidRPr="00EA1D02">
        <w:rPr>
          <w:rtl/>
        </w:rPr>
        <w:t>لسنة</w:t>
      </w:r>
      <w:r w:rsidR="00AF3613">
        <w:rPr>
          <w:rFonts w:hint="cs"/>
          <w:rtl/>
        </w:rPr>
        <w:t> </w:t>
      </w:r>
      <w:r w:rsidR="00EA1D02" w:rsidRPr="00EA1D02">
        <w:rPr>
          <w:rtl/>
        </w:rPr>
        <w:t>1980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الخاص</w:t>
      </w:r>
      <w:r w:rsidR="004534DC">
        <w:rPr>
          <w:rtl/>
        </w:rPr>
        <w:t xml:space="preserve"> </w:t>
      </w:r>
      <w:r w:rsidR="00C13813" w:rsidRPr="00EA1D02">
        <w:rPr>
          <w:rFonts w:hint="cs"/>
          <w:rtl/>
        </w:rPr>
        <w:t>بإصدار</w:t>
      </w:r>
      <w:r w:rsidR="004534DC">
        <w:rPr>
          <w:rtl/>
        </w:rPr>
        <w:t xml:space="preserve"> </w:t>
      </w:r>
      <w:r w:rsidR="00EA1D02" w:rsidRPr="00EA1D02">
        <w:rPr>
          <w:rtl/>
        </w:rPr>
        <w:t>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المرافعات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المدنية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والتجارية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رقم</w:t>
      </w:r>
      <w:r w:rsidR="004534DC">
        <w:rPr>
          <w:rtl/>
        </w:rPr>
        <w:t xml:space="preserve"> </w:t>
      </w:r>
      <w:r w:rsidR="00EA1D02" w:rsidRPr="00EA1D02">
        <w:rPr>
          <w:rtl/>
        </w:rPr>
        <w:t>(17)</w:t>
      </w:r>
      <w:r w:rsidR="004534DC">
        <w:rPr>
          <w:rtl/>
        </w:rPr>
        <w:t xml:space="preserve"> </w:t>
      </w:r>
      <w:r w:rsidR="00EA1D02" w:rsidRPr="00EA1D02">
        <w:rPr>
          <w:rtl/>
        </w:rPr>
        <w:t>لسنة</w:t>
      </w:r>
      <w:r w:rsidR="004534DC">
        <w:rPr>
          <w:rtl/>
        </w:rPr>
        <w:t xml:space="preserve"> </w:t>
      </w:r>
      <w:r w:rsidR="00EA1D02" w:rsidRPr="00EA1D02">
        <w:rPr>
          <w:rtl/>
        </w:rPr>
        <w:t>1960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الخاص</w:t>
      </w:r>
      <w:r w:rsidR="004534DC">
        <w:rPr>
          <w:rtl/>
        </w:rPr>
        <w:t xml:space="preserve"> </w:t>
      </w:r>
      <w:r w:rsidR="00C13813" w:rsidRPr="00EA1D02">
        <w:rPr>
          <w:rFonts w:hint="cs"/>
          <w:rtl/>
        </w:rPr>
        <w:t>بإصدار</w:t>
      </w:r>
      <w:r w:rsidR="004534DC">
        <w:rPr>
          <w:rtl/>
        </w:rPr>
        <w:t xml:space="preserve"> </w:t>
      </w:r>
      <w:r w:rsidR="00EA1D02" w:rsidRPr="00EA1D02">
        <w:rPr>
          <w:rtl/>
        </w:rPr>
        <w:t>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الإجراءات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والمحاكمات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الجزائية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واللذان</w:t>
      </w:r>
      <w:r w:rsidR="004534DC">
        <w:rPr>
          <w:rtl/>
        </w:rPr>
        <w:t xml:space="preserve"> </w:t>
      </w:r>
      <w:r w:rsidR="00EA1D02" w:rsidRPr="00EA1D02">
        <w:rPr>
          <w:rtl/>
        </w:rPr>
        <w:t>تسري</w:t>
      </w:r>
      <w:r w:rsidR="004534DC">
        <w:rPr>
          <w:rtl/>
        </w:rPr>
        <w:t xml:space="preserve"> </w:t>
      </w:r>
      <w:r w:rsidR="00EA1D02" w:rsidRPr="00EA1D02">
        <w:rPr>
          <w:rtl/>
        </w:rPr>
        <w:t>أحكامهما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جميع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المتقاضين</w:t>
      </w:r>
      <w:r w:rsidR="004534DC">
        <w:rPr>
          <w:rtl/>
        </w:rPr>
        <w:t xml:space="preserve"> </w:t>
      </w:r>
      <w:r w:rsidR="00EA1D02" w:rsidRPr="00EA1D02">
        <w:rPr>
          <w:rtl/>
        </w:rPr>
        <w:t>لا</w:t>
      </w:r>
      <w:r w:rsidR="003C0195">
        <w:rPr>
          <w:rFonts w:hint="cs"/>
          <w:rtl/>
        </w:rPr>
        <w:t> </w:t>
      </w:r>
      <w:r w:rsidR="00EA1D02" w:rsidRPr="00EA1D02">
        <w:rPr>
          <w:rtl/>
        </w:rPr>
        <w:t>فرق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ذلك</w:t>
      </w:r>
      <w:r w:rsidR="004534DC">
        <w:rPr>
          <w:rtl/>
        </w:rPr>
        <w:t xml:space="preserve"> </w:t>
      </w:r>
      <w:r w:rsidR="00EA1D02" w:rsidRPr="00EA1D02">
        <w:rPr>
          <w:rtl/>
        </w:rPr>
        <w:t>بين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الرجال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والنساء.</w:t>
      </w:r>
      <w:r w:rsidR="004534DC">
        <w:rPr>
          <w:rtl/>
        </w:rPr>
        <w:t xml:space="preserve"> </w:t>
      </w:r>
    </w:p>
    <w:p w14:paraId="42B8ED9E" w14:textId="6B4EBABC" w:rsidR="00EA1D02" w:rsidRPr="00EA1D02" w:rsidRDefault="005C3529" w:rsidP="00EA1D02">
      <w:pPr>
        <w:pStyle w:val="SingleTxt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وجزائياً،</w:t>
      </w:r>
      <w:r w:rsidR="004534DC">
        <w:rPr>
          <w:rtl/>
        </w:rPr>
        <w:t xml:space="preserve"> </w:t>
      </w:r>
      <w:r w:rsidR="00EA1D02" w:rsidRPr="00EA1D02">
        <w:rPr>
          <w:rtl/>
        </w:rPr>
        <w:t>تضمن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الجزائي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الكويتي</w:t>
      </w:r>
      <w:r w:rsidR="004534DC">
        <w:rPr>
          <w:rtl/>
        </w:rPr>
        <w:t xml:space="preserve"> </w:t>
      </w:r>
      <w:r w:rsidR="00EA1D02" w:rsidRPr="00EA1D02">
        <w:rPr>
          <w:rtl/>
        </w:rPr>
        <w:t>أحكاماً</w:t>
      </w:r>
      <w:r w:rsidR="004534DC">
        <w:rPr>
          <w:rtl/>
        </w:rPr>
        <w:t xml:space="preserve"> </w:t>
      </w:r>
      <w:r w:rsidR="00EA1D02" w:rsidRPr="00EA1D02">
        <w:rPr>
          <w:rtl/>
        </w:rPr>
        <w:t>عقابية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شتى،</w:t>
      </w:r>
      <w:r w:rsidR="004534DC">
        <w:rPr>
          <w:rtl/>
        </w:rPr>
        <w:t xml:space="preserve"> </w:t>
      </w:r>
      <w:r w:rsidR="00EA1D02" w:rsidRPr="00EA1D02">
        <w:rPr>
          <w:rtl/>
        </w:rPr>
        <w:t>بشأن</w:t>
      </w:r>
      <w:r w:rsidR="004534DC">
        <w:rPr>
          <w:rtl/>
        </w:rPr>
        <w:t xml:space="preserve"> </w:t>
      </w:r>
      <w:r w:rsidR="00EA1D02" w:rsidRPr="00EA1D02">
        <w:rPr>
          <w:rtl/>
        </w:rPr>
        <w:t>ما</w:t>
      </w:r>
      <w:r w:rsidR="004534DC">
        <w:rPr>
          <w:rtl/>
        </w:rPr>
        <w:t xml:space="preserve"> </w:t>
      </w:r>
      <w:r w:rsidR="00EA1D02" w:rsidRPr="00EA1D02">
        <w:rPr>
          <w:rtl/>
        </w:rPr>
        <w:t>يقع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عنف</w:t>
      </w:r>
      <w:r w:rsidR="004534DC">
        <w:rPr>
          <w:rtl/>
        </w:rPr>
        <w:t xml:space="preserve"> </w:t>
      </w:r>
      <w:r w:rsidR="00EA1D02" w:rsidRPr="00EA1D02">
        <w:rPr>
          <w:rtl/>
        </w:rPr>
        <w:t>جسدي</w:t>
      </w:r>
      <w:r w:rsidR="004534DC">
        <w:rPr>
          <w:rtl/>
        </w:rPr>
        <w:t xml:space="preserve"> </w:t>
      </w:r>
      <w:r w:rsidR="00EA1D02" w:rsidRPr="00EA1D02">
        <w:rPr>
          <w:rtl/>
        </w:rPr>
        <w:t>بصفة</w:t>
      </w:r>
      <w:r w:rsidR="004534DC">
        <w:rPr>
          <w:rtl/>
        </w:rPr>
        <w:t xml:space="preserve"> </w:t>
      </w:r>
      <w:r w:rsidR="00EA1D02" w:rsidRPr="00EA1D02">
        <w:rPr>
          <w:rtl/>
        </w:rPr>
        <w:t>عامة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أي</w:t>
      </w:r>
      <w:r w:rsidR="004534DC">
        <w:rPr>
          <w:rtl/>
        </w:rPr>
        <w:t xml:space="preserve"> </w:t>
      </w:r>
      <w:r w:rsidR="00EA1D02" w:rsidRPr="00EA1D02">
        <w:rPr>
          <w:rtl/>
        </w:rPr>
        <w:t>شخص</w:t>
      </w:r>
      <w:r w:rsidR="004534DC">
        <w:rPr>
          <w:rtl/>
        </w:rPr>
        <w:t xml:space="preserve"> </w:t>
      </w:r>
      <w:r w:rsidR="00EA1D02" w:rsidRPr="00EA1D02">
        <w:rPr>
          <w:rtl/>
        </w:rPr>
        <w:t>(رجل</w:t>
      </w:r>
      <w:r w:rsidR="004534DC">
        <w:rPr>
          <w:rtl/>
        </w:rPr>
        <w:t xml:space="preserve"> </w:t>
      </w:r>
      <w:r w:rsidR="00EA1D02" w:rsidRPr="00EA1D02">
        <w:rPr>
          <w:rtl/>
        </w:rPr>
        <w:t>كان</w:t>
      </w:r>
      <w:r w:rsidR="004534DC">
        <w:rPr>
          <w:rtl/>
        </w:rPr>
        <w:t xml:space="preserve"> </w:t>
      </w:r>
      <w:r w:rsidR="00EA1D02" w:rsidRPr="00EA1D02">
        <w:rPr>
          <w:rtl/>
        </w:rPr>
        <w:t>أم</w:t>
      </w:r>
      <w:r w:rsidR="004534DC">
        <w:rPr>
          <w:rtl/>
        </w:rPr>
        <w:t xml:space="preserve"> </w:t>
      </w:r>
      <w:r w:rsidR="00C13813" w:rsidRPr="00EA1D02">
        <w:rPr>
          <w:rFonts w:hint="cs"/>
          <w:rtl/>
        </w:rPr>
        <w:t>امرأة</w:t>
      </w:r>
      <w:r w:rsidR="00EA1D02" w:rsidRPr="00EA1D02">
        <w:rPr>
          <w:rtl/>
        </w:rPr>
        <w:t>)،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بالإضافة</w:t>
      </w:r>
      <w:r w:rsidR="004534DC">
        <w:rPr>
          <w:rtl/>
        </w:rPr>
        <w:t xml:space="preserve"> </w:t>
      </w:r>
      <w:r w:rsidR="00EA1D02" w:rsidRPr="00EA1D02">
        <w:rPr>
          <w:rtl/>
        </w:rPr>
        <w:t>إلى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تضمينه</w:t>
      </w:r>
      <w:r w:rsidR="004534DC">
        <w:rPr>
          <w:rtl/>
        </w:rPr>
        <w:t xml:space="preserve"> </w:t>
      </w:r>
      <w:r w:rsidR="00EA1D02" w:rsidRPr="00EA1D02">
        <w:rPr>
          <w:rtl/>
        </w:rPr>
        <w:t>نصوصاً</w:t>
      </w:r>
      <w:r w:rsidR="004534DC">
        <w:rPr>
          <w:rtl/>
        </w:rPr>
        <w:t xml:space="preserve"> </w:t>
      </w:r>
      <w:r w:rsidR="00EA1D02" w:rsidRPr="00EA1D02">
        <w:rPr>
          <w:rtl/>
        </w:rPr>
        <w:t>خاصة</w:t>
      </w:r>
      <w:r w:rsidR="004534DC">
        <w:rPr>
          <w:rtl/>
        </w:rPr>
        <w:t xml:space="preserve"> </w:t>
      </w:r>
      <w:r w:rsidR="00EA1D02" w:rsidRPr="00EA1D02">
        <w:rPr>
          <w:rtl/>
        </w:rPr>
        <w:t>تكافح</w:t>
      </w:r>
      <w:r w:rsidR="004534DC">
        <w:rPr>
          <w:rtl/>
        </w:rPr>
        <w:t xml:space="preserve"> </w:t>
      </w:r>
      <w:r w:rsidR="00EA1D02" w:rsidRPr="00EA1D02">
        <w:rPr>
          <w:rtl/>
        </w:rPr>
        <w:t>وتجرم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العنف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الجسدي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والجنسي</w:t>
      </w:r>
      <w:r w:rsidR="004534DC">
        <w:rPr>
          <w:rtl/>
        </w:rPr>
        <w:t xml:space="preserve"> </w:t>
      </w:r>
      <w:r w:rsidR="00EA1D02" w:rsidRPr="00EA1D02">
        <w:rPr>
          <w:rtl/>
        </w:rPr>
        <w:t>ضد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المرأة،</w:t>
      </w:r>
      <w:r w:rsidR="004534DC">
        <w:rPr>
          <w:rtl/>
        </w:rPr>
        <w:t xml:space="preserve"> </w:t>
      </w:r>
      <w:r w:rsidR="00EA1D02" w:rsidRPr="00EA1D02">
        <w:rPr>
          <w:rtl/>
        </w:rPr>
        <w:t>ومن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بين</w:t>
      </w:r>
      <w:r w:rsidR="004534DC">
        <w:rPr>
          <w:rtl/>
        </w:rPr>
        <w:t xml:space="preserve"> </w:t>
      </w:r>
      <w:r w:rsidR="00EA1D02" w:rsidRPr="00EA1D02">
        <w:rPr>
          <w:rtl/>
        </w:rPr>
        <w:t>هذه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النصوص:</w:t>
      </w:r>
      <w:r w:rsidR="004534DC">
        <w:rPr>
          <w:rtl/>
        </w:rPr>
        <w:t xml:space="preserve"> </w:t>
      </w:r>
    </w:p>
    <w:p w14:paraId="4B808E8E" w14:textId="16C85402" w:rsidR="00EA1D02" w:rsidRPr="00EA1D02" w:rsidRDefault="005C3529" w:rsidP="005C3529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val="en-GB"/>
        </w:rPr>
      </w:pPr>
      <w:r>
        <w:rPr>
          <w:rtl/>
        </w:rPr>
        <w:tab/>
      </w:r>
      <w:r>
        <w:rPr>
          <w:rFonts w:hint="cs"/>
          <w:rtl/>
        </w:rPr>
        <w:t>•</w:t>
      </w:r>
      <w:r>
        <w:rPr>
          <w:rtl/>
        </w:rPr>
        <w:tab/>
      </w:r>
      <w:r w:rsidR="00EA1D02" w:rsidRPr="00EA1D02">
        <w:rPr>
          <w:rtl/>
        </w:rPr>
        <w:t>نصت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المادة</w:t>
      </w:r>
      <w:r w:rsidR="004534DC">
        <w:rPr>
          <w:rtl/>
        </w:rPr>
        <w:t xml:space="preserve"> </w:t>
      </w:r>
      <w:r w:rsidR="00EA1D02" w:rsidRPr="00EA1D02">
        <w:rPr>
          <w:rtl/>
        </w:rPr>
        <w:t>رقم</w:t>
      </w:r>
      <w:r w:rsidR="004534DC">
        <w:rPr>
          <w:rtl/>
        </w:rPr>
        <w:t xml:space="preserve"> </w:t>
      </w:r>
      <w:r w:rsidR="00EA1D02" w:rsidRPr="00EA1D02">
        <w:rPr>
          <w:rtl/>
        </w:rPr>
        <w:t>(160)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الجزاء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الكويتي</w:t>
      </w:r>
      <w:r w:rsidR="004534DC">
        <w:rPr>
          <w:rtl/>
        </w:rPr>
        <w:t xml:space="preserve"> </w:t>
      </w:r>
      <w:r w:rsidR="00EA1D02" w:rsidRPr="00EA1D02">
        <w:rPr>
          <w:rtl/>
        </w:rPr>
        <w:t>(16</w:t>
      </w:r>
      <w:r w:rsidR="004534DC">
        <w:rPr>
          <w:rtl/>
        </w:rPr>
        <w:t xml:space="preserve"> </w:t>
      </w:r>
      <w:r w:rsidR="00EA1D02" w:rsidRPr="00EA1D02">
        <w:rPr>
          <w:rtl/>
        </w:rPr>
        <w:t>لسنة</w:t>
      </w:r>
      <w:r w:rsidR="004534DC">
        <w:rPr>
          <w:rtl/>
        </w:rPr>
        <w:t xml:space="preserve"> </w:t>
      </w:r>
      <w:r w:rsidR="00EA1D02" w:rsidRPr="00EA1D02">
        <w:rPr>
          <w:rtl/>
        </w:rPr>
        <w:t>1960)،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أنه</w:t>
      </w:r>
      <w:r w:rsidR="004534DC">
        <w:rPr>
          <w:rtl/>
        </w:rPr>
        <w:t xml:space="preserve"> </w:t>
      </w:r>
      <w:r w:rsidR="00952391">
        <w:rPr>
          <w:rFonts w:hint="eastAsia"/>
          <w:rtl/>
        </w:rPr>
        <w:t>”</w:t>
      </w:r>
      <w:r w:rsidR="00EA1D02" w:rsidRPr="00EA1D02">
        <w:rPr>
          <w:rtl/>
        </w:rPr>
        <w:t>كل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ضرب</w:t>
      </w:r>
      <w:r w:rsidR="004534DC">
        <w:rPr>
          <w:rtl/>
        </w:rPr>
        <w:t xml:space="preserve"> </w:t>
      </w:r>
      <w:r w:rsidR="00EA1D02" w:rsidRPr="00EA1D02">
        <w:rPr>
          <w:rtl/>
        </w:rPr>
        <w:t>شخصاً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جرحه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الحق</w:t>
      </w:r>
      <w:r w:rsidR="004534DC">
        <w:rPr>
          <w:rtl/>
        </w:rPr>
        <w:t xml:space="preserve"> </w:t>
      </w:r>
      <w:r w:rsidR="00EA1D02" w:rsidRPr="00EA1D02">
        <w:rPr>
          <w:rtl/>
        </w:rPr>
        <w:t>بجسمه</w:t>
      </w:r>
      <w:r w:rsidR="004534DC">
        <w:rPr>
          <w:rtl/>
        </w:rPr>
        <w:t xml:space="preserve"> </w:t>
      </w:r>
      <w:r w:rsidR="00EA1D02" w:rsidRPr="00EA1D02">
        <w:rPr>
          <w:rtl/>
        </w:rPr>
        <w:t>أذى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أخل</w:t>
      </w:r>
      <w:r w:rsidR="004534DC">
        <w:rPr>
          <w:rtl/>
        </w:rPr>
        <w:t xml:space="preserve"> </w:t>
      </w:r>
      <w:r w:rsidR="00EA1D02" w:rsidRPr="00EA1D02">
        <w:rPr>
          <w:rtl/>
        </w:rPr>
        <w:t>بحرمة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الجسم،</w:t>
      </w:r>
      <w:r w:rsidR="004534DC">
        <w:rPr>
          <w:rtl/>
        </w:rPr>
        <w:t xml:space="preserve"> </w:t>
      </w:r>
      <w:r w:rsidR="00EA1D02" w:rsidRPr="00EA1D02">
        <w:rPr>
          <w:rtl/>
        </w:rPr>
        <w:t>وكان</w:t>
      </w:r>
      <w:r w:rsidR="004534DC">
        <w:rPr>
          <w:rtl/>
        </w:rPr>
        <w:t xml:space="preserve"> </w:t>
      </w:r>
      <w:r w:rsidR="00EA1D02" w:rsidRPr="00EA1D02">
        <w:rPr>
          <w:rtl/>
        </w:rPr>
        <w:t>ذلك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نحو</w:t>
      </w:r>
      <w:r w:rsidR="004534DC">
        <w:rPr>
          <w:rtl/>
        </w:rPr>
        <w:t xml:space="preserve"> </w:t>
      </w:r>
      <w:r w:rsidR="00EA1D02" w:rsidRPr="00EA1D02">
        <w:rPr>
          <w:rtl/>
        </w:rPr>
        <w:t>محسوس،</w:t>
      </w:r>
      <w:r w:rsidR="004534DC">
        <w:rPr>
          <w:rtl/>
        </w:rPr>
        <w:t xml:space="preserve"> </w:t>
      </w:r>
      <w:r w:rsidR="00EA1D02" w:rsidRPr="00EA1D02">
        <w:rPr>
          <w:rtl/>
        </w:rPr>
        <w:t>يعاقب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بالحبس</w:t>
      </w:r>
      <w:r w:rsidR="004534DC">
        <w:rPr>
          <w:rtl/>
        </w:rPr>
        <w:t xml:space="preserve"> </w:t>
      </w:r>
      <w:r w:rsidR="00EA1D02" w:rsidRPr="00EA1D02">
        <w:rPr>
          <w:rtl/>
        </w:rPr>
        <w:t>مدة</w:t>
      </w:r>
      <w:r w:rsidR="004534DC">
        <w:rPr>
          <w:rtl/>
        </w:rPr>
        <w:t xml:space="preserve"> </w:t>
      </w:r>
      <w:r w:rsidR="00EA1D02" w:rsidRPr="00EA1D02">
        <w:rPr>
          <w:rtl/>
        </w:rPr>
        <w:t>لا</w:t>
      </w:r>
      <w:r w:rsidR="004534DC">
        <w:rPr>
          <w:rtl/>
        </w:rPr>
        <w:t xml:space="preserve"> </w:t>
      </w:r>
      <w:r w:rsidR="00EA1D02" w:rsidRPr="00EA1D02">
        <w:rPr>
          <w:rtl/>
        </w:rPr>
        <w:t>تجاوز</w:t>
      </w:r>
      <w:r w:rsidR="004534DC">
        <w:rPr>
          <w:rtl/>
        </w:rPr>
        <w:t xml:space="preserve"> </w:t>
      </w:r>
      <w:r w:rsidR="00EA1D02" w:rsidRPr="00EA1D02">
        <w:rPr>
          <w:rtl/>
        </w:rPr>
        <w:t>سنتين</w:t>
      </w:r>
      <w:r w:rsidR="004534DC">
        <w:rPr>
          <w:rtl/>
        </w:rPr>
        <w:t xml:space="preserve"> </w:t>
      </w:r>
      <w:r w:rsidR="00EA1D02" w:rsidRPr="00EA1D02">
        <w:rPr>
          <w:rtl/>
        </w:rPr>
        <w:t>وبغرامة</w:t>
      </w:r>
      <w:r w:rsidR="004534DC">
        <w:rPr>
          <w:rtl/>
        </w:rPr>
        <w:t xml:space="preserve"> </w:t>
      </w:r>
      <w:r w:rsidR="00EA1D02" w:rsidRPr="00EA1D02">
        <w:rPr>
          <w:rtl/>
        </w:rPr>
        <w:t>لا</w:t>
      </w:r>
      <w:r w:rsidR="004534DC">
        <w:rPr>
          <w:rtl/>
        </w:rPr>
        <w:t xml:space="preserve"> </w:t>
      </w:r>
      <w:r w:rsidR="00EA1D02" w:rsidRPr="00EA1D02">
        <w:rPr>
          <w:rtl/>
        </w:rPr>
        <w:t>تجاوز</w:t>
      </w:r>
      <w:r w:rsidR="004534DC">
        <w:rPr>
          <w:rtl/>
        </w:rPr>
        <w:t xml:space="preserve"> </w:t>
      </w:r>
      <w:r w:rsidR="00EA1D02" w:rsidRPr="00EA1D02">
        <w:rPr>
          <w:rtl/>
        </w:rPr>
        <w:t>مائة</w:t>
      </w:r>
      <w:r w:rsidR="004534DC">
        <w:rPr>
          <w:rtl/>
        </w:rPr>
        <w:t xml:space="preserve"> </w:t>
      </w:r>
      <w:r w:rsidR="00EA1D02" w:rsidRPr="00EA1D02">
        <w:rPr>
          <w:rtl/>
        </w:rPr>
        <w:t>وخمسين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دينار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بإحدى</w:t>
      </w:r>
      <w:r w:rsidR="004534DC">
        <w:rPr>
          <w:rtl/>
        </w:rPr>
        <w:t xml:space="preserve"> </w:t>
      </w:r>
      <w:r w:rsidR="00EA1D02" w:rsidRPr="00EA1D02">
        <w:rPr>
          <w:rtl/>
        </w:rPr>
        <w:t>هاتين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العقوبتين</w:t>
      </w:r>
      <w:r w:rsidR="00952391">
        <w:rPr>
          <w:rFonts w:hint="eastAsia"/>
          <w:rtl/>
        </w:rPr>
        <w:t>“</w:t>
      </w:r>
      <w:r w:rsidR="00EA1D02" w:rsidRPr="00EA1D02">
        <w:rPr>
          <w:rFonts w:hint="cs"/>
          <w:rtl/>
        </w:rPr>
        <w:t>.</w:t>
      </w:r>
      <w:r w:rsidR="004534DC">
        <w:rPr>
          <w:rtl/>
        </w:rPr>
        <w:t xml:space="preserve"> </w:t>
      </w:r>
    </w:p>
    <w:p w14:paraId="1DE9B45B" w14:textId="7FCA0944" w:rsidR="00EA1D02" w:rsidRPr="00EA1D02" w:rsidRDefault="005C3529" w:rsidP="005C3529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rtl/>
        </w:rPr>
      </w:pPr>
      <w:r>
        <w:rPr>
          <w:rtl/>
        </w:rPr>
        <w:tab/>
      </w:r>
      <w:r>
        <w:rPr>
          <w:rFonts w:hint="cs"/>
          <w:rtl/>
        </w:rPr>
        <w:t>•</w:t>
      </w:r>
      <w:r>
        <w:rPr>
          <w:rtl/>
        </w:rPr>
        <w:tab/>
      </w:r>
      <w:r w:rsidR="00EA1D02" w:rsidRPr="00EA1D02">
        <w:rPr>
          <w:rtl/>
        </w:rPr>
        <w:t>كما</w:t>
      </w:r>
      <w:r w:rsidR="004534DC">
        <w:rPr>
          <w:rtl/>
        </w:rPr>
        <w:t xml:space="preserve"> </w:t>
      </w:r>
      <w:r w:rsidR="00EA1D02" w:rsidRPr="00EA1D02">
        <w:rPr>
          <w:rtl/>
        </w:rPr>
        <w:t>نصت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المادة</w:t>
      </w:r>
      <w:r w:rsidR="004534DC">
        <w:rPr>
          <w:rtl/>
        </w:rPr>
        <w:t xml:space="preserve"> </w:t>
      </w:r>
      <w:r w:rsidR="00EA1D02" w:rsidRPr="00EA1D02">
        <w:rPr>
          <w:rtl/>
        </w:rPr>
        <w:t>(174)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أنه</w:t>
      </w:r>
      <w:r w:rsidR="004534DC">
        <w:rPr>
          <w:rtl/>
        </w:rPr>
        <w:t xml:space="preserve"> </w:t>
      </w:r>
      <w:r w:rsidR="00952391">
        <w:rPr>
          <w:rFonts w:hint="eastAsia"/>
          <w:rtl/>
        </w:rPr>
        <w:t>”</w:t>
      </w:r>
      <w:r w:rsidR="00EA1D02" w:rsidRPr="00EA1D02">
        <w:rPr>
          <w:rtl/>
        </w:rPr>
        <w:t>كل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أعطى</w:t>
      </w:r>
      <w:r w:rsidR="004534DC">
        <w:rPr>
          <w:rtl/>
        </w:rPr>
        <w:t xml:space="preserve"> </w:t>
      </w:r>
      <w:r w:rsidR="00C76FF5">
        <w:rPr>
          <w:rFonts w:hint="cs"/>
          <w:rtl/>
        </w:rPr>
        <w:t>-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تسبب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إعطاء</w:t>
      </w:r>
      <w:r w:rsidR="004534DC">
        <w:rPr>
          <w:rtl/>
        </w:rPr>
        <w:t xml:space="preserve"> </w:t>
      </w:r>
      <w:r w:rsidR="00EA1D02" w:rsidRPr="00EA1D02">
        <w:rPr>
          <w:rtl/>
        </w:rPr>
        <w:t>امرأة،</w:t>
      </w:r>
      <w:r w:rsidR="004534DC">
        <w:rPr>
          <w:rtl/>
        </w:rPr>
        <w:t xml:space="preserve"> </w:t>
      </w:r>
      <w:r w:rsidR="00EA1D02" w:rsidRPr="00EA1D02">
        <w:rPr>
          <w:rtl/>
        </w:rPr>
        <w:t>حاملا</w:t>
      </w:r>
      <w:r w:rsidR="004534DC">
        <w:rPr>
          <w:rtl/>
        </w:rPr>
        <w:t xml:space="preserve"> </w:t>
      </w:r>
      <w:r w:rsidR="00EA1D02" w:rsidRPr="00EA1D02">
        <w:rPr>
          <w:rtl/>
        </w:rPr>
        <w:t>كانت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غير</w:t>
      </w:r>
      <w:r w:rsidR="004534DC">
        <w:rPr>
          <w:rtl/>
        </w:rPr>
        <w:t xml:space="preserve"> </w:t>
      </w:r>
      <w:r w:rsidR="00EA1D02" w:rsidRPr="00EA1D02">
        <w:rPr>
          <w:rtl/>
        </w:rPr>
        <w:t>حامل</w:t>
      </w:r>
      <w:r w:rsidR="004534DC">
        <w:rPr>
          <w:rtl/>
        </w:rPr>
        <w:t xml:space="preserve">، </w:t>
      </w:r>
      <w:r w:rsidR="00EA1D02" w:rsidRPr="00EA1D02">
        <w:rPr>
          <w:rtl/>
        </w:rPr>
        <w:t>برضاها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بغير</w:t>
      </w:r>
      <w:r w:rsidR="004534DC">
        <w:rPr>
          <w:rtl/>
        </w:rPr>
        <w:t xml:space="preserve"> </w:t>
      </w:r>
      <w:r w:rsidR="00EA1D02" w:rsidRPr="00EA1D02">
        <w:rPr>
          <w:rtl/>
        </w:rPr>
        <w:t>رضاها</w:t>
      </w:r>
      <w:r w:rsidR="004534DC">
        <w:rPr>
          <w:rtl/>
        </w:rPr>
        <w:t xml:space="preserve"> </w:t>
      </w:r>
      <w:r w:rsidR="00EA1D02" w:rsidRPr="00EA1D02">
        <w:rPr>
          <w:rtl/>
        </w:rPr>
        <w:t>عقاقير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مواد</w:t>
      </w:r>
      <w:r w:rsidR="004534DC">
        <w:rPr>
          <w:rtl/>
        </w:rPr>
        <w:t xml:space="preserve"> </w:t>
      </w:r>
      <w:r w:rsidR="00EA1D02" w:rsidRPr="00EA1D02">
        <w:rPr>
          <w:rtl/>
        </w:rPr>
        <w:t>أخرى</w:t>
      </w:r>
      <w:r w:rsidR="004534DC">
        <w:rPr>
          <w:rtl/>
        </w:rPr>
        <w:t xml:space="preserve"> </w:t>
      </w:r>
      <w:r w:rsidR="00EA1D02" w:rsidRPr="00EA1D02">
        <w:rPr>
          <w:rtl/>
        </w:rPr>
        <w:t>مؤذية،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استعمل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القوة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أية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وسيلة</w:t>
      </w:r>
      <w:r w:rsidR="004534DC">
        <w:rPr>
          <w:rtl/>
        </w:rPr>
        <w:t xml:space="preserve"> </w:t>
      </w:r>
      <w:r w:rsidR="00EA1D02" w:rsidRPr="00EA1D02">
        <w:rPr>
          <w:rtl/>
        </w:rPr>
        <w:t>أخرى،</w:t>
      </w:r>
      <w:r w:rsidR="004534DC">
        <w:rPr>
          <w:rtl/>
        </w:rPr>
        <w:t xml:space="preserve"> </w:t>
      </w:r>
      <w:r w:rsidR="00EA1D02" w:rsidRPr="00EA1D02">
        <w:rPr>
          <w:rtl/>
        </w:rPr>
        <w:t>قاصدا</w:t>
      </w:r>
      <w:r w:rsidR="004534DC">
        <w:rPr>
          <w:rtl/>
        </w:rPr>
        <w:t xml:space="preserve"> </w:t>
      </w:r>
      <w:r w:rsidR="00EA1D02" w:rsidRPr="00EA1D02">
        <w:rPr>
          <w:rtl/>
        </w:rPr>
        <w:t>بذلك</w:t>
      </w:r>
      <w:r w:rsidR="004534DC">
        <w:rPr>
          <w:rtl/>
        </w:rPr>
        <w:t xml:space="preserve"> </w:t>
      </w:r>
      <w:r w:rsidR="00EA1D02" w:rsidRPr="00EA1D02">
        <w:rPr>
          <w:rtl/>
        </w:rPr>
        <w:t>اجهاضها،</w:t>
      </w:r>
      <w:r w:rsidR="004534DC">
        <w:rPr>
          <w:rtl/>
        </w:rPr>
        <w:t xml:space="preserve"> </w:t>
      </w:r>
      <w:r w:rsidR="00EA1D02" w:rsidRPr="00EA1D02">
        <w:rPr>
          <w:rtl/>
        </w:rPr>
        <w:t>يعاقب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بالحبس</w:t>
      </w:r>
      <w:r w:rsidR="004534DC">
        <w:rPr>
          <w:rtl/>
        </w:rPr>
        <w:t xml:space="preserve"> </w:t>
      </w:r>
      <w:r w:rsidR="00EA1D02" w:rsidRPr="00EA1D02">
        <w:rPr>
          <w:rtl/>
        </w:rPr>
        <w:t>مدة</w:t>
      </w:r>
      <w:r w:rsidR="004534DC">
        <w:rPr>
          <w:rtl/>
        </w:rPr>
        <w:t xml:space="preserve"> </w:t>
      </w:r>
      <w:r w:rsidR="00EA1D02" w:rsidRPr="00EA1D02">
        <w:rPr>
          <w:rtl/>
        </w:rPr>
        <w:t>لا</w:t>
      </w:r>
      <w:r w:rsidR="004534DC">
        <w:rPr>
          <w:rtl/>
        </w:rPr>
        <w:t xml:space="preserve"> </w:t>
      </w:r>
      <w:r w:rsidR="00EA1D02" w:rsidRPr="00EA1D02">
        <w:rPr>
          <w:rtl/>
        </w:rPr>
        <w:t>تجاوز</w:t>
      </w:r>
      <w:r w:rsidR="004534DC">
        <w:rPr>
          <w:rtl/>
        </w:rPr>
        <w:t xml:space="preserve"> </w:t>
      </w:r>
      <w:r w:rsidR="00EA1D02" w:rsidRPr="00EA1D02">
        <w:rPr>
          <w:rtl/>
        </w:rPr>
        <w:t>عشر</w:t>
      </w:r>
      <w:r w:rsidR="004534DC">
        <w:rPr>
          <w:rtl/>
        </w:rPr>
        <w:t xml:space="preserve"> </w:t>
      </w:r>
      <w:r w:rsidR="00EA1D02" w:rsidRPr="00EA1D02">
        <w:rPr>
          <w:rtl/>
        </w:rPr>
        <w:t>سنوات،</w:t>
      </w:r>
      <w:r w:rsidR="004534DC">
        <w:rPr>
          <w:rtl/>
        </w:rPr>
        <w:t xml:space="preserve"> </w:t>
      </w:r>
      <w:r w:rsidR="00EA1D02" w:rsidRPr="00EA1D02">
        <w:rPr>
          <w:rtl/>
        </w:rPr>
        <w:t>ويجوز</w:t>
      </w:r>
      <w:r w:rsidR="004534DC">
        <w:rPr>
          <w:rtl/>
        </w:rPr>
        <w:t xml:space="preserve"> </w:t>
      </w:r>
      <w:r w:rsidR="00EA1D02" w:rsidRPr="00EA1D02">
        <w:rPr>
          <w:rtl/>
        </w:rPr>
        <w:t>أن</w:t>
      </w:r>
      <w:r w:rsidR="004534DC">
        <w:rPr>
          <w:rtl/>
        </w:rPr>
        <w:t xml:space="preserve"> </w:t>
      </w:r>
      <w:r w:rsidR="00EA1D02" w:rsidRPr="00EA1D02">
        <w:rPr>
          <w:rtl/>
        </w:rPr>
        <w:t>تضاف</w:t>
      </w:r>
      <w:r w:rsidR="004534DC">
        <w:rPr>
          <w:rtl/>
        </w:rPr>
        <w:t xml:space="preserve"> </w:t>
      </w:r>
      <w:r w:rsidR="00EA1D02" w:rsidRPr="00EA1D02">
        <w:rPr>
          <w:rtl/>
        </w:rPr>
        <w:t>إليها</w:t>
      </w:r>
      <w:r w:rsidR="004534DC">
        <w:rPr>
          <w:rtl/>
        </w:rPr>
        <w:t xml:space="preserve"> </w:t>
      </w:r>
      <w:r w:rsidR="00EA1D02" w:rsidRPr="00EA1D02">
        <w:rPr>
          <w:rtl/>
        </w:rPr>
        <w:t>غرامة</w:t>
      </w:r>
      <w:r w:rsidR="004534DC">
        <w:rPr>
          <w:rtl/>
        </w:rPr>
        <w:t xml:space="preserve"> </w:t>
      </w:r>
      <w:r w:rsidR="00EA1D02" w:rsidRPr="00EA1D02">
        <w:rPr>
          <w:rtl/>
        </w:rPr>
        <w:t>لا</w:t>
      </w:r>
      <w:r w:rsidR="004534DC">
        <w:rPr>
          <w:rtl/>
        </w:rPr>
        <w:t xml:space="preserve"> </w:t>
      </w:r>
      <w:r w:rsidR="00EA1D02" w:rsidRPr="00EA1D02">
        <w:rPr>
          <w:rtl/>
        </w:rPr>
        <w:t>تجاوز</w:t>
      </w:r>
      <w:r w:rsidR="004534DC">
        <w:rPr>
          <w:rtl/>
        </w:rPr>
        <w:t xml:space="preserve"> </w:t>
      </w:r>
      <w:r w:rsidR="00EA1D02" w:rsidRPr="00EA1D02">
        <w:rPr>
          <w:rtl/>
        </w:rPr>
        <w:t>ألف</w:t>
      </w:r>
      <w:r w:rsidR="004534DC">
        <w:rPr>
          <w:rtl/>
        </w:rPr>
        <w:t xml:space="preserve"> </w:t>
      </w:r>
      <w:r w:rsidR="00EA1D02" w:rsidRPr="00EA1D02">
        <w:rPr>
          <w:rtl/>
        </w:rPr>
        <w:t>دينار...</w:t>
      </w:r>
      <w:r w:rsidR="00952391">
        <w:rPr>
          <w:rFonts w:hint="eastAsia"/>
          <w:rtl/>
        </w:rPr>
        <w:t>“</w:t>
      </w:r>
      <w:r w:rsidR="00EA1D02" w:rsidRPr="00EA1D02">
        <w:rPr>
          <w:rFonts w:hint="cs"/>
          <w:rtl/>
        </w:rPr>
        <w:t>.</w:t>
      </w:r>
    </w:p>
    <w:p w14:paraId="29B8C793" w14:textId="28D07FB2" w:rsidR="00EA1D02" w:rsidRPr="00EA1D02" w:rsidRDefault="005C3529" w:rsidP="005C3529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val="en-GB"/>
        </w:rPr>
      </w:pPr>
      <w:r>
        <w:rPr>
          <w:rtl/>
        </w:rPr>
        <w:tab/>
      </w:r>
      <w:r>
        <w:rPr>
          <w:rFonts w:hint="cs"/>
          <w:rtl/>
        </w:rPr>
        <w:t>•</w:t>
      </w:r>
      <w:r>
        <w:rPr>
          <w:rtl/>
        </w:rPr>
        <w:tab/>
      </w:r>
      <w:r w:rsidR="00EA1D02" w:rsidRPr="00EA1D02">
        <w:rPr>
          <w:rtl/>
        </w:rPr>
        <w:t>كما</w:t>
      </w:r>
      <w:r w:rsidR="004534DC">
        <w:rPr>
          <w:rtl/>
        </w:rPr>
        <w:t xml:space="preserve"> </w:t>
      </w:r>
      <w:r w:rsidR="00EA1D02" w:rsidRPr="00EA1D02">
        <w:rPr>
          <w:rtl/>
        </w:rPr>
        <w:t>تناولت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المواد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(178)</w:t>
      </w:r>
      <w:r w:rsidR="004534DC">
        <w:rPr>
          <w:rtl/>
        </w:rPr>
        <w:t xml:space="preserve"> </w:t>
      </w:r>
      <w:r w:rsidR="00EA1D02" w:rsidRPr="00EA1D02">
        <w:rPr>
          <w:rtl/>
        </w:rPr>
        <w:t>إلى</w:t>
      </w:r>
      <w:r w:rsidR="004534DC">
        <w:rPr>
          <w:rtl/>
        </w:rPr>
        <w:t xml:space="preserve"> </w:t>
      </w:r>
      <w:r w:rsidR="00EA1D02" w:rsidRPr="00EA1D02">
        <w:rPr>
          <w:rtl/>
        </w:rPr>
        <w:t>(185)،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بالتجريم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العقابي،</w:t>
      </w:r>
      <w:r w:rsidR="004534DC">
        <w:rPr>
          <w:rtl/>
        </w:rPr>
        <w:t xml:space="preserve"> </w:t>
      </w:r>
      <w:r w:rsidR="00EA1D02" w:rsidRPr="00EA1D02">
        <w:rPr>
          <w:rtl/>
        </w:rPr>
        <w:t>مسائل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الخطف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والاحتجاز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والإتجار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بالبشر.</w:t>
      </w:r>
      <w:r w:rsidR="004534DC">
        <w:rPr>
          <w:rtl/>
        </w:rPr>
        <w:t xml:space="preserve"> </w:t>
      </w:r>
    </w:p>
    <w:p w14:paraId="30CD14F1" w14:textId="5D2978C9" w:rsidR="00EA1D02" w:rsidRPr="00EA1D02" w:rsidRDefault="005C3529" w:rsidP="005C3529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val="en-GB"/>
        </w:rPr>
      </w:pPr>
      <w:r>
        <w:rPr>
          <w:rtl/>
        </w:rPr>
        <w:tab/>
      </w:r>
      <w:r>
        <w:rPr>
          <w:rFonts w:hint="cs"/>
          <w:rtl/>
        </w:rPr>
        <w:t>•</w:t>
      </w:r>
      <w:r>
        <w:rPr>
          <w:rtl/>
        </w:rPr>
        <w:tab/>
      </w:r>
      <w:r w:rsidR="00EA1D02" w:rsidRPr="00EA1D02">
        <w:rPr>
          <w:rtl/>
        </w:rPr>
        <w:t>وبشأن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العنف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الجنسي،</w:t>
      </w:r>
      <w:r w:rsidR="004534DC">
        <w:rPr>
          <w:rtl/>
        </w:rPr>
        <w:t xml:space="preserve"> </w:t>
      </w:r>
      <w:r w:rsidR="00EA1D02" w:rsidRPr="00EA1D02">
        <w:rPr>
          <w:rtl/>
        </w:rPr>
        <w:t>نصت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المادة</w:t>
      </w:r>
      <w:r w:rsidR="004534DC">
        <w:rPr>
          <w:rtl/>
        </w:rPr>
        <w:t xml:space="preserve"> </w:t>
      </w:r>
      <w:r w:rsidR="00EA1D02" w:rsidRPr="00EA1D02">
        <w:rPr>
          <w:rtl/>
        </w:rPr>
        <w:t>رقم</w:t>
      </w:r>
      <w:r w:rsidR="004534DC">
        <w:rPr>
          <w:rtl/>
        </w:rPr>
        <w:t xml:space="preserve"> </w:t>
      </w:r>
      <w:r w:rsidR="00EA1D02" w:rsidRPr="00EA1D02">
        <w:rPr>
          <w:rtl/>
        </w:rPr>
        <w:t>(186)،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أنه</w:t>
      </w:r>
      <w:r w:rsidR="004534DC">
        <w:rPr>
          <w:rtl/>
        </w:rPr>
        <w:t xml:space="preserve"> </w:t>
      </w:r>
      <w:r w:rsidR="00952391">
        <w:rPr>
          <w:rFonts w:hint="eastAsia"/>
          <w:rtl/>
        </w:rPr>
        <w:t>”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واقع</w:t>
      </w:r>
      <w:r w:rsidR="004534DC">
        <w:rPr>
          <w:rtl/>
        </w:rPr>
        <w:t xml:space="preserve"> </w:t>
      </w:r>
      <w:r w:rsidR="00EA1D02" w:rsidRPr="00EA1D02">
        <w:rPr>
          <w:rtl/>
        </w:rPr>
        <w:t>أنثى</w:t>
      </w:r>
      <w:r w:rsidR="004534DC">
        <w:rPr>
          <w:rtl/>
        </w:rPr>
        <w:t xml:space="preserve"> </w:t>
      </w:r>
      <w:r w:rsidR="00EA1D02" w:rsidRPr="00EA1D02">
        <w:rPr>
          <w:rtl/>
        </w:rPr>
        <w:t>بغير</w:t>
      </w:r>
      <w:r w:rsidR="004534DC">
        <w:rPr>
          <w:rtl/>
        </w:rPr>
        <w:t xml:space="preserve"> </w:t>
      </w:r>
      <w:r w:rsidR="00EA1D02" w:rsidRPr="00EA1D02">
        <w:rPr>
          <w:rtl/>
        </w:rPr>
        <w:t>رضاها،</w:t>
      </w:r>
      <w:r w:rsidR="004534DC">
        <w:rPr>
          <w:rtl/>
        </w:rPr>
        <w:t xml:space="preserve"> </w:t>
      </w:r>
      <w:r w:rsidR="00EA1D02" w:rsidRPr="00EA1D02">
        <w:rPr>
          <w:rtl/>
        </w:rPr>
        <w:t>سواء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بالإكراه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بالتهديد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بالحيلة،</w:t>
      </w:r>
      <w:r w:rsidR="004534DC">
        <w:rPr>
          <w:rtl/>
        </w:rPr>
        <w:t xml:space="preserve"> </w:t>
      </w:r>
      <w:r w:rsidR="00EA1D02" w:rsidRPr="00EA1D02">
        <w:rPr>
          <w:rtl/>
        </w:rPr>
        <w:t>يعاقب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بالإعدام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بالحبس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المؤبد...</w:t>
      </w:r>
      <w:r w:rsidR="00952391">
        <w:rPr>
          <w:rFonts w:hint="eastAsia"/>
          <w:rtl/>
        </w:rPr>
        <w:t>“</w:t>
      </w:r>
      <w:r w:rsidR="00EA1D02" w:rsidRPr="00EA1D02">
        <w:rPr>
          <w:rtl/>
        </w:rPr>
        <w:t>.</w:t>
      </w:r>
      <w:r w:rsidR="004534DC">
        <w:rPr>
          <w:rtl/>
        </w:rPr>
        <w:t xml:space="preserve"> </w:t>
      </w:r>
    </w:p>
    <w:p w14:paraId="46A9206A" w14:textId="3A7BC473" w:rsidR="00EA1D02" w:rsidRPr="00EA1D02" w:rsidRDefault="005C3529" w:rsidP="00EA1D02">
      <w:pPr>
        <w:pStyle w:val="SingleTxt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هذا</w:t>
      </w:r>
      <w:r w:rsidR="004534DC">
        <w:rPr>
          <w:rtl/>
        </w:rPr>
        <w:t xml:space="preserve"> </w:t>
      </w:r>
      <w:r w:rsidR="00EA1D02" w:rsidRPr="00EA1D02">
        <w:rPr>
          <w:rtl/>
        </w:rPr>
        <w:t>وقد</w:t>
      </w:r>
      <w:r w:rsidR="004534DC">
        <w:rPr>
          <w:rtl/>
        </w:rPr>
        <w:t xml:space="preserve"> </w:t>
      </w:r>
      <w:r w:rsidR="00EA1D02" w:rsidRPr="00EA1D02">
        <w:rPr>
          <w:rtl/>
        </w:rPr>
        <w:t>حرص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المشرع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الجزائي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مد</w:t>
      </w:r>
      <w:r w:rsidR="004534DC">
        <w:rPr>
          <w:rtl/>
        </w:rPr>
        <w:t xml:space="preserve"> </w:t>
      </w:r>
      <w:r w:rsidR="00EA1D02" w:rsidRPr="00EA1D02">
        <w:rPr>
          <w:rtl/>
        </w:rPr>
        <w:t>نطاق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الحماية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القانونية،</w:t>
      </w:r>
      <w:r w:rsidR="004534DC">
        <w:rPr>
          <w:rtl/>
        </w:rPr>
        <w:t xml:space="preserve"> </w:t>
      </w:r>
      <w:r w:rsidR="00EA1D02" w:rsidRPr="00EA1D02">
        <w:rPr>
          <w:rtl/>
        </w:rPr>
        <w:t>إلى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المرأة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التي</w:t>
      </w:r>
      <w:r w:rsidR="004534DC">
        <w:rPr>
          <w:rtl/>
        </w:rPr>
        <w:t xml:space="preserve"> </w:t>
      </w:r>
      <w:r w:rsidR="00EA1D02" w:rsidRPr="00EA1D02">
        <w:rPr>
          <w:rtl/>
        </w:rPr>
        <w:t>تعتريها</w:t>
      </w:r>
      <w:r w:rsidR="004534DC">
        <w:rPr>
          <w:rtl/>
        </w:rPr>
        <w:t xml:space="preserve"> </w:t>
      </w:r>
      <w:r w:rsidR="00EA1D02" w:rsidRPr="00EA1D02">
        <w:rPr>
          <w:rtl/>
        </w:rPr>
        <w:t>عاهة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w w:val="98"/>
          <w:rtl/>
        </w:rPr>
        <w:t>العقل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للجنون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أو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العته،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أو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لكونها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دون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الخامسة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عشرة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أو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معدومة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الإرادة،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حيث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نصت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المادة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(187)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من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قانون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الجزاء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الكويتي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على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أنه</w:t>
      </w:r>
      <w:r w:rsidR="004534DC" w:rsidRPr="003319C2">
        <w:rPr>
          <w:w w:val="98"/>
          <w:rtl/>
        </w:rPr>
        <w:t xml:space="preserve"> </w:t>
      </w:r>
      <w:r w:rsidR="00952391" w:rsidRPr="003319C2">
        <w:rPr>
          <w:rFonts w:hint="eastAsia"/>
          <w:w w:val="98"/>
          <w:rtl/>
        </w:rPr>
        <w:t>”</w:t>
      </w:r>
      <w:r w:rsidR="00EA1D02" w:rsidRPr="00EA1D02">
        <w:rPr>
          <w:w w:val="98"/>
          <w:rtl/>
        </w:rPr>
        <w:t>من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واقع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أنثى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بغير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إكراه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أو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تهديد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أو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حيلة،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وهو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يعلم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أنها</w:t>
      </w:r>
      <w:r w:rsidR="004534DC" w:rsidRPr="003319C2">
        <w:rPr>
          <w:w w:val="98"/>
          <w:rtl/>
        </w:rPr>
        <w:t xml:space="preserve"> </w:t>
      </w:r>
      <w:bookmarkStart w:id="1" w:name="_Hlk17963538"/>
      <w:r w:rsidR="00EA1D02" w:rsidRPr="00EA1D02">
        <w:rPr>
          <w:w w:val="98"/>
          <w:rtl/>
        </w:rPr>
        <w:t>مجنونة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أو</w:t>
      </w:r>
      <w:r w:rsidR="003319C2" w:rsidRPr="003319C2">
        <w:rPr>
          <w:rFonts w:hint="cs"/>
          <w:w w:val="98"/>
          <w:rtl/>
        </w:rPr>
        <w:t> </w:t>
      </w:r>
      <w:r w:rsidR="00EA1D02" w:rsidRPr="00EA1D02">
        <w:rPr>
          <w:w w:val="98"/>
          <w:rtl/>
        </w:rPr>
        <w:t>معتوهة</w:t>
      </w:r>
      <w:r w:rsidR="004534DC" w:rsidRPr="003319C2">
        <w:rPr>
          <w:w w:val="98"/>
          <w:rtl/>
        </w:rPr>
        <w:t xml:space="preserve"> </w:t>
      </w:r>
      <w:bookmarkEnd w:id="1"/>
      <w:r w:rsidR="00EA1D02" w:rsidRPr="00EA1D02">
        <w:rPr>
          <w:w w:val="98"/>
          <w:rtl/>
        </w:rPr>
        <w:t>أو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دون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الخامسة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عشرة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أو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معدومة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الإرادة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لأي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سبب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آخر،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أو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أنها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لا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تعرف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طبيعة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الفعل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الذي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تتعرض</w:t>
      </w:r>
      <w:r w:rsidR="004534DC" w:rsidRPr="003319C2">
        <w:rPr>
          <w:w w:val="98"/>
          <w:rtl/>
        </w:rPr>
        <w:t xml:space="preserve"> </w:t>
      </w:r>
      <w:r w:rsidR="00EA1D02" w:rsidRPr="00EA1D02">
        <w:rPr>
          <w:w w:val="98"/>
          <w:rtl/>
        </w:rPr>
        <w:t>له</w:t>
      </w:r>
      <w:r w:rsidR="00EA1D02" w:rsidRPr="00EA1D02">
        <w:rPr>
          <w:rtl/>
        </w:rPr>
        <w:t>،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أنها</w:t>
      </w:r>
      <w:r w:rsidR="004534DC">
        <w:rPr>
          <w:rtl/>
        </w:rPr>
        <w:t xml:space="preserve"> </w:t>
      </w:r>
      <w:r w:rsidR="00EA1D02" w:rsidRPr="00EA1D02">
        <w:rPr>
          <w:rtl/>
        </w:rPr>
        <w:t>تعتقد</w:t>
      </w:r>
      <w:r w:rsidR="004534DC">
        <w:rPr>
          <w:rtl/>
        </w:rPr>
        <w:t xml:space="preserve"> </w:t>
      </w:r>
      <w:r w:rsidR="00EA1D02" w:rsidRPr="00EA1D02">
        <w:rPr>
          <w:rtl/>
        </w:rPr>
        <w:t>شرعيته،</w:t>
      </w:r>
      <w:r w:rsidR="004534DC">
        <w:rPr>
          <w:rtl/>
        </w:rPr>
        <w:t xml:space="preserve"> </w:t>
      </w:r>
      <w:r w:rsidR="00EA1D02" w:rsidRPr="00EA1D02">
        <w:rPr>
          <w:rtl/>
        </w:rPr>
        <w:t>يعاقب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بالحبس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المؤبد</w:t>
      </w:r>
      <w:r w:rsidR="00EA1D02" w:rsidRPr="00EA1D02">
        <w:rPr>
          <w:lang w:val="en-GB"/>
        </w:rPr>
        <w:t>.</w:t>
      </w:r>
      <w:r w:rsidR="00EA1D02" w:rsidRPr="00EA1D02">
        <w:rPr>
          <w:rtl/>
        </w:rPr>
        <w:t>..</w:t>
      </w:r>
      <w:r w:rsidR="00952391">
        <w:rPr>
          <w:rFonts w:hint="eastAsia"/>
          <w:rtl/>
        </w:rPr>
        <w:t>“</w:t>
      </w:r>
      <w:r w:rsidR="004534DC">
        <w:rPr>
          <w:rtl/>
        </w:rPr>
        <w:t xml:space="preserve"> </w:t>
      </w:r>
      <w:r w:rsidR="00EA1D02" w:rsidRPr="00EA1D02">
        <w:rPr>
          <w:rtl/>
        </w:rPr>
        <w:t>وهكذا</w:t>
      </w:r>
      <w:r w:rsidR="004534DC">
        <w:rPr>
          <w:rtl/>
        </w:rPr>
        <w:t xml:space="preserve"> </w:t>
      </w:r>
      <w:r w:rsidR="00EA1D02" w:rsidRPr="00EA1D02">
        <w:rPr>
          <w:rtl/>
        </w:rPr>
        <w:t>أيضاً</w:t>
      </w:r>
      <w:r w:rsidR="004534DC">
        <w:rPr>
          <w:rtl/>
        </w:rPr>
        <w:t xml:space="preserve"> </w:t>
      </w:r>
      <w:r w:rsidR="00EA1D02" w:rsidRPr="00EA1D02">
        <w:rPr>
          <w:rtl/>
        </w:rPr>
        <w:t>جاءت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المادة</w:t>
      </w:r>
      <w:r w:rsidR="004534DC">
        <w:rPr>
          <w:rtl/>
        </w:rPr>
        <w:t xml:space="preserve"> </w:t>
      </w:r>
      <w:r w:rsidR="00EA1D02" w:rsidRPr="00EA1D02">
        <w:rPr>
          <w:rtl/>
        </w:rPr>
        <w:t>رقم</w:t>
      </w:r>
      <w:r w:rsidR="004534DC">
        <w:rPr>
          <w:rtl/>
        </w:rPr>
        <w:t xml:space="preserve"> </w:t>
      </w:r>
      <w:r w:rsidR="00EA1D02" w:rsidRPr="00EA1D02">
        <w:rPr>
          <w:rtl/>
        </w:rPr>
        <w:t>(191)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والتي</w:t>
      </w:r>
      <w:r w:rsidR="004534DC">
        <w:rPr>
          <w:rtl/>
        </w:rPr>
        <w:t xml:space="preserve"> </w:t>
      </w:r>
      <w:r w:rsidR="00EA1D02" w:rsidRPr="00EA1D02">
        <w:rPr>
          <w:rtl/>
        </w:rPr>
        <w:t>نصت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952391">
        <w:rPr>
          <w:rFonts w:hint="eastAsia"/>
          <w:rtl/>
        </w:rPr>
        <w:t>”</w:t>
      </w:r>
      <w:r w:rsidR="00EA1D02" w:rsidRPr="00EA1D02">
        <w:rPr>
          <w:rtl/>
        </w:rPr>
        <w:t>كل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هتك</w:t>
      </w:r>
      <w:r w:rsidR="004534DC">
        <w:rPr>
          <w:rtl/>
        </w:rPr>
        <w:t xml:space="preserve"> </w:t>
      </w:r>
      <w:r w:rsidR="00EA1D02" w:rsidRPr="00EA1D02">
        <w:rPr>
          <w:rtl/>
        </w:rPr>
        <w:t>عرض</w:t>
      </w:r>
      <w:r w:rsidR="004534DC">
        <w:rPr>
          <w:rtl/>
        </w:rPr>
        <w:t xml:space="preserve"> </w:t>
      </w:r>
      <w:r w:rsidR="00EA1D02" w:rsidRPr="00EA1D02">
        <w:rPr>
          <w:rtl/>
        </w:rPr>
        <w:t>إنسان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بالإكراه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بالتهديد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بالحيلة</w:t>
      </w:r>
      <w:r w:rsidR="004534DC">
        <w:rPr>
          <w:rtl/>
        </w:rPr>
        <w:t xml:space="preserve"> </w:t>
      </w:r>
      <w:r w:rsidR="00EA1D02" w:rsidRPr="00EA1D02">
        <w:rPr>
          <w:rtl/>
        </w:rPr>
        <w:t>يعاقب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بالحبس</w:t>
      </w:r>
      <w:r w:rsidR="004534DC">
        <w:rPr>
          <w:rtl/>
        </w:rPr>
        <w:t xml:space="preserve"> </w:t>
      </w:r>
      <w:r w:rsidR="00EA1D02" w:rsidRPr="00EA1D02">
        <w:rPr>
          <w:rtl/>
        </w:rPr>
        <w:t>مدة</w:t>
      </w:r>
      <w:r w:rsidR="004534DC">
        <w:rPr>
          <w:rtl/>
        </w:rPr>
        <w:t xml:space="preserve"> </w:t>
      </w:r>
      <w:r w:rsidR="00EA1D02" w:rsidRPr="00EA1D02">
        <w:rPr>
          <w:rtl/>
        </w:rPr>
        <w:t>لا</w:t>
      </w:r>
      <w:r w:rsidR="004534DC">
        <w:rPr>
          <w:rtl/>
        </w:rPr>
        <w:t xml:space="preserve"> </w:t>
      </w:r>
      <w:r w:rsidR="00EA1D02" w:rsidRPr="00EA1D02">
        <w:rPr>
          <w:rtl/>
        </w:rPr>
        <w:t>تجاوز</w:t>
      </w:r>
      <w:r w:rsidR="004534DC">
        <w:rPr>
          <w:rtl/>
        </w:rPr>
        <w:t xml:space="preserve"> </w:t>
      </w:r>
      <w:r w:rsidR="00EA1D02" w:rsidRPr="00EA1D02">
        <w:rPr>
          <w:rtl/>
        </w:rPr>
        <w:t>خمس</w:t>
      </w:r>
      <w:r w:rsidR="004534DC">
        <w:rPr>
          <w:rtl/>
        </w:rPr>
        <w:t xml:space="preserve"> </w:t>
      </w:r>
      <w:r w:rsidR="00EA1D02" w:rsidRPr="00EA1D02">
        <w:rPr>
          <w:rtl/>
        </w:rPr>
        <w:t>عشرة</w:t>
      </w:r>
      <w:r w:rsidR="004534DC">
        <w:rPr>
          <w:rtl/>
        </w:rPr>
        <w:t xml:space="preserve"> </w:t>
      </w:r>
      <w:r w:rsidR="00EA1D02" w:rsidRPr="00EA1D02">
        <w:rPr>
          <w:rtl/>
        </w:rPr>
        <w:t>سنة.</w:t>
      </w:r>
      <w:r w:rsidR="004534DC">
        <w:rPr>
          <w:rFonts w:hint="cs"/>
          <w:rtl/>
        </w:rPr>
        <w:t xml:space="preserve"> </w:t>
      </w:r>
      <w:r w:rsidR="00EA1D02" w:rsidRPr="00EA1D02">
        <w:rPr>
          <w:rtl/>
        </w:rPr>
        <w:t>إذا</w:t>
      </w:r>
      <w:r w:rsidR="004534DC">
        <w:rPr>
          <w:rtl/>
        </w:rPr>
        <w:t xml:space="preserve"> </w:t>
      </w:r>
      <w:r w:rsidR="00EA1D02" w:rsidRPr="00EA1D02">
        <w:rPr>
          <w:rtl/>
        </w:rPr>
        <w:t>كان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الجاني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أصول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المجني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عليه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المتولين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تربيته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رعايته،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ممن</w:t>
      </w:r>
      <w:r w:rsidR="004534DC">
        <w:rPr>
          <w:rtl/>
        </w:rPr>
        <w:t xml:space="preserve"> </w:t>
      </w:r>
      <w:r w:rsidR="00EA1D02" w:rsidRPr="00EA1D02">
        <w:rPr>
          <w:rtl/>
        </w:rPr>
        <w:t>لهم</w:t>
      </w:r>
      <w:r w:rsidR="004534DC">
        <w:rPr>
          <w:rtl/>
        </w:rPr>
        <w:t xml:space="preserve"> </w:t>
      </w:r>
      <w:r w:rsidR="00EA1D02" w:rsidRPr="00EA1D02">
        <w:rPr>
          <w:rtl/>
        </w:rPr>
        <w:t>سلطة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عليه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كان</w:t>
      </w:r>
      <w:r w:rsidR="004534DC">
        <w:rPr>
          <w:rtl/>
        </w:rPr>
        <w:t xml:space="preserve"> </w:t>
      </w:r>
      <w:r w:rsidR="00EA1D02" w:rsidRPr="00EA1D02">
        <w:rPr>
          <w:rtl/>
        </w:rPr>
        <w:t>خادما</w:t>
      </w:r>
      <w:r w:rsidR="004534DC">
        <w:rPr>
          <w:rtl/>
        </w:rPr>
        <w:t xml:space="preserve"> </w:t>
      </w:r>
      <w:r w:rsidR="00EA1D02" w:rsidRPr="00EA1D02">
        <w:rPr>
          <w:rtl/>
        </w:rPr>
        <w:t>عنده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عند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تقدم</w:t>
      </w:r>
      <w:r w:rsidR="004534DC">
        <w:rPr>
          <w:rtl/>
        </w:rPr>
        <w:t xml:space="preserve"> </w:t>
      </w:r>
      <w:r w:rsidR="00EA1D02" w:rsidRPr="00EA1D02">
        <w:rPr>
          <w:rtl/>
        </w:rPr>
        <w:t>ذكرهم،</w:t>
      </w:r>
      <w:r w:rsidR="004534DC">
        <w:rPr>
          <w:rtl/>
        </w:rPr>
        <w:t xml:space="preserve"> </w:t>
      </w:r>
      <w:r w:rsidR="00EA1D02" w:rsidRPr="00EA1D02">
        <w:rPr>
          <w:rtl/>
        </w:rPr>
        <w:t>كانت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العقوبة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الحبس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المؤبد</w:t>
      </w:r>
      <w:r w:rsidR="00EA1D02" w:rsidRPr="00EA1D02">
        <w:rPr>
          <w:lang w:val="en-GB"/>
        </w:rPr>
        <w:t>.</w:t>
      </w:r>
      <w:r w:rsidR="004534DC">
        <w:rPr>
          <w:rFonts w:hint="cs"/>
          <w:rtl/>
        </w:rPr>
        <w:t xml:space="preserve"> </w:t>
      </w:r>
      <w:r w:rsidR="00EA1D02" w:rsidRPr="00EA1D02">
        <w:rPr>
          <w:rtl/>
        </w:rPr>
        <w:t>يحكم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بالعقوبات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السابقة</w:t>
      </w:r>
      <w:r w:rsidR="004534DC">
        <w:rPr>
          <w:rtl/>
        </w:rPr>
        <w:t xml:space="preserve"> </w:t>
      </w:r>
      <w:r w:rsidR="00EA1D02" w:rsidRPr="00EA1D02">
        <w:rPr>
          <w:rtl/>
        </w:rPr>
        <w:t>اذا</w:t>
      </w:r>
      <w:r w:rsidR="004534DC">
        <w:rPr>
          <w:rtl/>
        </w:rPr>
        <w:t xml:space="preserve"> </w:t>
      </w:r>
      <w:r w:rsidR="00EA1D02" w:rsidRPr="00EA1D02">
        <w:rPr>
          <w:rtl/>
        </w:rPr>
        <w:t>كان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المجني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عليه</w:t>
      </w:r>
      <w:r w:rsidR="004534DC">
        <w:rPr>
          <w:rtl/>
        </w:rPr>
        <w:t xml:space="preserve"> </w:t>
      </w:r>
      <w:r w:rsidR="00EA1D02" w:rsidRPr="00EA1D02">
        <w:rPr>
          <w:rtl/>
        </w:rPr>
        <w:t>معدوم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الإرادة</w:t>
      </w:r>
      <w:r w:rsidR="004534DC">
        <w:rPr>
          <w:rtl/>
        </w:rPr>
        <w:t xml:space="preserve"> </w:t>
      </w:r>
      <w:r w:rsidR="00EA1D02" w:rsidRPr="00EA1D02">
        <w:rPr>
          <w:rtl/>
        </w:rPr>
        <w:t>لصغر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لجنون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لعته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كان</w:t>
      </w:r>
      <w:r w:rsidR="004534DC">
        <w:rPr>
          <w:rtl/>
        </w:rPr>
        <w:t xml:space="preserve"> </w:t>
      </w:r>
      <w:r w:rsidR="00EA1D02" w:rsidRPr="00EA1D02">
        <w:rPr>
          <w:rtl/>
        </w:rPr>
        <w:t>غير</w:t>
      </w:r>
      <w:r w:rsidR="004534DC">
        <w:rPr>
          <w:rtl/>
        </w:rPr>
        <w:t xml:space="preserve"> </w:t>
      </w:r>
      <w:r w:rsidR="00EA1D02" w:rsidRPr="00EA1D02">
        <w:rPr>
          <w:rtl/>
        </w:rPr>
        <w:t>مدرك</w:t>
      </w:r>
      <w:r w:rsidR="004534DC">
        <w:rPr>
          <w:rtl/>
        </w:rPr>
        <w:t xml:space="preserve"> </w:t>
      </w:r>
      <w:r w:rsidR="00EA1D02" w:rsidRPr="00EA1D02">
        <w:rPr>
          <w:rtl/>
        </w:rPr>
        <w:t>طبيعة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الفعل،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معتقدا</w:t>
      </w:r>
      <w:r w:rsidR="004534DC">
        <w:rPr>
          <w:rtl/>
        </w:rPr>
        <w:t xml:space="preserve"> </w:t>
      </w:r>
      <w:r w:rsidR="00EA1D02" w:rsidRPr="00EA1D02">
        <w:rPr>
          <w:rtl/>
        </w:rPr>
        <w:t>شرعيته،</w:t>
      </w:r>
      <w:r w:rsidR="004534DC">
        <w:rPr>
          <w:rtl/>
        </w:rPr>
        <w:t xml:space="preserve"> </w:t>
      </w:r>
      <w:r w:rsidR="00EA1D02" w:rsidRPr="00EA1D02">
        <w:rPr>
          <w:rtl/>
        </w:rPr>
        <w:t>ولو</w:t>
      </w:r>
      <w:r w:rsidR="00E27201">
        <w:rPr>
          <w:rFonts w:hint="cs"/>
          <w:rtl/>
        </w:rPr>
        <w:t> </w:t>
      </w:r>
      <w:r w:rsidR="00EA1D02" w:rsidRPr="00EA1D02">
        <w:rPr>
          <w:rtl/>
        </w:rPr>
        <w:t>ارتكب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الفعل</w:t>
      </w:r>
      <w:r w:rsidR="004534DC">
        <w:rPr>
          <w:rtl/>
        </w:rPr>
        <w:t xml:space="preserve"> </w:t>
      </w:r>
      <w:r w:rsidR="00EA1D02" w:rsidRPr="00EA1D02">
        <w:rPr>
          <w:rtl/>
        </w:rPr>
        <w:t>بغير</w:t>
      </w:r>
      <w:r w:rsidR="004534DC">
        <w:rPr>
          <w:rtl/>
        </w:rPr>
        <w:t xml:space="preserve"> </w:t>
      </w:r>
      <w:r w:rsidR="00EA1D02" w:rsidRPr="00EA1D02">
        <w:rPr>
          <w:rtl/>
        </w:rPr>
        <w:t>إكراه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تهديد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حيلة</w:t>
      </w:r>
      <w:r w:rsidR="00952391">
        <w:rPr>
          <w:rFonts w:hint="eastAsia"/>
          <w:rtl/>
        </w:rPr>
        <w:t>“</w:t>
      </w:r>
      <w:r w:rsidR="00EA1D02" w:rsidRPr="00EA1D02">
        <w:rPr>
          <w:lang w:val="en-GB"/>
        </w:rPr>
        <w:t>.</w:t>
      </w:r>
      <w:r w:rsidR="004534DC">
        <w:rPr>
          <w:rFonts w:hint="cs"/>
          <w:rtl/>
        </w:rPr>
        <w:t xml:space="preserve"> </w:t>
      </w:r>
      <w:r w:rsidR="00EA1D02" w:rsidRPr="00EA1D02">
        <w:rPr>
          <w:rtl/>
        </w:rPr>
        <w:t>ولإعلاء</w:t>
      </w:r>
      <w:r w:rsidR="004534DC">
        <w:rPr>
          <w:rtl/>
        </w:rPr>
        <w:t xml:space="preserve"> </w:t>
      </w:r>
      <w:r w:rsidR="00EA1D02" w:rsidRPr="00EA1D02">
        <w:rPr>
          <w:rtl/>
        </w:rPr>
        <w:t>كرامة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المرأة</w:t>
      </w:r>
      <w:r w:rsidR="004534DC">
        <w:rPr>
          <w:rtl/>
        </w:rPr>
        <w:t xml:space="preserve"> </w:t>
      </w:r>
      <w:r w:rsidR="00CD7085">
        <w:rPr>
          <w:rFonts w:hint="cs"/>
          <w:rtl/>
        </w:rPr>
        <w:t>-</w:t>
      </w:r>
      <w:r w:rsidR="004534DC">
        <w:rPr>
          <w:rtl/>
        </w:rPr>
        <w:t xml:space="preserve"> </w:t>
      </w:r>
      <w:r w:rsidR="00EA1D02" w:rsidRPr="00EA1D02">
        <w:rPr>
          <w:rtl/>
        </w:rPr>
        <w:t>إنسانياً</w:t>
      </w:r>
      <w:r w:rsidR="004534DC">
        <w:rPr>
          <w:rFonts w:hint="cs"/>
          <w:rtl/>
        </w:rPr>
        <w:t xml:space="preserve"> </w:t>
      </w:r>
      <w:r w:rsidR="00EA1D02" w:rsidRPr="00EA1D02">
        <w:rPr>
          <w:rtl/>
        </w:rPr>
        <w:t>-</w:t>
      </w:r>
      <w:r w:rsidR="004534DC">
        <w:rPr>
          <w:rtl/>
        </w:rPr>
        <w:t xml:space="preserve"> </w:t>
      </w:r>
      <w:r w:rsidR="00EA1D02" w:rsidRPr="00EA1D02">
        <w:rPr>
          <w:rtl/>
        </w:rPr>
        <w:t>داخل</w:t>
      </w:r>
      <w:r w:rsidR="004534DC">
        <w:rPr>
          <w:rtl/>
        </w:rPr>
        <w:t xml:space="preserve"> </w:t>
      </w:r>
      <w:r w:rsidR="00EA1D02" w:rsidRPr="00EA1D02">
        <w:rPr>
          <w:rtl/>
        </w:rPr>
        <w:t>دولة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الكويت،</w:t>
      </w:r>
      <w:r w:rsidR="004534DC">
        <w:rPr>
          <w:rtl/>
        </w:rPr>
        <w:t xml:space="preserve"> </w:t>
      </w:r>
      <w:r w:rsidR="00EA1D02" w:rsidRPr="00EA1D02">
        <w:rPr>
          <w:rtl/>
        </w:rPr>
        <w:t>تضمن</w:t>
      </w:r>
      <w:r w:rsidR="004534DC">
        <w:rPr>
          <w:rtl/>
        </w:rPr>
        <w:t xml:space="preserve"> </w:t>
      </w:r>
      <w:r w:rsidR="00EA1D02" w:rsidRPr="00EA1D02">
        <w:rPr>
          <w:rtl/>
        </w:rPr>
        <w:t>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الإجراءات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الجزائية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الكويتي</w:t>
      </w:r>
      <w:r w:rsidR="004534DC">
        <w:rPr>
          <w:rtl/>
        </w:rPr>
        <w:t xml:space="preserve"> </w:t>
      </w:r>
      <w:r w:rsidR="00EA1D02" w:rsidRPr="00EA1D02">
        <w:rPr>
          <w:rtl/>
        </w:rPr>
        <w:t>(17</w:t>
      </w:r>
      <w:r w:rsidR="004534DC">
        <w:rPr>
          <w:rtl/>
        </w:rPr>
        <w:t xml:space="preserve"> </w:t>
      </w:r>
      <w:r w:rsidR="00EA1D02" w:rsidRPr="00EA1D02">
        <w:rPr>
          <w:rtl/>
        </w:rPr>
        <w:t>رقم</w:t>
      </w:r>
      <w:r w:rsidR="004534DC">
        <w:rPr>
          <w:rtl/>
        </w:rPr>
        <w:t xml:space="preserve"> </w:t>
      </w:r>
      <w:r w:rsidR="00EA1D02" w:rsidRPr="00EA1D02">
        <w:rPr>
          <w:rtl/>
        </w:rPr>
        <w:t>لسنة</w:t>
      </w:r>
      <w:r w:rsidR="004534DC">
        <w:rPr>
          <w:rtl/>
        </w:rPr>
        <w:t xml:space="preserve"> </w:t>
      </w:r>
      <w:r w:rsidR="00EA1D02" w:rsidRPr="00EA1D02">
        <w:rPr>
          <w:rtl/>
        </w:rPr>
        <w:t>1960)،</w:t>
      </w:r>
      <w:r w:rsidR="004534DC">
        <w:rPr>
          <w:rtl/>
        </w:rPr>
        <w:t xml:space="preserve"> </w:t>
      </w:r>
      <w:r w:rsidR="00EA1D02" w:rsidRPr="00EA1D02">
        <w:rPr>
          <w:rtl/>
        </w:rPr>
        <w:t>نصوصاً</w:t>
      </w:r>
      <w:r w:rsidR="004534DC">
        <w:rPr>
          <w:rtl/>
        </w:rPr>
        <w:t xml:space="preserve"> </w:t>
      </w:r>
      <w:r w:rsidR="00EA1D02" w:rsidRPr="00EA1D02">
        <w:rPr>
          <w:rtl/>
        </w:rPr>
        <w:t>تؤكد</w:t>
      </w:r>
      <w:r w:rsidR="004534DC">
        <w:rPr>
          <w:rtl/>
        </w:rPr>
        <w:t xml:space="preserve"> </w:t>
      </w:r>
      <w:r w:rsidR="00EA1D02" w:rsidRPr="00EA1D02">
        <w:rPr>
          <w:rtl/>
        </w:rPr>
        <w:t>هذا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المعنى،</w:t>
      </w:r>
      <w:r w:rsidR="004534DC">
        <w:rPr>
          <w:rtl/>
        </w:rPr>
        <w:t xml:space="preserve"> </w:t>
      </w:r>
      <w:r w:rsidR="00EA1D02" w:rsidRPr="00EA1D02">
        <w:rPr>
          <w:rtl/>
        </w:rPr>
        <w:t>ومن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ذلك:</w:t>
      </w:r>
      <w:r w:rsidR="004534DC">
        <w:rPr>
          <w:rtl/>
        </w:rPr>
        <w:t xml:space="preserve"> </w:t>
      </w:r>
    </w:p>
    <w:p w14:paraId="614D6B8E" w14:textId="75D98A8C" w:rsidR="00EA1D02" w:rsidRPr="00EA1D02" w:rsidRDefault="00301EA3" w:rsidP="00301EA3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lang w:val="en-GB"/>
        </w:rPr>
      </w:pPr>
      <w:r>
        <w:rPr>
          <w:rtl/>
        </w:rPr>
        <w:lastRenderedPageBreak/>
        <w:tab/>
      </w:r>
      <w:r>
        <w:rPr>
          <w:rFonts w:hint="cs"/>
          <w:rtl/>
        </w:rPr>
        <w:t>•</w:t>
      </w:r>
      <w:r>
        <w:rPr>
          <w:rtl/>
        </w:rPr>
        <w:tab/>
      </w:r>
      <w:r w:rsidR="00EA1D02" w:rsidRPr="00EA1D02">
        <w:rPr>
          <w:rtl/>
        </w:rPr>
        <w:t>المادة</w:t>
      </w:r>
      <w:r w:rsidR="004534DC">
        <w:rPr>
          <w:rtl/>
        </w:rPr>
        <w:t xml:space="preserve"> </w:t>
      </w:r>
      <w:r w:rsidR="00EA1D02" w:rsidRPr="00EA1D02">
        <w:rPr>
          <w:rtl/>
        </w:rPr>
        <w:t>رقم</w:t>
      </w:r>
      <w:r w:rsidR="004534DC">
        <w:rPr>
          <w:rtl/>
        </w:rPr>
        <w:t xml:space="preserve"> </w:t>
      </w:r>
      <w:r w:rsidR="00EA1D02" w:rsidRPr="00EA1D02">
        <w:rPr>
          <w:rtl/>
        </w:rPr>
        <w:t>(82)،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والتي</w:t>
      </w:r>
      <w:r w:rsidR="004534DC">
        <w:rPr>
          <w:rtl/>
        </w:rPr>
        <w:t xml:space="preserve"> </w:t>
      </w:r>
      <w:r w:rsidR="00EA1D02" w:rsidRPr="00EA1D02">
        <w:rPr>
          <w:rtl/>
        </w:rPr>
        <w:t>جاءت</w:t>
      </w:r>
      <w:r w:rsidR="004534DC">
        <w:rPr>
          <w:rtl/>
        </w:rPr>
        <w:t xml:space="preserve"> </w:t>
      </w:r>
      <w:r w:rsidR="00EA1D02" w:rsidRPr="00EA1D02">
        <w:rPr>
          <w:rtl/>
        </w:rPr>
        <w:t>لتنص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أنه</w:t>
      </w:r>
      <w:r w:rsidR="004534DC">
        <w:rPr>
          <w:rtl/>
        </w:rPr>
        <w:t xml:space="preserve"> </w:t>
      </w:r>
      <w:r w:rsidR="00952391">
        <w:rPr>
          <w:rFonts w:hint="eastAsia"/>
          <w:rtl/>
        </w:rPr>
        <w:t>”</w:t>
      </w:r>
      <w:r w:rsidR="00EA1D02" w:rsidRPr="00EA1D02">
        <w:rPr>
          <w:rtl/>
        </w:rPr>
        <w:t>تفتيش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النساء</w:t>
      </w:r>
      <w:r w:rsidR="004534DC">
        <w:rPr>
          <w:rtl/>
        </w:rPr>
        <w:t xml:space="preserve"> </w:t>
      </w:r>
      <w:r w:rsidR="00EA1D02" w:rsidRPr="00EA1D02">
        <w:rPr>
          <w:rtl/>
        </w:rPr>
        <w:t>يجب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جميع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الأحوال</w:t>
      </w:r>
      <w:r w:rsidR="004534DC">
        <w:rPr>
          <w:rtl/>
        </w:rPr>
        <w:t xml:space="preserve"> </w:t>
      </w:r>
      <w:r w:rsidR="00EA1D02" w:rsidRPr="00EA1D02">
        <w:rPr>
          <w:rtl/>
        </w:rPr>
        <w:t>أن</w:t>
      </w:r>
      <w:r w:rsidR="004534DC">
        <w:rPr>
          <w:rtl/>
        </w:rPr>
        <w:t xml:space="preserve"> </w:t>
      </w:r>
      <w:r w:rsidR="00EA1D02" w:rsidRPr="00EA1D02">
        <w:rPr>
          <w:rtl/>
        </w:rPr>
        <w:t>تقوم</w:t>
      </w:r>
      <w:r w:rsidR="004534DC">
        <w:rPr>
          <w:rtl/>
        </w:rPr>
        <w:t xml:space="preserve"> </w:t>
      </w:r>
      <w:r w:rsidR="00EA1D02" w:rsidRPr="00EA1D02">
        <w:rPr>
          <w:rtl/>
        </w:rPr>
        <w:t>به</w:t>
      </w:r>
      <w:r w:rsidR="004534DC">
        <w:rPr>
          <w:rtl/>
        </w:rPr>
        <w:t xml:space="preserve"> </w:t>
      </w:r>
      <w:r w:rsidR="00C13813" w:rsidRPr="00EA1D02">
        <w:rPr>
          <w:rFonts w:hint="cs"/>
          <w:rtl/>
        </w:rPr>
        <w:t>امرأة</w:t>
      </w:r>
      <w:r w:rsidR="004534DC">
        <w:rPr>
          <w:rtl/>
        </w:rPr>
        <w:t xml:space="preserve"> </w:t>
      </w:r>
      <w:r w:rsidR="00EA1D02" w:rsidRPr="00EA1D02">
        <w:rPr>
          <w:rtl/>
        </w:rPr>
        <w:t>تندب</w:t>
      </w:r>
      <w:r w:rsidR="004534DC">
        <w:rPr>
          <w:rtl/>
        </w:rPr>
        <w:t xml:space="preserve"> </w:t>
      </w:r>
      <w:r w:rsidR="00EA1D02" w:rsidRPr="00EA1D02">
        <w:rPr>
          <w:rtl/>
        </w:rPr>
        <w:t>لذلك</w:t>
      </w:r>
      <w:r w:rsidR="004534DC">
        <w:rPr>
          <w:rtl/>
        </w:rPr>
        <w:t xml:space="preserve"> </w:t>
      </w:r>
      <w:r w:rsidR="00EA1D02" w:rsidRPr="00EA1D02">
        <w:rPr>
          <w:rtl/>
        </w:rPr>
        <w:t>بمعرفة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المحقق،</w:t>
      </w:r>
      <w:r w:rsidR="004534DC">
        <w:rPr>
          <w:rtl/>
        </w:rPr>
        <w:t xml:space="preserve"> </w:t>
      </w:r>
      <w:r w:rsidR="00EA1D02" w:rsidRPr="00EA1D02">
        <w:rPr>
          <w:rtl/>
        </w:rPr>
        <w:t>وكذلك</w:t>
      </w:r>
      <w:r w:rsidR="004534DC">
        <w:rPr>
          <w:rtl/>
        </w:rPr>
        <w:t xml:space="preserve"> </w:t>
      </w:r>
      <w:r w:rsidR="00EA1D02" w:rsidRPr="00EA1D02">
        <w:rPr>
          <w:rtl/>
        </w:rPr>
        <w:t>يكون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شهود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النساء</w:t>
      </w:r>
      <w:r w:rsidR="00952391">
        <w:rPr>
          <w:rFonts w:hint="eastAsia"/>
          <w:rtl/>
        </w:rPr>
        <w:t>“</w:t>
      </w:r>
      <w:r w:rsidR="00EA1D02" w:rsidRPr="00EA1D02">
        <w:rPr>
          <w:rtl/>
        </w:rPr>
        <w:t>.</w:t>
      </w:r>
      <w:r w:rsidR="004534DC">
        <w:rPr>
          <w:rtl/>
        </w:rPr>
        <w:t xml:space="preserve"> </w:t>
      </w:r>
    </w:p>
    <w:p w14:paraId="722419BF" w14:textId="4F88CE87" w:rsidR="00EA1D02" w:rsidRPr="00EA1D02" w:rsidRDefault="00301EA3" w:rsidP="00301EA3">
      <w:pPr>
        <w:pStyle w:val="SingleTxt"/>
        <w:tabs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right" w:pos="1757"/>
        </w:tabs>
        <w:ind w:left="1930" w:right="1267" w:hanging="662"/>
        <w:rPr>
          <w:rtl/>
        </w:rPr>
      </w:pPr>
      <w:r>
        <w:rPr>
          <w:rtl/>
        </w:rPr>
        <w:tab/>
      </w:r>
      <w:r>
        <w:rPr>
          <w:rFonts w:hint="cs"/>
          <w:rtl/>
        </w:rPr>
        <w:t>•</w:t>
      </w:r>
      <w:r>
        <w:rPr>
          <w:rtl/>
        </w:rPr>
        <w:tab/>
      </w:r>
      <w:r w:rsidR="00EA1D02" w:rsidRPr="00EA1D02">
        <w:rPr>
          <w:rtl/>
        </w:rPr>
        <w:t>وفي</w:t>
      </w:r>
      <w:r w:rsidR="004534DC">
        <w:rPr>
          <w:rtl/>
        </w:rPr>
        <w:t xml:space="preserve"> </w:t>
      </w:r>
      <w:r w:rsidR="00EA1D02" w:rsidRPr="00EA1D02">
        <w:rPr>
          <w:rtl/>
        </w:rPr>
        <w:t>هذا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الإطار،</w:t>
      </w:r>
      <w:r w:rsidR="004534DC">
        <w:rPr>
          <w:rtl/>
        </w:rPr>
        <w:t xml:space="preserve"> </w:t>
      </w:r>
      <w:r w:rsidR="00EA1D02" w:rsidRPr="00EA1D02">
        <w:rPr>
          <w:rtl/>
        </w:rPr>
        <w:t>عززت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المادة</w:t>
      </w:r>
      <w:r w:rsidR="004534DC">
        <w:rPr>
          <w:rtl/>
        </w:rPr>
        <w:t xml:space="preserve"> </w:t>
      </w:r>
      <w:r w:rsidR="00EA1D02" w:rsidRPr="00EA1D02">
        <w:rPr>
          <w:rtl/>
        </w:rPr>
        <w:t>(86)،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الكرامة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الإنسانية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للمرأة،</w:t>
      </w:r>
      <w:r w:rsidR="004534DC">
        <w:rPr>
          <w:rtl/>
        </w:rPr>
        <w:t xml:space="preserve"> </w:t>
      </w:r>
      <w:r w:rsidR="00EA1D02" w:rsidRPr="00EA1D02">
        <w:rPr>
          <w:rtl/>
        </w:rPr>
        <w:t>بنصها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أنه</w:t>
      </w:r>
      <w:r w:rsidR="004534DC">
        <w:rPr>
          <w:rtl/>
        </w:rPr>
        <w:t xml:space="preserve"> </w:t>
      </w:r>
      <w:r w:rsidR="00952391">
        <w:rPr>
          <w:rFonts w:hint="eastAsia"/>
          <w:rtl/>
        </w:rPr>
        <w:t>”</w:t>
      </w:r>
      <w:r w:rsidR="00EA1D02" w:rsidRPr="00EA1D02">
        <w:rPr>
          <w:rtl/>
        </w:rPr>
        <w:t>إذا</w:t>
      </w:r>
      <w:r w:rsidR="004534DC">
        <w:rPr>
          <w:rtl/>
        </w:rPr>
        <w:t xml:space="preserve"> </w:t>
      </w:r>
      <w:r w:rsidR="00EA1D02" w:rsidRPr="00EA1D02">
        <w:rPr>
          <w:rtl/>
        </w:rPr>
        <w:t>كان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المسكن</w:t>
      </w:r>
      <w:r w:rsidR="004534DC">
        <w:rPr>
          <w:rtl/>
        </w:rPr>
        <w:t xml:space="preserve"> </w:t>
      </w:r>
      <w:r w:rsidR="00EA1D02" w:rsidRPr="00EA1D02">
        <w:rPr>
          <w:rtl/>
        </w:rPr>
        <w:t>نساء</w:t>
      </w:r>
      <w:r w:rsidR="004534DC">
        <w:rPr>
          <w:rtl/>
        </w:rPr>
        <w:t xml:space="preserve"> </w:t>
      </w:r>
      <w:r w:rsidR="00EA1D02" w:rsidRPr="00EA1D02">
        <w:rPr>
          <w:rtl/>
        </w:rPr>
        <w:t>محجبات،</w:t>
      </w:r>
      <w:r w:rsidR="004534DC">
        <w:rPr>
          <w:rtl/>
        </w:rPr>
        <w:t xml:space="preserve"> </w:t>
      </w:r>
      <w:r w:rsidR="00EA1D02" w:rsidRPr="00EA1D02">
        <w:rPr>
          <w:rtl/>
        </w:rPr>
        <w:t>ولم</w:t>
      </w:r>
      <w:r w:rsidR="004534DC">
        <w:rPr>
          <w:rtl/>
        </w:rPr>
        <w:t xml:space="preserve"> </w:t>
      </w:r>
      <w:r w:rsidR="00EA1D02" w:rsidRPr="00EA1D02">
        <w:rPr>
          <w:rtl/>
        </w:rPr>
        <w:t>يكن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الغرض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الدخول</w:t>
      </w:r>
      <w:r w:rsidR="004534DC">
        <w:rPr>
          <w:rtl/>
        </w:rPr>
        <w:t xml:space="preserve"> </w:t>
      </w:r>
      <w:r w:rsidR="00EA1D02" w:rsidRPr="00EA1D02">
        <w:rPr>
          <w:rtl/>
        </w:rPr>
        <w:t>ضبطهن</w:t>
      </w:r>
      <w:r w:rsidR="004534DC">
        <w:rPr>
          <w:rtl/>
        </w:rPr>
        <w:t xml:space="preserve"> </w:t>
      </w:r>
      <w:r w:rsidR="00EA1D02" w:rsidRPr="00EA1D02">
        <w:rPr>
          <w:rtl/>
        </w:rPr>
        <w:t>ولا</w:t>
      </w:r>
      <w:r w:rsidR="004534DC">
        <w:rPr>
          <w:rtl/>
        </w:rPr>
        <w:t xml:space="preserve"> </w:t>
      </w:r>
      <w:r w:rsidR="00EA1D02" w:rsidRPr="00EA1D02">
        <w:rPr>
          <w:rtl/>
        </w:rPr>
        <w:t>تفتيشهن،</w:t>
      </w:r>
      <w:r w:rsidR="004534DC">
        <w:rPr>
          <w:rtl/>
        </w:rPr>
        <w:t xml:space="preserve"> </w:t>
      </w:r>
      <w:r w:rsidR="00EA1D02" w:rsidRPr="00EA1D02">
        <w:rPr>
          <w:rtl/>
        </w:rPr>
        <w:t>وجب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القائم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بالتفتيش</w:t>
      </w:r>
      <w:r w:rsidR="004534DC">
        <w:rPr>
          <w:rtl/>
        </w:rPr>
        <w:t xml:space="preserve"> </w:t>
      </w:r>
      <w:r w:rsidR="00EA1D02" w:rsidRPr="00EA1D02">
        <w:rPr>
          <w:rtl/>
        </w:rPr>
        <w:t>أن</w:t>
      </w:r>
      <w:r w:rsidR="004534DC">
        <w:rPr>
          <w:rtl/>
        </w:rPr>
        <w:t xml:space="preserve"> </w:t>
      </w:r>
      <w:r w:rsidR="00EA1D02" w:rsidRPr="00EA1D02">
        <w:rPr>
          <w:rtl/>
        </w:rPr>
        <w:t>يراعي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التقاليد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المتبعة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معاملتهن</w:t>
      </w:r>
      <w:r w:rsidR="001E4A8C">
        <w:rPr>
          <w:rFonts w:hint="cs"/>
          <w:rtl/>
        </w:rPr>
        <w:t xml:space="preserve"> </w:t>
      </w:r>
      <w:bookmarkStart w:id="2" w:name="_GoBack"/>
      <w:bookmarkEnd w:id="2"/>
      <w:r w:rsidR="00EA1D02" w:rsidRPr="00EA1D02">
        <w:rPr>
          <w:rtl/>
        </w:rPr>
        <w:t>...</w:t>
      </w:r>
      <w:r w:rsidR="00952391">
        <w:rPr>
          <w:rFonts w:hint="eastAsia"/>
          <w:rtl/>
        </w:rPr>
        <w:t>“</w:t>
      </w:r>
      <w:r w:rsidR="00EA1D02" w:rsidRPr="00EA1D02">
        <w:rPr>
          <w:rtl/>
        </w:rPr>
        <w:t>.</w:t>
      </w:r>
    </w:p>
    <w:p w14:paraId="6DFCBB8E" w14:textId="4DCA1BCA" w:rsidR="00EA1D02" w:rsidRPr="00EA1D02" w:rsidRDefault="00301EA3" w:rsidP="00EA1D02">
      <w:pPr>
        <w:pStyle w:val="SingleTxt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وفيما</w:t>
      </w:r>
      <w:r w:rsidR="004534DC">
        <w:rPr>
          <w:rtl/>
        </w:rPr>
        <w:t xml:space="preserve"> </w:t>
      </w:r>
      <w:r w:rsidR="00EA1D02" w:rsidRPr="00EA1D02">
        <w:rPr>
          <w:rtl/>
        </w:rPr>
        <w:t>يتعلق</w:t>
      </w:r>
      <w:r w:rsidR="004534DC">
        <w:rPr>
          <w:rtl/>
        </w:rPr>
        <w:t xml:space="preserve"> </w:t>
      </w:r>
      <w:r w:rsidR="00EA1D02" w:rsidRPr="00EA1D02">
        <w:rPr>
          <w:rtl/>
        </w:rPr>
        <w:t>بتشريعات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العمل،</w:t>
      </w:r>
      <w:r w:rsidR="004534DC">
        <w:rPr>
          <w:rtl/>
        </w:rPr>
        <w:t xml:space="preserve"> </w:t>
      </w:r>
      <w:r w:rsidR="00EA1D02" w:rsidRPr="00EA1D02">
        <w:rPr>
          <w:rtl/>
        </w:rPr>
        <w:t>فهنالك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تشريعات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العمل،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التي</w:t>
      </w:r>
      <w:r w:rsidR="004534DC">
        <w:rPr>
          <w:rtl/>
        </w:rPr>
        <w:t xml:space="preserve"> </w:t>
      </w:r>
      <w:r w:rsidR="00EA1D02" w:rsidRPr="00EA1D02">
        <w:rPr>
          <w:rtl/>
        </w:rPr>
        <w:t>تهدف</w:t>
      </w:r>
      <w:r w:rsidR="004534DC">
        <w:rPr>
          <w:rtl/>
        </w:rPr>
        <w:t xml:space="preserve"> </w:t>
      </w:r>
      <w:r w:rsidR="00EA1D02" w:rsidRPr="00EA1D02">
        <w:rPr>
          <w:rtl/>
        </w:rPr>
        <w:t>بصورة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بأخرى</w:t>
      </w:r>
      <w:r w:rsidR="004534DC">
        <w:rPr>
          <w:rtl/>
        </w:rPr>
        <w:t xml:space="preserve"> </w:t>
      </w:r>
      <w:r w:rsidR="00EA1D02" w:rsidRPr="00EA1D02">
        <w:rPr>
          <w:rtl/>
        </w:rPr>
        <w:t>إلى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حماية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المرأة</w:t>
      </w:r>
      <w:r w:rsidR="004534DC">
        <w:rPr>
          <w:rtl/>
        </w:rPr>
        <w:t xml:space="preserve"> </w:t>
      </w:r>
      <w:r w:rsidR="00EA1D02" w:rsidRPr="00EA1D02">
        <w:rPr>
          <w:rtl/>
        </w:rPr>
        <w:t>إنسانياً،</w:t>
      </w:r>
      <w:r w:rsidR="004534DC">
        <w:rPr>
          <w:rtl/>
        </w:rPr>
        <w:t xml:space="preserve"> </w:t>
      </w:r>
      <w:r w:rsidR="00EA1D02" w:rsidRPr="00EA1D02">
        <w:rPr>
          <w:rtl/>
        </w:rPr>
        <w:t>ومن</w:t>
      </w:r>
      <w:r w:rsidR="004534DC">
        <w:rPr>
          <w:rtl/>
        </w:rPr>
        <w:t xml:space="preserve"> </w:t>
      </w:r>
      <w:r w:rsidR="00EA1D02" w:rsidRPr="00EA1D02">
        <w:rPr>
          <w:rtl/>
        </w:rPr>
        <w:t>هذه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النصوص</w:t>
      </w:r>
      <w:r w:rsidR="004534DC">
        <w:rPr>
          <w:rtl/>
        </w:rPr>
        <w:t xml:space="preserve"> </w:t>
      </w:r>
      <w:r w:rsidR="00EA1D02" w:rsidRPr="00EA1D02">
        <w:rPr>
          <w:rtl/>
        </w:rPr>
        <w:t>جاءت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المادة</w:t>
      </w:r>
      <w:r w:rsidR="004534DC">
        <w:rPr>
          <w:rtl/>
        </w:rPr>
        <w:t xml:space="preserve"> </w:t>
      </w:r>
      <w:r w:rsidR="00EA1D02" w:rsidRPr="00EA1D02">
        <w:rPr>
          <w:rtl/>
        </w:rPr>
        <w:t>(23)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رقم</w:t>
      </w:r>
      <w:r w:rsidR="004534DC">
        <w:rPr>
          <w:rtl/>
        </w:rPr>
        <w:t xml:space="preserve"> </w:t>
      </w:r>
      <w:r w:rsidR="00EA1D02" w:rsidRPr="00EA1D02">
        <w:rPr>
          <w:rtl/>
        </w:rPr>
        <w:t>(6)</w:t>
      </w:r>
      <w:r w:rsidR="004534DC">
        <w:rPr>
          <w:rtl/>
        </w:rPr>
        <w:t xml:space="preserve"> </w:t>
      </w:r>
      <w:r w:rsidR="00EA1D02" w:rsidRPr="00EA1D02">
        <w:rPr>
          <w:rtl/>
        </w:rPr>
        <w:t>لسنة</w:t>
      </w:r>
      <w:r w:rsidR="004534DC">
        <w:rPr>
          <w:rtl/>
        </w:rPr>
        <w:t xml:space="preserve"> </w:t>
      </w:r>
      <w:r w:rsidR="00EA1D02" w:rsidRPr="00EA1D02">
        <w:rPr>
          <w:rtl/>
        </w:rPr>
        <w:t>2010</w:t>
      </w:r>
      <w:r w:rsidR="004534DC">
        <w:rPr>
          <w:rtl/>
        </w:rPr>
        <w:t xml:space="preserve"> </w:t>
      </w:r>
      <w:r w:rsidR="00EA1D02" w:rsidRPr="00EA1D02">
        <w:rPr>
          <w:rtl/>
        </w:rPr>
        <w:t>بشأن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العمل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القطاع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الأهلي</w:t>
      </w:r>
      <w:r w:rsidR="004534DC">
        <w:rPr>
          <w:rtl/>
        </w:rPr>
        <w:t xml:space="preserve"> </w:t>
      </w:r>
      <w:r w:rsidR="00EA1D02" w:rsidRPr="00EA1D02">
        <w:rPr>
          <w:rtl/>
        </w:rPr>
        <w:t>لتنص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أنه</w:t>
      </w:r>
      <w:r w:rsidR="004534DC">
        <w:rPr>
          <w:rtl/>
        </w:rPr>
        <w:t xml:space="preserve"> </w:t>
      </w:r>
      <w:r w:rsidR="00952391">
        <w:rPr>
          <w:rFonts w:hint="eastAsia"/>
          <w:rtl/>
        </w:rPr>
        <w:t>”</w:t>
      </w:r>
      <w:r w:rsidR="00EA1D02" w:rsidRPr="00EA1D02">
        <w:rPr>
          <w:rtl/>
        </w:rPr>
        <w:t>لا</w:t>
      </w:r>
      <w:r w:rsidR="004534DC">
        <w:rPr>
          <w:rtl/>
        </w:rPr>
        <w:t xml:space="preserve"> </w:t>
      </w:r>
      <w:r w:rsidR="00EA1D02" w:rsidRPr="00EA1D02">
        <w:rPr>
          <w:rtl/>
        </w:rPr>
        <w:t>يجوز</w:t>
      </w:r>
      <w:r w:rsidR="004534DC">
        <w:rPr>
          <w:rtl/>
        </w:rPr>
        <w:t xml:space="preserve"> </w:t>
      </w:r>
      <w:r w:rsidR="00EA1D02" w:rsidRPr="00EA1D02">
        <w:rPr>
          <w:rtl/>
        </w:rPr>
        <w:t>تشغيل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النساء</w:t>
      </w:r>
      <w:r w:rsidR="004534DC">
        <w:rPr>
          <w:rtl/>
        </w:rPr>
        <w:t xml:space="preserve"> </w:t>
      </w:r>
      <w:r w:rsidR="00EA1D02" w:rsidRPr="00EA1D02">
        <w:rPr>
          <w:rtl/>
        </w:rPr>
        <w:t>ليلاً</w:t>
      </w:r>
      <w:r w:rsidR="00952391">
        <w:rPr>
          <w:rFonts w:hint="eastAsia"/>
          <w:rtl/>
        </w:rPr>
        <w:t>“</w:t>
      </w:r>
      <w:r w:rsidR="00EA1D02" w:rsidRPr="00EA1D02">
        <w:rPr>
          <w:rtl/>
        </w:rPr>
        <w:t>،</w:t>
      </w:r>
      <w:r w:rsidR="004534DC">
        <w:rPr>
          <w:rtl/>
        </w:rPr>
        <w:t xml:space="preserve"> </w:t>
      </w:r>
      <w:r w:rsidR="00EA1D02" w:rsidRPr="00EA1D02">
        <w:rPr>
          <w:rtl/>
        </w:rPr>
        <w:t>وأكد</w:t>
      </w:r>
      <w:r w:rsidR="004534DC">
        <w:rPr>
          <w:rtl/>
        </w:rPr>
        <w:t xml:space="preserve"> </w:t>
      </w:r>
      <w:r w:rsidR="00EA1D02" w:rsidRPr="00EA1D02">
        <w:rPr>
          <w:rtl/>
        </w:rPr>
        <w:t>ذلك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القرار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الوزاري</w:t>
      </w:r>
      <w:r w:rsidR="004534DC">
        <w:rPr>
          <w:rtl/>
        </w:rPr>
        <w:t xml:space="preserve"> </w:t>
      </w:r>
      <w:r w:rsidR="00EA1D02" w:rsidRPr="00EA1D02">
        <w:rPr>
          <w:rtl/>
        </w:rPr>
        <w:t>رقم</w:t>
      </w:r>
      <w:r w:rsidR="004534DC">
        <w:rPr>
          <w:rtl/>
        </w:rPr>
        <w:t xml:space="preserve"> </w:t>
      </w:r>
      <w:r w:rsidR="00EA1D02" w:rsidRPr="00EA1D02">
        <w:rPr>
          <w:rtl/>
        </w:rPr>
        <w:t>(167)</w:t>
      </w:r>
      <w:r w:rsidR="004534DC">
        <w:rPr>
          <w:rtl/>
        </w:rPr>
        <w:t xml:space="preserve"> </w:t>
      </w:r>
      <w:r w:rsidR="00EA1D02" w:rsidRPr="00EA1D02">
        <w:rPr>
          <w:rtl/>
        </w:rPr>
        <w:t>لسنة</w:t>
      </w:r>
      <w:r w:rsidR="004534DC">
        <w:rPr>
          <w:rtl/>
        </w:rPr>
        <w:t xml:space="preserve"> </w:t>
      </w:r>
      <w:r w:rsidR="00EA1D02" w:rsidRPr="00EA1D02">
        <w:rPr>
          <w:rtl/>
        </w:rPr>
        <w:t>2007</w:t>
      </w:r>
      <w:r w:rsidR="004534DC">
        <w:rPr>
          <w:rtl/>
        </w:rPr>
        <w:t xml:space="preserve"> </w:t>
      </w:r>
      <w:r w:rsidR="00EA1D02" w:rsidRPr="00EA1D02">
        <w:rPr>
          <w:rtl/>
        </w:rPr>
        <w:t>بشأن</w:t>
      </w:r>
      <w:r w:rsidR="004534DC">
        <w:rPr>
          <w:rtl/>
        </w:rPr>
        <w:t xml:space="preserve"> </w:t>
      </w:r>
      <w:r w:rsidR="00EA1D02" w:rsidRPr="00EA1D02">
        <w:rPr>
          <w:rtl/>
        </w:rPr>
        <w:t>تشغيل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النساء</w:t>
      </w:r>
      <w:r w:rsidR="004534DC">
        <w:rPr>
          <w:rtl/>
        </w:rPr>
        <w:t xml:space="preserve"> </w:t>
      </w:r>
      <w:r w:rsidR="00EA1D02" w:rsidRPr="00EA1D02">
        <w:rPr>
          <w:rtl/>
        </w:rPr>
        <w:t>ليلاً،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الصادر</w:t>
      </w:r>
      <w:r w:rsidR="004534DC">
        <w:rPr>
          <w:rtl/>
        </w:rPr>
        <w:t xml:space="preserve"> </w:t>
      </w:r>
      <w:r w:rsidR="00EA1D02" w:rsidRPr="00EA1D02">
        <w:rPr>
          <w:rtl/>
        </w:rPr>
        <w:t>عن</w:t>
      </w:r>
      <w:r w:rsidR="004534DC">
        <w:rPr>
          <w:rtl/>
        </w:rPr>
        <w:t xml:space="preserve"> </w:t>
      </w:r>
      <w:r w:rsidR="00EA1D02" w:rsidRPr="00EA1D02">
        <w:rPr>
          <w:rtl/>
        </w:rPr>
        <w:t>وزارة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الشؤون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الاجتماعية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والعمل</w:t>
      </w:r>
      <w:r w:rsidR="004534DC">
        <w:rPr>
          <w:rtl/>
        </w:rPr>
        <w:t xml:space="preserve"> </w:t>
      </w:r>
      <w:r w:rsidR="00EA1D02" w:rsidRPr="00EA1D02">
        <w:rPr>
          <w:rtl/>
        </w:rPr>
        <w:t>لضمان</w:t>
      </w:r>
      <w:r w:rsidR="004534DC">
        <w:rPr>
          <w:rtl/>
        </w:rPr>
        <w:t xml:space="preserve"> </w:t>
      </w:r>
      <w:r w:rsidR="00EA1D02" w:rsidRPr="00EA1D02">
        <w:rPr>
          <w:rtl/>
        </w:rPr>
        <w:t>عدم</w:t>
      </w:r>
      <w:r w:rsidR="004534DC">
        <w:rPr>
          <w:rtl/>
        </w:rPr>
        <w:t xml:space="preserve"> </w:t>
      </w:r>
      <w:r w:rsidR="00EA1D02" w:rsidRPr="00EA1D02">
        <w:rPr>
          <w:rtl/>
        </w:rPr>
        <w:t>استغلال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النساء</w:t>
      </w:r>
      <w:r w:rsidR="004534DC">
        <w:rPr>
          <w:rtl/>
        </w:rPr>
        <w:t xml:space="preserve"> </w:t>
      </w:r>
      <w:r w:rsidR="00EA1D02" w:rsidRPr="00EA1D02">
        <w:rPr>
          <w:rtl/>
        </w:rPr>
        <w:t>وحمايتهن</w:t>
      </w:r>
      <w:r w:rsidR="004534DC">
        <w:rPr>
          <w:rtl/>
        </w:rPr>
        <w:t xml:space="preserve"> </w:t>
      </w:r>
      <w:r w:rsidR="00EA1D02" w:rsidRPr="00EA1D02">
        <w:rPr>
          <w:rtl/>
        </w:rPr>
        <w:t>حقوقياً</w:t>
      </w:r>
      <w:r w:rsidR="004534DC">
        <w:rPr>
          <w:rtl/>
        </w:rPr>
        <w:t xml:space="preserve"> </w:t>
      </w:r>
      <w:r w:rsidR="00EA1D02" w:rsidRPr="00EA1D02">
        <w:rPr>
          <w:rtl/>
        </w:rPr>
        <w:t>وإنسانياً.</w:t>
      </w:r>
      <w:r w:rsidR="004534DC">
        <w:rPr>
          <w:rtl/>
        </w:rPr>
        <w:t xml:space="preserve"> </w:t>
      </w:r>
    </w:p>
    <w:p w14:paraId="13B42A81" w14:textId="09E0709B" w:rsidR="00EA1D02" w:rsidRPr="00EA1D02" w:rsidRDefault="00301EA3" w:rsidP="00EA1D02">
      <w:pPr>
        <w:pStyle w:val="SingleTxt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كما</w:t>
      </w:r>
      <w:r w:rsidR="004534DC">
        <w:rPr>
          <w:rtl/>
        </w:rPr>
        <w:t xml:space="preserve"> </w:t>
      </w:r>
      <w:r w:rsidR="00EA1D02" w:rsidRPr="00EA1D02">
        <w:rPr>
          <w:rtl/>
        </w:rPr>
        <w:t>استوجب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رقم</w:t>
      </w:r>
      <w:r w:rsidR="004534DC">
        <w:rPr>
          <w:rtl/>
        </w:rPr>
        <w:t xml:space="preserve"> </w:t>
      </w:r>
      <w:r w:rsidR="00EA1D02" w:rsidRPr="00EA1D02">
        <w:rPr>
          <w:rtl/>
        </w:rPr>
        <w:t>(6)</w:t>
      </w:r>
      <w:r w:rsidR="004534DC">
        <w:rPr>
          <w:rtl/>
        </w:rPr>
        <w:t xml:space="preserve"> </w:t>
      </w:r>
      <w:r w:rsidR="00EA1D02" w:rsidRPr="00EA1D02">
        <w:rPr>
          <w:rtl/>
        </w:rPr>
        <w:t>لسنة</w:t>
      </w:r>
      <w:r w:rsidR="004534DC">
        <w:rPr>
          <w:rtl/>
        </w:rPr>
        <w:t xml:space="preserve"> </w:t>
      </w:r>
      <w:r w:rsidR="00EA1D02" w:rsidRPr="00EA1D02">
        <w:rPr>
          <w:rtl/>
        </w:rPr>
        <w:t>2010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شأن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العمل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القطاع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الأهلي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نص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المادة</w:t>
      </w:r>
      <w:r w:rsidR="00066EF1">
        <w:rPr>
          <w:rFonts w:hint="cs"/>
          <w:rtl/>
        </w:rPr>
        <w:t> </w:t>
      </w:r>
      <w:r w:rsidR="00EA1D02" w:rsidRPr="00EA1D02">
        <w:rPr>
          <w:rtl/>
        </w:rPr>
        <w:t>(26)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استحقاق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المرأة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العاملة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الأجر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المماثل</w:t>
      </w:r>
      <w:r w:rsidR="004534DC">
        <w:rPr>
          <w:rtl/>
        </w:rPr>
        <w:t xml:space="preserve"> </w:t>
      </w:r>
      <w:r w:rsidR="00EA1D02" w:rsidRPr="00EA1D02">
        <w:rPr>
          <w:rtl/>
        </w:rPr>
        <w:t>للرجل</w:t>
      </w:r>
      <w:r w:rsidR="004534DC">
        <w:rPr>
          <w:rtl/>
        </w:rPr>
        <w:t xml:space="preserve"> </w:t>
      </w:r>
      <w:r w:rsidR="00EA1D02" w:rsidRPr="00EA1D02">
        <w:rPr>
          <w:rtl/>
        </w:rPr>
        <w:t>حيث</w:t>
      </w:r>
      <w:r w:rsidR="004534DC">
        <w:rPr>
          <w:rtl/>
        </w:rPr>
        <w:t xml:space="preserve"> </w:t>
      </w:r>
      <w:r w:rsidR="00EA1D02" w:rsidRPr="00EA1D02">
        <w:rPr>
          <w:rtl/>
        </w:rPr>
        <w:t>نصت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أن</w:t>
      </w:r>
      <w:r w:rsidR="00EA1D02" w:rsidRPr="00EA1D02">
        <w:rPr>
          <w:rFonts w:hint="cs"/>
          <w:rtl/>
        </w:rPr>
        <w:t>ه</w:t>
      </w:r>
      <w:r w:rsidR="004534DC">
        <w:rPr>
          <w:rtl/>
        </w:rPr>
        <w:t xml:space="preserve"> </w:t>
      </w:r>
      <w:r w:rsidR="00EA1D02" w:rsidRPr="00EA1D02">
        <w:rPr>
          <w:rtl/>
        </w:rPr>
        <w:t>(تستحق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المرأة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العاملة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الأجر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المماثل</w:t>
      </w:r>
      <w:r w:rsidR="004534DC">
        <w:rPr>
          <w:rtl/>
        </w:rPr>
        <w:t xml:space="preserve"> </w:t>
      </w:r>
      <w:r w:rsidR="00EA1D02" w:rsidRPr="00EA1D02">
        <w:rPr>
          <w:rtl/>
        </w:rPr>
        <w:t>لأجر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الرجل</w:t>
      </w:r>
      <w:r w:rsidR="004534DC">
        <w:rPr>
          <w:rtl/>
        </w:rPr>
        <w:t xml:space="preserve"> </w:t>
      </w:r>
      <w:r w:rsidR="00EA1D02" w:rsidRPr="00EA1D02">
        <w:rPr>
          <w:rtl/>
        </w:rPr>
        <w:t>إذا</w:t>
      </w:r>
      <w:r w:rsidR="004534DC">
        <w:rPr>
          <w:rtl/>
        </w:rPr>
        <w:t xml:space="preserve"> </w:t>
      </w:r>
      <w:r w:rsidR="00EA1D02" w:rsidRPr="00EA1D02">
        <w:rPr>
          <w:rtl/>
        </w:rPr>
        <w:t>كانت</w:t>
      </w:r>
      <w:r w:rsidR="004534DC">
        <w:rPr>
          <w:rtl/>
        </w:rPr>
        <w:t xml:space="preserve"> </w:t>
      </w:r>
      <w:r w:rsidR="00EA1D02" w:rsidRPr="00EA1D02">
        <w:rPr>
          <w:rtl/>
        </w:rPr>
        <w:t>تقوم</w:t>
      </w:r>
      <w:r w:rsidR="004534DC">
        <w:rPr>
          <w:rtl/>
        </w:rPr>
        <w:t xml:space="preserve"> </w:t>
      </w:r>
      <w:r w:rsidR="00EA1D02" w:rsidRPr="00EA1D02">
        <w:rPr>
          <w:rtl/>
        </w:rPr>
        <w:t>بنفس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العمل).</w:t>
      </w:r>
    </w:p>
    <w:p w14:paraId="01CF4A58" w14:textId="1CCC5137" w:rsidR="00EA1D02" w:rsidRPr="00EA1D02" w:rsidRDefault="00EA1D02" w:rsidP="00EA1D02">
      <w:pPr>
        <w:pStyle w:val="SingleTxt"/>
        <w:rPr>
          <w:lang w:val="en-GB"/>
        </w:rPr>
      </w:pPr>
      <w:r w:rsidRPr="00EA1D02">
        <w:rPr>
          <w:rtl/>
        </w:rPr>
        <w:tab/>
        <w:t>وفي</w:t>
      </w:r>
      <w:r w:rsidR="004534DC">
        <w:rPr>
          <w:rtl/>
        </w:rPr>
        <w:t xml:space="preserve"> </w:t>
      </w:r>
      <w:r w:rsidRPr="00EA1D02">
        <w:rPr>
          <w:rtl/>
        </w:rPr>
        <w:t>القانون</w:t>
      </w:r>
      <w:r w:rsidR="004534DC">
        <w:rPr>
          <w:rtl/>
        </w:rPr>
        <w:t xml:space="preserve"> </w:t>
      </w:r>
      <w:r w:rsidRPr="00EA1D02">
        <w:rPr>
          <w:rtl/>
        </w:rPr>
        <w:t>رقم</w:t>
      </w:r>
      <w:r w:rsidR="004534DC">
        <w:rPr>
          <w:rtl/>
        </w:rPr>
        <w:t xml:space="preserve"> </w:t>
      </w:r>
      <w:r w:rsidRPr="00EA1D02">
        <w:rPr>
          <w:rtl/>
        </w:rPr>
        <w:t>(21)</w:t>
      </w:r>
      <w:r w:rsidR="004534DC">
        <w:rPr>
          <w:rtl/>
        </w:rPr>
        <w:t xml:space="preserve"> </w:t>
      </w:r>
      <w:r w:rsidRPr="00EA1D02">
        <w:rPr>
          <w:rtl/>
        </w:rPr>
        <w:t>لسنة</w:t>
      </w:r>
      <w:r w:rsidR="004534DC">
        <w:rPr>
          <w:rtl/>
        </w:rPr>
        <w:t xml:space="preserve"> </w:t>
      </w:r>
      <w:r w:rsidRPr="00EA1D02">
        <w:rPr>
          <w:rtl/>
        </w:rPr>
        <w:t>2015</w:t>
      </w:r>
      <w:r w:rsidR="004534DC">
        <w:rPr>
          <w:rtl/>
        </w:rPr>
        <w:t xml:space="preserve"> </w:t>
      </w:r>
      <w:r w:rsidRPr="00EA1D02">
        <w:rPr>
          <w:rtl/>
        </w:rPr>
        <w:t>في</w:t>
      </w:r>
      <w:r w:rsidR="004534DC">
        <w:rPr>
          <w:rtl/>
        </w:rPr>
        <w:t xml:space="preserve"> </w:t>
      </w:r>
      <w:r w:rsidRPr="00EA1D02">
        <w:rPr>
          <w:rtl/>
        </w:rPr>
        <w:t>شأن</w:t>
      </w:r>
      <w:r w:rsidR="004534DC">
        <w:rPr>
          <w:rtl/>
        </w:rPr>
        <w:t xml:space="preserve"> </w:t>
      </w:r>
      <w:r w:rsidRPr="00EA1D02">
        <w:rPr>
          <w:rtl/>
        </w:rPr>
        <w:t>حقوق</w:t>
      </w:r>
      <w:r w:rsidR="004534DC">
        <w:rPr>
          <w:rtl/>
        </w:rPr>
        <w:t xml:space="preserve"> </w:t>
      </w:r>
      <w:r w:rsidRPr="00EA1D02">
        <w:rPr>
          <w:rtl/>
        </w:rPr>
        <w:t>الطفل</w:t>
      </w:r>
      <w:r w:rsidR="004534DC">
        <w:rPr>
          <w:rtl/>
        </w:rPr>
        <w:t xml:space="preserve"> </w:t>
      </w:r>
      <w:r w:rsidRPr="00EA1D02">
        <w:rPr>
          <w:rtl/>
        </w:rPr>
        <w:t>أقر</w:t>
      </w:r>
      <w:r w:rsidR="004534DC">
        <w:rPr>
          <w:rtl/>
        </w:rPr>
        <w:t xml:space="preserve"> </w:t>
      </w:r>
      <w:r w:rsidRPr="00EA1D02">
        <w:rPr>
          <w:rtl/>
        </w:rPr>
        <w:t>جواز</w:t>
      </w:r>
      <w:r w:rsidR="004534DC">
        <w:rPr>
          <w:rtl/>
        </w:rPr>
        <w:t xml:space="preserve"> </w:t>
      </w:r>
      <w:r w:rsidRPr="00EA1D02">
        <w:rPr>
          <w:rtl/>
        </w:rPr>
        <w:t>منح</w:t>
      </w:r>
      <w:r w:rsidR="004534DC">
        <w:rPr>
          <w:rtl/>
        </w:rPr>
        <w:t xml:space="preserve"> </w:t>
      </w:r>
      <w:r w:rsidRPr="00EA1D02">
        <w:rPr>
          <w:rtl/>
        </w:rPr>
        <w:t>الأم</w:t>
      </w:r>
      <w:r w:rsidR="004534DC">
        <w:rPr>
          <w:rtl/>
        </w:rPr>
        <w:t xml:space="preserve"> </w:t>
      </w:r>
      <w:r w:rsidRPr="00EA1D02">
        <w:rPr>
          <w:rtl/>
        </w:rPr>
        <w:t>العاملة</w:t>
      </w:r>
      <w:r w:rsidR="004534DC">
        <w:rPr>
          <w:rtl/>
        </w:rPr>
        <w:t xml:space="preserve"> </w:t>
      </w:r>
      <w:r w:rsidRPr="00EA1D02">
        <w:rPr>
          <w:rtl/>
        </w:rPr>
        <w:t>إجازة</w:t>
      </w:r>
      <w:r w:rsidR="004534DC">
        <w:rPr>
          <w:rtl/>
        </w:rPr>
        <w:t xml:space="preserve"> </w:t>
      </w:r>
      <w:r w:rsidRPr="00EA1D02">
        <w:rPr>
          <w:rtl/>
        </w:rPr>
        <w:t>بدون</w:t>
      </w:r>
      <w:r w:rsidR="004534DC">
        <w:rPr>
          <w:rtl/>
        </w:rPr>
        <w:t xml:space="preserve"> </w:t>
      </w:r>
      <w:r w:rsidRPr="00EA1D02">
        <w:rPr>
          <w:rtl/>
        </w:rPr>
        <w:t>أجر</w:t>
      </w:r>
      <w:r w:rsidR="004534DC">
        <w:rPr>
          <w:rtl/>
        </w:rPr>
        <w:t xml:space="preserve"> </w:t>
      </w:r>
      <w:r w:rsidRPr="00EA1D02">
        <w:rPr>
          <w:rtl/>
        </w:rPr>
        <w:t>لرعاية</w:t>
      </w:r>
      <w:r w:rsidR="004534DC">
        <w:rPr>
          <w:rtl/>
        </w:rPr>
        <w:t xml:space="preserve"> </w:t>
      </w:r>
      <w:r w:rsidRPr="00EA1D02">
        <w:rPr>
          <w:rtl/>
        </w:rPr>
        <w:t>طفلها،</w:t>
      </w:r>
      <w:r w:rsidR="004534DC">
        <w:rPr>
          <w:rtl/>
        </w:rPr>
        <w:t xml:space="preserve"> </w:t>
      </w:r>
      <w:r w:rsidRPr="00EA1D02">
        <w:rPr>
          <w:rtl/>
        </w:rPr>
        <w:t>وكذلك</w:t>
      </w:r>
      <w:r w:rsidR="004534DC">
        <w:rPr>
          <w:rtl/>
        </w:rPr>
        <w:t xml:space="preserve"> </w:t>
      </w:r>
      <w:r w:rsidRPr="00EA1D02">
        <w:rPr>
          <w:rtl/>
        </w:rPr>
        <w:t>اشترط</w:t>
      </w:r>
      <w:r w:rsidR="004534DC">
        <w:rPr>
          <w:rtl/>
        </w:rPr>
        <w:t xml:space="preserve"> </w:t>
      </w:r>
      <w:r w:rsidRPr="00EA1D02">
        <w:rPr>
          <w:rtl/>
        </w:rPr>
        <w:t>القانون</w:t>
      </w:r>
      <w:r w:rsidR="004534DC">
        <w:rPr>
          <w:rtl/>
        </w:rPr>
        <w:t xml:space="preserve"> </w:t>
      </w:r>
      <w:r w:rsidRPr="00EA1D02">
        <w:rPr>
          <w:rtl/>
        </w:rPr>
        <w:t>على</w:t>
      </w:r>
      <w:r w:rsidR="004534DC">
        <w:rPr>
          <w:rtl/>
        </w:rPr>
        <w:t xml:space="preserve"> </w:t>
      </w:r>
      <w:r w:rsidRPr="00EA1D02">
        <w:rPr>
          <w:rtl/>
        </w:rPr>
        <w:t>المؤسسات</w:t>
      </w:r>
      <w:r w:rsidR="004534DC">
        <w:rPr>
          <w:rtl/>
        </w:rPr>
        <w:t xml:space="preserve"> </w:t>
      </w:r>
      <w:r w:rsidRPr="00EA1D02">
        <w:rPr>
          <w:rtl/>
        </w:rPr>
        <w:t>وجوب</w:t>
      </w:r>
      <w:r w:rsidR="004534DC">
        <w:rPr>
          <w:rtl/>
        </w:rPr>
        <w:t xml:space="preserve"> </w:t>
      </w:r>
      <w:r w:rsidRPr="00EA1D02">
        <w:rPr>
          <w:rtl/>
        </w:rPr>
        <w:t>إنشاء</w:t>
      </w:r>
      <w:r w:rsidR="004534DC">
        <w:rPr>
          <w:rtl/>
        </w:rPr>
        <w:t xml:space="preserve"> </w:t>
      </w:r>
      <w:r w:rsidRPr="00EA1D02">
        <w:rPr>
          <w:rtl/>
        </w:rPr>
        <w:t>حضانة</w:t>
      </w:r>
      <w:r w:rsidR="004534DC">
        <w:rPr>
          <w:rtl/>
        </w:rPr>
        <w:t xml:space="preserve"> </w:t>
      </w:r>
      <w:r w:rsidRPr="00EA1D02">
        <w:rPr>
          <w:rtl/>
        </w:rPr>
        <w:t>إذا</w:t>
      </w:r>
      <w:r w:rsidR="004534DC">
        <w:rPr>
          <w:rtl/>
        </w:rPr>
        <w:t xml:space="preserve"> </w:t>
      </w:r>
      <w:r w:rsidRPr="00EA1D02">
        <w:rPr>
          <w:rtl/>
        </w:rPr>
        <w:t>كان</w:t>
      </w:r>
      <w:r w:rsidR="004534DC">
        <w:rPr>
          <w:rtl/>
        </w:rPr>
        <w:t xml:space="preserve"> </w:t>
      </w:r>
      <w:r w:rsidRPr="00EA1D02">
        <w:rPr>
          <w:rtl/>
        </w:rPr>
        <w:t>هناك</w:t>
      </w:r>
      <w:r w:rsidR="004534DC">
        <w:rPr>
          <w:rtl/>
        </w:rPr>
        <w:t xml:space="preserve"> </w:t>
      </w:r>
      <w:r w:rsidRPr="00EA1D02">
        <w:rPr>
          <w:rtl/>
        </w:rPr>
        <w:t>خمسين</w:t>
      </w:r>
      <w:r w:rsidR="004534DC">
        <w:rPr>
          <w:rtl/>
        </w:rPr>
        <w:t xml:space="preserve"> </w:t>
      </w:r>
      <w:r w:rsidRPr="00EA1D02">
        <w:rPr>
          <w:rtl/>
        </w:rPr>
        <w:t>أماً</w:t>
      </w:r>
      <w:r w:rsidR="004534DC">
        <w:rPr>
          <w:rtl/>
        </w:rPr>
        <w:t xml:space="preserve"> </w:t>
      </w:r>
      <w:r w:rsidRPr="00EA1D02">
        <w:rPr>
          <w:rtl/>
        </w:rPr>
        <w:t>عاملة</w:t>
      </w:r>
      <w:r w:rsidR="004534DC">
        <w:rPr>
          <w:rtl/>
        </w:rPr>
        <w:t xml:space="preserve"> </w:t>
      </w:r>
      <w:r w:rsidRPr="00EA1D02">
        <w:rPr>
          <w:rtl/>
        </w:rPr>
        <w:t>وألزم</w:t>
      </w:r>
      <w:r w:rsidR="004534DC">
        <w:rPr>
          <w:rtl/>
        </w:rPr>
        <w:t xml:space="preserve"> </w:t>
      </w:r>
      <w:r w:rsidRPr="00EA1D02">
        <w:rPr>
          <w:rtl/>
        </w:rPr>
        <w:t>القانون</w:t>
      </w:r>
      <w:r w:rsidR="004534DC">
        <w:rPr>
          <w:rtl/>
        </w:rPr>
        <w:t xml:space="preserve"> </w:t>
      </w:r>
      <w:r w:rsidRPr="00EA1D02">
        <w:rPr>
          <w:rtl/>
        </w:rPr>
        <w:t>رب</w:t>
      </w:r>
      <w:r w:rsidR="004534DC">
        <w:rPr>
          <w:rtl/>
        </w:rPr>
        <w:t xml:space="preserve"> </w:t>
      </w:r>
      <w:r w:rsidRPr="00EA1D02">
        <w:rPr>
          <w:rtl/>
        </w:rPr>
        <w:t>العمل</w:t>
      </w:r>
      <w:r w:rsidR="004534DC">
        <w:rPr>
          <w:rtl/>
        </w:rPr>
        <w:t xml:space="preserve"> </w:t>
      </w:r>
      <w:r w:rsidRPr="00EA1D02">
        <w:rPr>
          <w:rtl/>
        </w:rPr>
        <w:t>منح</w:t>
      </w:r>
      <w:r w:rsidR="004534DC">
        <w:rPr>
          <w:rtl/>
        </w:rPr>
        <w:t xml:space="preserve"> </w:t>
      </w:r>
      <w:r w:rsidRPr="00EA1D02">
        <w:rPr>
          <w:rtl/>
        </w:rPr>
        <w:t>الأم</w:t>
      </w:r>
      <w:r w:rsidR="004534DC">
        <w:rPr>
          <w:rtl/>
        </w:rPr>
        <w:t xml:space="preserve"> </w:t>
      </w:r>
      <w:r w:rsidRPr="00EA1D02">
        <w:rPr>
          <w:rtl/>
        </w:rPr>
        <w:t>العاملة</w:t>
      </w:r>
      <w:r w:rsidR="004534DC">
        <w:rPr>
          <w:rtl/>
        </w:rPr>
        <w:t xml:space="preserve"> </w:t>
      </w:r>
      <w:r w:rsidRPr="00EA1D02">
        <w:rPr>
          <w:rtl/>
        </w:rPr>
        <w:t>إجازة</w:t>
      </w:r>
      <w:r w:rsidR="004534DC">
        <w:rPr>
          <w:rtl/>
        </w:rPr>
        <w:t xml:space="preserve"> </w:t>
      </w:r>
      <w:r w:rsidRPr="00EA1D02">
        <w:rPr>
          <w:rtl/>
        </w:rPr>
        <w:t>وضع،</w:t>
      </w:r>
      <w:r w:rsidR="004534DC">
        <w:rPr>
          <w:rtl/>
        </w:rPr>
        <w:t xml:space="preserve"> </w:t>
      </w:r>
      <w:r w:rsidRPr="00EA1D02">
        <w:rPr>
          <w:rtl/>
        </w:rPr>
        <w:t>وجعل</w:t>
      </w:r>
      <w:r w:rsidR="004534DC">
        <w:rPr>
          <w:rtl/>
        </w:rPr>
        <w:t xml:space="preserve"> </w:t>
      </w:r>
      <w:r w:rsidRPr="00EA1D02">
        <w:rPr>
          <w:rtl/>
        </w:rPr>
        <w:t>للمرأة</w:t>
      </w:r>
      <w:r w:rsidR="004534DC">
        <w:rPr>
          <w:rtl/>
        </w:rPr>
        <w:t xml:space="preserve"> </w:t>
      </w:r>
      <w:r w:rsidRPr="00EA1D02">
        <w:rPr>
          <w:rtl/>
        </w:rPr>
        <w:t>العاملة</w:t>
      </w:r>
      <w:r w:rsidR="004534DC">
        <w:rPr>
          <w:rtl/>
        </w:rPr>
        <w:t xml:space="preserve"> </w:t>
      </w:r>
      <w:r w:rsidRPr="00EA1D02">
        <w:rPr>
          <w:rtl/>
        </w:rPr>
        <w:t>الحق</w:t>
      </w:r>
      <w:r w:rsidR="004534DC">
        <w:rPr>
          <w:rtl/>
        </w:rPr>
        <w:t xml:space="preserve"> </w:t>
      </w:r>
      <w:r w:rsidRPr="00EA1D02">
        <w:rPr>
          <w:rtl/>
        </w:rPr>
        <w:t>في</w:t>
      </w:r>
      <w:r w:rsidR="004534DC">
        <w:rPr>
          <w:rtl/>
        </w:rPr>
        <w:t xml:space="preserve"> </w:t>
      </w:r>
      <w:r w:rsidRPr="00EA1D02">
        <w:rPr>
          <w:rtl/>
        </w:rPr>
        <w:t>ساعتين</w:t>
      </w:r>
      <w:r w:rsidR="004534DC">
        <w:rPr>
          <w:rtl/>
        </w:rPr>
        <w:t xml:space="preserve"> </w:t>
      </w:r>
      <w:r w:rsidRPr="00EA1D02">
        <w:rPr>
          <w:rtl/>
        </w:rPr>
        <w:t>يومياً</w:t>
      </w:r>
      <w:r w:rsidR="004534DC">
        <w:rPr>
          <w:rtl/>
        </w:rPr>
        <w:t xml:space="preserve"> </w:t>
      </w:r>
      <w:r w:rsidRPr="00EA1D02">
        <w:rPr>
          <w:rtl/>
        </w:rPr>
        <w:t>لرضاعة</w:t>
      </w:r>
      <w:r w:rsidR="004534DC">
        <w:rPr>
          <w:rtl/>
        </w:rPr>
        <w:t xml:space="preserve"> </w:t>
      </w:r>
      <w:r w:rsidRPr="00EA1D02">
        <w:rPr>
          <w:rtl/>
        </w:rPr>
        <w:t>طفلها</w:t>
      </w:r>
      <w:r w:rsidR="004534DC">
        <w:rPr>
          <w:rtl/>
        </w:rPr>
        <w:t xml:space="preserve"> </w:t>
      </w:r>
      <w:r w:rsidRPr="00EA1D02">
        <w:rPr>
          <w:rtl/>
        </w:rPr>
        <w:t>ولا</w:t>
      </w:r>
      <w:r w:rsidR="004534DC">
        <w:rPr>
          <w:rtl/>
        </w:rPr>
        <w:t xml:space="preserve"> </w:t>
      </w:r>
      <w:r w:rsidRPr="00EA1D02">
        <w:rPr>
          <w:rtl/>
        </w:rPr>
        <w:t>يترتب</w:t>
      </w:r>
      <w:r w:rsidR="004534DC">
        <w:rPr>
          <w:rtl/>
        </w:rPr>
        <w:t xml:space="preserve"> </w:t>
      </w:r>
      <w:r w:rsidRPr="00EA1D02">
        <w:rPr>
          <w:rtl/>
        </w:rPr>
        <w:t>على</w:t>
      </w:r>
      <w:r w:rsidR="004534DC">
        <w:rPr>
          <w:rtl/>
        </w:rPr>
        <w:t xml:space="preserve"> </w:t>
      </w:r>
      <w:r w:rsidRPr="00EA1D02">
        <w:rPr>
          <w:rtl/>
        </w:rPr>
        <w:t>ذلك</w:t>
      </w:r>
      <w:r w:rsidR="004534DC">
        <w:rPr>
          <w:rtl/>
        </w:rPr>
        <w:t xml:space="preserve"> </w:t>
      </w:r>
      <w:r w:rsidRPr="00EA1D02">
        <w:rPr>
          <w:rtl/>
        </w:rPr>
        <w:t>أي</w:t>
      </w:r>
      <w:r w:rsidR="004534DC">
        <w:rPr>
          <w:rtl/>
        </w:rPr>
        <w:t xml:space="preserve"> </w:t>
      </w:r>
      <w:r w:rsidRPr="00EA1D02">
        <w:rPr>
          <w:rtl/>
        </w:rPr>
        <w:t>تخفيض</w:t>
      </w:r>
      <w:r w:rsidR="004534DC">
        <w:rPr>
          <w:rtl/>
        </w:rPr>
        <w:t xml:space="preserve"> </w:t>
      </w:r>
      <w:r w:rsidRPr="00EA1D02">
        <w:rPr>
          <w:rtl/>
        </w:rPr>
        <w:t>في</w:t>
      </w:r>
      <w:r w:rsidR="004534DC">
        <w:rPr>
          <w:rtl/>
        </w:rPr>
        <w:t xml:space="preserve"> </w:t>
      </w:r>
      <w:r w:rsidRPr="00EA1D02">
        <w:rPr>
          <w:rtl/>
        </w:rPr>
        <w:t>الأجر.</w:t>
      </w:r>
      <w:r w:rsidR="004534DC">
        <w:rPr>
          <w:rtl/>
        </w:rPr>
        <w:t xml:space="preserve"> </w:t>
      </w:r>
    </w:p>
    <w:p w14:paraId="0863BD48" w14:textId="05FEB516" w:rsidR="00EA1D02" w:rsidRPr="00EA1D02" w:rsidRDefault="00301EA3" w:rsidP="00EA1D02">
      <w:pPr>
        <w:pStyle w:val="SingleTxt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ويعد</w:t>
      </w:r>
      <w:r w:rsidR="004534DC">
        <w:rPr>
          <w:rtl/>
        </w:rPr>
        <w:t xml:space="preserve"> </w:t>
      </w:r>
      <w:r w:rsidR="00EA1D02" w:rsidRPr="00EA1D02">
        <w:rPr>
          <w:rtl/>
        </w:rPr>
        <w:t>حق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الالتجاء</w:t>
      </w:r>
      <w:r w:rsidR="004534DC">
        <w:rPr>
          <w:rtl/>
        </w:rPr>
        <w:t xml:space="preserve"> </w:t>
      </w:r>
      <w:r w:rsidR="00EA1D02" w:rsidRPr="00EA1D02">
        <w:rPr>
          <w:rtl/>
        </w:rPr>
        <w:t>إلى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القضاء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الحقوق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الدستورية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الأساسية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التي</w:t>
      </w:r>
      <w:r w:rsidR="004534DC">
        <w:rPr>
          <w:rtl/>
        </w:rPr>
        <w:t xml:space="preserve"> </w:t>
      </w:r>
      <w:r w:rsidR="00EA1D02" w:rsidRPr="00EA1D02">
        <w:rPr>
          <w:rtl/>
        </w:rPr>
        <w:t>حرص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الدستور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الكويتي،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منحها</w:t>
      </w:r>
      <w:r w:rsidR="004534DC">
        <w:rPr>
          <w:rtl/>
        </w:rPr>
        <w:t xml:space="preserve"> </w:t>
      </w:r>
      <w:r w:rsidR="00EA1D02" w:rsidRPr="00EA1D02">
        <w:rPr>
          <w:rtl/>
        </w:rPr>
        <w:t>للناس</w:t>
      </w:r>
      <w:r w:rsidR="004534DC">
        <w:rPr>
          <w:rtl/>
        </w:rPr>
        <w:t xml:space="preserve"> </w:t>
      </w:r>
      <w:r w:rsidR="00EA1D02" w:rsidRPr="00EA1D02">
        <w:rPr>
          <w:rtl/>
        </w:rPr>
        <w:t>جميعاً</w:t>
      </w:r>
      <w:r w:rsidR="004534DC">
        <w:rPr>
          <w:rtl/>
        </w:rPr>
        <w:t xml:space="preserve"> </w:t>
      </w:r>
      <w:r w:rsidR="00EA1D02" w:rsidRPr="00EA1D02">
        <w:rPr>
          <w:rtl/>
        </w:rPr>
        <w:t>دونما</w:t>
      </w:r>
      <w:r w:rsidR="004534DC">
        <w:rPr>
          <w:rtl/>
        </w:rPr>
        <w:t xml:space="preserve"> </w:t>
      </w:r>
      <w:r w:rsidR="00EA1D02" w:rsidRPr="00EA1D02">
        <w:rPr>
          <w:rtl/>
        </w:rPr>
        <w:t>استثناء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تفضيل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ذلك</w:t>
      </w:r>
      <w:r w:rsidR="004534DC">
        <w:rPr>
          <w:rtl/>
        </w:rPr>
        <w:t xml:space="preserve"> </w:t>
      </w:r>
      <w:r w:rsidR="00EA1D02" w:rsidRPr="00EA1D02">
        <w:rPr>
          <w:rtl/>
        </w:rPr>
        <w:t>بين</w:t>
      </w:r>
      <w:r w:rsidR="004534DC">
        <w:rPr>
          <w:rtl/>
        </w:rPr>
        <w:t xml:space="preserve"> </w:t>
      </w:r>
      <w:r w:rsidR="00EA1D02" w:rsidRPr="00EA1D02">
        <w:rPr>
          <w:rtl/>
        </w:rPr>
        <w:t>مواطنين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مقيمين،</w:t>
      </w:r>
      <w:r w:rsidR="004534DC">
        <w:rPr>
          <w:rtl/>
        </w:rPr>
        <w:t xml:space="preserve"> </w:t>
      </w:r>
      <w:r w:rsidR="00EA1D02" w:rsidRPr="00EA1D02">
        <w:rPr>
          <w:rtl/>
        </w:rPr>
        <w:t>رجل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A909A6" w:rsidRPr="00EA1D02">
        <w:rPr>
          <w:rFonts w:hint="cs"/>
          <w:rtl/>
        </w:rPr>
        <w:t>امرأة</w:t>
      </w:r>
      <w:r w:rsidR="004534DC">
        <w:rPr>
          <w:rtl/>
        </w:rPr>
        <w:t xml:space="preserve"> </w:t>
      </w:r>
      <w:r w:rsidR="00EA1D02" w:rsidRPr="00EA1D02">
        <w:rPr>
          <w:rtl/>
        </w:rPr>
        <w:t>حيث</w:t>
      </w:r>
      <w:r w:rsidR="004534DC">
        <w:rPr>
          <w:rtl/>
        </w:rPr>
        <w:t xml:space="preserve"> </w:t>
      </w:r>
      <w:r w:rsidR="00EA1D02" w:rsidRPr="00EA1D02">
        <w:rPr>
          <w:rtl/>
        </w:rPr>
        <w:t>تنص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المادة</w:t>
      </w:r>
      <w:r w:rsidR="004534DC">
        <w:rPr>
          <w:rtl/>
        </w:rPr>
        <w:t xml:space="preserve"> </w:t>
      </w:r>
      <w:r w:rsidR="00EA1D02" w:rsidRPr="00EA1D02">
        <w:rPr>
          <w:rtl/>
        </w:rPr>
        <w:t>رقم</w:t>
      </w:r>
      <w:r w:rsidR="004534DC">
        <w:rPr>
          <w:rtl/>
        </w:rPr>
        <w:t xml:space="preserve"> </w:t>
      </w:r>
      <w:r w:rsidR="00EA1D02" w:rsidRPr="00EA1D02">
        <w:rPr>
          <w:rtl/>
        </w:rPr>
        <w:t>(166)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الدستور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أن</w:t>
      </w:r>
      <w:r w:rsidR="004534DC">
        <w:rPr>
          <w:rtl/>
        </w:rPr>
        <w:t xml:space="preserve"> </w:t>
      </w:r>
      <w:r w:rsidR="00952391">
        <w:rPr>
          <w:rFonts w:hint="eastAsia"/>
          <w:rtl/>
        </w:rPr>
        <w:t>”</w:t>
      </w:r>
      <w:r w:rsidR="00EA1D02" w:rsidRPr="00EA1D02">
        <w:rPr>
          <w:rtl/>
        </w:rPr>
        <w:t>حق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التقاضي</w:t>
      </w:r>
      <w:r w:rsidR="004534DC">
        <w:rPr>
          <w:rtl/>
        </w:rPr>
        <w:t xml:space="preserve"> </w:t>
      </w:r>
      <w:r w:rsidR="00EA1D02" w:rsidRPr="00EA1D02">
        <w:rPr>
          <w:rtl/>
        </w:rPr>
        <w:t>مكفول</w:t>
      </w:r>
      <w:r w:rsidR="004534DC">
        <w:rPr>
          <w:rtl/>
        </w:rPr>
        <w:t xml:space="preserve"> </w:t>
      </w:r>
      <w:r w:rsidR="00EA1D02" w:rsidRPr="00EA1D02">
        <w:rPr>
          <w:rtl/>
        </w:rPr>
        <w:t>للناس،</w:t>
      </w:r>
      <w:r w:rsidR="004534DC">
        <w:rPr>
          <w:rtl/>
        </w:rPr>
        <w:t xml:space="preserve"> </w:t>
      </w:r>
      <w:r w:rsidR="00EA1D02" w:rsidRPr="00EA1D02">
        <w:rPr>
          <w:rtl/>
        </w:rPr>
        <w:t>ويبين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الاجراءات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والأوضاع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اللازمة</w:t>
      </w:r>
      <w:r w:rsidR="004534DC">
        <w:rPr>
          <w:rtl/>
        </w:rPr>
        <w:t xml:space="preserve"> </w:t>
      </w:r>
      <w:r w:rsidR="00EA1D02" w:rsidRPr="00EA1D02">
        <w:rPr>
          <w:rtl/>
        </w:rPr>
        <w:t>لممارسة</w:t>
      </w:r>
      <w:r w:rsidR="004534DC">
        <w:rPr>
          <w:rtl/>
        </w:rPr>
        <w:t xml:space="preserve"> </w:t>
      </w:r>
      <w:r w:rsidR="00EA1D02" w:rsidRPr="00EA1D02">
        <w:rPr>
          <w:rtl/>
        </w:rPr>
        <w:t>هذا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الحق</w:t>
      </w:r>
      <w:r w:rsidR="00952391">
        <w:rPr>
          <w:rFonts w:hint="eastAsia"/>
          <w:rtl/>
        </w:rPr>
        <w:t>“</w:t>
      </w:r>
      <w:r w:rsidR="00EA1D02" w:rsidRPr="00EA1D02">
        <w:rPr>
          <w:rtl/>
        </w:rPr>
        <w:t>.</w:t>
      </w:r>
      <w:r w:rsidR="004534DC">
        <w:rPr>
          <w:rtl/>
        </w:rPr>
        <w:t xml:space="preserve"> </w:t>
      </w:r>
    </w:p>
    <w:p w14:paraId="7561262F" w14:textId="208F0884" w:rsidR="00EA1D02" w:rsidRPr="00EA1D02" w:rsidRDefault="00301EA3" w:rsidP="00EA1D02">
      <w:pPr>
        <w:pStyle w:val="SingleTxt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وإجمالاً،</w:t>
      </w:r>
      <w:r w:rsidR="004534DC">
        <w:rPr>
          <w:rtl/>
        </w:rPr>
        <w:t xml:space="preserve"> </w:t>
      </w:r>
      <w:r w:rsidR="00EA1D02" w:rsidRPr="00EA1D02">
        <w:rPr>
          <w:rtl/>
        </w:rPr>
        <w:t>فإنه</w:t>
      </w:r>
      <w:r w:rsidR="004534DC">
        <w:rPr>
          <w:rtl/>
        </w:rPr>
        <w:t xml:space="preserve"> </w:t>
      </w:r>
      <w:r w:rsidR="00EA1D02" w:rsidRPr="00EA1D02">
        <w:rPr>
          <w:rtl/>
        </w:rPr>
        <w:t>يحق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القول</w:t>
      </w:r>
      <w:r w:rsidR="004534DC">
        <w:rPr>
          <w:rtl/>
        </w:rPr>
        <w:t xml:space="preserve"> </w:t>
      </w:r>
      <w:r w:rsidR="00EA1D02" w:rsidRPr="00EA1D02">
        <w:rPr>
          <w:rtl/>
        </w:rPr>
        <w:t>بأن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الدستور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</w:t>
      </w:r>
      <w:r w:rsidR="00E00CE1">
        <w:rPr>
          <w:rFonts w:hint="cs"/>
          <w:rtl/>
        </w:rPr>
        <w:t>ي</w:t>
      </w:r>
      <w:r w:rsidR="004534DC">
        <w:rPr>
          <w:rtl/>
        </w:rPr>
        <w:t xml:space="preserve"> </w:t>
      </w:r>
      <w:r w:rsidR="00EA1D02" w:rsidRPr="00EA1D02">
        <w:rPr>
          <w:rtl/>
        </w:rPr>
        <w:t>قد</w:t>
      </w:r>
      <w:r w:rsidR="004534DC">
        <w:rPr>
          <w:rtl/>
        </w:rPr>
        <w:t xml:space="preserve"> </w:t>
      </w:r>
      <w:r w:rsidR="00EA1D02" w:rsidRPr="00EA1D02">
        <w:rPr>
          <w:rtl/>
        </w:rPr>
        <w:t>سمح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خلال</w:t>
      </w:r>
      <w:r w:rsidR="004534DC">
        <w:rPr>
          <w:rtl/>
        </w:rPr>
        <w:t xml:space="preserve"> </w:t>
      </w:r>
      <w:r w:rsidR="00EA1D02" w:rsidRPr="00EA1D02">
        <w:rPr>
          <w:rtl/>
        </w:rPr>
        <w:t>مادته</w:t>
      </w:r>
      <w:r w:rsidR="004534DC">
        <w:rPr>
          <w:rtl/>
        </w:rPr>
        <w:t xml:space="preserve"> </w:t>
      </w:r>
      <w:r w:rsidR="00EA1D02" w:rsidRPr="00EA1D02">
        <w:rPr>
          <w:rtl/>
        </w:rPr>
        <w:t>(45)،</w:t>
      </w:r>
      <w:r w:rsidR="004534DC">
        <w:rPr>
          <w:rtl/>
        </w:rPr>
        <w:t xml:space="preserve"> </w:t>
      </w:r>
      <w:r w:rsidR="00EA1D02" w:rsidRPr="00EA1D02">
        <w:rPr>
          <w:rtl/>
        </w:rPr>
        <w:t>لكل</w:t>
      </w:r>
      <w:r w:rsidR="004534DC">
        <w:rPr>
          <w:rtl/>
        </w:rPr>
        <w:t xml:space="preserve"> </w:t>
      </w:r>
      <w:r w:rsidR="00EA1D02" w:rsidRPr="00EA1D02">
        <w:rPr>
          <w:rtl/>
        </w:rPr>
        <w:t>فرد</w:t>
      </w:r>
      <w:r w:rsidR="004534DC">
        <w:rPr>
          <w:rtl/>
        </w:rPr>
        <w:t xml:space="preserve"> </w:t>
      </w:r>
      <w:r w:rsidR="00EA1D02" w:rsidRPr="00EA1D02">
        <w:rPr>
          <w:rtl/>
        </w:rPr>
        <w:t>بأن</w:t>
      </w:r>
      <w:r w:rsidR="004534DC">
        <w:rPr>
          <w:rtl/>
        </w:rPr>
        <w:t xml:space="preserve"> </w:t>
      </w:r>
      <w:r w:rsidR="00EA1D02" w:rsidRPr="00EA1D02">
        <w:rPr>
          <w:rtl/>
        </w:rPr>
        <w:t>يخاطب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السلطات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العامة</w:t>
      </w:r>
      <w:r w:rsidR="004534DC">
        <w:rPr>
          <w:rtl/>
        </w:rPr>
        <w:t xml:space="preserve"> </w:t>
      </w:r>
      <w:r w:rsidR="00EA1D02" w:rsidRPr="00EA1D02">
        <w:rPr>
          <w:rtl/>
        </w:rPr>
        <w:t>كتابةً</w:t>
      </w:r>
      <w:r w:rsidR="004534DC">
        <w:rPr>
          <w:rtl/>
        </w:rPr>
        <w:t xml:space="preserve"> </w:t>
      </w:r>
      <w:r w:rsidR="00EA1D02" w:rsidRPr="00EA1D02">
        <w:rPr>
          <w:rtl/>
        </w:rPr>
        <w:t>وبتوقيعه،</w:t>
      </w:r>
      <w:r w:rsidR="004534DC">
        <w:rPr>
          <w:rtl/>
        </w:rPr>
        <w:t xml:space="preserve"> </w:t>
      </w:r>
      <w:r w:rsidR="00EA1D02" w:rsidRPr="00EA1D02">
        <w:rPr>
          <w:rtl/>
        </w:rPr>
        <w:t>ومن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ذلك</w:t>
      </w:r>
      <w:r w:rsidR="004534DC">
        <w:rPr>
          <w:rtl/>
        </w:rPr>
        <w:t xml:space="preserve"> </w:t>
      </w:r>
      <w:r w:rsidR="00EA1D02" w:rsidRPr="00EA1D02">
        <w:rPr>
          <w:rtl/>
        </w:rPr>
        <w:t>يبين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أن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الدستور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الكويتي</w:t>
      </w:r>
      <w:r w:rsidR="004534DC">
        <w:rPr>
          <w:rtl/>
        </w:rPr>
        <w:t xml:space="preserve"> </w:t>
      </w:r>
      <w:r w:rsidR="00EA1D02" w:rsidRPr="00EA1D02">
        <w:rPr>
          <w:rtl/>
        </w:rPr>
        <w:t>قد</w:t>
      </w:r>
      <w:r w:rsidR="004534DC">
        <w:rPr>
          <w:rtl/>
        </w:rPr>
        <w:t xml:space="preserve"> </w:t>
      </w:r>
      <w:r w:rsidR="00EA1D02" w:rsidRPr="00EA1D02">
        <w:rPr>
          <w:rtl/>
        </w:rPr>
        <w:t>أطلق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الناس</w:t>
      </w:r>
      <w:r w:rsidR="004534DC">
        <w:rPr>
          <w:rtl/>
        </w:rPr>
        <w:t xml:space="preserve"> </w:t>
      </w:r>
      <w:r w:rsidR="00EA1D02" w:rsidRPr="00EA1D02">
        <w:rPr>
          <w:rtl/>
        </w:rPr>
        <w:t>جميعاً</w:t>
      </w:r>
      <w:r w:rsidR="004534DC">
        <w:rPr>
          <w:rtl/>
        </w:rPr>
        <w:t xml:space="preserve"> </w:t>
      </w:r>
      <w:r w:rsidR="00EA1D02" w:rsidRPr="00EA1D02">
        <w:rPr>
          <w:rtl/>
        </w:rPr>
        <w:t>حق</w:t>
      </w:r>
      <w:r w:rsidR="004534DC">
        <w:rPr>
          <w:rtl/>
        </w:rPr>
        <w:t xml:space="preserve"> </w:t>
      </w:r>
      <w:r w:rsidR="00EA1D02" w:rsidRPr="00EA1D02">
        <w:rPr>
          <w:rtl/>
        </w:rPr>
        <w:t>مخاطبة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السلطات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العامة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والشكوى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والتبليغ،</w:t>
      </w:r>
      <w:r w:rsidR="004534DC">
        <w:rPr>
          <w:rtl/>
        </w:rPr>
        <w:t xml:space="preserve"> </w:t>
      </w:r>
      <w:r w:rsidR="00EA1D02" w:rsidRPr="00EA1D02">
        <w:rPr>
          <w:rtl/>
        </w:rPr>
        <w:t>فضلاً</w:t>
      </w:r>
      <w:r w:rsidR="004534DC">
        <w:rPr>
          <w:rtl/>
        </w:rPr>
        <w:t xml:space="preserve"> </w:t>
      </w:r>
      <w:r w:rsidR="00EA1D02" w:rsidRPr="00EA1D02">
        <w:rPr>
          <w:rtl/>
        </w:rPr>
        <w:t>عن</w:t>
      </w:r>
      <w:r w:rsidR="004534DC">
        <w:rPr>
          <w:rtl/>
        </w:rPr>
        <w:t xml:space="preserve"> </w:t>
      </w:r>
      <w:r w:rsidR="00EA1D02" w:rsidRPr="00EA1D02">
        <w:rPr>
          <w:rtl/>
        </w:rPr>
        <w:t>ذلك</w:t>
      </w:r>
      <w:r w:rsidR="004534DC">
        <w:rPr>
          <w:rtl/>
        </w:rPr>
        <w:t xml:space="preserve"> </w:t>
      </w:r>
      <w:r w:rsidR="00EA1D02" w:rsidRPr="00EA1D02">
        <w:rPr>
          <w:rtl/>
        </w:rPr>
        <w:t>تنص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المادة</w:t>
      </w:r>
      <w:r w:rsidR="004534DC">
        <w:rPr>
          <w:rtl/>
        </w:rPr>
        <w:t xml:space="preserve"> </w:t>
      </w:r>
      <w:r w:rsidR="00EA1D02" w:rsidRPr="00EA1D02">
        <w:rPr>
          <w:rtl/>
        </w:rPr>
        <w:t>(14)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الاجراءات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والمحاكمات</w:t>
      </w:r>
      <w:r w:rsidR="004534DC">
        <w:rPr>
          <w:rtl/>
        </w:rPr>
        <w:t xml:space="preserve"> </w:t>
      </w:r>
      <w:r w:rsidR="00EA1D02" w:rsidRPr="00EA1D02">
        <w:rPr>
          <w:rtl/>
        </w:rPr>
        <w:t>(17/1960)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أن</w:t>
      </w:r>
      <w:r w:rsidR="004534DC">
        <w:rPr>
          <w:rtl/>
        </w:rPr>
        <w:t xml:space="preserve"> </w:t>
      </w:r>
      <w:r w:rsidR="00952391">
        <w:rPr>
          <w:rFonts w:hint="eastAsia"/>
          <w:rtl/>
        </w:rPr>
        <w:t>”</w:t>
      </w:r>
      <w:r w:rsidR="00EA1D02" w:rsidRPr="00EA1D02">
        <w:rPr>
          <w:rtl/>
        </w:rPr>
        <w:t>كل</w:t>
      </w:r>
      <w:r w:rsidR="004534DC">
        <w:rPr>
          <w:rtl/>
        </w:rPr>
        <w:t xml:space="preserve"> </w:t>
      </w:r>
      <w:r w:rsidR="00EA1D02" w:rsidRPr="00EA1D02">
        <w:rPr>
          <w:rtl/>
        </w:rPr>
        <w:t>شخص</w:t>
      </w:r>
      <w:r w:rsidR="004534DC">
        <w:rPr>
          <w:rtl/>
        </w:rPr>
        <w:t xml:space="preserve"> </w:t>
      </w:r>
      <w:r w:rsidR="00EA1D02" w:rsidRPr="00EA1D02">
        <w:rPr>
          <w:rtl/>
        </w:rPr>
        <w:t>شهد</w:t>
      </w:r>
      <w:r w:rsidR="004534DC">
        <w:rPr>
          <w:rtl/>
        </w:rPr>
        <w:t xml:space="preserve"> </w:t>
      </w:r>
      <w:r w:rsidR="00EA1D02" w:rsidRPr="00EA1D02">
        <w:rPr>
          <w:rtl/>
        </w:rPr>
        <w:t>ارتكاب</w:t>
      </w:r>
      <w:r w:rsidR="004534DC">
        <w:rPr>
          <w:rtl/>
        </w:rPr>
        <w:t xml:space="preserve"> </w:t>
      </w:r>
      <w:r w:rsidR="00EA1D02" w:rsidRPr="00EA1D02">
        <w:rPr>
          <w:rtl/>
        </w:rPr>
        <w:t>جريمة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علم</w:t>
      </w:r>
      <w:r w:rsidR="004534DC">
        <w:rPr>
          <w:rtl/>
        </w:rPr>
        <w:t xml:space="preserve"> </w:t>
      </w:r>
      <w:r w:rsidR="00EA1D02" w:rsidRPr="00EA1D02">
        <w:rPr>
          <w:rtl/>
        </w:rPr>
        <w:t>بوقوعها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عليه</w:t>
      </w:r>
      <w:r w:rsidR="004534DC">
        <w:rPr>
          <w:rtl/>
        </w:rPr>
        <w:t xml:space="preserve"> </w:t>
      </w:r>
      <w:r w:rsidR="00EA1D02" w:rsidRPr="00EA1D02">
        <w:rPr>
          <w:rtl/>
        </w:rPr>
        <w:t>أن</w:t>
      </w:r>
      <w:r w:rsidR="004534DC">
        <w:rPr>
          <w:rtl/>
        </w:rPr>
        <w:t xml:space="preserve"> </w:t>
      </w:r>
      <w:r w:rsidR="00EA1D02" w:rsidRPr="00EA1D02">
        <w:rPr>
          <w:rtl/>
        </w:rPr>
        <w:t>يبلغ</w:t>
      </w:r>
      <w:r w:rsidR="004534DC">
        <w:rPr>
          <w:rtl/>
        </w:rPr>
        <w:t xml:space="preserve"> </w:t>
      </w:r>
      <w:r w:rsidR="00EA1D02" w:rsidRPr="00EA1D02">
        <w:rPr>
          <w:rtl/>
        </w:rPr>
        <w:t>بذلك</w:t>
      </w:r>
      <w:r w:rsidR="004534DC">
        <w:rPr>
          <w:rtl/>
        </w:rPr>
        <w:t xml:space="preserve"> </w:t>
      </w:r>
      <w:r w:rsidR="00EA1D02" w:rsidRPr="00EA1D02">
        <w:rPr>
          <w:rtl/>
        </w:rPr>
        <w:t>فوراً</w:t>
      </w:r>
      <w:r w:rsidR="004534DC">
        <w:rPr>
          <w:rtl/>
        </w:rPr>
        <w:t xml:space="preserve"> </w:t>
      </w:r>
      <w:r w:rsidR="00EA1D02" w:rsidRPr="00EA1D02">
        <w:rPr>
          <w:rtl/>
        </w:rPr>
        <w:t>أقرب</w:t>
      </w:r>
      <w:r w:rsidR="004534DC">
        <w:rPr>
          <w:rtl/>
        </w:rPr>
        <w:t xml:space="preserve"> </w:t>
      </w:r>
      <w:r w:rsidR="00EA1D02" w:rsidRPr="00EA1D02">
        <w:rPr>
          <w:rtl/>
        </w:rPr>
        <w:t>جهة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جهات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الشرطة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التحقيق</w:t>
      </w:r>
      <w:r w:rsidR="00952391">
        <w:rPr>
          <w:rFonts w:hint="eastAsia"/>
          <w:rtl/>
        </w:rPr>
        <w:t>“</w:t>
      </w:r>
      <w:r w:rsidR="00EA1D02" w:rsidRPr="00EA1D02">
        <w:rPr>
          <w:rtl/>
        </w:rPr>
        <w:t>...،</w:t>
      </w:r>
      <w:r w:rsidR="004534DC">
        <w:rPr>
          <w:rtl/>
        </w:rPr>
        <w:t xml:space="preserve"> </w:t>
      </w:r>
      <w:r w:rsidR="00EA1D02" w:rsidRPr="00EA1D02">
        <w:rPr>
          <w:rtl/>
        </w:rPr>
        <w:t>ومفاد</w:t>
      </w:r>
      <w:r w:rsidR="004534DC">
        <w:rPr>
          <w:rtl/>
        </w:rPr>
        <w:t xml:space="preserve"> </w:t>
      </w:r>
      <w:r w:rsidR="00EA1D02" w:rsidRPr="00EA1D02">
        <w:rPr>
          <w:rtl/>
        </w:rPr>
        <w:t>ذلك</w:t>
      </w:r>
      <w:r w:rsidR="004534DC">
        <w:rPr>
          <w:rtl/>
        </w:rPr>
        <w:t xml:space="preserve"> </w:t>
      </w:r>
      <w:r w:rsidR="00EA1D02" w:rsidRPr="00EA1D02">
        <w:rPr>
          <w:rtl/>
        </w:rPr>
        <w:t>أن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التبليغ</w:t>
      </w:r>
      <w:r w:rsidR="004534DC">
        <w:rPr>
          <w:rtl/>
        </w:rPr>
        <w:t xml:space="preserve"> </w:t>
      </w:r>
      <w:r w:rsidR="00EA1D02" w:rsidRPr="00EA1D02">
        <w:rPr>
          <w:rtl/>
        </w:rPr>
        <w:t>عن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الجرائم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التشريع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الكويتي</w:t>
      </w:r>
      <w:r w:rsidR="004534DC">
        <w:rPr>
          <w:rtl/>
        </w:rPr>
        <w:t xml:space="preserve"> </w:t>
      </w:r>
      <w:r w:rsidR="00EA1D02" w:rsidRPr="00EA1D02">
        <w:rPr>
          <w:rtl/>
        </w:rPr>
        <w:t>ليس</w:t>
      </w:r>
      <w:r w:rsidR="004534DC">
        <w:rPr>
          <w:rtl/>
        </w:rPr>
        <w:t xml:space="preserve"> </w:t>
      </w:r>
      <w:r w:rsidR="00EA1D02" w:rsidRPr="00EA1D02">
        <w:rPr>
          <w:rtl/>
        </w:rPr>
        <w:t>حقاً</w:t>
      </w:r>
      <w:r w:rsidR="004534DC">
        <w:rPr>
          <w:rtl/>
        </w:rPr>
        <w:t xml:space="preserve"> </w:t>
      </w:r>
      <w:r w:rsidR="00EA1D02" w:rsidRPr="00EA1D02">
        <w:rPr>
          <w:rtl/>
        </w:rPr>
        <w:t>مقرراً</w:t>
      </w:r>
      <w:r w:rsidR="004534DC">
        <w:rPr>
          <w:rtl/>
        </w:rPr>
        <w:t xml:space="preserve"> </w:t>
      </w:r>
      <w:r w:rsidR="00EA1D02" w:rsidRPr="00EA1D02">
        <w:rPr>
          <w:rtl/>
        </w:rPr>
        <w:t>لكل</w:t>
      </w:r>
      <w:r w:rsidR="004534DC">
        <w:rPr>
          <w:rtl/>
        </w:rPr>
        <w:t xml:space="preserve"> </w:t>
      </w:r>
      <w:r w:rsidR="00EA1D02" w:rsidRPr="00EA1D02">
        <w:rPr>
          <w:rtl/>
        </w:rPr>
        <w:t>إنسان</w:t>
      </w:r>
      <w:r w:rsidR="004534DC">
        <w:rPr>
          <w:rtl/>
        </w:rPr>
        <w:t xml:space="preserve"> </w:t>
      </w:r>
      <w:r w:rsidR="00EA1D02" w:rsidRPr="00EA1D02">
        <w:rPr>
          <w:rtl/>
        </w:rPr>
        <w:t>فحسب،</w:t>
      </w:r>
      <w:r w:rsidR="004534DC">
        <w:rPr>
          <w:rtl/>
        </w:rPr>
        <w:t xml:space="preserve"> </w:t>
      </w:r>
      <w:r w:rsidR="00EA1D02" w:rsidRPr="00EA1D02">
        <w:rPr>
          <w:rtl/>
        </w:rPr>
        <w:t>بل</w:t>
      </w:r>
      <w:r w:rsidR="004534DC">
        <w:rPr>
          <w:rtl/>
        </w:rPr>
        <w:t xml:space="preserve"> </w:t>
      </w:r>
      <w:r w:rsidR="00EA1D02" w:rsidRPr="00EA1D02">
        <w:rPr>
          <w:rtl/>
        </w:rPr>
        <w:t>هو</w:t>
      </w:r>
      <w:r w:rsidR="004534DC">
        <w:rPr>
          <w:rtl/>
        </w:rPr>
        <w:t xml:space="preserve"> </w:t>
      </w:r>
      <w:r w:rsidR="00EA1D02" w:rsidRPr="00EA1D02">
        <w:rPr>
          <w:rtl/>
        </w:rPr>
        <w:t>واجب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عليه</w:t>
      </w:r>
      <w:r w:rsidR="004534DC">
        <w:rPr>
          <w:rtl/>
        </w:rPr>
        <w:t xml:space="preserve"> </w:t>
      </w:r>
      <w:r w:rsidR="00EA1D02" w:rsidRPr="00EA1D02">
        <w:rPr>
          <w:rtl/>
        </w:rPr>
        <w:t>ولو</w:t>
      </w:r>
      <w:r w:rsidR="004534DC">
        <w:rPr>
          <w:rtl/>
        </w:rPr>
        <w:t xml:space="preserve"> </w:t>
      </w:r>
      <w:r w:rsidR="00EA1D02" w:rsidRPr="00EA1D02">
        <w:rPr>
          <w:rtl/>
        </w:rPr>
        <w:t>لم</w:t>
      </w:r>
      <w:r w:rsidR="004534DC">
        <w:rPr>
          <w:rtl/>
        </w:rPr>
        <w:t xml:space="preserve"> </w:t>
      </w:r>
      <w:r w:rsidR="00EA1D02" w:rsidRPr="00EA1D02">
        <w:rPr>
          <w:rtl/>
        </w:rPr>
        <w:t>يكن</w:t>
      </w:r>
      <w:r w:rsidR="004534DC">
        <w:rPr>
          <w:rtl/>
        </w:rPr>
        <w:t xml:space="preserve"> </w:t>
      </w:r>
      <w:r w:rsidR="00EA1D02" w:rsidRPr="00EA1D02">
        <w:rPr>
          <w:rtl/>
        </w:rPr>
        <w:t>هو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المضرور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الجريمة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21732A">
        <w:rPr>
          <w:rFonts w:hint="cs"/>
          <w:rtl/>
        </w:rPr>
        <w:t> </w:t>
      </w:r>
      <w:r w:rsidR="00EA1D02" w:rsidRPr="00EA1D02">
        <w:rPr>
          <w:rtl/>
        </w:rPr>
        <w:t>المجني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عليه</w:t>
      </w:r>
      <w:r w:rsidR="004534DC">
        <w:rPr>
          <w:rtl/>
        </w:rPr>
        <w:t xml:space="preserve"> </w:t>
      </w:r>
      <w:r w:rsidR="00EA1D02" w:rsidRPr="00EA1D02">
        <w:rPr>
          <w:rtl/>
        </w:rPr>
        <w:t>فيها.</w:t>
      </w:r>
      <w:r w:rsidR="004534DC">
        <w:rPr>
          <w:rtl/>
        </w:rPr>
        <w:t xml:space="preserve"> </w:t>
      </w:r>
    </w:p>
    <w:p w14:paraId="2B02BE4B" w14:textId="7AF1C512" w:rsidR="00EA1D02" w:rsidRPr="00EA1D02" w:rsidRDefault="00301EA3" w:rsidP="00EA1D02">
      <w:pPr>
        <w:pStyle w:val="SingleTxt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وإيماناً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المشرع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الكويتي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حق</w:t>
      </w:r>
      <w:r w:rsidR="004534DC">
        <w:rPr>
          <w:rtl/>
        </w:rPr>
        <w:t xml:space="preserve"> </w:t>
      </w:r>
      <w:r w:rsidR="00EA1D02" w:rsidRPr="00EA1D02">
        <w:rPr>
          <w:rtl/>
        </w:rPr>
        <w:t>جميع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الأشخاص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التقاضي</w:t>
      </w:r>
      <w:r w:rsidR="004534DC">
        <w:rPr>
          <w:rtl/>
        </w:rPr>
        <w:t xml:space="preserve"> </w:t>
      </w:r>
      <w:r w:rsidR="00EA1D02" w:rsidRPr="00EA1D02">
        <w:rPr>
          <w:rtl/>
        </w:rPr>
        <w:t>ولاسيما</w:t>
      </w:r>
      <w:r w:rsidR="004534DC">
        <w:rPr>
          <w:rtl/>
        </w:rPr>
        <w:t xml:space="preserve"> </w:t>
      </w:r>
      <w:r w:rsidR="00EA1D02" w:rsidRPr="00EA1D02">
        <w:rPr>
          <w:rtl/>
        </w:rPr>
        <w:t>حقهم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الطعن</w:t>
      </w:r>
      <w:r w:rsidR="004534DC">
        <w:rPr>
          <w:rtl/>
        </w:rPr>
        <w:t xml:space="preserve"> </w:t>
      </w:r>
      <w:r w:rsidR="00EA1D02" w:rsidRPr="00EA1D02">
        <w:rPr>
          <w:rtl/>
        </w:rPr>
        <w:t>أمام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المحكمة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الدستورية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أي</w:t>
      </w:r>
      <w:r w:rsidR="004534DC">
        <w:rPr>
          <w:rtl/>
        </w:rPr>
        <w:t xml:space="preserve"> </w:t>
      </w:r>
      <w:r w:rsidR="00EA1D02" w:rsidRPr="00EA1D02">
        <w:rPr>
          <w:rtl/>
        </w:rPr>
        <w:t>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مرسوم</w:t>
      </w:r>
      <w:r w:rsidR="004534DC">
        <w:rPr>
          <w:rtl/>
        </w:rPr>
        <w:t xml:space="preserve"> </w:t>
      </w:r>
      <w:r w:rsidR="00EA1D02" w:rsidRPr="00EA1D02">
        <w:rPr>
          <w:rtl/>
        </w:rPr>
        <w:t>بقانون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لائحة</w:t>
      </w:r>
      <w:r w:rsidR="004534DC">
        <w:rPr>
          <w:rtl/>
        </w:rPr>
        <w:t xml:space="preserve"> </w:t>
      </w:r>
      <w:r w:rsidR="00EA1D02" w:rsidRPr="00EA1D02">
        <w:rPr>
          <w:rtl/>
        </w:rPr>
        <w:t>إذا</w:t>
      </w:r>
      <w:r w:rsidR="004534DC">
        <w:rPr>
          <w:rtl/>
        </w:rPr>
        <w:t xml:space="preserve"> </w:t>
      </w:r>
      <w:r w:rsidR="00EA1D02" w:rsidRPr="00EA1D02">
        <w:rPr>
          <w:rtl/>
        </w:rPr>
        <w:t>قامت</w:t>
      </w:r>
      <w:r w:rsidR="004534DC">
        <w:rPr>
          <w:rtl/>
        </w:rPr>
        <w:t xml:space="preserve"> </w:t>
      </w:r>
      <w:r w:rsidR="00EA1D02" w:rsidRPr="00EA1D02">
        <w:rPr>
          <w:rtl/>
        </w:rPr>
        <w:t>شبهة</w:t>
      </w:r>
      <w:r w:rsidR="004534DC">
        <w:rPr>
          <w:rtl/>
        </w:rPr>
        <w:t xml:space="preserve"> </w:t>
      </w:r>
      <w:r w:rsidR="00EA1D02" w:rsidRPr="00EA1D02">
        <w:rPr>
          <w:rtl/>
        </w:rPr>
        <w:t>بمخالفته</w:t>
      </w:r>
      <w:r w:rsidR="004534DC">
        <w:rPr>
          <w:rtl/>
        </w:rPr>
        <w:t xml:space="preserve"> </w:t>
      </w:r>
      <w:r w:rsidR="00EA1D02" w:rsidRPr="00EA1D02">
        <w:rPr>
          <w:rtl/>
        </w:rPr>
        <w:t>أحكام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الدستور</w:t>
      </w:r>
      <w:r w:rsidR="004534DC">
        <w:rPr>
          <w:rtl/>
        </w:rPr>
        <w:t xml:space="preserve"> </w:t>
      </w:r>
      <w:r w:rsidR="00EA1D02" w:rsidRPr="00EA1D02">
        <w:rPr>
          <w:rtl/>
        </w:rPr>
        <w:t>أن</w:t>
      </w:r>
      <w:r w:rsidR="004534DC">
        <w:rPr>
          <w:rtl/>
        </w:rPr>
        <w:t xml:space="preserve"> </w:t>
      </w:r>
      <w:r w:rsidR="00EA1D02" w:rsidRPr="00EA1D02">
        <w:rPr>
          <w:rtl/>
        </w:rPr>
        <w:t>صدر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رقم</w:t>
      </w:r>
      <w:r w:rsidR="004534DC">
        <w:rPr>
          <w:rtl/>
        </w:rPr>
        <w:t xml:space="preserve"> </w:t>
      </w:r>
      <w:r w:rsidR="00EA1D02" w:rsidRPr="00EA1D02">
        <w:rPr>
          <w:rtl/>
        </w:rPr>
        <w:t>(109)</w:t>
      </w:r>
      <w:r w:rsidR="004534DC">
        <w:rPr>
          <w:rtl/>
        </w:rPr>
        <w:t xml:space="preserve"> </w:t>
      </w:r>
      <w:r w:rsidR="00EA1D02" w:rsidRPr="00EA1D02">
        <w:rPr>
          <w:rtl/>
        </w:rPr>
        <w:t>لسنة</w:t>
      </w:r>
      <w:r w:rsidR="004534DC">
        <w:rPr>
          <w:rtl/>
        </w:rPr>
        <w:t xml:space="preserve"> </w:t>
      </w:r>
      <w:r w:rsidR="00EA1D02" w:rsidRPr="00EA1D02">
        <w:rPr>
          <w:rtl/>
        </w:rPr>
        <w:t>2014</w:t>
      </w:r>
      <w:r w:rsidR="004534DC">
        <w:rPr>
          <w:rtl/>
        </w:rPr>
        <w:t xml:space="preserve"> </w:t>
      </w:r>
      <w:r w:rsidR="00EA1D02" w:rsidRPr="00EA1D02">
        <w:rPr>
          <w:rtl/>
        </w:rPr>
        <w:t>بتعديل</w:t>
      </w:r>
      <w:r w:rsidR="004534DC">
        <w:rPr>
          <w:rtl/>
        </w:rPr>
        <w:t xml:space="preserve"> </w:t>
      </w:r>
      <w:r w:rsidR="00EA1D02" w:rsidRPr="00EA1D02">
        <w:rPr>
          <w:rtl/>
        </w:rPr>
        <w:t>بعض</w:t>
      </w:r>
      <w:r w:rsidR="004534DC">
        <w:rPr>
          <w:rtl/>
        </w:rPr>
        <w:t xml:space="preserve"> </w:t>
      </w:r>
      <w:r w:rsidR="00EA1D02" w:rsidRPr="00EA1D02">
        <w:rPr>
          <w:rtl/>
        </w:rPr>
        <w:t>أحكام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رقم</w:t>
      </w:r>
      <w:r w:rsidR="004534DC">
        <w:rPr>
          <w:rtl/>
        </w:rPr>
        <w:t xml:space="preserve"> </w:t>
      </w:r>
      <w:r w:rsidR="00EA1D02" w:rsidRPr="00EA1D02">
        <w:rPr>
          <w:rtl/>
        </w:rPr>
        <w:t>(14)</w:t>
      </w:r>
      <w:r w:rsidR="004534DC">
        <w:rPr>
          <w:rtl/>
        </w:rPr>
        <w:t xml:space="preserve"> </w:t>
      </w:r>
      <w:r w:rsidR="00EA1D02" w:rsidRPr="00EA1D02">
        <w:rPr>
          <w:rtl/>
        </w:rPr>
        <w:t>لسنة</w:t>
      </w:r>
      <w:r w:rsidR="004534DC">
        <w:rPr>
          <w:rtl/>
        </w:rPr>
        <w:t xml:space="preserve"> </w:t>
      </w:r>
      <w:r w:rsidR="00EA1D02" w:rsidRPr="00EA1D02">
        <w:rPr>
          <w:rtl/>
        </w:rPr>
        <w:t>1973</w:t>
      </w:r>
      <w:r w:rsidR="004534DC">
        <w:rPr>
          <w:rtl/>
        </w:rPr>
        <w:t xml:space="preserve"> </w:t>
      </w:r>
      <w:r w:rsidR="00705BD9" w:rsidRPr="00EA1D02">
        <w:rPr>
          <w:rFonts w:hint="cs"/>
          <w:rtl/>
        </w:rPr>
        <w:t>بإنشاء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المحكمة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الدستورية،</w:t>
      </w:r>
      <w:r w:rsidR="004534DC">
        <w:rPr>
          <w:rtl/>
        </w:rPr>
        <w:t xml:space="preserve"> </w:t>
      </w:r>
      <w:r w:rsidR="00EA1D02" w:rsidRPr="00EA1D02">
        <w:rPr>
          <w:rtl/>
        </w:rPr>
        <w:t>حيث</w:t>
      </w:r>
      <w:r w:rsidR="004534DC">
        <w:rPr>
          <w:rtl/>
        </w:rPr>
        <w:t xml:space="preserve"> </w:t>
      </w:r>
      <w:r w:rsidR="00EA1D02" w:rsidRPr="00EA1D02">
        <w:rPr>
          <w:rtl/>
        </w:rPr>
        <w:t>منح</w:t>
      </w:r>
      <w:r w:rsidR="004534DC">
        <w:rPr>
          <w:rtl/>
        </w:rPr>
        <w:t xml:space="preserve"> </w:t>
      </w:r>
      <w:r w:rsidR="00EA1D02" w:rsidRPr="00EA1D02">
        <w:rPr>
          <w:rtl/>
        </w:rPr>
        <w:t>كل</w:t>
      </w:r>
      <w:r w:rsidR="004534DC">
        <w:rPr>
          <w:rtl/>
        </w:rPr>
        <w:t xml:space="preserve"> </w:t>
      </w:r>
      <w:r w:rsidR="00EA1D02" w:rsidRPr="00EA1D02">
        <w:rPr>
          <w:rtl/>
        </w:rPr>
        <w:t>شخص</w:t>
      </w:r>
      <w:r w:rsidR="004534DC">
        <w:rPr>
          <w:rtl/>
        </w:rPr>
        <w:t xml:space="preserve"> </w:t>
      </w:r>
      <w:r w:rsidR="00EA1D02" w:rsidRPr="00EA1D02">
        <w:rPr>
          <w:rtl/>
        </w:rPr>
        <w:t>طبيعي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اعتباري</w:t>
      </w:r>
      <w:r w:rsidR="004534DC">
        <w:rPr>
          <w:rtl/>
        </w:rPr>
        <w:t xml:space="preserve"> </w:t>
      </w:r>
      <w:r w:rsidR="00EA1D02" w:rsidRPr="00EA1D02">
        <w:rPr>
          <w:rtl/>
        </w:rPr>
        <w:t>حق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الطعن</w:t>
      </w:r>
      <w:r w:rsidR="004534DC">
        <w:rPr>
          <w:rtl/>
        </w:rPr>
        <w:t xml:space="preserve"> </w:t>
      </w:r>
      <w:r w:rsidR="00EA1D02" w:rsidRPr="00EA1D02">
        <w:rPr>
          <w:rtl/>
        </w:rPr>
        <w:t>مباشرة</w:t>
      </w:r>
      <w:r w:rsidR="004534DC">
        <w:rPr>
          <w:rtl/>
        </w:rPr>
        <w:t xml:space="preserve"> </w:t>
      </w:r>
      <w:r w:rsidR="00EA1D02" w:rsidRPr="00EA1D02">
        <w:rPr>
          <w:rtl/>
        </w:rPr>
        <w:t>أمام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المحكمة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الدستورية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بدعوى</w:t>
      </w:r>
      <w:r w:rsidR="004534DC">
        <w:rPr>
          <w:rtl/>
        </w:rPr>
        <w:t xml:space="preserve"> </w:t>
      </w:r>
      <w:r w:rsidR="00EA1D02" w:rsidRPr="00EA1D02">
        <w:rPr>
          <w:rtl/>
        </w:rPr>
        <w:t>أصلية.</w:t>
      </w:r>
      <w:r w:rsidR="004534DC">
        <w:rPr>
          <w:rtl/>
        </w:rPr>
        <w:t xml:space="preserve"> </w:t>
      </w:r>
    </w:p>
    <w:p w14:paraId="234B1D16" w14:textId="7BCAD6C0" w:rsidR="00EA1D02" w:rsidRPr="00EA1D02" w:rsidRDefault="00301EA3" w:rsidP="00EA1D02">
      <w:pPr>
        <w:pStyle w:val="SingleTxt"/>
        <w:rPr>
          <w:rtl/>
        </w:rPr>
      </w:pPr>
      <w:r>
        <w:rPr>
          <w:rtl/>
        </w:rPr>
        <w:lastRenderedPageBreak/>
        <w:tab/>
      </w:r>
      <w:r w:rsidR="00EA1D02" w:rsidRPr="00EA1D02">
        <w:rPr>
          <w:rtl/>
        </w:rPr>
        <w:t>وفي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إطار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اهتمام</w:t>
      </w:r>
      <w:r w:rsidR="004534DC">
        <w:rPr>
          <w:rtl/>
        </w:rPr>
        <w:t xml:space="preserve"> </w:t>
      </w:r>
      <w:r w:rsidR="00EA1D02" w:rsidRPr="00EA1D02">
        <w:rPr>
          <w:rtl/>
        </w:rPr>
        <w:t>دولة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بالمرأة</w:t>
      </w:r>
      <w:r w:rsidR="004534DC">
        <w:rPr>
          <w:rtl/>
        </w:rPr>
        <w:t xml:space="preserve"> </w:t>
      </w:r>
      <w:r w:rsidR="00EA1D02" w:rsidRPr="00EA1D02">
        <w:rPr>
          <w:rtl/>
        </w:rPr>
        <w:t>وتحقيقاً</w:t>
      </w:r>
      <w:r w:rsidR="004534DC">
        <w:rPr>
          <w:rtl/>
        </w:rPr>
        <w:t xml:space="preserve"> </w:t>
      </w:r>
      <w:r w:rsidR="00EA1D02" w:rsidRPr="00EA1D02">
        <w:rPr>
          <w:rtl/>
        </w:rPr>
        <w:t>للمساواة</w:t>
      </w:r>
      <w:r w:rsidR="004534DC">
        <w:rPr>
          <w:rtl/>
        </w:rPr>
        <w:t xml:space="preserve"> </w:t>
      </w:r>
      <w:r w:rsidR="00EA1D02" w:rsidRPr="00EA1D02">
        <w:rPr>
          <w:rtl/>
        </w:rPr>
        <w:t>بين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الجنسين</w:t>
      </w:r>
      <w:r w:rsidR="004534DC">
        <w:rPr>
          <w:rtl/>
        </w:rPr>
        <w:t xml:space="preserve"> </w:t>
      </w:r>
      <w:r w:rsidR="00EA1D02" w:rsidRPr="00EA1D02">
        <w:rPr>
          <w:rtl/>
        </w:rPr>
        <w:t>وإيماناً</w:t>
      </w:r>
      <w:r w:rsidR="004534DC">
        <w:rPr>
          <w:rtl/>
        </w:rPr>
        <w:t xml:space="preserve"> </w:t>
      </w:r>
      <w:r w:rsidR="00EA1D02" w:rsidRPr="00EA1D02">
        <w:rPr>
          <w:rtl/>
        </w:rPr>
        <w:t>منه</w:t>
      </w:r>
      <w:r w:rsidR="004534DC">
        <w:rPr>
          <w:rtl/>
        </w:rPr>
        <w:t xml:space="preserve"> </w:t>
      </w:r>
      <w:r w:rsidR="00EA1D02" w:rsidRPr="00EA1D02">
        <w:rPr>
          <w:rtl/>
        </w:rPr>
        <w:t>بدورها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الهام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المجتمع</w:t>
      </w:r>
      <w:r w:rsidR="004534DC">
        <w:rPr>
          <w:rtl/>
        </w:rPr>
        <w:t xml:space="preserve"> </w:t>
      </w:r>
      <w:r w:rsidR="00EA1D02" w:rsidRPr="00EA1D02">
        <w:rPr>
          <w:rtl/>
        </w:rPr>
        <w:t>تم</w:t>
      </w:r>
      <w:r w:rsidR="004534DC">
        <w:rPr>
          <w:rtl/>
        </w:rPr>
        <w:t xml:space="preserve"> </w:t>
      </w:r>
      <w:r w:rsidR="00EA1D02" w:rsidRPr="00EA1D02">
        <w:rPr>
          <w:rtl/>
        </w:rPr>
        <w:t>قبول</w:t>
      </w:r>
      <w:r w:rsidR="004534DC">
        <w:rPr>
          <w:rtl/>
        </w:rPr>
        <w:t xml:space="preserve"> </w:t>
      </w:r>
      <w:r w:rsidR="00EA1D02" w:rsidRPr="00EA1D02">
        <w:rPr>
          <w:rtl/>
        </w:rPr>
        <w:t>عدد</w:t>
      </w:r>
      <w:r w:rsidR="004534DC">
        <w:rPr>
          <w:rtl/>
        </w:rPr>
        <w:t xml:space="preserve"> </w:t>
      </w:r>
      <w:r w:rsidR="00EA1D02" w:rsidRPr="00EA1D02">
        <w:rPr>
          <w:rtl/>
        </w:rPr>
        <w:t>22</w:t>
      </w:r>
      <w:r w:rsidR="004534DC">
        <w:rPr>
          <w:rtl/>
        </w:rPr>
        <w:t xml:space="preserve"> </w:t>
      </w:r>
      <w:r w:rsidR="00EA1D02" w:rsidRPr="00EA1D02">
        <w:rPr>
          <w:rtl/>
        </w:rPr>
        <w:t>وكيلة</w:t>
      </w:r>
      <w:r w:rsidR="004534DC">
        <w:rPr>
          <w:rtl/>
        </w:rPr>
        <w:t xml:space="preserve"> </w:t>
      </w:r>
      <w:r w:rsidR="00EA1D02" w:rsidRPr="00EA1D02">
        <w:rPr>
          <w:rtl/>
        </w:rPr>
        <w:t>نيابة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عام</w:t>
      </w:r>
      <w:r w:rsidR="004534DC">
        <w:rPr>
          <w:rtl/>
        </w:rPr>
        <w:t xml:space="preserve"> </w:t>
      </w:r>
      <w:r w:rsidR="00EA1D02" w:rsidRPr="00EA1D02">
        <w:rPr>
          <w:rtl/>
        </w:rPr>
        <w:t>2014</w:t>
      </w:r>
      <w:r w:rsidR="004534DC">
        <w:rPr>
          <w:rtl/>
        </w:rPr>
        <w:t xml:space="preserve"> </w:t>
      </w:r>
      <w:r w:rsidR="00EA1D02" w:rsidRPr="00EA1D02">
        <w:rPr>
          <w:rtl/>
        </w:rPr>
        <w:t>وتأتي</w:t>
      </w:r>
      <w:r w:rsidR="004534DC">
        <w:rPr>
          <w:rtl/>
        </w:rPr>
        <w:t xml:space="preserve"> </w:t>
      </w:r>
      <w:r w:rsidR="00EA1D02" w:rsidRPr="00EA1D02">
        <w:rPr>
          <w:rtl/>
        </w:rPr>
        <w:t>هذه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الخطوة</w:t>
      </w:r>
      <w:r w:rsidR="004534DC">
        <w:rPr>
          <w:rtl/>
        </w:rPr>
        <w:t xml:space="preserve"> </w:t>
      </w:r>
      <w:r w:rsidR="00EA1D02" w:rsidRPr="00EA1D02">
        <w:rPr>
          <w:rtl/>
        </w:rPr>
        <w:t>تمهيداً</w:t>
      </w:r>
      <w:r w:rsidR="004534DC">
        <w:rPr>
          <w:rtl/>
        </w:rPr>
        <w:t xml:space="preserve"> </w:t>
      </w:r>
      <w:r w:rsidR="00EA1D02" w:rsidRPr="00EA1D02">
        <w:rPr>
          <w:rtl/>
        </w:rPr>
        <w:t>لانتقال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المرأة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النيابة</w:t>
      </w:r>
      <w:r w:rsidR="004534DC">
        <w:rPr>
          <w:rtl/>
        </w:rPr>
        <w:t xml:space="preserve"> </w:t>
      </w:r>
      <w:r w:rsidR="00EA1D02" w:rsidRPr="00EA1D02">
        <w:rPr>
          <w:rtl/>
        </w:rPr>
        <w:t>إلى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الانخراط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سلك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القضاء</w:t>
      </w:r>
      <w:r w:rsidR="004534DC">
        <w:rPr>
          <w:rtl/>
        </w:rPr>
        <w:t xml:space="preserve"> </w:t>
      </w:r>
      <w:r w:rsidR="00EA1D02" w:rsidRPr="00EA1D02">
        <w:rPr>
          <w:rtl/>
        </w:rPr>
        <w:t>وفقاً</w:t>
      </w:r>
      <w:r w:rsidR="004534DC">
        <w:rPr>
          <w:rtl/>
        </w:rPr>
        <w:t xml:space="preserve"> </w:t>
      </w:r>
      <w:r w:rsidR="00EA1D02" w:rsidRPr="00EA1D02">
        <w:rPr>
          <w:rtl/>
        </w:rPr>
        <w:t>للتدرج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الوظيفي</w:t>
      </w:r>
      <w:r w:rsidR="004534DC">
        <w:rPr>
          <w:rtl/>
        </w:rPr>
        <w:t xml:space="preserve"> </w:t>
      </w:r>
      <w:r w:rsidR="00EA1D02" w:rsidRPr="00EA1D02">
        <w:rPr>
          <w:rtl/>
        </w:rPr>
        <w:t>لذلك.</w:t>
      </w:r>
      <w:r w:rsidR="004534DC">
        <w:rPr>
          <w:rtl/>
        </w:rPr>
        <w:t xml:space="preserve"> </w:t>
      </w:r>
    </w:p>
    <w:p w14:paraId="13A7A6AB" w14:textId="78704968" w:rsidR="00EA1D02" w:rsidRPr="00EA1D02" w:rsidRDefault="00301EA3" w:rsidP="00EA1D02">
      <w:pPr>
        <w:pStyle w:val="SingleTxt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علماً</w:t>
      </w:r>
      <w:r w:rsidR="004534DC">
        <w:rPr>
          <w:rtl/>
        </w:rPr>
        <w:t xml:space="preserve"> </w:t>
      </w:r>
      <w:r w:rsidR="00EA1D02" w:rsidRPr="00EA1D02">
        <w:rPr>
          <w:rtl/>
        </w:rPr>
        <w:t>بأنه</w:t>
      </w:r>
      <w:r w:rsidR="004534DC">
        <w:rPr>
          <w:rtl/>
        </w:rPr>
        <w:t xml:space="preserve"> </w:t>
      </w:r>
      <w:r w:rsidR="00EA1D02" w:rsidRPr="00EA1D02">
        <w:rPr>
          <w:rtl/>
        </w:rPr>
        <w:t>تم</w:t>
      </w:r>
      <w:r w:rsidR="004534DC">
        <w:rPr>
          <w:rtl/>
        </w:rPr>
        <w:t xml:space="preserve"> </w:t>
      </w:r>
      <w:r w:rsidR="00EA1D02" w:rsidRPr="00EA1D02">
        <w:rPr>
          <w:rtl/>
        </w:rPr>
        <w:t>تعيين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عدد</w:t>
      </w:r>
      <w:r w:rsidR="004534DC">
        <w:rPr>
          <w:rtl/>
        </w:rPr>
        <w:t xml:space="preserve"> </w:t>
      </w:r>
      <w:r w:rsidR="00EA1D02" w:rsidRPr="00EA1D02">
        <w:rPr>
          <w:rtl/>
        </w:rPr>
        <w:t>24</w:t>
      </w:r>
      <w:r w:rsidR="004534DC">
        <w:rPr>
          <w:rtl/>
        </w:rPr>
        <w:t xml:space="preserve"> </w:t>
      </w:r>
      <w:r w:rsidR="00C13813" w:rsidRPr="00EA1D02">
        <w:rPr>
          <w:rFonts w:hint="cs"/>
          <w:rtl/>
        </w:rPr>
        <w:t>امرأة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خريجي</w:t>
      </w:r>
      <w:r w:rsidR="004534DC">
        <w:rPr>
          <w:rtl/>
        </w:rPr>
        <w:t xml:space="preserve"> </w:t>
      </w:r>
      <w:r w:rsidR="00EA1D02" w:rsidRPr="00EA1D02">
        <w:rPr>
          <w:rtl/>
        </w:rPr>
        <w:t>كليتي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الحقوق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والشريعة</w:t>
      </w:r>
      <w:r w:rsidR="004534DC">
        <w:rPr>
          <w:rtl/>
        </w:rPr>
        <w:t xml:space="preserve"> </w:t>
      </w:r>
      <w:r w:rsidR="00EA1D02" w:rsidRPr="00EA1D02">
        <w:rPr>
          <w:rtl/>
        </w:rPr>
        <w:t>كباحثين</w:t>
      </w:r>
      <w:r w:rsidR="004534DC">
        <w:rPr>
          <w:rtl/>
        </w:rPr>
        <w:t xml:space="preserve"> </w:t>
      </w:r>
      <w:r w:rsidR="00EA1D02" w:rsidRPr="00EA1D02">
        <w:rPr>
          <w:rtl/>
        </w:rPr>
        <w:t>قانونيين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بوزارة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العدل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عام</w:t>
      </w:r>
      <w:r w:rsidR="004534DC">
        <w:rPr>
          <w:rtl/>
        </w:rPr>
        <w:t xml:space="preserve"> </w:t>
      </w:r>
      <w:r w:rsidR="00EA1D02" w:rsidRPr="00EA1D02">
        <w:rPr>
          <w:rtl/>
        </w:rPr>
        <w:t>2018،</w:t>
      </w:r>
      <w:r w:rsidR="004534DC">
        <w:rPr>
          <w:rtl/>
        </w:rPr>
        <w:t xml:space="preserve"> </w:t>
      </w:r>
      <w:r w:rsidR="00EA1D02" w:rsidRPr="00EA1D02">
        <w:rPr>
          <w:rtl/>
        </w:rPr>
        <w:t>وذلك</w:t>
      </w:r>
      <w:r w:rsidR="004534DC">
        <w:rPr>
          <w:rtl/>
        </w:rPr>
        <w:t xml:space="preserve"> </w:t>
      </w:r>
      <w:r w:rsidR="00EA1D02" w:rsidRPr="00EA1D02">
        <w:rPr>
          <w:rtl/>
        </w:rPr>
        <w:t>تمهيداً</w:t>
      </w:r>
      <w:r w:rsidR="004534DC">
        <w:rPr>
          <w:rtl/>
        </w:rPr>
        <w:t xml:space="preserve"> </w:t>
      </w:r>
      <w:r w:rsidR="00EA1D02" w:rsidRPr="00EA1D02">
        <w:rPr>
          <w:rtl/>
        </w:rPr>
        <w:t>لتعيينهن</w:t>
      </w:r>
      <w:r w:rsidR="004534DC">
        <w:rPr>
          <w:rtl/>
        </w:rPr>
        <w:t xml:space="preserve"> </w:t>
      </w:r>
      <w:r w:rsidR="00EA1D02" w:rsidRPr="00EA1D02">
        <w:rPr>
          <w:rtl/>
        </w:rPr>
        <w:t>وكلاء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النيابة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العامة</w:t>
      </w:r>
      <w:r w:rsidR="004534DC">
        <w:rPr>
          <w:rtl/>
        </w:rPr>
        <w:t xml:space="preserve"> </w:t>
      </w:r>
      <w:r w:rsidR="00EA1D02" w:rsidRPr="00EA1D02">
        <w:rPr>
          <w:rtl/>
        </w:rPr>
        <w:t>بعد</w:t>
      </w:r>
      <w:r w:rsidR="004534DC">
        <w:rPr>
          <w:rtl/>
        </w:rPr>
        <w:t xml:space="preserve"> </w:t>
      </w:r>
      <w:r w:rsidR="00EA1D02" w:rsidRPr="00EA1D02">
        <w:rPr>
          <w:rtl/>
        </w:rPr>
        <w:t>اجتياز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الدورة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التعريفية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معهد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</w:t>
      </w:r>
      <w:r w:rsidR="004534DC">
        <w:rPr>
          <w:rtl/>
        </w:rPr>
        <w:t xml:space="preserve"> </w:t>
      </w:r>
      <w:r w:rsidR="00EA1D02" w:rsidRPr="00EA1D02">
        <w:rPr>
          <w:rtl/>
        </w:rPr>
        <w:t>للدراسات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والقضائية،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علماً</w:t>
      </w:r>
      <w:r w:rsidR="004534DC">
        <w:rPr>
          <w:rtl/>
        </w:rPr>
        <w:t xml:space="preserve"> </w:t>
      </w:r>
      <w:r w:rsidR="00EA1D02" w:rsidRPr="00EA1D02">
        <w:rPr>
          <w:rtl/>
        </w:rPr>
        <w:t>جاري</w:t>
      </w:r>
      <w:r w:rsidR="004534DC">
        <w:rPr>
          <w:rtl/>
        </w:rPr>
        <w:t xml:space="preserve"> </w:t>
      </w:r>
      <w:r w:rsidR="00EA1D02" w:rsidRPr="00EA1D02">
        <w:rPr>
          <w:rtl/>
        </w:rPr>
        <w:t>قبول</w:t>
      </w:r>
      <w:r w:rsidR="004534DC">
        <w:rPr>
          <w:rtl/>
        </w:rPr>
        <w:t xml:space="preserve"> </w:t>
      </w:r>
      <w:r w:rsidR="00EA1D02" w:rsidRPr="00EA1D02">
        <w:rPr>
          <w:rtl/>
        </w:rPr>
        <w:t>دفعة</w:t>
      </w:r>
      <w:r w:rsidR="004534DC">
        <w:rPr>
          <w:rtl/>
        </w:rPr>
        <w:t xml:space="preserve"> </w:t>
      </w:r>
      <w:r w:rsidR="00EA1D02" w:rsidRPr="00EA1D02">
        <w:rPr>
          <w:rtl/>
        </w:rPr>
        <w:t>جديدة</w:t>
      </w:r>
      <w:r w:rsidR="004534DC">
        <w:rPr>
          <w:rtl/>
        </w:rPr>
        <w:t xml:space="preserve"> </w:t>
      </w:r>
      <w:r w:rsidR="00EA1D02" w:rsidRPr="00EA1D02">
        <w:rPr>
          <w:rtl/>
        </w:rPr>
        <w:t>لهذا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العام</w:t>
      </w:r>
      <w:r w:rsidR="004534DC">
        <w:rPr>
          <w:rtl/>
        </w:rPr>
        <w:t xml:space="preserve"> </w:t>
      </w:r>
      <w:r w:rsidR="00EA1D02" w:rsidRPr="00EA1D02">
        <w:rPr>
          <w:rtl/>
        </w:rPr>
        <w:t>2019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خريجي</w:t>
      </w:r>
      <w:r w:rsidR="004534DC">
        <w:rPr>
          <w:rtl/>
        </w:rPr>
        <w:t xml:space="preserve"> </w:t>
      </w:r>
      <w:r w:rsidR="00EA1D02" w:rsidRPr="00EA1D02">
        <w:rPr>
          <w:rtl/>
        </w:rPr>
        <w:t>كليتي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الحقوق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والشريعة.</w:t>
      </w:r>
      <w:r w:rsidR="004534DC">
        <w:rPr>
          <w:rtl/>
        </w:rPr>
        <w:t xml:space="preserve"> </w:t>
      </w:r>
    </w:p>
    <w:p w14:paraId="21B1A126" w14:textId="44ED44A5" w:rsidR="00EA1D02" w:rsidRPr="00EA1D02" w:rsidRDefault="00301EA3" w:rsidP="00EA1D02">
      <w:pPr>
        <w:pStyle w:val="SingleTxt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وختاماً،</w:t>
      </w:r>
      <w:r w:rsidR="004534DC">
        <w:rPr>
          <w:rtl/>
        </w:rPr>
        <w:t xml:space="preserve"> </w:t>
      </w:r>
      <w:r w:rsidR="00EA1D02" w:rsidRPr="00EA1D02">
        <w:rPr>
          <w:rtl/>
        </w:rPr>
        <w:t>تجدر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الإشارة</w:t>
      </w:r>
      <w:r w:rsidR="004534DC">
        <w:rPr>
          <w:rtl/>
        </w:rPr>
        <w:t xml:space="preserve"> </w:t>
      </w:r>
      <w:r w:rsidR="00EA1D02" w:rsidRPr="00EA1D02">
        <w:rPr>
          <w:rtl/>
        </w:rPr>
        <w:t>إلى</w:t>
      </w:r>
      <w:r w:rsidR="004534DC">
        <w:rPr>
          <w:rtl/>
        </w:rPr>
        <w:t xml:space="preserve"> </w:t>
      </w:r>
      <w:r w:rsidR="00EA1D02" w:rsidRPr="00EA1D02">
        <w:rPr>
          <w:rtl/>
        </w:rPr>
        <w:t>قيام</w:t>
      </w:r>
      <w:r w:rsidR="004534DC">
        <w:rPr>
          <w:rtl/>
        </w:rPr>
        <w:t xml:space="preserve"> </w:t>
      </w:r>
      <w:r w:rsidR="00EA1D02" w:rsidRPr="00EA1D02">
        <w:rPr>
          <w:rtl/>
        </w:rPr>
        <w:t>وزارة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العدل</w:t>
      </w:r>
      <w:r w:rsidR="004534DC">
        <w:rPr>
          <w:rtl/>
        </w:rPr>
        <w:t xml:space="preserve"> </w:t>
      </w:r>
      <w:r w:rsidR="00C13813" w:rsidRPr="00EA1D02">
        <w:rPr>
          <w:rFonts w:hint="cs"/>
          <w:rtl/>
        </w:rPr>
        <w:t>بإصدار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القرار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الوزاري</w:t>
      </w:r>
      <w:r w:rsidR="004534DC">
        <w:rPr>
          <w:rtl/>
        </w:rPr>
        <w:t xml:space="preserve"> </w:t>
      </w:r>
      <w:r w:rsidR="00EA1D02" w:rsidRPr="00EA1D02">
        <w:rPr>
          <w:rtl/>
        </w:rPr>
        <w:t>رقم</w:t>
      </w:r>
      <w:r w:rsidR="004534DC">
        <w:rPr>
          <w:rtl/>
        </w:rPr>
        <w:t xml:space="preserve"> </w:t>
      </w:r>
      <w:r w:rsidR="00EA1D02" w:rsidRPr="00EA1D02">
        <w:rPr>
          <w:rtl/>
        </w:rPr>
        <w:t>(463)</w:t>
      </w:r>
      <w:r w:rsidR="004534DC">
        <w:rPr>
          <w:rtl/>
        </w:rPr>
        <w:t xml:space="preserve"> </w:t>
      </w:r>
      <w:r w:rsidR="00EA1D02" w:rsidRPr="00EA1D02">
        <w:rPr>
          <w:rtl/>
        </w:rPr>
        <w:t>لسنة</w:t>
      </w:r>
      <w:r w:rsidR="004534DC">
        <w:rPr>
          <w:rtl/>
        </w:rPr>
        <w:t xml:space="preserve"> </w:t>
      </w:r>
      <w:r w:rsidR="00EA1D02" w:rsidRPr="00EA1D02">
        <w:rPr>
          <w:rtl/>
        </w:rPr>
        <w:t>2016</w:t>
      </w:r>
      <w:r w:rsidR="004534DC">
        <w:rPr>
          <w:rtl/>
        </w:rPr>
        <w:t xml:space="preserve"> </w:t>
      </w:r>
      <w:r w:rsidR="00C13813" w:rsidRPr="00EA1D02">
        <w:rPr>
          <w:rFonts w:hint="cs"/>
          <w:rtl/>
        </w:rPr>
        <w:t>بإنشاء</w:t>
      </w:r>
      <w:r w:rsidR="004534DC">
        <w:rPr>
          <w:rtl/>
        </w:rPr>
        <w:t xml:space="preserve"> </w:t>
      </w:r>
      <w:r w:rsidR="00EA1D02" w:rsidRPr="00EA1D02">
        <w:rPr>
          <w:rtl/>
        </w:rPr>
        <w:t>لجنة</w:t>
      </w:r>
      <w:r w:rsidR="004534DC">
        <w:rPr>
          <w:rtl/>
        </w:rPr>
        <w:t xml:space="preserve"> </w:t>
      </w:r>
      <w:r w:rsidR="00EA1D02" w:rsidRPr="00EA1D02">
        <w:rPr>
          <w:rtl/>
        </w:rPr>
        <w:t>تختص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تذليل</w:t>
      </w:r>
      <w:r w:rsidR="004534DC">
        <w:rPr>
          <w:rtl/>
        </w:rPr>
        <w:t xml:space="preserve"> </w:t>
      </w:r>
      <w:r w:rsidR="00EA1D02" w:rsidRPr="00EA1D02">
        <w:rPr>
          <w:rtl/>
        </w:rPr>
        <w:t>كافة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العقبات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التي</w:t>
      </w:r>
      <w:r w:rsidR="004534DC">
        <w:rPr>
          <w:rtl/>
        </w:rPr>
        <w:t xml:space="preserve"> </w:t>
      </w:r>
      <w:r w:rsidR="00EA1D02" w:rsidRPr="00EA1D02">
        <w:rPr>
          <w:rtl/>
        </w:rPr>
        <w:t>تواجه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المرأة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العاملة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بالوزارة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والجهات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التابعة</w:t>
      </w:r>
      <w:r w:rsidR="004534DC">
        <w:rPr>
          <w:rtl/>
        </w:rPr>
        <w:t xml:space="preserve"> </w:t>
      </w:r>
      <w:r w:rsidR="00EA1D02" w:rsidRPr="00EA1D02">
        <w:rPr>
          <w:rtl/>
        </w:rPr>
        <w:t>لها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المرأة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المترددة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عليها،</w:t>
      </w:r>
      <w:r w:rsidR="004534DC">
        <w:rPr>
          <w:rtl/>
        </w:rPr>
        <w:t xml:space="preserve"> </w:t>
      </w:r>
      <w:r w:rsidR="00EA1D02" w:rsidRPr="00EA1D02">
        <w:rPr>
          <w:rtl/>
        </w:rPr>
        <w:t>وتقديم</w:t>
      </w:r>
      <w:r w:rsidR="004534DC">
        <w:rPr>
          <w:rtl/>
        </w:rPr>
        <w:t xml:space="preserve"> </w:t>
      </w:r>
      <w:r w:rsidR="00EA1D02" w:rsidRPr="00EA1D02">
        <w:rPr>
          <w:rtl/>
        </w:rPr>
        <w:t>مقترحاتها</w:t>
      </w:r>
      <w:r w:rsidR="004534DC">
        <w:rPr>
          <w:rtl/>
        </w:rPr>
        <w:t xml:space="preserve"> </w:t>
      </w:r>
      <w:r w:rsidR="00EA1D02" w:rsidRPr="00EA1D02">
        <w:rPr>
          <w:rtl/>
        </w:rPr>
        <w:t>وتوصياتها</w:t>
      </w:r>
      <w:r w:rsidR="004534DC">
        <w:rPr>
          <w:rtl/>
        </w:rPr>
        <w:t xml:space="preserve"> </w:t>
      </w:r>
      <w:r w:rsidR="00EA1D02" w:rsidRPr="00EA1D02">
        <w:rPr>
          <w:rtl/>
        </w:rPr>
        <w:t>وتقاريرها</w:t>
      </w:r>
      <w:r w:rsidR="004534DC">
        <w:rPr>
          <w:rtl/>
        </w:rPr>
        <w:t xml:space="preserve"> </w:t>
      </w:r>
      <w:r w:rsidR="00EA1D02" w:rsidRPr="00EA1D02">
        <w:rPr>
          <w:rtl/>
        </w:rPr>
        <w:t>إلى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الوزير</w:t>
      </w:r>
      <w:r w:rsidR="004534DC">
        <w:rPr>
          <w:rtl/>
        </w:rPr>
        <w:t xml:space="preserve"> </w:t>
      </w:r>
      <w:r w:rsidR="00EA1D02" w:rsidRPr="00EA1D02">
        <w:rPr>
          <w:rtl/>
        </w:rPr>
        <w:t>بصفة</w:t>
      </w:r>
      <w:r w:rsidR="004534DC">
        <w:rPr>
          <w:rtl/>
        </w:rPr>
        <w:t xml:space="preserve"> </w:t>
      </w:r>
      <w:r w:rsidR="00EA1D02" w:rsidRPr="00EA1D02">
        <w:rPr>
          <w:rtl/>
        </w:rPr>
        <w:t>فورية،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علماً</w:t>
      </w:r>
      <w:r w:rsidR="004534DC">
        <w:rPr>
          <w:rtl/>
        </w:rPr>
        <w:t xml:space="preserve"> </w:t>
      </w:r>
      <w:r w:rsidR="00EA1D02" w:rsidRPr="00EA1D02">
        <w:rPr>
          <w:rtl/>
        </w:rPr>
        <w:t>بأن</w:t>
      </w:r>
      <w:r w:rsidR="004534DC">
        <w:rPr>
          <w:rtl/>
        </w:rPr>
        <w:t xml:space="preserve"> </w:t>
      </w:r>
      <w:r w:rsidR="00EA1D02" w:rsidRPr="00EA1D02">
        <w:rPr>
          <w:rtl/>
        </w:rPr>
        <w:t>جميع</w:t>
      </w:r>
      <w:r w:rsidR="004534DC">
        <w:rPr>
          <w:rtl/>
        </w:rPr>
        <w:t xml:space="preserve"> </w:t>
      </w:r>
      <w:r w:rsidR="00EA1D02" w:rsidRPr="00EA1D02">
        <w:rPr>
          <w:rtl/>
        </w:rPr>
        <w:t>أعضاء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اللجنة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فئة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الإناث</w:t>
      </w:r>
      <w:r w:rsidR="004534DC">
        <w:rPr>
          <w:rtl/>
        </w:rPr>
        <w:t xml:space="preserve"> </w:t>
      </w:r>
      <w:r w:rsidR="00EA1D02" w:rsidRPr="00EA1D02">
        <w:rPr>
          <w:rtl/>
        </w:rPr>
        <w:t>فقط.</w:t>
      </w:r>
      <w:r w:rsidR="004534DC">
        <w:rPr>
          <w:rtl/>
        </w:rPr>
        <w:t xml:space="preserve"> </w:t>
      </w:r>
    </w:p>
    <w:p w14:paraId="0CFBFB6B" w14:textId="77777777" w:rsidR="006B74C5" w:rsidRPr="006B74C5" w:rsidRDefault="006B74C5" w:rsidP="006B74C5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rtl/>
        </w:rPr>
      </w:pPr>
    </w:p>
    <w:p w14:paraId="367FFD08" w14:textId="720D8D8B" w:rsidR="00EA1D02" w:rsidRPr="00EA1D02" w:rsidRDefault="00301EA3" w:rsidP="00301EA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lang w:val="en-GB"/>
        </w:rPr>
      </w:pPr>
      <w:r>
        <w:rPr>
          <w:rtl/>
        </w:rPr>
        <w:tab/>
      </w:r>
      <w:r>
        <w:rPr>
          <w:rFonts w:hint="cs"/>
          <w:rtl/>
        </w:rPr>
        <w:t>2</w:t>
      </w:r>
      <w:r w:rsidR="004534DC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EA1D02" w:rsidRPr="00EA1D02">
        <w:tab/>
      </w:r>
      <w:r w:rsidR="00EA1D02" w:rsidRPr="00EA1D02">
        <w:rPr>
          <w:rtl/>
        </w:rPr>
        <w:t>التوصية</w:t>
      </w:r>
      <w:r w:rsidR="004534DC">
        <w:rPr>
          <w:rFonts w:hint="cs"/>
          <w:rtl/>
        </w:rPr>
        <w:t xml:space="preserve"> </w:t>
      </w:r>
      <w:r w:rsidR="00EA1D02" w:rsidRPr="00EA1D02">
        <w:rPr>
          <w:rFonts w:hint="cs"/>
          <w:rtl/>
        </w:rPr>
        <w:t>الواردة</w:t>
      </w:r>
      <w:r w:rsidR="004534DC">
        <w:rPr>
          <w:rFonts w:hint="cs"/>
          <w:rtl/>
        </w:rPr>
        <w:t xml:space="preserve"> </w:t>
      </w:r>
      <w:r w:rsidR="00EA1D02" w:rsidRPr="00EA1D02">
        <w:rPr>
          <w:rFonts w:hint="cs"/>
          <w:rtl/>
        </w:rPr>
        <w:t>في</w:t>
      </w:r>
      <w:r w:rsidR="004534DC">
        <w:rPr>
          <w:rFonts w:hint="cs"/>
          <w:rtl/>
        </w:rPr>
        <w:t xml:space="preserve"> </w:t>
      </w:r>
      <w:r w:rsidR="00EA1D02" w:rsidRPr="00EA1D02">
        <w:rPr>
          <w:rFonts w:hint="cs"/>
          <w:rtl/>
        </w:rPr>
        <w:t>الفقرة</w:t>
      </w:r>
      <w:r w:rsidR="004534DC">
        <w:rPr>
          <w:rtl/>
        </w:rPr>
        <w:t xml:space="preserve"> </w:t>
      </w:r>
      <w:r w:rsidR="00EA1D02" w:rsidRPr="00EA1D02">
        <w:rPr>
          <w:rtl/>
        </w:rPr>
        <w:t>29</w:t>
      </w:r>
      <w:r w:rsidR="004534DC">
        <w:rPr>
          <w:rtl/>
        </w:rPr>
        <w:t xml:space="preserve"> </w:t>
      </w:r>
      <w:r w:rsidR="00EA1D02" w:rsidRPr="00EA1D02">
        <w:rPr>
          <w:rtl/>
        </w:rPr>
        <w:t>(ب):</w:t>
      </w:r>
      <w:r w:rsidR="004534DC">
        <w:rPr>
          <w:rtl/>
        </w:rPr>
        <w:t xml:space="preserve"> </w:t>
      </w:r>
    </w:p>
    <w:p w14:paraId="671AE7A8" w14:textId="37B9787D" w:rsidR="00EA1D02" w:rsidRPr="00EA1D02" w:rsidRDefault="00301EA3" w:rsidP="00301EA3">
      <w:pPr>
        <w:pStyle w:val="SingleTxt"/>
        <w:ind w:left="1930" w:hanging="666"/>
        <w:rPr>
          <w:rtl/>
        </w:rPr>
      </w:pPr>
      <w:r>
        <w:rPr>
          <w:rtl/>
        </w:rPr>
        <w:tab/>
      </w:r>
      <w:r w:rsidR="00952391">
        <w:rPr>
          <w:rFonts w:hint="eastAsia"/>
          <w:rtl/>
        </w:rPr>
        <w:t>”</w:t>
      </w:r>
      <w:r w:rsidR="00EA1D02" w:rsidRPr="00EA1D02">
        <w:rPr>
          <w:i/>
          <w:iCs/>
          <w:rtl/>
        </w:rPr>
        <w:t>كفالة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تقديم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المساعدة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إلى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الضحايا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وتسهيل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قيامهم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بالإبلاغ،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بطرق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منها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إقامة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ملاجئ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مزودة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بما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يكفي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من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المعدات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والموظفين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لتقديم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المساعدة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القانونية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والطبية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والنفسية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وخدمات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إعادة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التأهيل،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وضمان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عمل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خط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الهاتف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المباشر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لتلقي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الشكاوى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على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مدار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الساعة</w:t>
      </w:r>
      <w:r w:rsidR="00952391">
        <w:rPr>
          <w:rFonts w:hint="eastAsia"/>
          <w:rtl/>
        </w:rPr>
        <w:t>“</w:t>
      </w:r>
      <w:r w:rsidR="00EA1D02" w:rsidRPr="00EA1D02">
        <w:rPr>
          <w:rtl/>
        </w:rPr>
        <w:t>.</w:t>
      </w:r>
      <w:r w:rsidR="004534DC">
        <w:rPr>
          <w:rtl/>
        </w:rPr>
        <w:t xml:space="preserve"> </w:t>
      </w:r>
    </w:p>
    <w:p w14:paraId="0E360A60" w14:textId="54D3B757" w:rsidR="00EA1D02" w:rsidRPr="00EA1D02" w:rsidRDefault="00301EA3" w:rsidP="00A0063E">
      <w:pPr>
        <w:pStyle w:val="SingleTxt"/>
        <w:spacing w:line="340" w:lineRule="exact"/>
        <w:ind w:left="1267" w:right="1267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أصدر</w:t>
      </w:r>
      <w:r w:rsidR="004534DC">
        <w:rPr>
          <w:rtl/>
        </w:rPr>
        <w:t xml:space="preserve"> </w:t>
      </w:r>
      <w:r w:rsidR="00EA1D02" w:rsidRPr="00EA1D02">
        <w:rPr>
          <w:rtl/>
        </w:rPr>
        <w:t>مجلس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الوزراء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الموقر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القرار</w:t>
      </w:r>
      <w:r w:rsidR="004534DC">
        <w:rPr>
          <w:rtl/>
        </w:rPr>
        <w:t xml:space="preserve"> </w:t>
      </w:r>
      <w:r w:rsidR="00EA1D02" w:rsidRPr="00EA1D02">
        <w:rPr>
          <w:rtl/>
        </w:rPr>
        <w:t>رقم</w:t>
      </w:r>
      <w:r w:rsidR="004534DC">
        <w:rPr>
          <w:rtl/>
        </w:rPr>
        <w:t xml:space="preserve"> </w:t>
      </w:r>
      <w:r w:rsidR="00EA1D02" w:rsidRPr="00EA1D02">
        <w:rPr>
          <w:rtl/>
        </w:rPr>
        <w:t>(652)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المتخذ</w:t>
      </w:r>
      <w:r w:rsidR="004534DC">
        <w:rPr>
          <w:rtl/>
        </w:rPr>
        <w:t xml:space="preserve"> </w:t>
      </w:r>
      <w:r w:rsidR="00EF3B5E" w:rsidRPr="00EA1D02">
        <w:rPr>
          <w:rFonts w:hint="cs"/>
          <w:rtl/>
        </w:rPr>
        <w:t>باجتماعه</w:t>
      </w:r>
      <w:r w:rsidR="004534DC">
        <w:rPr>
          <w:rtl/>
        </w:rPr>
        <w:t xml:space="preserve"> </w:t>
      </w:r>
      <w:r w:rsidR="00EA1D02" w:rsidRPr="00EA1D02">
        <w:rPr>
          <w:rtl/>
        </w:rPr>
        <w:t>رقم</w:t>
      </w:r>
      <w:r w:rsidR="004534DC">
        <w:rPr>
          <w:rtl/>
        </w:rPr>
        <w:t xml:space="preserve"> </w:t>
      </w:r>
      <w:r w:rsidR="00EA1D02" w:rsidRPr="00EA1D02">
        <w:rPr>
          <w:rtl/>
        </w:rPr>
        <w:t>(20/2007)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المنعقد</w:t>
      </w:r>
      <w:r w:rsidR="004534DC">
        <w:rPr>
          <w:rtl/>
        </w:rPr>
        <w:t xml:space="preserve"> </w:t>
      </w:r>
      <w:r w:rsidR="00EA1D02" w:rsidRPr="00EA1D02">
        <w:rPr>
          <w:rtl/>
        </w:rPr>
        <w:t>بتاريخ</w:t>
      </w:r>
      <w:r w:rsidR="004534DC">
        <w:rPr>
          <w:rtl/>
        </w:rPr>
        <w:t xml:space="preserve"> </w:t>
      </w:r>
      <w:r w:rsidR="00EA1D02" w:rsidRPr="00EA1D02">
        <w:rPr>
          <w:rtl/>
        </w:rPr>
        <w:t>8</w:t>
      </w:r>
      <w:r w:rsidR="004534DC">
        <w:rPr>
          <w:rFonts w:hint="cs"/>
          <w:rtl/>
        </w:rPr>
        <w:t xml:space="preserve"> </w:t>
      </w:r>
      <w:r w:rsidR="00EA1D02" w:rsidRPr="00EA1D02">
        <w:rPr>
          <w:rFonts w:hint="cs"/>
          <w:rtl/>
        </w:rPr>
        <w:t>تموز/يوليه</w:t>
      </w:r>
      <w:r w:rsidR="004534DC">
        <w:rPr>
          <w:rFonts w:hint="cs"/>
          <w:rtl/>
        </w:rPr>
        <w:t xml:space="preserve"> </w:t>
      </w:r>
      <w:r w:rsidR="00EA1D02" w:rsidRPr="00EA1D02">
        <w:rPr>
          <w:rtl/>
        </w:rPr>
        <w:t>2007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بالموافقة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تخصيص</w:t>
      </w:r>
      <w:r w:rsidR="004534DC">
        <w:rPr>
          <w:rtl/>
        </w:rPr>
        <w:t xml:space="preserve"> </w:t>
      </w:r>
      <w:r w:rsidR="00EA1D02" w:rsidRPr="00EA1D02">
        <w:rPr>
          <w:rtl/>
        </w:rPr>
        <w:t>مقر</w:t>
      </w:r>
      <w:r w:rsidR="004534DC">
        <w:rPr>
          <w:rtl/>
        </w:rPr>
        <w:t xml:space="preserve"> </w:t>
      </w:r>
      <w:r w:rsidR="00EA1D02" w:rsidRPr="00EA1D02">
        <w:rPr>
          <w:rtl/>
        </w:rPr>
        <w:t>لإيواء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العمالة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الوافدة</w:t>
      </w:r>
      <w:r w:rsidR="004534DC">
        <w:rPr>
          <w:rtl/>
        </w:rPr>
        <w:t xml:space="preserve"> </w:t>
      </w:r>
      <w:r w:rsidR="00EA1D02" w:rsidRPr="00EA1D02">
        <w:rPr>
          <w:rtl/>
        </w:rPr>
        <w:t>وخاصة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العمالة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المنزلية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الذين</w:t>
      </w:r>
      <w:r w:rsidR="004534DC">
        <w:rPr>
          <w:rtl/>
        </w:rPr>
        <w:t xml:space="preserve"> </w:t>
      </w:r>
      <w:r w:rsidR="00EA1D02" w:rsidRPr="00EA1D02">
        <w:rPr>
          <w:rtl/>
        </w:rPr>
        <w:t>يكون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بينهم</w:t>
      </w:r>
      <w:r w:rsidR="004534DC">
        <w:rPr>
          <w:rtl/>
        </w:rPr>
        <w:t xml:space="preserve"> </w:t>
      </w:r>
      <w:r w:rsidR="00EA1D02" w:rsidRPr="00EA1D02">
        <w:rPr>
          <w:rtl/>
        </w:rPr>
        <w:t>وبين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أصحاب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العمل</w:t>
      </w:r>
      <w:r w:rsidR="004534DC">
        <w:rPr>
          <w:rtl/>
        </w:rPr>
        <w:t xml:space="preserve"> </w:t>
      </w:r>
      <w:r w:rsidR="00EA1D02" w:rsidRPr="00EA1D02">
        <w:rPr>
          <w:rtl/>
        </w:rPr>
        <w:t>منازعات</w:t>
      </w:r>
      <w:r w:rsidR="004534DC">
        <w:rPr>
          <w:rtl/>
        </w:rPr>
        <w:t xml:space="preserve"> </w:t>
      </w:r>
      <w:r w:rsidR="00EA1D02" w:rsidRPr="00EA1D02">
        <w:rPr>
          <w:rtl/>
        </w:rPr>
        <w:t>ويواجهن</w:t>
      </w:r>
      <w:r w:rsidR="004534DC">
        <w:rPr>
          <w:rtl/>
        </w:rPr>
        <w:t xml:space="preserve"> </w:t>
      </w:r>
      <w:r w:rsidR="00EA1D02" w:rsidRPr="00EA1D02">
        <w:rPr>
          <w:rtl/>
        </w:rPr>
        <w:t>أوضاعاً</w:t>
      </w:r>
      <w:r w:rsidR="004534DC">
        <w:rPr>
          <w:rtl/>
        </w:rPr>
        <w:t xml:space="preserve"> </w:t>
      </w:r>
      <w:r w:rsidR="00EA1D02" w:rsidRPr="00EA1D02">
        <w:rPr>
          <w:rtl/>
        </w:rPr>
        <w:t>صعبة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ظروف</w:t>
      </w:r>
      <w:r w:rsidR="004534DC">
        <w:rPr>
          <w:rtl/>
        </w:rPr>
        <w:t xml:space="preserve"> </w:t>
      </w:r>
      <w:r w:rsidR="00EA1D02" w:rsidRPr="00EA1D02">
        <w:rPr>
          <w:rtl/>
        </w:rPr>
        <w:t>عملهن</w:t>
      </w:r>
      <w:r w:rsidR="004534DC">
        <w:rPr>
          <w:rtl/>
        </w:rPr>
        <w:t xml:space="preserve"> </w:t>
      </w:r>
      <w:r w:rsidR="00EA1D02" w:rsidRPr="00EA1D02">
        <w:rPr>
          <w:rtl/>
        </w:rPr>
        <w:t>سواء</w:t>
      </w:r>
      <w:r w:rsidR="004534DC">
        <w:rPr>
          <w:rtl/>
        </w:rPr>
        <w:t xml:space="preserve"> </w:t>
      </w:r>
      <w:r w:rsidR="00EA1D02" w:rsidRPr="00EA1D02">
        <w:rPr>
          <w:rtl/>
        </w:rPr>
        <w:t>كانت</w:t>
      </w:r>
      <w:r w:rsidR="004534DC">
        <w:rPr>
          <w:rtl/>
        </w:rPr>
        <w:t xml:space="preserve"> </w:t>
      </w:r>
      <w:r w:rsidR="00EA1D02" w:rsidRPr="00EA1D02">
        <w:rPr>
          <w:rtl/>
        </w:rPr>
        <w:t>قانونية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EF3B5E">
        <w:rPr>
          <w:rFonts w:hint="cs"/>
          <w:rtl/>
        </w:rPr>
        <w:t> </w:t>
      </w:r>
      <w:r w:rsidR="00EA1D02" w:rsidRPr="00EA1D02">
        <w:rPr>
          <w:rtl/>
        </w:rPr>
        <w:t>معيشية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إنسانية،</w:t>
      </w:r>
      <w:r w:rsidR="004534DC">
        <w:rPr>
          <w:rtl/>
        </w:rPr>
        <w:t xml:space="preserve"> </w:t>
      </w:r>
      <w:r w:rsidR="00EA1D02" w:rsidRPr="00EA1D02">
        <w:rPr>
          <w:rtl/>
        </w:rPr>
        <w:t>حيث</w:t>
      </w:r>
      <w:r w:rsidR="004534DC">
        <w:rPr>
          <w:rtl/>
        </w:rPr>
        <w:t xml:space="preserve"> </w:t>
      </w:r>
      <w:r w:rsidR="00EA1D02" w:rsidRPr="00EA1D02">
        <w:rPr>
          <w:rtl/>
        </w:rPr>
        <w:t>يقوم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المركز</w:t>
      </w:r>
      <w:r w:rsidR="004534DC">
        <w:rPr>
          <w:rtl/>
        </w:rPr>
        <w:t xml:space="preserve"> </w:t>
      </w:r>
      <w:r w:rsidR="00EA1D02" w:rsidRPr="00EA1D02">
        <w:rPr>
          <w:rtl/>
        </w:rPr>
        <w:t>باستقبال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العامل</w:t>
      </w:r>
      <w:r w:rsidR="004534DC">
        <w:rPr>
          <w:rtl/>
        </w:rPr>
        <w:t xml:space="preserve"> </w:t>
      </w:r>
      <w:r w:rsidR="00EA1D02" w:rsidRPr="00EA1D02">
        <w:rPr>
          <w:rtl/>
        </w:rPr>
        <w:t>وإلحاقه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المركز</w:t>
      </w:r>
      <w:r w:rsidR="004534DC">
        <w:rPr>
          <w:rtl/>
        </w:rPr>
        <w:t xml:space="preserve"> </w:t>
      </w:r>
      <w:r w:rsidR="00EA1D02" w:rsidRPr="00EA1D02">
        <w:rPr>
          <w:rtl/>
        </w:rPr>
        <w:t>وعمل</w:t>
      </w:r>
      <w:r w:rsidR="004534DC">
        <w:rPr>
          <w:rtl/>
        </w:rPr>
        <w:t xml:space="preserve"> </w:t>
      </w:r>
      <w:r w:rsidR="00EF3B5E" w:rsidRPr="00EA1D02">
        <w:rPr>
          <w:rFonts w:hint="cs"/>
          <w:rtl/>
        </w:rPr>
        <w:t>ال</w:t>
      </w:r>
      <w:r w:rsidR="00EF3B5E">
        <w:rPr>
          <w:rFonts w:hint="cs"/>
          <w:rtl/>
        </w:rPr>
        <w:t>إ</w:t>
      </w:r>
      <w:r w:rsidR="00EF3B5E" w:rsidRPr="00EA1D02">
        <w:rPr>
          <w:rFonts w:hint="cs"/>
          <w:rtl/>
        </w:rPr>
        <w:t>جراءا</w:t>
      </w:r>
      <w:r w:rsidR="00EF3B5E" w:rsidRPr="00EA1D02">
        <w:rPr>
          <w:rFonts w:hint="eastAsia"/>
          <w:rtl/>
        </w:rPr>
        <w:t>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اللازمة</w:t>
      </w:r>
      <w:r w:rsidR="004534DC">
        <w:rPr>
          <w:rtl/>
        </w:rPr>
        <w:t xml:space="preserve"> </w:t>
      </w:r>
      <w:r w:rsidR="00EA1D02" w:rsidRPr="00EA1D02">
        <w:rPr>
          <w:rtl/>
        </w:rPr>
        <w:t>ومن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ثم</w:t>
      </w:r>
      <w:r w:rsidR="004534DC">
        <w:rPr>
          <w:rtl/>
        </w:rPr>
        <w:t xml:space="preserve"> </w:t>
      </w:r>
      <w:r w:rsidR="00EA1D02" w:rsidRPr="00EA1D02">
        <w:rPr>
          <w:rtl/>
        </w:rPr>
        <w:t>عرضه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مختص</w:t>
      </w:r>
      <w:r w:rsidR="004534DC">
        <w:rPr>
          <w:rtl/>
        </w:rPr>
        <w:t xml:space="preserve"> </w:t>
      </w:r>
      <w:r w:rsidR="00EA1D02" w:rsidRPr="00EA1D02">
        <w:rPr>
          <w:rtl/>
        </w:rPr>
        <w:t>نفسي</w:t>
      </w:r>
      <w:r w:rsidR="004534DC">
        <w:rPr>
          <w:rtl/>
        </w:rPr>
        <w:t xml:space="preserve"> </w:t>
      </w:r>
      <w:r w:rsidR="00EA1D02" w:rsidRPr="00EA1D02">
        <w:rPr>
          <w:rtl/>
        </w:rPr>
        <w:t>وصحي</w:t>
      </w:r>
      <w:r w:rsidR="004534DC">
        <w:rPr>
          <w:rtl/>
        </w:rPr>
        <w:t xml:space="preserve"> </w:t>
      </w:r>
      <w:r w:rsidR="00EA1D02" w:rsidRPr="00EA1D02">
        <w:rPr>
          <w:rtl/>
        </w:rPr>
        <w:t>لتحديد</w:t>
      </w:r>
      <w:r w:rsidR="004534DC">
        <w:rPr>
          <w:rtl/>
        </w:rPr>
        <w:t xml:space="preserve"> </w:t>
      </w:r>
      <w:r w:rsidR="00EA1D02" w:rsidRPr="00EA1D02">
        <w:rPr>
          <w:rtl/>
        </w:rPr>
        <w:t>مدى</w:t>
      </w:r>
      <w:r w:rsidR="004534DC">
        <w:rPr>
          <w:rtl/>
        </w:rPr>
        <w:t xml:space="preserve"> </w:t>
      </w:r>
      <w:r w:rsidR="00EA1D02" w:rsidRPr="00EA1D02">
        <w:rPr>
          <w:rtl/>
        </w:rPr>
        <w:t>صلاحيته</w:t>
      </w:r>
      <w:r w:rsidR="004534DC">
        <w:rPr>
          <w:rtl/>
        </w:rPr>
        <w:t xml:space="preserve"> </w:t>
      </w:r>
      <w:r w:rsidR="00EA1D02" w:rsidRPr="00EA1D02">
        <w:rPr>
          <w:rtl/>
        </w:rPr>
        <w:t>للعمل</w:t>
      </w:r>
      <w:r w:rsidR="004534DC">
        <w:rPr>
          <w:rtl/>
        </w:rPr>
        <w:t xml:space="preserve"> </w:t>
      </w:r>
      <w:r w:rsidR="00EA1D02" w:rsidRPr="00EA1D02">
        <w:rPr>
          <w:rtl/>
        </w:rPr>
        <w:t>وذلك</w:t>
      </w:r>
      <w:r w:rsidR="004534DC">
        <w:rPr>
          <w:rtl/>
        </w:rPr>
        <w:t xml:space="preserve"> </w:t>
      </w:r>
      <w:r w:rsidR="00EA1D02" w:rsidRPr="00EA1D02">
        <w:rPr>
          <w:rtl/>
        </w:rPr>
        <w:t>لحين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تعديل</w:t>
      </w:r>
      <w:r w:rsidR="004534DC">
        <w:rPr>
          <w:rtl/>
        </w:rPr>
        <w:t xml:space="preserve"> </w:t>
      </w:r>
      <w:r w:rsidR="00EA1D02" w:rsidRPr="00EA1D02">
        <w:rPr>
          <w:rtl/>
        </w:rPr>
        <w:t>وضع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العامل،</w:t>
      </w:r>
      <w:r w:rsidR="004534DC">
        <w:rPr>
          <w:rtl/>
        </w:rPr>
        <w:t xml:space="preserve"> </w:t>
      </w:r>
      <w:r w:rsidR="00EA1D02" w:rsidRPr="00EA1D02">
        <w:rPr>
          <w:rtl/>
        </w:rPr>
        <w:t>سواء</w:t>
      </w:r>
      <w:r w:rsidR="004534DC">
        <w:rPr>
          <w:rtl/>
        </w:rPr>
        <w:t xml:space="preserve"> </w:t>
      </w:r>
      <w:r w:rsidR="00EA1D02" w:rsidRPr="00EA1D02">
        <w:rPr>
          <w:rtl/>
        </w:rPr>
        <w:t>كان</w:t>
      </w:r>
      <w:r w:rsidR="004534DC">
        <w:rPr>
          <w:rtl/>
        </w:rPr>
        <w:t xml:space="preserve"> </w:t>
      </w:r>
      <w:r w:rsidR="00EA1D02" w:rsidRPr="00EA1D02">
        <w:rPr>
          <w:rtl/>
        </w:rPr>
        <w:t>بتحويل</w:t>
      </w:r>
      <w:r w:rsidR="004534DC">
        <w:rPr>
          <w:rtl/>
        </w:rPr>
        <w:t xml:space="preserve"> </w:t>
      </w:r>
      <w:r w:rsidR="00EA1D02" w:rsidRPr="00EA1D02">
        <w:rPr>
          <w:rtl/>
        </w:rPr>
        <w:t>إقامته</w:t>
      </w:r>
      <w:r w:rsidR="004534DC">
        <w:rPr>
          <w:rtl/>
        </w:rPr>
        <w:t xml:space="preserve"> </w:t>
      </w:r>
      <w:r w:rsidR="00EA1D02" w:rsidRPr="00EA1D02">
        <w:rPr>
          <w:rtl/>
        </w:rPr>
        <w:t>لجهة</w:t>
      </w:r>
      <w:r w:rsidR="004534DC">
        <w:rPr>
          <w:rtl/>
        </w:rPr>
        <w:t xml:space="preserve"> </w:t>
      </w:r>
      <w:r w:rsidR="00EA1D02" w:rsidRPr="00EA1D02">
        <w:rPr>
          <w:rtl/>
        </w:rPr>
        <w:t>أخرى</w:t>
      </w:r>
      <w:r w:rsidR="004534DC">
        <w:rPr>
          <w:rtl/>
        </w:rPr>
        <w:t xml:space="preserve"> </w:t>
      </w:r>
      <w:r w:rsidR="00EA1D02" w:rsidRPr="00EA1D02">
        <w:rPr>
          <w:rtl/>
        </w:rPr>
        <w:t>يرغب</w:t>
      </w:r>
      <w:r w:rsidR="004534DC">
        <w:rPr>
          <w:rtl/>
        </w:rPr>
        <w:t xml:space="preserve"> </w:t>
      </w:r>
      <w:r w:rsidR="00EA1D02" w:rsidRPr="00EA1D02">
        <w:rPr>
          <w:rtl/>
        </w:rPr>
        <w:t>بها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خلال</w:t>
      </w:r>
      <w:r w:rsidR="004534DC">
        <w:rPr>
          <w:rtl/>
        </w:rPr>
        <w:t xml:space="preserve"> </w:t>
      </w:r>
      <w:r w:rsidR="00EA1D02" w:rsidRPr="00EA1D02">
        <w:rPr>
          <w:rtl/>
        </w:rPr>
        <w:t>إعادته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حال</w:t>
      </w:r>
      <w:r w:rsidR="004534DC">
        <w:rPr>
          <w:rtl/>
        </w:rPr>
        <w:t xml:space="preserve"> </w:t>
      </w:r>
      <w:r w:rsidR="00EA1D02" w:rsidRPr="00EA1D02">
        <w:rPr>
          <w:rtl/>
        </w:rPr>
        <w:t>رغبته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بالسفر</w:t>
      </w:r>
      <w:r w:rsidR="004534DC">
        <w:rPr>
          <w:rtl/>
        </w:rPr>
        <w:t xml:space="preserve"> </w:t>
      </w:r>
      <w:r w:rsidR="00EA1D02" w:rsidRPr="00EA1D02">
        <w:rPr>
          <w:rtl/>
        </w:rPr>
        <w:t>وذلك</w:t>
      </w:r>
      <w:r w:rsidR="004534DC">
        <w:rPr>
          <w:rtl/>
        </w:rPr>
        <w:t xml:space="preserve"> </w:t>
      </w:r>
      <w:r w:rsidR="00EA1D02" w:rsidRPr="00EA1D02">
        <w:rPr>
          <w:rtl/>
        </w:rPr>
        <w:t>بدفع</w:t>
      </w:r>
      <w:r w:rsidR="004534DC">
        <w:rPr>
          <w:rtl/>
        </w:rPr>
        <w:t xml:space="preserve"> </w:t>
      </w:r>
      <w:r w:rsidR="00EA1D02" w:rsidRPr="00EA1D02">
        <w:rPr>
          <w:rtl/>
        </w:rPr>
        <w:t>تكاليف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السفر</w:t>
      </w:r>
      <w:r w:rsidR="004534DC">
        <w:rPr>
          <w:rtl/>
        </w:rPr>
        <w:t xml:space="preserve"> </w:t>
      </w:r>
      <w:r w:rsidR="00EA1D02" w:rsidRPr="00EA1D02">
        <w:rPr>
          <w:rtl/>
        </w:rPr>
        <w:t>للعامل.</w:t>
      </w:r>
      <w:r w:rsidR="004534DC">
        <w:rPr>
          <w:rtl/>
        </w:rPr>
        <w:t xml:space="preserve"> </w:t>
      </w:r>
    </w:p>
    <w:p w14:paraId="4A38BF65" w14:textId="4E7967DD" w:rsidR="00EA1D02" w:rsidRPr="00EA1D02" w:rsidRDefault="00301EA3" w:rsidP="00EA1D02">
      <w:pPr>
        <w:pStyle w:val="SingleTxt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وقد</w:t>
      </w:r>
      <w:r w:rsidR="004534DC">
        <w:rPr>
          <w:rtl/>
        </w:rPr>
        <w:t xml:space="preserve"> </w:t>
      </w:r>
      <w:r w:rsidR="00EA1D02" w:rsidRPr="00EA1D02">
        <w:rPr>
          <w:rtl/>
        </w:rPr>
        <w:t>تم</w:t>
      </w:r>
      <w:r w:rsidR="004534DC">
        <w:rPr>
          <w:rtl/>
        </w:rPr>
        <w:t xml:space="preserve"> </w:t>
      </w:r>
      <w:r w:rsidR="00EA1D02" w:rsidRPr="00EA1D02">
        <w:rPr>
          <w:rtl/>
        </w:rPr>
        <w:t>افتتاح</w:t>
      </w:r>
      <w:r w:rsidR="004534DC">
        <w:rPr>
          <w:rtl/>
        </w:rPr>
        <w:t xml:space="preserve"> </w:t>
      </w:r>
      <w:r w:rsidR="00EA1D02" w:rsidRPr="00EA1D02">
        <w:rPr>
          <w:rtl/>
        </w:rPr>
        <w:t>مركز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الايواء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الجديد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Fonts w:hint="eastAsia"/>
          <w:rtl/>
        </w:rPr>
        <w:t>كانون</w:t>
      </w:r>
      <w:r w:rsidR="004534DC">
        <w:rPr>
          <w:rtl/>
        </w:rPr>
        <w:t xml:space="preserve"> </w:t>
      </w:r>
      <w:r w:rsidR="00EA1D02" w:rsidRPr="00EA1D02">
        <w:rPr>
          <w:rFonts w:hint="eastAsia"/>
          <w:rtl/>
        </w:rPr>
        <w:t>الأول</w:t>
      </w:r>
      <w:r w:rsidR="00EA1D02" w:rsidRPr="00EA1D02">
        <w:rPr>
          <w:rtl/>
        </w:rPr>
        <w:t>/ديسمبر</w:t>
      </w:r>
      <w:r w:rsidR="004534DC">
        <w:rPr>
          <w:rtl/>
        </w:rPr>
        <w:t xml:space="preserve"> </w:t>
      </w:r>
      <w:r w:rsidR="00EA1D02" w:rsidRPr="00EA1D02">
        <w:rPr>
          <w:rtl/>
        </w:rPr>
        <w:t>2014</w:t>
      </w:r>
      <w:r w:rsidR="004534DC">
        <w:rPr>
          <w:rtl/>
        </w:rPr>
        <w:t xml:space="preserve"> </w:t>
      </w:r>
      <w:r w:rsidR="00EA1D02" w:rsidRPr="00EA1D02">
        <w:rPr>
          <w:rtl/>
        </w:rPr>
        <w:t>وذلك</w:t>
      </w:r>
      <w:r w:rsidR="004534DC">
        <w:rPr>
          <w:rtl/>
        </w:rPr>
        <w:t xml:space="preserve"> </w:t>
      </w:r>
      <w:r w:rsidR="00EA1D02" w:rsidRPr="00EA1D02">
        <w:rPr>
          <w:rtl/>
        </w:rPr>
        <w:t>ب</w:t>
      </w:r>
      <w:r w:rsidR="00EA1D02" w:rsidRPr="00EA1D02">
        <w:rPr>
          <w:rFonts w:hint="eastAsia"/>
          <w:rtl/>
        </w:rPr>
        <w:t>إ</w:t>
      </w:r>
      <w:r w:rsidR="00EA1D02" w:rsidRPr="00EA1D02">
        <w:rPr>
          <w:rtl/>
        </w:rPr>
        <w:t>شراف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الهيئة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العامة</w:t>
      </w:r>
      <w:r w:rsidR="004534DC">
        <w:rPr>
          <w:rtl/>
        </w:rPr>
        <w:t xml:space="preserve"> </w:t>
      </w:r>
      <w:r w:rsidR="00EA1D02" w:rsidRPr="00EA1D02">
        <w:rPr>
          <w:rtl/>
        </w:rPr>
        <w:t>للقوى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العاملة،</w:t>
      </w:r>
      <w:r w:rsidR="004534DC">
        <w:rPr>
          <w:rtl/>
        </w:rPr>
        <w:t xml:space="preserve"> </w:t>
      </w:r>
      <w:r w:rsidR="00EA1D02" w:rsidRPr="00EA1D02">
        <w:rPr>
          <w:rtl/>
        </w:rPr>
        <w:t>حيث</w:t>
      </w:r>
      <w:r w:rsidR="004534DC">
        <w:rPr>
          <w:rtl/>
        </w:rPr>
        <w:t xml:space="preserve"> </w:t>
      </w:r>
      <w:r w:rsidR="00EA1D02" w:rsidRPr="00EA1D02">
        <w:rPr>
          <w:rtl/>
        </w:rPr>
        <w:t>أصبح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المركز</w:t>
      </w:r>
      <w:r w:rsidR="004534DC">
        <w:rPr>
          <w:rtl/>
        </w:rPr>
        <w:t xml:space="preserve"> </w:t>
      </w:r>
      <w:r w:rsidR="00EA1D02" w:rsidRPr="00EA1D02">
        <w:rPr>
          <w:rtl/>
        </w:rPr>
        <w:t>حالياً</w:t>
      </w:r>
      <w:r w:rsidR="004534DC">
        <w:rPr>
          <w:rtl/>
        </w:rPr>
        <w:t xml:space="preserve"> </w:t>
      </w:r>
      <w:r w:rsidR="00EA1D02" w:rsidRPr="00EA1D02">
        <w:rPr>
          <w:rtl/>
        </w:rPr>
        <w:t>قادراً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استقبال</w:t>
      </w:r>
      <w:r w:rsidR="004534DC">
        <w:rPr>
          <w:rtl/>
        </w:rPr>
        <w:t xml:space="preserve"> </w:t>
      </w:r>
      <w:r w:rsidR="00EA1D02" w:rsidRPr="00EA1D02">
        <w:rPr>
          <w:rtl/>
        </w:rPr>
        <w:t>عدد</w:t>
      </w:r>
      <w:r w:rsidR="004534DC">
        <w:rPr>
          <w:rtl/>
        </w:rPr>
        <w:t xml:space="preserve"> </w:t>
      </w:r>
      <w:r w:rsidR="00EA1D02" w:rsidRPr="00EA1D02">
        <w:rPr>
          <w:rtl/>
        </w:rPr>
        <w:t>أكبر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النزيلات</w:t>
      </w:r>
      <w:r w:rsidR="004534DC">
        <w:rPr>
          <w:rtl/>
        </w:rPr>
        <w:t xml:space="preserve"> </w:t>
      </w:r>
      <w:r w:rsidR="00EA1D02" w:rsidRPr="00EA1D02">
        <w:rPr>
          <w:rtl/>
        </w:rPr>
        <w:t>ويتسع</w:t>
      </w:r>
      <w:r w:rsidR="004534DC">
        <w:rPr>
          <w:rtl/>
        </w:rPr>
        <w:t xml:space="preserve"> </w:t>
      </w:r>
      <w:r w:rsidR="00EA1D02" w:rsidRPr="00EA1D02">
        <w:rPr>
          <w:rtl/>
        </w:rPr>
        <w:t>لحوالي</w:t>
      </w:r>
      <w:r w:rsidR="004534DC">
        <w:rPr>
          <w:rtl/>
        </w:rPr>
        <w:t xml:space="preserve"> </w:t>
      </w:r>
      <w:r w:rsidR="00EA1D02" w:rsidRPr="00EA1D02">
        <w:rPr>
          <w:rtl/>
        </w:rPr>
        <w:t>500</w:t>
      </w:r>
      <w:r w:rsidR="00A0063E">
        <w:rPr>
          <w:rFonts w:hint="cs"/>
          <w:rtl/>
        </w:rPr>
        <w:t> </w:t>
      </w:r>
      <w:r w:rsidR="00EA1D02" w:rsidRPr="00EA1D02">
        <w:rPr>
          <w:rtl/>
        </w:rPr>
        <w:t>نزيلة.</w:t>
      </w:r>
      <w:r w:rsidR="004534DC">
        <w:rPr>
          <w:rtl/>
        </w:rPr>
        <w:t xml:space="preserve"> </w:t>
      </w:r>
    </w:p>
    <w:p w14:paraId="7E135A35" w14:textId="042C9DEB" w:rsidR="00EA1D02" w:rsidRPr="00EA1D02" w:rsidRDefault="00301EA3" w:rsidP="00EA1D02">
      <w:pPr>
        <w:pStyle w:val="SingleTxt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ويقدم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المركز</w:t>
      </w:r>
      <w:r w:rsidR="004534DC">
        <w:rPr>
          <w:rtl/>
        </w:rPr>
        <w:t xml:space="preserve"> </w:t>
      </w:r>
      <w:r w:rsidR="00EA1D02" w:rsidRPr="00EA1D02">
        <w:rPr>
          <w:rtl/>
        </w:rPr>
        <w:t>مجموعة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الخدمات</w:t>
      </w:r>
      <w:r w:rsidR="004534DC">
        <w:rPr>
          <w:rtl/>
        </w:rPr>
        <w:t xml:space="preserve"> </w:t>
      </w:r>
      <w:r w:rsidR="00EA1D02" w:rsidRPr="00EA1D02">
        <w:rPr>
          <w:rtl/>
        </w:rPr>
        <w:t>منها:</w:t>
      </w:r>
      <w:r w:rsidR="004534DC">
        <w:rPr>
          <w:rtl/>
        </w:rPr>
        <w:t xml:space="preserve"> </w:t>
      </w:r>
    </w:p>
    <w:p w14:paraId="47789F43" w14:textId="5AB9208C" w:rsidR="00EA1D02" w:rsidRPr="00EA1D02" w:rsidRDefault="00301EA3" w:rsidP="00EA1D02">
      <w:pPr>
        <w:pStyle w:val="SingleTxt"/>
        <w:rPr>
          <w:lang w:val="en-GB"/>
        </w:rPr>
      </w:pPr>
      <w:r>
        <w:rPr>
          <w:rFonts w:hint="cs"/>
          <w:rtl/>
        </w:rPr>
        <w:t>1</w:t>
      </w:r>
      <w:r w:rsidR="004534DC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EA1D02" w:rsidRPr="00EA1D02">
        <w:tab/>
      </w:r>
      <w:r w:rsidR="00EA1D02" w:rsidRPr="00EA1D02">
        <w:rPr>
          <w:rtl/>
        </w:rPr>
        <w:t>توفير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الاحتياجات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الخاصة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والشخصية.</w:t>
      </w:r>
    </w:p>
    <w:p w14:paraId="7982987D" w14:textId="28AD1F9E" w:rsidR="00EA1D02" w:rsidRPr="00EA1D02" w:rsidRDefault="00301EA3" w:rsidP="00EA1D02">
      <w:pPr>
        <w:pStyle w:val="SingleTxt"/>
        <w:rPr>
          <w:lang w:val="en-GB"/>
        </w:rPr>
      </w:pPr>
      <w:r>
        <w:rPr>
          <w:rFonts w:hint="cs"/>
          <w:rtl/>
        </w:rPr>
        <w:t>2</w:t>
      </w:r>
      <w:r w:rsidR="004534DC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EA1D02" w:rsidRPr="00EA1D02">
        <w:tab/>
      </w:r>
      <w:r w:rsidR="00EA1D02" w:rsidRPr="00EA1D02">
        <w:rPr>
          <w:rtl/>
        </w:rPr>
        <w:t>مساعدة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النزيلات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الحصول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وثائق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السفر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اللاتي</w:t>
      </w:r>
      <w:r w:rsidR="004534DC">
        <w:rPr>
          <w:rtl/>
        </w:rPr>
        <w:t xml:space="preserve"> </w:t>
      </w:r>
      <w:r w:rsidR="00EA1D02" w:rsidRPr="00EA1D02">
        <w:rPr>
          <w:rtl/>
        </w:rPr>
        <w:t>لا</w:t>
      </w:r>
      <w:r w:rsidR="004534DC">
        <w:rPr>
          <w:rtl/>
        </w:rPr>
        <w:t xml:space="preserve"> </w:t>
      </w:r>
      <w:r w:rsidR="00EA1D02" w:rsidRPr="00EA1D02">
        <w:rPr>
          <w:rtl/>
        </w:rPr>
        <w:t>يوجد</w:t>
      </w:r>
      <w:r w:rsidR="004534DC">
        <w:rPr>
          <w:rtl/>
        </w:rPr>
        <w:t xml:space="preserve"> </w:t>
      </w:r>
      <w:r w:rsidR="00EA1D02" w:rsidRPr="00EA1D02">
        <w:rPr>
          <w:rtl/>
        </w:rPr>
        <w:t>لديهن</w:t>
      </w:r>
      <w:r w:rsidR="004534DC">
        <w:rPr>
          <w:rtl/>
        </w:rPr>
        <w:t xml:space="preserve"> </w:t>
      </w:r>
      <w:r w:rsidR="00EA1D02" w:rsidRPr="00EA1D02">
        <w:rPr>
          <w:rtl/>
        </w:rPr>
        <w:t>سفارة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بالكويت.</w:t>
      </w:r>
      <w:r w:rsidR="004534DC">
        <w:rPr>
          <w:rtl/>
        </w:rPr>
        <w:t xml:space="preserve"> </w:t>
      </w:r>
    </w:p>
    <w:p w14:paraId="2220FABC" w14:textId="18783CA5" w:rsidR="00EA1D02" w:rsidRPr="00EA1D02" w:rsidRDefault="00301EA3" w:rsidP="00EA1D02">
      <w:pPr>
        <w:pStyle w:val="SingleTxt"/>
        <w:rPr>
          <w:lang w:val="en-GB"/>
        </w:rPr>
      </w:pPr>
      <w:r>
        <w:rPr>
          <w:rFonts w:hint="cs"/>
          <w:rtl/>
        </w:rPr>
        <w:t>3</w:t>
      </w:r>
      <w:r w:rsidR="004534DC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tl/>
        </w:rPr>
        <w:tab/>
      </w:r>
      <w:r w:rsidR="00EA1D02" w:rsidRPr="00EA1D02">
        <w:rPr>
          <w:rtl/>
        </w:rPr>
        <w:t>تسهيل</w:t>
      </w:r>
      <w:r w:rsidR="004534DC">
        <w:rPr>
          <w:rtl/>
        </w:rPr>
        <w:t xml:space="preserve"> </w:t>
      </w:r>
      <w:r w:rsidR="00EA1D02" w:rsidRPr="00EA1D02">
        <w:rPr>
          <w:rtl/>
        </w:rPr>
        <w:t>استخراج</w:t>
      </w:r>
      <w:r w:rsidR="004534DC">
        <w:rPr>
          <w:rtl/>
        </w:rPr>
        <w:t xml:space="preserve"> </w:t>
      </w:r>
      <w:r w:rsidR="00EA1D02" w:rsidRPr="00EA1D02">
        <w:rPr>
          <w:rtl/>
        </w:rPr>
        <w:t>بصمات</w:t>
      </w:r>
      <w:r w:rsidR="004534DC">
        <w:rPr>
          <w:rtl/>
        </w:rPr>
        <w:t xml:space="preserve"> </w:t>
      </w:r>
      <w:r w:rsidR="00EA1D02" w:rsidRPr="00EA1D02">
        <w:rPr>
          <w:rtl/>
        </w:rPr>
        <w:t>للنزيلات.</w:t>
      </w:r>
      <w:r w:rsidR="004534DC">
        <w:rPr>
          <w:rtl/>
        </w:rPr>
        <w:t xml:space="preserve"> </w:t>
      </w:r>
    </w:p>
    <w:p w14:paraId="663FB392" w14:textId="021BFB5F" w:rsidR="00EA1D02" w:rsidRPr="00EA1D02" w:rsidRDefault="00301EA3" w:rsidP="00EA1D02">
      <w:pPr>
        <w:pStyle w:val="SingleTxt"/>
        <w:rPr>
          <w:lang w:val="en-GB"/>
        </w:rPr>
      </w:pPr>
      <w:r>
        <w:rPr>
          <w:rFonts w:hint="cs"/>
          <w:rtl/>
        </w:rPr>
        <w:t>4</w:t>
      </w:r>
      <w:r w:rsidR="004534DC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EA1D02" w:rsidRPr="00EA1D02">
        <w:tab/>
      </w:r>
      <w:r w:rsidR="00EA1D02" w:rsidRPr="00EA1D02">
        <w:rPr>
          <w:rtl/>
        </w:rPr>
        <w:t>المساعدة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توصيل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النزيلات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إلى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المطار.</w:t>
      </w:r>
      <w:r w:rsidR="004534DC">
        <w:rPr>
          <w:rtl/>
        </w:rPr>
        <w:t xml:space="preserve"> </w:t>
      </w:r>
    </w:p>
    <w:p w14:paraId="34D8C780" w14:textId="3B9045A5" w:rsidR="00EA1D02" w:rsidRPr="00EA1D02" w:rsidRDefault="00301EA3" w:rsidP="00EA1D02">
      <w:pPr>
        <w:pStyle w:val="SingleTxt"/>
        <w:rPr>
          <w:lang w:val="en-GB"/>
        </w:rPr>
      </w:pPr>
      <w:r>
        <w:rPr>
          <w:rFonts w:hint="cs"/>
          <w:rtl/>
        </w:rPr>
        <w:t>5</w:t>
      </w:r>
      <w:r w:rsidR="004534DC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tl/>
        </w:rPr>
        <w:tab/>
      </w:r>
      <w:r w:rsidR="00EA1D02" w:rsidRPr="00EA1D02">
        <w:rPr>
          <w:rtl/>
        </w:rPr>
        <w:t>المساعدة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الحصول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الرعاية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الصحية.</w:t>
      </w:r>
      <w:r w:rsidR="004534DC">
        <w:rPr>
          <w:rtl/>
        </w:rPr>
        <w:t xml:space="preserve"> </w:t>
      </w:r>
    </w:p>
    <w:p w14:paraId="7B6A3CB5" w14:textId="5D891FC2" w:rsidR="00EA1D02" w:rsidRPr="00EA1D02" w:rsidRDefault="00301EA3" w:rsidP="00EA1D02">
      <w:pPr>
        <w:pStyle w:val="SingleTxt"/>
        <w:rPr>
          <w:lang w:val="en-GB"/>
        </w:rPr>
      </w:pPr>
      <w:r>
        <w:rPr>
          <w:rFonts w:hint="cs"/>
          <w:rtl/>
        </w:rPr>
        <w:t>6</w:t>
      </w:r>
      <w:r w:rsidR="004534DC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EA1D02" w:rsidRPr="00EA1D02">
        <w:tab/>
      </w:r>
      <w:r w:rsidR="00EA1D02" w:rsidRPr="00EA1D02">
        <w:rPr>
          <w:rtl/>
        </w:rPr>
        <w:t>توفير</w:t>
      </w:r>
      <w:r w:rsidR="004534DC">
        <w:rPr>
          <w:rtl/>
        </w:rPr>
        <w:t xml:space="preserve"> </w:t>
      </w:r>
      <w:r w:rsidR="00EA1D02" w:rsidRPr="00EA1D02">
        <w:rPr>
          <w:rtl/>
        </w:rPr>
        <w:t>عدد</w:t>
      </w:r>
      <w:r w:rsidR="004534DC">
        <w:rPr>
          <w:rtl/>
        </w:rPr>
        <w:t xml:space="preserve"> </w:t>
      </w:r>
      <w:r w:rsidR="00EA1D02" w:rsidRPr="00EA1D02">
        <w:rPr>
          <w:rtl/>
        </w:rPr>
        <w:t>5</w:t>
      </w:r>
      <w:r w:rsidR="004534DC">
        <w:rPr>
          <w:rtl/>
        </w:rPr>
        <w:t xml:space="preserve"> </w:t>
      </w:r>
      <w:r w:rsidR="00EA1D02" w:rsidRPr="00EA1D02">
        <w:rPr>
          <w:rtl/>
        </w:rPr>
        <w:t>وجبات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باليوم.</w:t>
      </w:r>
      <w:r w:rsidR="004534DC">
        <w:rPr>
          <w:rtl/>
        </w:rPr>
        <w:t xml:space="preserve"> </w:t>
      </w:r>
    </w:p>
    <w:p w14:paraId="35A7E956" w14:textId="5E1EC95F" w:rsidR="00EA1D02" w:rsidRPr="00EA1D02" w:rsidRDefault="00301EA3" w:rsidP="00EA1D02">
      <w:pPr>
        <w:pStyle w:val="SingleTxt"/>
        <w:rPr>
          <w:rtl/>
        </w:rPr>
      </w:pPr>
      <w:r>
        <w:rPr>
          <w:rtl/>
        </w:rPr>
        <w:lastRenderedPageBreak/>
        <w:tab/>
      </w:r>
      <w:r w:rsidR="00EA1D02" w:rsidRPr="00EA1D02">
        <w:rPr>
          <w:rtl/>
        </w:rPr>
        <w:t>وفي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ضوء</w:t>
      </w:r>
      <w:r w:rsidR="004534DC">
        <w:rPr>
          <w:rtl/>
        </w:rPr>
        <w:t xml:space="preserve"> </w:t>
      </w:r>
      <w:r w:rsidR="00EA1D02" w:rsidRPr="00EA1D02">
        <w:rPr>
          <w:rtl/>
        </w:rPr>
        <w:t>نجاح</w:t>
      </w:r>
      <w:r w:rsidR="004534DC">
        <w:rPr>
          <w:rtl/>
        </w:rPr>
        <w:t xml:space="preserve"> </w:t>
      </w:r>
      <w:r w:rsidR="00EA1D02" w:rsidRPr="00EA1D02">
        <w:rPr>
          <w:rtl/>
        </w:rPr>
        <w:t>تجربة</w:t>
      </w:r>
      <w:r w:rsidR="004534DC">
        <w:rPr>
          <w:rtl/>
        </w:rPr>
        <w:t xml:space="preserve"> </w:t>
      </w:r>
      <w:r w:rsidR="00EA1D02" w:rsidRPr="00EA1D02">
        <w:rPr>
          <w:rtl/>
        </w:rPr>
        <w:t>مركز</w:t>
      </w:r>
      <w:r w:rsidR="004534DC">
        <w:rPr>
          <w:rtl/>
        </w:rPr>
        <w:t xml:space="preserve"> </w:t>
      </w:r>
      <w:r w:rsidR="00EA1D02" w:rsidRPr="00EA1D02">
        <w:rPr>
          <w:rtl/>
        </w:rPr>
        <w:t>إيواء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العمالة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الوافدة،</w:t>
      </w:r>
      <w:r w:rsidR="004534DC">
        <w:rPr>
          <w:rtl/>
        </w:rPr>
        <w:t xml:space="preserve"> </w:t>
      </w:r>
      <w:r w:rsidR="00EA1D02" w:rsidRPr="00EA1D02">
        <w:rPr>
          <w:rtl/>
        </w:rPr>
        <w:t>فإن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التوجه</w:t>
      </w:r>
      <w:r w:rsidR="004534DC">
        <w:rPr>
          <w:rtl/>
        </w:rPr>
        <w:t xml:space="preserve"> </w:t>
      </w:r>
      <w:r w:rsidR="00EA1D02" w:rsidRPr="00EA1D02">
        <w:rPr>
          <w:rtl/>
        </w:rPr>
        <w:t>لدى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الهيئة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العامة</w:t>
      </w:r>
      <w:r w:rsidR="004534DC">
        <w:rPr>
          <w:rtl/>
        </w:rPr>
        <w:t xml:space="preserve"> </w:t>
      </w:r>
      <w:r w:rsidR="00EA1D02" w:rsidRPr="00EA1D02">
        <w:rPr>
          <w:rtl/>
        </w:rPr>
        <w:t>للقوى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العاملة</w:t>
      </w:r>
      <w:r w:rsidR="004534DC">
        <w:rPr>
          <w:rtl/>
        </w:rPr>
        <w:t xml:space="preserve"> </w:t>
      </w:r>
      <w:r w:rsidR="00EA1D02" w:rsidRPr="00EA1D02">
        <w:rPr>
          <w:rtl/>
        </w:rPr>
        <w:t>هو</w:t>
      </w:r>
      <w:r w:rsidR="004534DC">
        <w:rPr>
          <w:rtl/>
        </w:rPr>
        <w:t xml:space="preserve"> </w:t>
      </w:r>
      <w:r w:rsidR="00EA1D02" w:rsidRPr="00EA1D02">
        <w:rPr>
          <w:rtl/>
        </w:rPr>
        <w:t>إنشاء</w:t>
      </w:r>
      <w:r w:rsidR="004534DC">
        <w:rPr>
          <w:rtl/>
        </w:rPr>
        <w:t xml:space="preserve"> </w:t>
      </w:r>
      <w:r w:rsidR="00EA1D02" w:rsidRPr="00EA1D02">
        <w:rPr>
          <w:rtl/>
        </w:rPr>
        <w:t>مركز</w:t>
      </w:r>
      <w:r w:rsidR="004534DC">
        <w:rPr>
          <w:rtl/>
        </w:rPr>
        <w:t xml:space="preserve"> </w:t>
      </w:r>
      <w:r w:rsidR="00EA1D02" w:rsidRPr="00EA1D02">
        <w:rPr>
          <w:rtl/>
        </w:rPr>
        <w:t>إيواء</w:t>
      </w:r>
      <w:r w:rsidR="004534DC">
        <w:rPr>
          <w:rtl/>
        </w:rPr>
        <w:t xml:space="preserve"> </w:t>
      </w:r>
      <w:r w:rsidR="00EA1D02" w:rsidRPr="00EA1D02">
        <w:rPr>
          <w:rtl/>
        </w:rPr>
        <w:t>جديد</w:t>
      </w:r>
      <w:r w:rsidR="004534DC">
        <w:rPr>
          <w:rtl/>
        </w:rPr>
        <w:t xml:space="preserve"> </w:t>
      </w:r>
      <w:r w:rsidR="00EA1D02" w:rsidRPr="00EA1D02">
        <w:rPr>
          <w:rtl/>
        </w:rPr>
        <w:t>خاص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بالرجال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غرار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المركز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الموجود</w:t>
      </w:r>
      <w:r w:rsidR="004534DC">
        <w:rPr>
          <w:rtl/>
        </w:rPr>
        <w:t xml:space="preserve"> </w:t>
      </w:r>
      <w:r w:rsidR="00EA1D02" w:rsidRPr="00EA1D02">
        <w:rPr>
          <w:rtl/>
        </w:rPr>
        <w:t>حالياً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الخاص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بالنساء،</w:t>
      </w:r>
      <w:r w:rsidR="004534DC">
        <w:rPr>
          <w:rtl/>
        </w:rPr>
        <w:t xml:space="preserve"> </w:t>
      </w:r>
      <w:r w:rsidR="00EA1D02" w:rsidRPr="00EA1D02">
        <w:rPr>
          <w:rtl/>
        </w:rPr>
        <w:t>حيث</w:t>
      </w:r>
      <w:r w:rsidR="004534DC">
        <w:rPr>
          <w:rtl/>
        </w:rPr>
        <w:t xml:space="preserve"> </w:t>
      </w:r>
      <w:r w:rsidR="00EA1D02" w:rsidRPr="00EA1D02">
        <w:rPr>
          <w:rtl/>
        </w:rPr>
        <w:t>تم</w:t>
      </w:r>
      <w:r w:rsidR="004534DC">
        <w:rPr>
          <w:rtl/>
        </w:rPr>
        <w:t xml:space="preserve"> </w:t>
      </w:r>
      <w:r w:rsidR="00EA1D02" w:rsidRPr="00EA1D02">
        <w:rPr>
          <w:rtl/>
        </w:rPr>
        <w:t>مؤخراً</w:t>
      </w:r>
      <w:r w:rsidR="004534DC">
        <w:rPr>
          <w:rtl/>
        </w:rPr>
        <w:t xml:space="preserve"> </w:t>
      </w:r>
      <w:r w:rsidR="00EA1D02" w:rsidRPr="00EA1D02">
        <w:rPr>
          <w:rtl/>
        </w:rPr>
        <w:t>تحديد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الموقع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المقترح</w:t>
      </w:r>
      <w:r w:rsidR="004534DC">
        <w:rPr>
          <w:rtl/>
        </w:rPr>
        <w:t xml:space="preserve"> </w:t>
      </w:r>
      <w:r w:rsidR="00EA1D02" w:rsidRPr="00EA1D02">
        <w:rPr>
          <w:rtl/>
        </w:rPr>
        <w:t>لإقامة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المركز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عليه</w:t>
      </w:r>
      <w:r w:rsidR="004534DC">
        <w:rPr>
          <w:rtl/>
        </w:rPr>
        <w:t xml:space="preserve"> </w:t>
      </w:r>
      <w:r w:rsidR="00EA1D02" w:rsidRPr="00EA1D02">
        <w:rPr>
          <w:rtl/>
        </w:rPr>
        <w:t>وجاري</w:t>
      </w:r>
      <w:r w:rsidR="004534DC">
        <w:rPr>
          <w:rtl/>
        </w:rPr>
        <w:t xml:space="preserve"> </w:t>
      </w:r>
      <w:r w:rsidR="00EA1D02" w:rsidRPr="00EA1D02">
        <w:rPr>
          <w:rtl/>
        </w:rPr>
        <w:t>اتخاذ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الإجراءات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اللازمة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والموافقات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الرسمية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للبدء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تنفيذ</w:t>
      </w:r>
      <w:r w:rsidR="00CC156B">
        <w:rPr>
          <w:rFonts w:hint="cs"/>
          <w:rtl/>
        </w:rPr>
        <w:t> </w:t>
      </w:r>
      <w:r w:rsidR="00EA1D02" w:rsidRPr="00EA1D02">
        <w:rPr>
          <w:rtl/>
        </w:rPr>
        <w:t>المشروع.</w:t>
      </w:r>
      <w:r w:rsidR="004534DC">
        <w:rPr>
          <w:rtl/>
        </w:rPr>
        <w:t xml:space="preserve"> </w:t>
      </w:r>
    </w:p>
    <w:p w14:paraId="49ACF1A3" w14:textId="77777777" w:rsidR="00301EA3" w:rsidRPr="00301EA3" w:rsidRDefault="00301EA3" w:rsidP="00301EA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rtl/>
        </w:rPr>
      </w:pPr>
    </w:p>
    <w:p w14:paraId="05AF4C35" w14:textId="02AF1F6B" w:rsidR="00EA1D02" w:rsidRPr="00EA1D02" w:rsidRDefault="00301EA3" w:rsidP="00301EA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3</w:t>
      </w:r>
      <w:r w:rsidR="004534DC">
        <w:rPr>
          <w:rFonts w:hint="cs"/>
          <w:rtl/>
        </w:rPr>
        <w:t xml:space="preserve"> </w:t>
      </w:r>
      <w:r w:rsidR="00EA1D02" w:rsidRPr="00EA1D02">
        <w:rPr>
          <w:rFonts w:hint="cs"/>
          <w:rtl/>
        </w:rPr>
        <w:t>-</w:t>
      </w:r>
      <w:r w:rsidR="00EA1D02" w:rsidRPr="00EA1D02">
        <w:rPr>
          <w:rtl/>
        </w:rPr>
        <w:tab/>
        <w:t>التوصية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الواردة</w:t>
      </w:r>
      <w:r w:rsidR="004534DC">
        <w:rPr>
          <w:rtl/>
        </w:rPr>
        <w:t xml:space="preserve"> </w:t>
      </w:r>
      <w:r w:rsidR="00EA1D02" w:rsidRPr="00EA1D02">
        <w:rPr>
          <w:rtl/>
        </w:rPr>
        <w:t>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الفقرة</w:t>
      </w:r>
      <w:r w:rsidR="004534DC">
        <w:rPr>
          <w:rtl/>
        </w:rPr>
        <w:t xml:space="preserve"> </w:t>
      </w:r>
      <w:r w:rsidR="00EA1D02" w:rsidRPr="00EA1D02">
        <w:rPr>
          <w:rtl/>
        </w:rPr>
        <w:t>47</w:t>
      </w:r>
      <w:r w:rsidR="004534DC">
        <w:rPr>
          <w:rtl/>
        </w:rPr>
        <w:t xml:space="preserve"> </w:t>
      </w:r>
      <w:r w:rsidR="00EA1D02" w:rsidRPr="00EA1D02">
        <w:rPr>
          <w:rtl/>
        </w:rPr>
        <w:t>(ب):</w:t>
      </w:r>
      <w:r w:rsidR="004534DC">
        <w:rPr>
          <w:rtl/>
        </w:rPr>
        <w:t xml:space="preserve"> </w:t>
      </w:r>
    </w:p>
    <w:p w14:paraId="310B3711" w14:textId="22C8E98A" w:rsidR="00EA1D02" w:rsidRPr="00EA1D02" w:rsidRDefault="00301EA3" w:rsidP="00301EA3">
      <w:pPr>
        <w:pStyle w:val="SingleTxt"/>
        <w:ind w:left="1930" w:hanging="666"/>
        <w:rPr>
          <w:lang w:val="en-GB"/>
        </w:rPr>
      </w:pPr>
      <w:r>
        <w:rPr>
          <w:rtl/>
        </w:rPr>
        <w:tab/>
      </w:r>
      <w:r w:rsidR="00EA1D02" w:rsidRPr="005113EA">
        <w:rPr>
          <w:i/>
          <w:iCs/>
          <w:rtl/>
        </w:rPr>
        <w:t>بشأن</w:t>
      </w:r>
      <w:r w:rsidR="004534DC">
        <w:rPr>
          <w:rtl/>
        </w:rPr>
        <w:t xml:space="preserve"> </w:t>
      </w:r>
      <w:r w:rsidR="00952391">
        <w:rPr>
          <w:rFonts w:hint="eastAsia"/>
          <w:rtl/>
        </w:rPr>
        <w:t>”</w:t>
      </w:r>
      <w:r w:rsidR="00EA1D02" w:rsidRPr="00EA1D02">
        <w:rPr>
          <w:i/>
          <w:iCs/>
          <w:rtl/>
        </w:rPr>
        <w:t>جعل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التأويل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الجعفري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غير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المدون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لمسائل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الأحوال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الشخصية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والقانون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المدني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متماشياً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مع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التزامات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الطرف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بموجب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المواد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(2</w:t>
      </w:r>
      <w:r w:rsidR="004534DC">
        <w:rPr>
          <w:rFonts w:hint="cs"/>
          <w:i/>
          <w:iCs/>
          <w:rtl/>
        </w:rPr>
        <w:t xml:space="preserve"> </w:t>
      </w:r>
      <w:r w:rsidR="00EA1D02" w:rsidRPr="00EA1D02">
        <w:rPr>
          <w:rFonts w:hint="cs"/>
          <w:i/>
          <w:iCs/>
          <w:rtl/>
        </w:rPr>
        <w:t>و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5</w:t>
      </w:r>
      <w:r w:rsidR="004534DC">
        <w:rPr>
          <w:i/>
          <w:iCs/>
          <w:rtl/>
        </w:rPr>
        <w:t xml:space="preserve"> </w:t>
      </w:r>
      <w:r w:rsidR="00EA1D02" w:rsidRPr="00EA1D02">
        <w:rPr>
          <w:rFonts w:hint="cs"/>
          <w:i/>
          <w:iCs/>
          <w:rtl/>
        </w:rPr>
        <w:t>(</w:t>
      </w:r>
      <w:r w:rsidR="00EA1D02" w:rsidRPr="00EA1D02">
        <w:rPr>
          <w:i/>
          <w:iCs/>
          <w:rtl/>
        </w:rPr>
        <w:t>أ</w:t>
      </w:r>
      <w:r w:rsidR="00EA1D02" w:rsidRPr="00EA1D02">
        <w:rPr>
          <w:rFonts w:hint="cs"/>
          <w:i/>
          <w:iCs/>
          <w:rtl/>
        </w:rPr>
        <w:t>)</w:t>
      </w:r>
      <w:r w:rsidR="004534DC">
        <w:rPr>
          <w:rFonts w:hint="cs"/>
          <w:i/>
          <w:iCs/>
          <w:rtl/>
        </w:rPr>
        <w:t xml:space="preserve"> </w:t>
      </w:r>
      <w:r w:rsidR="00EA1D02" w:rsidRPr="00EA1D02">
        <w:rPr>
          <w:rFonts w:hint="cs"/>
          <w:i/>
          <w:iCs/>
          <w:rtl/>
        </w:rPr>
        <w:t>و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15)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من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الاتفاقية،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وبدء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مناقشة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عامة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بشأن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الانتقال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إلى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العمل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بقانون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موحد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للأحوال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الشخصية،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والاستفادة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من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أفضل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الممارسات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المتبعة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في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البلدان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المجاورة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ذات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الخلفيات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الثقافية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والدينية</w:t>
      </w:r>
      <w:r w:rsidR="004534DC">
        <w:rPr>
          <w:i/>
          <w:iCs/>
          <w:rtl/>
        </w:rPr>
        <w:t xml:space="preserve"> </w:t>
      </w:r>
      <w:r w:rsidR="00EA1D02" w:rsidRPr="00EA1D02">
        <w:rPr>
          <w:i/>
          <w:iCs/>
          <w:rtl/>
        </w:rPr>
        <w:t>المماثلة</w:t>
      </w:r>
      <w:r w:rsidR="00952391" w:rsidRPr="00301EA3">
        <w:rPr>
          <w:rFonts w:hint="eastAsia"/>
          <w:i/>
          <w:iCs/>
          <w:rtl/>
        </w:rPr>
        <w:t>“</w:t>
      </w:r>
      <w:r w:rsidR="00EA1D02" w:rsidRPr="00EA1D02">
        <w:rPr>
          <w:rtl/>
        </w:rPr>
        <w:t>.</w:t>
      </w:r>
      <w:r w:rsidR="004534DC">
        <w:rPr>
          <w:rtl/>
        </w:rPr>
        <w:t xml:space="preserve"> </w:t>
      </w:r>
    </w:p>
    <w:p w14:paraId="164C484B" w14:textId="6C816DA6" w:rsidR="00EA1D02" w:rsidRPr="00EA1D02" w:rsidRDefault="00301EA3" w:rsidP="00EA1D02">
      <w:pPr>
        <w:pStyle w:val="SingleTxt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تجدر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الإشارة</w:t>
      </w:r>
      <w:r w:rsidR="004534DC">
        <w:rPr>
          <w:rtl/>
        </w:rPr>
        <w:t xml:space="preserve"> </w:t>
      </w:r>
      <w:r w:rsidR="00EA1D02" w:rsidRPr="00EA1D02">
        <w:rPr>
          <w:rtl/>
        </w:rPr>
        <w:t>إلى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أن</w:t>
      </w:r>
      <w:r w:rsidR="004534DC">
        <w:rPr>
          <w:rtl/>
        </w:rPr>
        <w:t xml:space="preserve"> </w:t>
      </w:r>
      <w:r w:rsidR="00EA1D02" w:rsidRPr="00EA1D02">
        <w:rPr>
          <w:rtl/>
        </w:rPr>
        <w:t>مواد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الاتفاقية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المشار</w:t>
      </w:r>
      <w:r w:rsidR="004534DC">
        <w:rPr>
          <w:rtl/>
        </w:rPr>
        <w:t xml:space="preserve"> </w:t>
      </w:r>
      <w:r w:rsidR="00EA1D02" w:rsidRPr="00EA1D02">
        <w:rPr>
          <w:rtl/>
        </w:rPr>
        <w:t>إليها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بالتوصية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أعلاه</w:t>
      </w:r>
      <w:r w:rsidR="004534DC">
        <w:rPr>
          <w:rtl/>
        </w:rPr>
        <w:t xml:space="preserve"> </w:t>
      </w:r>
      <w:r w:rsidR="00EA1D02" w:rsidRPr="00EA1D02">
        <w:rPr>
          <w:rtl/>
        </w:rPr>
        <w:t>إنما</w:t>
      </w:r>
      <w:r w:rsidR="004534DC">
        <w:rPr>
          <w:rtl/>
        </w:rPr>
        <w:t xml:space="preserve"> </w:t>
      </w:r>
      <w:r w:rsidR="00EA1D02" w:rsidRPr="00EA1D02">
        <w:rPr>
          <w:rtl/>
        </w:rPr>
        <w:t>تتعلق</w:t>
      </w:r>
      <w:r w:rsidR="004534DC">
        <w:rPr>
          <w:rtl/>
        </w:rPr>
        <w:t xml:space="preserve"> </w:t>
      </w:r>
      <w:r w:rsidR="00EA1D02" w:rsidRPr="00EA1D02">
        <w:rPr>
          <w:rtl/>
        </w:rPr>
        <w:t>بالمساواة</w:t>
      </w:r>
      <w:r w:rsidR="004534DC">
        <w:rPr>
          <w:rtl/>
        </w:rPr>
        <w:t xml:space="preserve"> </w:t>
      </w:r>
      <w:r w:rsidR="00EA1D02" w:rsidRPr="00EA1D02">
        <w:rPr>
          <w:rtl/>
        </w:rPr>
        <w:t>بين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الرجل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والمرأة</w:t>
      </w:r>
      <w:r w:rsidR="004534DC">
        <w:rPr>
          <w:rtl/>
        </w:rPr>
        <w:t xml:space="preserve"> </w:t>
      </w:r>
      <w:r w:rsidR="00EA1D02" w:rsidRPr="00EA1D02">
        <w:rPr>
          <w:rtl/>
        </w:rPr>
        <w:t>وعدم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التمييز</w:t>
      </w:r>
      <w:r w:rsidR="004534DC">
        <w:rPr>
          <w:rtl/>
        </w:rPr>
        <w:t xml:space="preserve"> </w:t>
      </w:r>
      <w:r w:rsidR="00EA1D02" w:rsidRPr="00EA1D02">
        <w:rPr>
          <w:rtl/>
        </w:rPr>
        <w:t>ضد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المرأة</w:t>
      </w:r>
      <w:r w:rsidR="004534DC">
        <w:rPr>
          <w:rtl/>
        </w:rPr>
        <w:t xml:space="preserve"> </w:t>
      </w:r>
      <w:r w:rsidR="00EA1D02" w:rsidRPr="00EA1D02">
        <w:rPr>
          <w:rtl/>
        </w:rPr>
        <w:t>وفرض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الحماية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القانونية،</w:t>
      </w:r>
      <w:r w:rsidR="004534DC">
        <w:rPr>
          <w:rtl/>
        </w:rPr>
        <w:t xml:space="preserve"> </w:t>
      </w:r>
      <w:r w:rsidR="00EA1D02" w:rsidRPr="00EA1D02">
        <w:rPr>
          <w:rtl/>
        </w:rPr>
        <w:t>ومنح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المرأة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الأهلية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القانونية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لإبرام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العقود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قدم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المساواة</w:t>
      </w:r>
      <w:r w:rsidR="004534DC">
        <w:rPr>
          <w:rtl/>
        </w:rPr>
        <w:t xml:space="preserve"> </w:t>
      </w:r>
      <w:r w:rsidR="00EA1D02" w:rsidRPr="00EA1D02">
        <w:rPr>
          <w:rtl/>
        </w:rPr>
        <w:t>وتغيير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الأنماط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الاجتماعية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والثقافية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لسلوك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الرجل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والمرأة،</w:t>
      </w:r>
      <w:r w:rsidR="004534DC">
        <w:rPr>
          <w:rtl/>
        </w:rPr>
        <w:t xml:space="preserve"> </w:t>
      </w:r>
      <w:r w:rsidR="00EA1D02" w:rsidRPr="00EA1D02">
        <w:rPr>
          <w:rtl/>
        </w:rPr>
        <w:t>بهدف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القضاء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التحيزات</w:t>
      </w:r>
      <w:r w:rsidR="004534DC">
        <w:rPr>
          <w:rtl/>
        </w:rPr>
        <w:t xml:space="preserve"> </w:t>
      </w:r>
      <w:r w:rsidR="00EA1D02" w:rsidRPr="00EA1D02">
        <w:rPr>
          <w:rtl/>
        </w:rPr>
        <w:t>والعادات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العرفية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وكل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الممارسات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الأخرى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القائمة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الاعتقاد</w:t>
      </w:r>
      <w:bookmarkStart w:id="3" w:name="TmpSave"/>
      <w:bookmarkEnd w:id="3"/>
      <w:r w:rsidR="004534DC">
        <w:rPr>
          <w:rtl/>
        </w:rPr>
        <w:t xml:space="preserve"> </w:t>
      </w:r>
      <w:r w:rsidR="00EA1D02" w:rsidRPr="00EA1D02">
        <w:rPr>
          <w:rtl/>
        </w:rPr>
        <w:t>بكون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أي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الجنسين</w:t>
      </w:r>
      <w:r w:rsidR="004534DC">
        <w:rPr>
          <w:rtl/>
        </w:rPr>
        <w:t xml:space="preserve"> </w:t>
      </w:r>
      <w:r w:rsidR="00EA1D02" w:rsidRPr="00EA1D02">
        <w:rPr>
          <w:rtl/>
        </w:rPr>
        <w:t>أدنى</w:t>
      </w:r>
      <w:r w:rsidR="004534DC">
        <w:rPr>
          <w:rtl/>
        </w:rPr>
        <w:t xml:space="preserve"> </w:t>
      </w:r>
      <w:r w:rsidR="00EA1D02" w:rsidRPr="00EA1D02">
        <w:rPr>
          <w:rtl/>
        </w:rPr>
        <w:t>أو</w:t>
      </w:r>
      <w:r w:rsidR="004534DC">
        <w:rPr>
          <w:rtl/>
        </w:rPr>
        <w:t xml:space="preserve"> </w:t>
      </w:r>
      <w:r w:rsidR="00EA1D02" w:rsidRPr="00EA1D02">
        <w:rPr>
          <w:rtl/>
        </w:rPr>
        <w:t>أعلى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الآخر.</w:t>
      </w:r>
      <w:r w:rsidR="004534DC">
        <w:rPr>
          <w:rtl/>
        </w:rPr>
        <w:t xml:space="preserve"> </w:t>
      </w:r>
    </w:p>
    <w:p w14:paraId="12CD25F0" w14:textId="000E8760" w:rsidR="002A020E" w:rsidRDefault="00301EA3" w:rsidP="00EA1D02">
      <w:pPr>
        <w:pStyle w:val="SingleTxt"/>
        <w:rPr>
          <w:rtl/>
        </w:rPr>
      </w:pPr>
      <w:r>
        <w:rPr>
          <w:rtl/>
        </w:rPr>
        <w:tab/>
      </w:r>
      <w:r w:rsidR="00EA1D02" w:rsidRPr="00EA1D02">
        <w:rPr>
          <w:rtl/>
        </w:rPr>
        <w:t>وفي</w:t>
      </w:r>
      <w:r w:rsidR="004534DC">
        <w:rPr>
          <w:rtl/>
        </w:rPr>
        <w:t xml:space="preserve"> </w:t>
      </w:r>
      <w:r w:rsidR="00EA1D02" w:rsidRPr="00EA1D02">
        <w:rPr>
          <w:rtl/>
        </w:rPr>
        <w:t>سياق</w:t>
      </w:r>
      <w:r w:rsidR="004534DC">
        <w:rPr>
          <w:rtl/>
        </w:rPr>
        <w:t xml:space="preserve"> </w:t>
      </w:r>
      <w:r w:rsidR="00EA1D02" w:rsidRPr="00EA1D02">
        <w:rPr>
          <w:rtl/>
        </w:rPr>
        <w:t>متصل</w:t>
      </w:r>
      <w:r w:rsidR="004534DC">
        <w:rPr>
          <w:rtl/>
        </w:rPr>
        <w:t xml:space="preserve"> </w:t>
      </w:r>
      <w:r w:rsidR="00EA1D02" w:rsidRPr="00EA1D02">
        <w:rPr>
          <w:rtl/>
        </w:rPr>
        <w:t>وحرصاً</w:t>
      </w:r>
      <w:r w:rsidR="004534DC">
        <w:rPr>
          <w:rtl/>
        </w:rPr>
        <w:t xml:space="preserve"> </w:t>
      </w:r>
      <w:r w:rsidR="00EA1D02" w:rsidRPr="00EA1D02">
        <w:rPr>
          <w:rtl/>
        </w:rPr>
        <w:t>من</w:t>
      </w:r>
      <w:r w:rsidR="004534DC">
        <w:rPr>
          <w:rtl/>
        </w:rPr>
        <w:t xml:space="preserve"> </w:t>
      </w:r>
      <w:r w:rsidR="00EA1D02" w:rsidRPr="00EA1D02">
        <w:rPr>
          <w:rtl/>
        </w:rPr>
        <w:t>دولة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</w:t>
      </w:r>
      <w:r w:rsidR="004534DC">
        <w:rPr>
          <w:rtl/>
        </w:rPr>
        <w:t xml:space="preserve"> </w:t>
      </w:r>
      <w:r w:rsidR="00EA1D02" w:rsidRPr="00EA1D02">
        <w:rPr>
          <w:rtl/>
        </w:rPr>
        <w:t>على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المضي</w:t>
      </w:r>
      <w:r w:rsidR="004534DC">
        <w:rPr>
          <w:rtl/>
        </w:rPr>
        <w:t xml:space="preserve"> </w:t>
      </w:r>
      <w:r w:rsidR="00EA1D02" w:rsidRPr="00EA1D02">
        <w:rPr>
          <w:rtl/>
        </w:rPr>
        <w:t>قدماً</w:t>
      </w:r>
      <w:r w:rsidR="004534DC">
        <w:rPr>
          <w:rtl/>
        </w:rPr>
        <w:t xml:space="preserve"> </w:t>
      </w:r>
      <w:r w:rsidR="00EA1D02" w:rsidRPr="00EA1D02">
        <w:rPr>
          <w:rtl/>
        </w:rPr>
        <w:t>نحو</w:t>
      </w:r>
      <w:r w:rsidR="004534DC">
        <w:rPr>
          <w:rtl/>
        </w:rPr>
        <w:t xml:space="preserve"> </w:t>
      </w:r>
      <w:r w:rsidR="00EA1D02" w:rsidRPr="00EA1D02">
        <w:rPr>
          <w:rtl/>
        </w:rPr>
        <w:t>تطوير</w:t>
      </w:r>
      <w:r w:rsidR="004534DC">
        <w:rPr>
          <w:rtl/>
        </w:rPr>
        <w:t xml:space="preserve"> </w:t>
      </w:r>
      <w:r w:rsidR="00EA1D02" w:rsidRPr="00EA1D02">
        <w:rPr>
          <w:rtl/>
        </w:rPr>
        <w:t>تشريعاتها،</w:t>
      </w:r>
      <w:r w:rsidR="004534DC">
        <w:rPr>
          <w:rtl/>
        </w:rPr>
        <w:t xml:space="preserve"> </w:t>
      </w:r>
      <w:r w:rsidR="00EA1D02" w:rsidRPr="00EA1D02">
        <w:rPr>
          <w:rtl/>
        </w:rPr>
        <w:t>تجدر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الإشارة</w:t>
      </w:r>
      <w:r w:rsidR="004534DC">
        <w:rPr>
          <w:rtl/>
        </w:rPr>
        <w:t xml:space="preserve"> </w:t>
      </w:r>
      <w:r w:rsidR="00EA1D02" w:rsidRPr="00EA1D02">
        <w:rPr>
          <w:rtl/>
        </w:rPr>
        <w:t>إلى</w:t>
      </w:r>
      <w:r w:rsidR="004534DC">
        <w:rPr>
          <w:rtl/>
        </w:rPr>
        <w:t xml:space="preserve"> </w:t>
      </w:r>
      <w:r w:rsidR="00EA1D02" w:rsidRPr="00EA1D02">
        <w:rPr>
          <w:rtl/>
        </w:rPr>
        <w:t>أنه</w:t>
      </w:r>
      <w:r w:rsidR="004534DC">
        <w:rPr>
          <w:rtl/>
        </w:rPr>
        <w:t xml:space="preserve"> </w:t>
      </w:r>
      <w:r w:rsidR="00EA1D02" w:rsidRPr="00EA1D02">
        <w:rPr>
          <w:rtl/>
        </w:rPr>
        <w:t>جاري</w:t>
      </w:r>
      <w:r w:rsidR="004534DC">
        <w:rPr>
          <w:rtl/>
        </w:rPr>
        <w:t xml:space="preserve"> </w:t>
      </w:r>
      <w:r w:rsidR="00EA1D02" w:rsidRPr="00EA1D02">
        <w:rPr>
          <w:rtl/>
        </w:rPr>
        <w:t>مناقشة</w:t>
      </w:r>
      <w:r w:rsidR="004534DC">
        <w:rPr>
          <w:rtl/>
        </w:rPr>
        <w:t xml:space="preserve"> </w:t>
      </w:r>
      <w:r w:rsidR="00EA1D02" w:rsidRPr="00EA1D02">
        <w:rPr>
          <w:rtl/>
        </w:rPr>
        <w:t>مشروع</w:t>
      </w:r>
      <w:r w:rsidR="004534DC">
        <w:rPr>
          <w:rtl/>
        </w:rPr>
        <w:t xml:space="preserve"> </w:t>
      </w:r>
      <w:r w:rsidR="00EA1D02" w:rsidRPr="00EA1D02">
        <w:rPr>
          <w:rtl/>
        </w:rPr>
        <w:t>قانون</w:t>
      </w:r>
      <w:r w:rsidR="004534DC">
        <w:rPr>
          <w:rtl/>
        </w:rPr>
        <w:t xml:space="preserve"> </w:t>
      </w:r>
      <w:r w:rsidR="00EA1D02" w:rsidRPr="00EA1D02">
        <w:rPr>
          <w:rtl/>
        </w:rPr>
        <w:t>بشأن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الأحوال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الشخصية</w:t>
      </w:r>
      <w:r w:rsidR="004534DC">
        <w:rPr>
          <w:rtl/>
        </w:rPr>
        <w:t xml:space="preserve"> </w:t>
      </w:r>
      <w:r w:rsidR="00EA1D02" w:rsidRPr="00EA1D02">
        <w:rPr>
          <w:rtl/>
        </w:rPr>
        <w:t>للمذهب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الجعفري</w:t>
      </w:r>
      <w:r w:rsidR="004534DC">
        <w:rPr>
          <w:rtl/>
        </w:rPr>
        <w:t xml:space="preserve"> </w:t>
      </w:r>
      <w:r w:rsidR="00EA1D02" w:rsidRPr="00EA1D02">
        <w:rPr>
          <w:rtl/>
        </w:rPr>
        <w:t>بمجلس</w:t>
      </w:r>
      <w:r w:rsidR="004534DC">
        <w:rPr>
          <w:rtl/>
        </w:rPr>
        <w:t xml:space="preserve"> </w:t>
      </w:r>
      <w:r w:rsidR="00EA1D02" w:rsidRPr="00EA1D02">
        <w:rPr>
          <w:rtl/>
        </w:rPr>
        <w:t>الأمة</w:t>
      </w:r>
      <w:r w:rsidR="004534DC">
        <w:rPr>
          <w:rtl/>
        </w:rPr>
        <w:t xml:space="preserve"> </w:t>
      </w:r>
      <w:r w:rsidR="00EA1D02" w:rsidRPr="00EA1D02">
        <w:rPr>
          <w:rtl/>
        </w:rPr>
        <w:t>الكويتي.</w:t>
      </w:r>
    </w:p>
    <w:p w14:paraId="70FEC81A" w14:textId="7C056A88" w:rsidR="00B94C62" w:rsidRPr="00B94C62" w:rsidRDefault="00B94C62" w:rsidP="00B94C62">
      <w:pPr>
        <w:pStyle w:val="SingleTxt"/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4D9B7" wp14:editId="2509D66A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06F4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Bl0pba3wAAAAkBAAAPAAAAAAAAAAAAAAAAADMEAABkcnMvZG93bnJldi54bWxQSwUGAAAAAAQA&#10;BADzAAAAPwUAAAAA&#10;" strokecolor="#010000" strokeweight=".25pt"/>
            </w:pict>
          </mc:Fallback>
        </mc:AlternateContent>
      </w:r>
    </w:p>
    <w:sectPr w:rsidR="00B94C62" w:rsidRPr="00B94C62" w:rsidSect="00B40773">
      <w:endnotePr>
        <w:numFmt w:val="decimal"/>
      </w:endnotePr>
      <w:type w:val="continuous"/>
      <w:pgSz w:w="12240" w:h="15840" w:code="1"/>
      <w:pgMar w:top="1440" w:right="1200" w:bottom="1152" w:left="1200" w:header="432" w:footer="504" w:gutter="0"/>
      <w:cols w:space="720"/>
      <w:noEndnote/>
      <w:bidi/>
      <w:rtlGutter/>
      <w:docGrid w:linePitch="27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9-08-29T09:03:00Z" w:initials="Start">
    <w:p w14:paraId="11A6964B" w14:textId="0BC38D6A" w:rsidR="00CD7085" w:rsidRDefault="00CD7085">
      <w:pPr>
        <w:pStyle w:val="CommentText"/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t>&lt;&lt;ODS JOB NO&gt;&gt;N1924298A&lt;&lt;ODS JOB NO&gt;&gt;</w:t>
      </w:r>
    </w:p>
    <w:p w14:paraId="3EE086D9" w14:textId="26DF826B" w:rsidR="00CD7085" w:rsidRDefault="00CD7085">
      <w:pPr>
        <w:pStyle w:val="CommentText"/>
      </w:pPr>
      <w:r>
        <w:t>&lt;&lt;ODS DOC SYMBOL1&gt;&gt;CEDAW/C/KWT/CO/5/Add.1&lt;&lt;ODS DOC SYMBOL1&gt;&gt;</w:t>
      </w:r>
    </w:p>
    <w:p w14:paraId="46A2173C" w14:textId="65BCF1FE" w:rsidR="00CD7085" w:rsidRDefault="00CD7085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A2173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244B7" w14:textId="77777777" w:rsidR="00CD7085" w:rsidRDefault="00CD7085" w:rsidP="00693CF9">
      <w:pPr>
        <w:spacing w:line="240" w:lineRule="auto"/>
      </w:pPr>
      <w:r>
        <w:separator/>
      </w:r>
    </w:p>
  </w:endnote>
  <w:endnote w:type="continuationSeparator" w:id="0">
    <w:p w14:paraId="42402554" w14:textId="77777777" w:rsidR="00CD7085" w:rsidRDefault="00CD7085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D7085" w14:paraId="162918CD" w14:textId="77777777" w:rsidTr="002A020E">
      <w:tc>
        <w:tcPr>
          <w:tcW w:w="4920" w:type="dxa"/>
          <w:shd w:val="clear" w:color="auto" w:fill="auto"/>
        </w:tcPr>
        <w:p w14:paraId="1E4E2098" w14:textId="77777777" w:rsidR="00CD7085" w:rsidRPr="002A020E" w:rsidRDefault="00CD7085" w:rsidP="002A020E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36452855" w14:textId="414BBFC0" w:rsidR="00CD7085" w:rsidRPr="002A020E" w:rsidRDefault="00CD7085" w:rsidP="002A020E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1E4A8C">
            <w:rPr>
              <w:b w:val="0"/>
              <w:w w:val="103"/>
            </w:rPr>
            <w:t>19-13247</w:t>
          </w:r>
          <w:r>
            <w:rPr>
              <w:b w:val="0"/>
              <w:w w:val="103"/>
            </w:rPr>
            <w:fldChar w:fldCharType="end"/>
          </w:r>
        </w:p>
      </w:tc>
    </w:tr>
  </w:tbl>
  <w:p w14:paraId="41A934BC" w14:textId="77777777" w:rsidR="00CD7085" w:rsidRPr="002A020E" w:rsidRDefault="00CD7085" w:rsidP="002A0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D7085" w14:paraId="557DDFBD" w14:textId="77777777" w:rsidTr="002A020E">
      <w:tc>
        <w:tcPr>
          <w:tcW w:w="4920" w:type="dxa"/>
          <w:shd w:val="clear" w:color="auto" w:fill="auto"/>
        </w:tcPr>
        <w:p w14:paraId="5215D52D" w14:textId="5A1E5818" w:rsidR="00CD7085" w:rsidRPr="002A020E" w:rsidRDefault="00CD7085" w:rsidP="002A020E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1E4A8C">
            <w:rPr>
              <w:b w:val="0"/>
              <w:w w:val="103"/>
            </w:rPr>
            <w:t>19-13247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2A9FF4C4" w14:textId="77777777" w:rsidR="00CD7085" w:rsidRPr="002A020E" w:rsidRDefault="00CD7085" w:rsidP="002A020E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58FD3C03" w14:textId="77777777" w:rsidR="00CD7085" w:rsidRPr="002A020E" w:rsidRDefault="00CD7085" w:rsidP="002A02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3888"/>
      <w:gridCol w:w="4920"/>
    </w:tblGrid>
    <w:tr w:rsidR="00CD7085" w14:paraId="472D66D1" w14:textId="77777777" w:rsidTr="002A020E">
      <w:trPr>
        <w:jc w:val="right"/>
      </w:trPr>
      <w:tc>
        <w:tcPr>
          <w:tcW w:w="3888" w:type="dxa"/>
        </w:tcPr>
        <w:p w14:paraId="436F0544" w14:textId="77777777" w:rsidR="00CD7085" w:rsidRDefault="00CD7085" w:rsidP="002A020E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</w:rPr>
            <w:drawing>
              <wp:anchor distT="0" distB="0" distL="114300" distR="114300" simplePos="0" relativeHeight="251658240" behindDoc="0" locked="0" layoutInCell="1" allowOverlap="1" wp14:anchorId="20EFBC44" wp14:editId="281641B7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KWT/CO/5/Add.1&amp;Size =1&amp;Lang =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KWT/CO/5/Add.1&amp;Size =1&amp;Lang =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0"/>
            </w:rPr>
            <w:drawing>
              <wp:inline distT="0" distB="0" distL="0" distR="0" wp14:anchorId="4D9993A1" wp14:editId="17C15963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</w:tcPr>
        <w:p w14:paraId="1529CEA8" w14:textId="31E9C096" w:rsidR="00CD7085" w:rsidRDefault="00CD7085" w:rsidP="002A020E">
          <w:pPr>
            <w:pStyle w:val="ReleaseDate"/>
          </w:pPr>
          <w:r>
            <w:t xml:space="preserve">290819    050819    </w:t>
          </w:r>
          <w:r w:rsidR="001E4A8C">
            <w:fldChar w:fldCharType="begin"/>
          </w:r>
          <w:r w:rsidR="001E4A8C">
            <w:instrText xml:space="preserve"> DOCVARIABLE "jobn" \* MERGEFORMAT </w:instrText>
          </w:r>
          <w:r w:rsidR="001E4A8C">
            <w:fldChar w:fldCharType="separate"/>
          </w:r>
          <w:r w:rsidR="001E4A8C">
            <w:t>19-13247 (A)</w:t>
          </w:r>
          <w:r w:rsidR="001E4A8C">
            <w:fldChar w:fldCharType="end"/>
          </w:r>
        </w:p>
        <w:p w14:paraId="7FE9CB69" w14:textId="396C8A04" w:rsidR="00CD7085" w:rsidRPr="002A020E" w:rsidRDefault="00CD7085" w:rsidP="002A020E">
          <w:pPr>
            <w:pStyle w:val="Footer"/>
            <w:spacing w:before="80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1E4A8C">
            <w:rPr>
              <w:rFonts w:ascii="Barcode 3 of 9 by request" w:hAnsi="Barcode 3 of 9 by request"/>
              <w:sz w:val="24"/>
            </w:rPr>
            <w:t>*1913247*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14:paraId="33CE3A84" w14:textId="77777777" w:rsidR="00CD7085" w:rsidRPr="002A020E" w:rsidRDefault="00CD7085" w:rsidP="002A020E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7CE80" w14:textId="77777777" w:rsidR="00CD7085" w:rsidRDefault="00CD7085" w:rsidP="00693CF9">
      <w:pPr>
        <w:spacing w:line="240" w:lineRule="auto"/>
      </w:pPr>
      <w:r>
        <w:separator/>
      </w:r>
    </w:p>
  </w:footnote>
  <w:footnote w:type="continuationSeparator" w:id="0">
    <w:p w14:paraId="2FD07A39" w14:textId="77777777" w:rsidR="00CD7085" w:rsidRDefault="00CD7085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D7085" w14:paraId="3BED0356" w14:textId="77777777" w:rsidTr="002A020E">
      <w:trPr>
        <w:trHeight w:hRule="exact" w:val="864"/>
        <w:jc w:val="center"/>
      </w:trPr>
      <w:tc>
        <w:tcPr>
          <w:tcW w:w="4920" w:type="dxa"/>
          <w:shd w:val="clear" w:color="auto" w:fill="auto"/>
          <w:vAlign w:val="bottom"/>
        </w:tcPr>
        <w:p w14:paraId="36EAD79C" w14:textId="77777777" w:rsidR="00CD7085" w:rsidRDefault="00CD7085" w:rsidP="002A020E">
          <w:pPr>
            <w:pStyle w:val="Header"/>
            <w:bidi/>
          </w:pPr>
        </w:p>
      </w:tc>
      <w:tc>
        <w:tcPr>
          <w:tcW w:w="4920" w:type="dxa"/>
          <w:shd w:val="clear" w:color="auto" w:fill="auto"/>
          <w:vAlign w:val="bottom"/>
        </w:tcPr>
        <w:p w14:paraId="6A5E3A3C" w14:textId="7BBF0A0C" w:rsidR="00CD7085" w:rsidRPr="002A020E" w:rsidRDefault="00CD7085" w:rsidP="002A020E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1E4A8C">
            <w:rPr>
              <w:w w:val="103"/>
            </w:rPr>
            <w:t>CEDAW/C/KWT/CO/5/Add.1</w:t>
          </w:r>
          <w:r>
            <w:rPr>
              <w:w w:val="103"/>
            </w:rPr>
            <w:fldChar w:fldCharType="end"/>
          </w:r>
        </w:p>
      </w:tc>
    </w:tr>
  </w:tbl>
  <w:p w14:paraId="0EA5D788" w14:textId="77777777" w:rsidR="00CD7085" w:rsidRPr="002A020E" w:rsidRDefault="00CD7085" w:rsidP="002A0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CD7085" w14:paraId="041199D2" w14:textId="77777777" w:rsidTr="002A020E">
      <w:trPr>
        <w:trHeight w:hRule="exact" w:val="864"/>
        <w:jc w:val="center"/>
      </w:trPr>
      <w:tc>
        <w:tcPr>
          <w:tcW w:w="4920" w:type="dxa"/>
          <w:shd w:val="clear" w:color="auto" w:fill="auto"/>
          <w:vAlign w:val="bottom"/>
        </w:tcPr>
        <w:p w14:paraId="38ED9955" w14:textId="4AB58170" w:rsidR="00CD7085" w:rsidRPr="002A020E" w:rsidRDefault="00CD7085" w:rsidP="002A020E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1E4A8C">
            <w:rPr>
              <w:w w:val="103"/>
            </w:rPr>
            <w:t>CEDAW/C/KWT/CO/5/Add.1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0E203157" w14:textId="77777777" w:rsidR="00CD7085" w:rsidRDefault="00CD7085" w:rsidP="002A020E">
          <w:pPr>
            <w:pStyle w:val="Header"/>
          </w:pPr>
        </w:p>
      </w:tc>
    </w:tr>
  </w:tbl>
  <w:p w14:paraId="3246BE25" w14:textId="77777777" w:rsidR="00CD7085" w:rsidRPr="002A020E" w:rsidRDefault="00CD7085" w:rsidP="002A0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CD7085" w14:paraId="0CE741B1" w14:textId="77777777" w:rsidTr="002A020E"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11F6C1E" w14:textId="77777777" w:rsidR="00CD7085" w:rsidRDefault="00CD7085" w:rsidP="002A020E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D837AF7" w14:textId="68BB7A52" w:rsidR="00CD7085" w:rsidRPr="002A020E" w:rsidRDefault="00CD7085" w:rsidP="002A020E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81114D3" w14:textId="77777777" w:rsidR="00CD7085" w:rsidRDefault="00CD7085" w:rsidP="002A020E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32589F62" w14:textId="77777777" w:rsidR="00CD7085" w:rsidRPr="002A020E" w:rsidRDefault="00CD7085" w:rsidP="002A020E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/C/KWT/CO/5/Add.1</w:t>
          </w:r>
        </w:p>
      </w:tc>
    </w:tr>
    <w:tr w:rsidR="00CD7085" w:rsidRPr="002A020E" w14:paraId="0B447184" w14:textId="77777777" w:rsidTr="002A020E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ECFDF49" w14:textId="5B135842" w:rsidR="00CD7085" w:rsidRDefault="00CD7085" w:rsidP="002A020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079EA365" wp14:editId="6BEF122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7B5A34A" w14:textId="77777777" w:rsidR="00CD7085" w:rsidRPr="002A020E" w:rsidRDefault="00CD7085" w:rsidP="002A020E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E460CB5" w14:textId="09F5528F" w:rsidR="00CD7085" w:rsidRPr="002A020E" w:rsidRDefault="00CD7085" w:rsidP="002A020E">
          <w:pPr>
            <w:pStyle w:val="XLarge"/>
            <w:spacing w:before="109" w:line="520" w:lineRule="exact"/>
            <w:ind w:left="14" w:right="14"/>
            <w:jc w:val="left"/>
            <w:rPr>
              <w:szCs w:val="52"/>
            </w:rPr>
          </w:pPr>
          <w:r>
            <w:rPr>
              <w:szCs w:val="52"/>
              <w:rtl/>
            </w:rPr>
            <w:t>اتفاقية القضاء على جميـع</w:t>
          </w:r>
          <w:r>
            <w:rPr>
              <w:szCs w:val="52"/>
              <w:rtl/>
            </w:rPr>
            <w:br/>
            <w:t>أشكال التمييز ضد 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0627480" w14:textId="77777777" w:rsidR="00CD7085" w:rsidRPr="002A020E" w:rsidRDefault="00CD7085" w:rsidP="002A020E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C1C3495" w14:textId="279E6318" w:rsidR="00CD7085" w:rsidRDefault="00CD7085" w:rsidP="002A020E">
          <w:pPr>
            <w:pStyle w:val="Distribution"/>
            <w:bidi w:val="0"/>
            <w:spacing w:before="240"/>
          </w:pPr>
          <w:r>
            <w:t>Distr.: General</w:t>
          </w:r>
        </w:p>
        <w:p w14:paraId="211A090E" w14:textId="43D32278" w:rsidR="00CD7085" w:rsidRDefault="00CD7085" w:rsidP="002A020E">
          <w:pPr>
            <w:pStyle w:val="Publication"/>
            <w:bidi w:val="0"/>
          </w:pPr>
          <w:r>
            <w:t>2 August 2019</w:t>
          </w:r>
        </w:p>
        <w:p w14:paraId="7EDA1827" w14:textId="77777777" w:rsidR="00CD7085" w:rsidRDefault="00CD7085" w:rsidP="002A020E">
          <w:pPr>
            <w:bidi w:val="0"/>
            <w:spacing w:line="240" w:lineRule="exact"/>
            <w:jc w:val="left"/>
          </w:pPr>
          <w:r>
            <w:t>Arabic</w:t>
          </w:r>
        </w:p>
        <w:p w14:paraId="0FDD879B" w14:textId="26F0887E" w:rsidR="00CD7085" w:rsidRDefault="00CD7085" w:rsidP="002A020E">
          <w:pPr>
            <w:pStyle w:val="Original"/>
            <w:bidi w:val="0"/>
          </w:pPr>
          <w:r>
            <w:t>Original: Arabic/English/French and</w:t>
          </w:r>
        </w:p>
        <w:p w14:paraId="40A80D77" w14:textId="4A14D6B1" w:rsidR="00CD7085" w:rsidRDefault="00CD7085" w:rsidP="002A020E">
          <w:pPr>
            <w:pStyle w:val="Original"/>
            <w:bidi w:val="0"/>
          </w:pPr>
          <w:r>
            <w:t>Spanish only</w:t>
          </w:r>
        </w:p>
        <w:p w14:paraId="0A196500" w14:textId="77777777" w:rsidR="00CD7085" w:rsidRPr="002A020E" w:rsidRDefault="00CD7085" w:rsidP="002A020E">
          <w:pPr>
            <w:bidi w:val="0"/>
            <w:spacing w:line="240" w:lineRule="exact"/>
            <w:jc w:val="left"/>
          </w:pPr>
        </w:p>
      </w:tc>
    </w:tr>
  </w:tbl>
  <w:p w14:paraId="5BC3977D" w14:textId="77777777" w:rsidR="00CD7085" w:rsidRPr="002A020E" w:rsidRDefault="00CD7085" w:rsidP="002A020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  <w:num w:numId="11">
    <w:abstractNumId w:val="2"/>
  </w:num>
  <w:num w:numId="12">
    <w:abstractNumId w:val="1"/>
  </w:num>
  <w:num w:numId="13">
    <w:abstractNumId w:val="0"/>
  </w:num>
  <w:num w:numId="14">
    <w:abstractNumId w:val="2"/>
  </w:num>
  <w:num w:numId="15">
    <w:abstractNumId w:val="1"/>
  </w:num>
  <w:num w:numId="16">
    <w:abstractNumId w:val="0"/>
  </w:num>
  <w:num w:numId="17">
    <w:abstractNumId w:val="2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13247*"/>
    <w:docVar w:name="CreationDt" w:val="29/08/2019 9:03: AM"/>
    <w:docVar w:name="DocCategory" w:val="Doc"/>
    <w:docVar w:name="DocType" w:val="Final"/>
    <w:docVar w:name="DutyStation" w:val="New York"/>
    <w:docVar w:name="FooterJN" w:val="19-13247"/>
    <w:docVar w:name="jobn" w:val="19-13247 (A)"/>
    <w:docVar w:name="jobnDT" w:val="19-13247 (A)   290819"/>
    <w:docVar w:name="jobnDTDT" w:val="19-13247 (A)   290819   290819"/>
    <w:docVar w:name="JobNo" w:val="1913247A"/>
    <w:docVar w:name="LocalDrive" w:val="0"/>
    <w:docVar w:name="OandT" w:val=" "/>
    <w:docVar w:name="sss1" w:val="CEDAW/C/KWT/CO/5/Add.1"/>
    <w:docVar w:name="sss2" w:val="-"/>
    <w:docVar w:name="Symbol1" w:val="CEDAW/C/KWT/CO/5/Add.1"/>
    <w:docVar w:name="Symbol2" w:val="-"/>
  </w:docVars>
  <w:rsids>
    <w:rsidRoot w:val="00FA08D9"/>
    <w:rsid w:val="000020C4"/>
    <w:rsid w:val="0000693B"/>
    <w:rsid w:val="000170D3"/>
    <w:rsid w:val="00024DD0"/>
    <w:rsid w:val="0002744A"/>
    <w:rsid w:val="000311C9"/>
    <w:rsid w:val="000344E4"/>
    <w:rsid w:val="00042425"/>
    <w:rsid w:val="00047F6A"/>
    <w:rsid w:val="00050883"/>
    <w:rsid w:val="0005137B"/>
    <w:rsid w:val="00056AA7"/>
    <w:rsid w:val="0006648F"/>
    <w:rsid w:val="00066EF1"/>
    <w:rsid w:val="00070E09"/>
    <w:rsid w:val="00087310"/>
    <w:rsid w:val="00092439"/>
    <w:rsid w:val="000927B5"/>
    <w:rsid w:val="0009732C"/>
    <w:rsid w:val="000974BE"/>
    <w:rsid w:val="000A4151"/>
    <w:rsid w:val="000B640C"/>
    <w:rsid w:val="000B7407"/>
    <w:rsid w:val="000C4EED"/>
    <w:rsid w:val="000D2CEC"/>
    <w:rsid w:val="000D5B75"/>
    <w:rsid w:val="000F3F48"/>
    <w:rsid w:val="00100A90"/>
    <w:rsid w:val="00101EE8"/>
    <w:rsid w:val="00102521"/>
    <w:rsid w:val="0010461F"/>
    <w:rsid w:val="00113349"/>
    <w:rsid w:val="0012522B"/>
    <w:rsid w:val="0012533F"/>
    <w:rsid w:val="00132672"/>
    <w:rsid w:val="001327A6"/>
    <w:rsid w:val="0014041B"/>
    <w:rsid w:val="00143096"/>
    <w:rsid w:val="001519A9"/>
    <w:rsid w:val="001568A8"/>
    <w:rsid w:val="00165F18"/>
    <w:rsid w:val="00170A5E"/>
    <w:rsid w:val="001737F8"/>
    <w:rsid w:val="001775EA"/>
    <w:rsid w:val="0018030C"/>
    <w:rsid w:val="00182D99"/>
    <w:rsid w:val="00185BA9"/>
    <w:rsid w:val="00186708"/>
    <w:rsid w:val="00187870"/>
    <w:rsid w:val="00192CA3"/>
    <w:rsid w:val="00194C85"/>
    <w:rsid w:val="001A015D"/>
    <w:rsid w:val="001A0D70"/>
    <w:rsid w:val="001A5B00"/>
    <w:rsid w:val="001B0D2A"/>
    <w:rsid w:val="001B59EE"/>
    <w:rsid w:val="001C6531"/>
    <w:rsid w:val="001D1606"/>
    <w:rsid w:val="001E2BD4"/>
    <w:rsid w:val="001E4A8C"/>
    <w:rsid w:val="001E5A5A"/>
    <w:rsid w:val="001E5A7A"/>
    <w:rsid w:val="001F6786"/>
    <w:rsid w:val="00202177"/>
    <w:rsid w:val="0020295C"/>
    <w:rsid w:val="00212285"/>
    <w:rsid w:val="002141DD"/>
    <w:rsid w:val="0021732A"/>
    <w:rsid w:val="00233E2A"/>
    <w:rsid w:val="00236A29"/>
    <w:rsid w:val="00237A82"/>
    <w:rsid w:val="002416C5"/>
    <w:rsid w:val="00246052"/>
    <w:rsid w:val="0025002E"/>
    <w:rsid w:val="0025075C"/>
    <w:rsid w:val="0025236C"/>
    <w:rsid w:val="00252B9B"/>
    <w:rsid w:val="00252D19"/>
    <w:rsid w:val="0025486A"/>
    <w:rsid w:val="002606E6"/>
    <w:rsid w:val="00262A33"/>
    <w:rsid w:val="0026372E"/>
    <w:rsid w:val="00266F59"/>
    <w:rsid w:val="00267D73"/>
    <w:rsid w:val="00272B6C"/>
    <w:rsid w:val="00273E91"/>
    <w:rsid w:val="00274D87"/>
    <w:rsid w:val="00275EB3"/>
    <w:rsid w:val="0027623A"/>
    <w:rsid w:val="00281D6B"/>
    <w:rsid w:val="0028685E"/>
    <w:rsid w:val="00290F2F"/>
    <w:rsid w:val="002937DA"/>
    <w:rsid w:val="002971E7"/>
    <w:rsid w:val="002A020E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58BC"/>
    <w:rsid w:val="002E1490"/>
    <w:rsid w:val="002E750A"/>
    <w:rsid w:val="002E7C29"/>
    <w:rsid w:val="002F0398"/>
    <w:rsid w:val="002F0573"/>
    <w:rsid w:val="002F0ADA"/>
    <w:rsid w:val="002F1211"/>
    <w:rsid w:val="002F3A8D"/>
    <w:rsid w:val="002F7737"/>
    <w:rsid w:val="00301EA3"/>
    <w:rsid w:val="0030254E"/>
    <w:rsid w:val="00306E54"/>
    <w:rsid w:val="00307CFF"/>
    <w:rsid w:val="003102AE"/>
    <w:rsid w:val="00310FA5"/>
    <w:rsid w:val="00312162"/>
    <w:rsid w:val="00312525"/>
    <w:rsid w:val="003319C2"/>
    <w:rsid w:val="003367E5"/>
    <w:rsid w:val="00345B6F"/>
    <w:rsid w:val="003501D5"/>
    <w:rsid w:val="00351324"/>
    <w:rsid w:val="00357DC0"/>
    <w:rsid w:val="00360571"/>
    <w:rsid w:val="0036512C"/>
    <w:rsid w:val="00366E5B"/>
    <w:rsid w:val="003676A8"/>
    <w:rsid w:val="00371AC4"/>
    <w:rsid w:val="003769FD"/>
    <w:rsid w:val="00376CFA"/>
    <w:rsid w:val="003772FC"/>
    <w:rsid w:val="00383A67"/>
    <w:rsid w:val="00383C7A"/>
    <w:rsid w:val="00383CA8"/>
    <w:rsid w:val="00383EF3"/>
    <w:rsid w:val="00385F27"/>
    <w:rsid w:val="00391AA1"/>
    <w:rsid w:val="003A65ED"/>
    <w:rsid w:val="003A76F2"/>
    <w:rsid w:val="003B1EB7"/>
    <w:rsid w:val="003C0195"/>
    <w:rsid w:val="003C4B86"/>
    <w:rsid w:val="003D3CD9"/>
    <w:rsid w:val="003D42DF"/>
    <w:rsid w:val="003D4612"/>
    <w:rsid w:val="003D5F1C"/>
    <w:rsid w:val="003E1BB9"/>
    <w:rsid w:val="003E26D7"/>
    <w:rsid w:val="003E4110"/>
    <w:rsid w:val="003E4647"/>
    <w:rsid w:val="003E6DF8"/>
    <w:rsid w:val="003E7BBB"/>
    <w:rsid w:val="003F4B8C"/>
    <w:rsid w:val="00401BDF"/>
    <w:rsid w:val="004053F7"/>
    <w:rsid w:val="004077BA"/>
    <w:rsid w:val="00411BBD"/>
    <w:rsid w:val="00415922"/>
    <w:rsid w:val="00421658"/>
    <w:rsid w:val="00423BD7"/>
    <w:rsid w:val="0042757D"/>
    <w:rsid w:val="00437C14"/>
    <w:rsid w:val="00445C58"/>
    <w:rsid w:val="00445C64"/>
    <w:rsid w:val="004527C9"/>
    <w:rsid w:val="00453069"/>
    <w:rsid w:val="004534DC"/>
    <w:rsid w:val="00464DE2"/>
    <w:rsid w:val="00465B26"/>
    <w:rsid w:val="00467905"/>
    <w:rsid w:val="00471496"/>
    <w:rsid w:val="00471C89"/>
    <w:rsid w:val="004722D1"/>
    <w:rsid w:val="00475FF6"/>
    <w:rsid w:val="0048330E"/>
    <w:rsid w:val="00483F5B"/>
    <w:rsid w:val="00490874"/>
    <w:rsid w:val="0049408F"/>
    <w:rsid w:val="00494EE2"/>
    <w:rsid w:val="004953B1"/>
    <w:rsid w:val="00495497"/>
    <w:rsid w:val="00496E83"/>
    <w:rsid w:val="00497193"/>
    <w:rsid w:val="004A2329"/>
    <w:rsid w:val="004A2886"/>
    <w:rsid w:val="004A694F"/>
    <w:rsid w:val="004B14A0"/>
    <w:rsid w:val="004B1CBB"/>
    <w:rsid w:val="004B2CC5"/>
    <w:rsid w:val="004B440C"/>
    <w:rsid w:val="004C219B"/>
    <w:rsid w:val="004D1B0C"/>
    <w:rsid w:val="004D3A7F"/>
    <w:rsid w:val="004D3ACE"/>
    <w:rsid w:val="004D4EA9"/>
    <w:rsid w:val="004D4EE2"/>
    <w:rsid w:val="004E40B3"/>
    <w:rsid w:val="004F0D2B"/>
    <w:rsid w:val="004F1402"/>
    <w:rsid w:val="004F33CC"/>
    <w:rsid w:val="004F59EC"/>
    <w:rsid w:val="004F75CD"/>
    <w:rsid w:val="005003FF"/>
    <w:rsid w:val="00502029"/>
    <w:rsid w:val="0050659B"/>
    <w:rsid w:val="005113EA"/>
    <w:rsid w:val="00520086"/>
    <w:rsid w:val="00521CAC"/>
    <w:rsid w:val="0052301E"/>
    <w:rsid w:val="0052427E"/>
    <w:rsid w:val="005243A0"/>
    <w:rsid w:val="00524A2E"/>
    <w:rsid w:val="005279DE"/>
    <w:rsid w:val="00534772"/>
    <w:rsid w:val="00537FCD"/>
    <w:rsid w:val="00541189"/>
    <w:rsid w:val="00542632"/>
    <w:rsid w:val="00544324"/>
    <w:rsid w:val="00545F76"/>
    <w:rsid w:val="00551E87"/>
    <w:rsid w:val="005545BB"/>
    <w:rsid w:val="00556882"/>
    <w:rsid w:val="00561E43"/>
    <w:rsid w:val="0056794B"/>
    <w:rsid w:val="00567D7B"/>
    <w:rsid w:val="0057078E"/>
    <w:rsid w:val="00571C2C"/>
    <w:rsid w:val="00572E70"/>
    <w:rsid w:val="005771BD"/>
    <w:rsid w:val="00582B0A"/>
    <w:rsid w:val="0058378D"/>
    <w:rsid w:val="005838F5"/>
    <w:rsid w:val="00590CD4"/>
    <w:rsid w:val="00591B45"/>
    <w:rsid w:val="0059221F"/>
    <w:rsid w:val="005943EA"/>
    <w:rsid w:val="005956D2"/>
    <w:rsid w:val="00596606"/>
    <w:rsid w:val="005A0F27"/>
    <w:rsid w:val="005A0F73"/>
    <w:rsid w:val="005A2EA3"/>
    <w:rsid w:val="005A45EC"/>
    <w:rsid w:val="005A6DC0"/>
    <w:rsid w:val="005B0557"/>
    <w:rsid w:val="005B2267"/>
    <w:rsid w:val="005B4C28"/>
    <w:rsid w:val="005C07BD"/>
    <w:rsid w:val="005C2239"/>
    <w:rsid w:val="005C2ECE"/>
    <w:rsid w:val="005C3529"/>
    <w:rsid w:val="005C46A7"/>
    <w:rsid w:val="005C7BF8"/>
    <w:rsid w:val="005C7ED8"/>
    <w:rsid w:val="005D2FC5"/>
    <w:rsid w:val="005D5B76"/>
    <w:rsid w:val="005E46BF"/>
    <w:rsid w:val="005F5797"/>
    <w:rsid w:val="005F71AB"/>
    <w:rsid w:val="006007BD"/>
    <w:rsid w:val="006046A6"/>
    <w:rsid w:val="00612939"/>
    <w:rsid w:val="00616E82"/>
    <w:rsid w:val="006218A3"/>
    <w:rsid w:val="00631D41"/>
    <w:rsid w:val="00633F4D"/>
    <w:rsid w:val="00644F87"/>
    <w:rsid w:val="006564CE"/>
    <w:rsid w:val="00660DF1"/>
    <w:rsid w:val="00663F64"/>
    <w:rsid w:val="00664E31"/>
    <w:rsid w:val="0068436E"/>
    <w:rsid w:val="00684F05"/>
    <w:rsid w:val="00685439"/>
    <w:rsid w:val="006905A9"/>
    <w:rsid w:val="00692B46"/>
    <w:rsid w:val="00692C45"/>
    <w:rsid w:val="00692FDB"/>
    <w:rsid w:val="00693CF9"/>
    <w:rsid w:val="00696B7A"/>
    <w:rsid w:val="00697121"/>
    <w:rsid w:val="006A1E4E"/>
    <w:rsid w:val="006A3A3B"/>
    <w:rsid w:val="006A4832"/>
    <w:rsid w:val="006A597F"/>
    <w:rsid w:val="006B49C6"/>
    <w:rsid w:val="006B74C5"/>
    <w:rsid w:val="006C1E40"/>
    <w:rsid w:val="006C38EE"/>
    <w:rsid w:val="006D1A46"/>
    <w:rsid w:val="006D3170"/>
    <w:rsid w:val="006E7E51"/>
    <w:rsid w:val="006F2048"/>
    <w:rsid w:val="006F4577"/>
    <w:rsid w:val="006F7BB7"/>
    <w:rsid w:val="007006FC"/>
    <w:rsid w:val="00700F06"/>
    <w:rsid w:val="007020AD"/>
    <w:rsid w:val="00703988"/>
    <w:rsid w:val="00705BD9"/>
    <w:rsid w:val="00714319"/>
    <w:rsid w:val="0071531E"/>
    <w:rsid w:val="0071645B"/>
    <w:rsid w:val="00716E9D"/>
    <w:rsid w:val="007324F7"/>
    <w:rsid w:val="0073328E"/>
    <w:rsid w:val="00735F09"/>
    <w:rsid w:val="007407B6"/>
    <w:rsid w:val="00740D62"/>
    <w:rsid w:val="00745A2C"/>
    <w:rsid w:val="00745DBF"/>
    <w:rsid w:val="00747AB2"/>
    <w:rsid w:val="00747B47"/>
    <w:rsid w:val="00747B9E"/>
    <w:rsid w:val="007524BE"/>
    <w:rsid w:val="007525FA"/>
    <w:rsid w:val="00760579"/>
    <w:rsid w:val="007668E3"/>
    <w:rsid w:val="00766B3B"/>
    <w:rsid w:val="00767151"/>
    <w:rsid w:val="00770CF8"/>
    <w:rsid w:val="00774FF0"/>
    <w:rsid w:val="0078262F"/>
    <w:rsid w:val="00784325"/>
    <w:rsid w:val="00784F2B"/>
    <w:rsid w:val="00786F0C"/>
    <w:rsid w:val="0079046D"/>
    <w:rsid w:val="007925B2"/>
    <w:rsid w:val="0079280C"/>
    <w:rsid w:val="0079753A"/>
    <w:rsid w:val="007A296C"/>
    <w:rsid w:val="007A3AD0"/>
    <w:rsid w:val="007A6DD9"/>
    <w:rsid w:val="007B28CC"/>
    <w:rsid w:val="007B3DC8"/>
    <w:rsid w:val="007B5729"/>
    <w:rsid w:val="007C3359"/>
    <w:rsid w:val="007C7274"/>
    <w:rsid w:val="007D489C"/>
    <w:rsid w:val="007D60E0"/>
    <w:rsid w:val="007D6B8D"/>
    <w:rsid w:val="007D7E16"/>
    <w:rsid w:val="007E32B9"/>
    <w:rsid w:val="007E3FAD"/>
    <w:rsid w:val="007E43A7"/>
    <w:rsid w:val="007F5D7B"/>
    <w:rsid w:val="00802997"/>
    <w:rsid w:val="008029C9"/>
    <w:rsid w:val="0081284F"/>
    <w:rsid w:val="00814843"/>
    <w:rsid w:val="008170DE"/>
    <w:rsid w:val="00820B87"/>
    <w:rsid w:val="008271D9"/>
    <w:rsid w:val="00830E32"/>
    <w:rsid w:val="00837224"/>
    <w:rsid w:val="00844FC4"/>
    <w:rsid w:val="00845A14"/>
    <w:rsid w:val="00846A4A"/>
    <w:rsid w:val="008472A0"/>
    <w:rsid w:val="00851DAA"/>
    <w:rsid w:val="0085331D"/>
    <w:rsid w:val="00853F0F"/>
    <w:rsid w:val="00854B93"/>
    <w:rsid w:val="008569BB"/>
    <w:rsid w:val="00856E52"/>
    <w:rsid w:val="00861BB3"/>
    <w:rsid w:val="008624AF"/>
    <w:rsid w:val="00863182"/>
    <w:rsid w:val="00873289"/>
    <w:rsid w:val="00873A11"/>
    <w:rsid w:val="00873AF9"/>
    <w:rsid w:val="008768CC"/>
    <w:rsid w:val="00881022"/>
    <w:rsid w:val="0088317F"/>
    <w:rsid w:val="00887330"/>
    <w:rsid w:val="008913BC"/>
    <w:rsid w:val="008A068D"/>
    <w:rsid w:val="008A3FCA"/>
    <w:rsid w:val="008C6270"/>
    <w:rsid w:val="008D0BE9"/>
    <w:rsid w:val="008D1C04"/>
    <w:rsid w:val="008E739A"/>
    <w:rsid w:val="008F04A0"/>
    <w:rsid w:val="008F3D2C"/>
    <w:rsid w:val="008F419C"/>
    <w:rsid w:val="008F5850"/>
    <w:rsid w:val="008F64A7"/>
    <w:rsid w:val="0090012B"/>
    <w:rsid w:val="00901625"/>
    <w:rsid w:val="0090351F"/>
    <w:rsid w:val="009124C9"/>
    <w:rsid w:val="00914215"/>
    <w:rsid w:val="00952391"/>
    <w:rsid w:val="009532EE"/>
    <w:rsid w:val="00956E02"/>
    <w:rsid w:val="009570F4"/>
    <w:rsid w:val="009572F9"/>
    <w:rsid w:val="00964FA8"/>
    <w:rsid w:val="00970BAD"/>
    <w:rsid w:val="00971298"/>
    <w:rsid w:val="009768D1"/>
    <w:rsid w:val="009807FF"/>
    <w:rsid w:val="00981A4D"/>
    <w:rsid w:val="00981E99"/>
    <w:rsid w:val="00981EB9"/>
    <w:rsid w:val="009829B7"/>
    <w:rsid w:val="00983729"/>
    <w:rsid w:val="00991AE1"/>
    <w:rsid w:val="009927C0"/>
    <w:rsid w:val="00995138"/>
    <w:rsid w:val="00996063"/>
    <w:rsid w:val="009961E6"/>
    <w:rsid w:val="009975A9"/>
    <w:rsid w:val="009A66AE"/>
    <w:rsid w:val="009A7FC5"/>
    <w:rsid w:val="009B168F"/>
    <w:rsid w:val="009B1C48"/>
    <w:rsid w:val="009B4A58"/>
    <w:rsid w:val="009B6C08"/>
    <w:rsid w:val="009B6C65"/>
    <w:rsid w:val="009B752D"/>
    <w:rsid w:val="009C0017"/>
    <w:rsid w:val="009C15F4"/>
    <w:rsid w:val="009C41B3"/>
    <w:rsid w:val="009C77BA"/>
    <w:rsid w:val="009C785C"/>
    <w:rsid w:val="009D25F3"/>
    <w:rsid w:val="009D62A3"/>
    <w:rsid w:val="009E0657"/>
    <w:rsid w:val="009E23AC"/>
    <w:rsid w:val="009E2A1F"/>
    <w:rsid w:val="009E5241"/>
    <w:rsid w:val="009F231F"/>
    <w:rsid w:val="009F3ACB"/>
    <w:rsid w:val="009F3B34"/>
    <w:rsid w:val="009F5698"/>
    <w:rsid w:val="009F60C8"/>
    <w:rsid w:val="00A0063E"/>
    <w:rsid w:val="00A027B2"/>
    <w:rsid w:val="00A140D9"/>
    <w:rsid w:val="00A14A6C"/>
    <w:rsid w:val="00A156A3"/>
    <w:rsid w:val="00A248A9"/>
    <w:rsid w:val="00A25CE3"/>
    <w:rsid w:val="00A27978"/>
    <w:rsid w:val="00A31113"/>
    <w:rsid w:val="00A376EC"/>
    <w:rsid w:val="00A37C4B"/>
    <w:rsid w:val="00A43192"/>
    <w:rsid w:val="00A47282"/>
    <w:rsid w:val="00A50243"/>
    <w:rsid w:val="00A50991"/>
    <w:rsid w:val="00A51F13"/>
    <w:rsid w:val="00A56F63"/>
    <w:rsid w:val="00A6077A"/>
    <w:rsid w:val="00A66F66"/>
    <w:rsid w:val="00A67DA3"/>
    <w:rsid w:val="00A71AE5"/>
    <w:rsid w:val="00A7670F"/>
    <w:rsid w:val="00A777E2"/>
    <w:rsid w:val="00A77F16"/>
    <w:rsid w:val="00A82F84"/>
    <w:rsid w:val="00A84144"/>
    <w:rsid w:val="00A90909"/>
    <w:rsid w:val="00A909A6"/>
    <w:rsid w:val="00A92F60"/>
    <w:rsid w:val="00A93FB9"/>
    <w:rsid w:val="00AA0963"/>
    <w:rsid w:val="00AA1E16"/>
    <w:rsid w:val="00AB77AB"/>
    <w:rsid w:val="00AC002C"/>
    <w:rsid w:val="00AC0E42"/>
    <w:rsid w:val="00AC2EE0"/>
    <w:rsid w:val="00AC51F4"/>
    <w:rsid w:val="00AC6CDD"/>
    <w:rsid w:val="00AD1A68"/>
    <w:rsid w:val="00AD38D0"/>
    <w:rsid w:val="00AE108C"/>
    <w:rsid w:val="00AE3AF5"/>
    <w:rsid w:val="00AE5AE2"/>
    <w:rsid w:val="00AF1A53"/>
    <w:rsid w:val="00AF3613"/>
    <w:rsid w:val="00AF43A0"/>
    <w:rsid w:val="00AF7AC7"/>
    <w:rsid w:val="00B05ADC"/>
    <w:rsid w:val="00B166B6"/>
    <w:rsid w:val="00B17D31"/>
    <w:rsid w:val="00B17F65"/>
    <w:rsid w:val="00B214DC"/>
    <w:rsid w:val="00B272BE"/>
    <w:rsid w:val="00B3471A"/>
    <w:rsid w:val="00B36AFF"/>
    <w:rsid w:val="00B37A36"/>
    <w:rsid w:val="00B40773"/>
    <w:rsid w:val="00B424BC"/>
    <w:rsid w:val="00B44BC4"/>
    <w:rsid w:val="00B5784C"/>
    <w:rsid w:val="00B60553"/>
    <w:rsid w:val="00B658AA"/>
    <w:rsid w:val="00B66B1A"/>
    <w:rsid w:val="00B82BE9"/>
    <w:rsid w:val="00B94C62"/>
    <w:rsid w:val="00B9542C"/>
    <w:rsid w:val="00B95560"/>
    <w:rsid w:val="00B9745D"/>
    <w:rsid w:val="00BA7FAB"/>
    <w:rsid w:val="00BB6B6E"/>
    <w:rsid w:val="00BC2F4C"/>
    <w:rsid w:val="00BC43AD"/>
    <w:rsid w:val="00BC4A05"/>
    <w:rsid w:val="00BC567D"/>
    <w:rsid w:val="00BC6BA6"/>
    <w:rsid w:val="00BD1767"/>
    <w:rsid w:val="00BD4FE5"/>
    <w:rsid w:val="00BD684C"/>
    <w:rsid w:val="00BE15C1"/>
    <w:rsid w:val="00BE3725"/>
    <w:rsid w:val="00BF0B15"/>
    <w:rsid w:val="00BF6397"/>
    <w:rsid w:val="00C05F8E"/>
    <w:rsid w:val="00C12CBB"/>
    <w:rsid w:val="00C13813"/>
    <w:rsid w:val="00C16F77"/>
    <w:rsid w:val="00C17384"/>
    <w:rsid w:val="00C17412"/>
    <w:rsid w:val="00C23C58"/>
    <w:rsid w:val="00C23FC7"/>
    <w:rsid w:val="00C25A2D"/>
    <w:rsid w:val="00C260F8"/>
    <w:rsid w:val="00C3050C"/>
    <w:rsid w:val="00C32889"/>
    <w:rsid w:val="00C34B99"/>
    <w:rsid w:val="00C40CC8"/>
    <w:rsid w:val="00C437C0"/>
    <w:rsid w:val="00C43FBE"/>
    <w:rsid w:val="00C449C6"/>
    <w:rsid w:val="00C44AA1"/>
    <w:rsid w:val="00C52142"/>
    <w:rsid w:val="00C564B0"/>
    <w:rsid w:val="00C61F0B"/>
    <w:rsid w:val="00C6283F"/>
    <w:rsid w:val="00C6582C"/>
    <w:rsid w:val="00C71487"/>
    <w:rsid w:val="00C735D5"/>
    <w:rsid w:val="00C7606D"/>
    <w:rsid w:val="00C76FF5"/>
    <w:rsid w:val="00C814A5"/>
    <w:rsid w:val="00C82932"/>
    <w:rsid w:val="00C84B2B"/>
    <w:rsid w:val="00C855F6"/>
    <w:rsid w:val="00C96573"/>
    <w:rsid w:val="00CA17B1"/>
    <w:rsid w:val="00CA1C73"/>
    <w:rsid w:val="00CA286A"/>
    <w:rsid w:val="00CA4791"/>
    <w:rsid w:val="00CA7205"/>
    <w:rsid w:val="00CC04B5"/>
    <w:rsid w:val="00CC156B"/>
    <w:rsid w:val="00CD03C6"/>
    <w:rsid w:val="00CD0BB8"/>
    <w:rsid w:val="00CD3849"/>
    <w:rsid w:val="00CD7085"/>
    <w:rsid w:val="00CE0509"/>
    <w:rsid w:val="00CE2D9C"/>
    <w:rsid w:val="00CE41B0"/>
    <w:rsid w:val="00CF4D77"/>
    <w:rsid w:val="00CF7384"/>
    <w:rsid w:val="00D00717"/>
    <w:rsid w:val="00D02FD3"/>
    <w:rsid w:val="00D0526B"/>
    <w:rsid w:val="00D063D3"/>
    <w:rsid w:val="00D221F3"/>
    <w:rsid w:val="00D2343D"/>
    <w:rsid w:val="00D30EAE"/>
    <w:rsid w:val="00D318F1"/>
    <w:rsid w:val="00D37EAF"/>
    <w:rsid w:val="00D40B0E"/>
    <w:rsid w:val="00D416C2"/>
    <w:rsid w:val="00D44FE0"/>
    <w:rsid w:val="00D45275"/>
    <w:rsid w:val="00D4694F"/>
    <w:rsid w:val="00D51E19"/>
    <w:rsid w:val="00D52C87"/>
    <w:rsid w:val="00D5423E"/>
    <w:rsid w:val="00D66413"/>
    <w:rsid w:val="00D810DB"/>
    <w:rsid w:val="00D84B95"/>
    <w:rsid w:val="00DA46A0"/>
    <w:rsid w:val="00DA66B7"/>
    <w:rsid w:val="00DB0865"/>
    <w:rsid w:val="00DB0C91"/>
    <w:rsid w:val="00DB7206"/>
    <w:rsid w:val="00DC36C8"/>
    <w:rsid w:val="00DC5A01"/>
    <w:rsid w:val="00DC5C1E"/>
    <w:rsid w:val="00DD675D"/>
    <w:rsid w:val="00DE5433"/>
    <w:rsid w:val="00DE68A7"/>
    <w:rsid w:val="00DF2A65"/>
    <w:rsid w:val="00DF2AE6"/>
    <w:rsid w:val="00DF52EA"/>
    <w:rsid w:val="00DF5A43"/>
    <w:rsid w:val="00DF5F38"/>
    <w:rsid w:val="00DF6AA9"/>
    <w:rsid w:val="00DF7639"/>
    <w:rsid w:val="00E00CE1"/>
    <w:rsid w:val="00E04526"/>
    <w:rsid w:val="00E04912"/>
    <w:rsid w:val="00E069D7"/>
    <w:rsid w:val="00E072D1"/>
    <w:rsid w:val="00E07BAA"/>
    <w:rsid w:val="00E1179E"/>
    <w:rsid w:val="00E14180"/>
    <w:rsid w:val="00E21491"/>
    <w:rsid w:val="00E21D3D"/>
    <w:rsid w:val="00E22340"/>
    <w:rsid w:val="00E23336"/>
    <w:rsid w:val="00E27201"/>
    <w:rsid w:val="00E31661"/>
    <w:rsid w:val="00E32B52"/>
    <w:rsid w:val="00E34040"/>
    <w:rsid w:val="00E35D91"/>
    <w:rsid w:val="00E3652F"/>
    <w:rsid w:val="00E46D06"/>
    <w:rsid w:val="00E47EB8"/>
    <w:rsid w:val="00E50149"/>
    <w:rsid w:val="00E521D4"/>
    <w:rsid w:val="00E52F1E"/>
    <w:rsid w:val="00E704FD"/>
    <w:rsid w:val="00E71F5F"/>
    <w:rsid w:val="00E750E1"/>
    <w:rsid w:val="00E7795A"/>
    <w:rsid w:val="00E829A3"/>
    <w:rsid w:val="00E9114A"/>
    <w:rsid w:val="00EA0D5B"/>
    <w:rsid w:val="00EA1D02"/>
    <w:rsid w:val="00EA3948"/>
    <w:rsid w:val="00EA489C"/>
    <w:rsid w:val="00EA7B59"/>
    <w:rsid w:val="00EB0CA7"/>
    <w:rsid w:val="00EB344D"/>
    <w:rsid w:val="00EB4992"/>
    <w:rsid w:val="00EC2B29"/>
    <w:rsid w:val="00ED251D"/>
    <w:rsid w:val="00ED3C2E"/>
    <w:rsid w:val="00EF0947"/>
    <w:rsid w:val="00EF2E52"/>
    <w:rsid w:val="00EF3B5E"/>
    <w:rsid w:val="00EF3C9E"/>
    <w:rsid w:val="00EF4F85"/>
    <w:rsid w:val="00F004A8"/>
    <w:rsid w:val="00F031FB"/>
    <w:rsid w:val="00F13AD1"/>
    <w:rsid w:val="00F15C1B"/>
    <w:rsid w:val="00F24202"/>
    <w:rsid w:val="00F247BA"/>
    <w:rsid w:val="00F32228"/>
    <w:rsid w:val="00F32E4A"/>
    <w:rsid w:val="00F36D8C"/>
    <w:rsid w:val="00F4710F"/>
    <w:rsid w:val="00F53DA5"/>
    <w:rsid w:val="00F571D1"/>
    <w:rsid w:val="00F57DED"/>
    <w:rsid w:val="00F80A81"/>
    <w:rsid w:val="00F90A71"/>
    <w:rsid w:val="00F923A5"/>
    <w:rsid w:val="00F93545"/>
    <w:rsid w:val="00F93FCF"/>
    <w:rsid w:val="00F96337"/>
    <w:rsid w:val="00F96FBA"/>
    <w:rsid w:val="00FA08D9"/>
    <w:rsid w:val="00FA2057"/>
    <w:rsid w:val="00FB0C1B"/>
    <w:rsid w:val="00FB2B5B"/>
    <w:rsid w:val="00FB469E"/>
    <w:rsid w:val="00FB4E06"/>
    <w:rsid w:val="00FB6C6C"/>
    <w:rsid w:val="00FC3483"/>
    <w:rsid w:val="00FC4303"/>
    <w:rsid w:val="00FC4D68"/>
    <w:rsid w:val="00FC56D7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EF2E5"/>
  <w15:chartTrackingRefBased/>
  <w15:docId w15:val="{715894E3-F28C-4DA3-8A86-90520D4E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2340"/>
    <w:pPr>
      <w:bidi/>
      <w:spacing w:line="360" w:lineRule="exact"/>
      <w:jc w:val="lowKashida"/>
    </w:pPr>
    <w:rPr>
      <w:rFonts w:eastAsiaTheme="minorHAnsi"/>
      <w:kern w:val="1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rsid w:val="00E22340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22340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E2234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E22340"/>
    <w:pPr>
      <w:keepNext/>
      <w:keepLines/>
      <w:spacing w:after="120" w:line="400" w:lineRule="exact"/>
      <w:outlineLvl w:val="0"/>
    </w:pPr>
    <w:rPr>
      <w:b/>
      <w:bCs/>
      <w:sz w:val="24"/>
      <w:szCs w:val="32"/>
    </w:rPr>
  </w:style>
  <w:style w:type="paragraph" w:customStyle="1" w:styleId="HCh">
    <w:name w:val="_ H _Ch"/>
    <w:basedOn w:val="H1"/>
    <w:next w:val="SingleTxt"/>
    <w:qFormat/>
    <w:rsid w:val="00E22340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basedOn w:val="DefaultParagraphFont"/>
    <w:semiHidden/>
    <w:rsid w:val="00E22340"/>
    <w:rPr>
      <w:sz w:val="6"/>
      <w:szCs w:val="9"/>
    </w:rPr>
  </w:style>
  <w:style w:type="paragraph" w:styleId="FootnoteText">
    <w:name w:val="footnote text"/>
    <w:basedOn w:val="Normal"/>
    <w:link w:val="FootnoteTextChar"/>
    <w:rsid w:val="00E22340"/>
    <w:pPr>
      <w:tabs>
        <w:tab w:val="right" w:pos="418"/>
      </w:tabs>
      <w:spacing w:line="280" w:lineRule="exact"/>
      <w:ind w:left="662" w:right="662" w:hanging="662"/>
    </w:pPr>
    <w:rPr>
      <w:sz w:val="17"/>
      <w:szCs w:val="24"/>
    </w:rPr>
  </w:style>
  <w:style w:type="paragraph" w:styleId="EndnoteText">
    <w:name w:val="endnote text"/>
    <w:basedOn w:val="FootnoteText"/>
    <w:link w:val="EndnoteTextChar"/>
    <w:semiHidden/>
    <w:rsid w:val="00E22340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rsid w:val="00E22340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semiHidden/>
    <w:rsid w:val="00E22340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E22340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E22340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E22340"/>
    <w:pPr>
      <w:suppressAutoHyphens/>
      <w:spacing w:line="360" w:lineRule="exact"/>
      <w:jc w:val="mediumKashida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E22340"/>
    <w:pPr>
      <w:keepNext/>
      <w:keepLines/>
      <w:suppressAutoHyphens/>
      <w:spacing w:after="120"/>
      <w:outlineLvl w:val="3"/>
    </w:pPr>
    <w:rPr>
      <w:i/>
      <w:iCs/>
    </w:rPr>
  </w:style>
  <w:style w:type="paragraph" w:customStyle="1" w:styleId="H56">
    <w:name w:val="_ H_5/6"/>
    <w:basedOn w:val="Normal"/>
    <w:next w:val="Normal"/>
    <w:qFormat/>
    <w:rsid w:val="00E22340"/>
    <w:pPr>
      <w:keepNext/>
      <w:keepLines/>
      <w:suppressAutoHyphens/>
      <w:spacing w:after="120"/>
      <w:outlineLvl w:val="4"/>
    </w:pPr>
  </w:style>
  <w:style w:type="paragraph" w:customStyle="1" w:styleId="DualTxt">
    <w:name w:val="__Dual Txt"/>
    <w:basedOn w:val="Normal"/>
    <w:qFormat/>
    <w:rsid w:val="00E22340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E22340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E22340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b/>
      <w:bCs/>
      <w:kern w:val="14"/>
      <w:sz w:val="17"/>
      <w:szCs w:val="25"/>
      <w:lang w:eastAsia="en-US"/>
    </w:rPr>
  </w:style>
  <w:style w:type="character" w:customStyle="1" w:styleId="FooterChar">
    <w:name w:val="Footer Char"/>
    <w:basedOn w:val="DefaultParagraphFont"/>
    <w:link w:val="Footer"/>
    <w:rsid w:val="00E22340"/>
    <w:rPr>
      <w:rFonts w:eastAsiaTheme="minorHAnsi"/>
      <w:b/>
      <w:bCs/>
      <w:kern w:val="14"/>
      <w:sz w:val="17"/>
      <w:szCs w:val="25"/>
      <w:lang w:eastAsia="en-US"/>
    </w:rPr>
  </w:style>
  <w:style w:type="paragraph" w:styleId="Header">
    <w:name w:val="header"/>
    <w:link w:val="HeaderChar"/>
    <w:qFormat/>
    <w:rsid w:val="00E22340"/>
    <w:pPr>
      <w:tabs>
        <w:tab w:val="center" w:pos="4320"/>
        <w:tab w:val="right" w:pos="8640"/>
      </w:tabs>
      <w:jc w:val="right"/>
    </w:pPr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erChar">
    <w:name w:val="Header Char"/>
    <w:basedOn w:val="DefaultParagraphFont"/>
    <w:link w:val="Header"/>
    <w:rsid w:val="00E22340"/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ing3Char">
    <w:name w:val="Heading 3 Char"/>
    <w:basedOn w:val="DefaultParagraphFont"/>
    <w:link w:val="Heading3"/>
    <w:rsid w:val="00E22340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E22340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E22340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E22340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E22340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E22340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E22340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E22340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E22340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E22340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E22340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E22340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E22340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E22340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E22340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E22340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E22340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E22340"/>
    <w:pPr>
      <w:spacing w:line="360" w:lineRule="exact"/>
      <w:jc w:val="both"/>
    </w:pPr>
    <w:rPr>
      <w:rFonts w:eastAsiaTheme="minorHAnsi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E22340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E22340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E22340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sz w:val="24"/>
      <w:szCs w:val="32"/>
    </w:rPr>
  </w:style>
  <w:style w:type="paragraph" w:customStyle="1" w:styleId="TitleH2">
    <w:name w:val="Title_H2"/>
    <w:basedOn w:val="H1"/>
    <w:next w:val="Normal"/>
    <w:qFormat/>
    <w:rsid w:val="00E22340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Hyperlink">
    <w:name w:val="Hyperlink"/>
    <w:basedOn w:val="DefaultParagraphFont"/>
    <w:rsid w:val="00E22340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E22340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E22340"/>
    <w:pPr>
      <w:numPr>
        <w:numId w:val="16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E22340"/>
    <w:pPr>
      <w:numPr>
        <w:numId w:val="17"/>
      </w:numPr>
      <w:spacing w:after="120"/>
      <w:ind w:right="1264"/>
    </w:pPr>
  </w:style>
  <w:style w:type="character" w:styleId="EndnoteReference">
    <w:name w:val="endnote reference"/>
    <w:basedOn w:val="DefaultParagraphFont"/>
    <w:semiHidden/>
    <w:rsid w:val="00E2234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E22340"/>
    <w:pPr>
      <w:numPr>
        <w:numId w:val="18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</w:pPr>
  </w:style>
  <w:style w:type="paragraph" w:customStyle="1" w:styleId="AgendaTitleH2">
    <w:name w:val="Agenda_Title_H2"/>
    <w:basedOn w:val="H1"/>
    <w:next w:val="Normal"/>
    <w:qFormat/>
    <w:rsid w:val="00E22340"/>
    <w:pPr>
      <w:ind w:right="5760"/>
      <w:outlineLvl w:val="1"/>
    </w:pPr>
    <w:rPr>
      <w:spacing w:val="2"/>
      <w:sz w:val="20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E22340"/>
    <w:rPr>
      <w:rFonts w:ascii="Tahoma" w:eastAsiaTheme="minorHAnsi" w:hAnsi="Tahoma" w:cs="Tahoma"/>
      <w:kern w:val="14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2340"/>
    <w:rPr>
      <w:rFonts w:eastAsiaTheme="minorHAnsi"/>
      <w:kern w:val="14"/>
      <w:sz w:val="17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E22340"/>
    <w:rPr>
      <w:rFonts w:eastAsiaTheme="minorHAnsi"/>
      <w:kern w:val="14"/>
      <w:sz w:val="17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E22340"/>
    <w:rPr>
      <w:rFonts w:eastAsiaTheme="minorHAnsi"/>
      <w:kern w:val="1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22340"/>
    <w:rPr>
      <w:rFonts w:eastAsiaTheme="minorHAnsi"/>
      <w:kern w:val="14"/>
      <w:szCs w:val="28"/>
      <w:lang w:eastAsia="en-US"/>
    </w:rPr>
  </w:style>
  <w:style w:type="paragraph" w:customStyle="1" w:styleId="STitleM">
    <w:name w:val="S_Title_M"/>
    <w:basedOn w:val="Normal"/>
    <w:next w:val="Normal"/>
    <w:qFormat/>
    <w:rsid w:val="00844FC4"/>
    <w:pPr>
      <w:keepNext/>
      <w:keepLines/>
      <w:tabs>
        <w:tab w:val="left" w:leader="dot" w:pos="360"/>
      </w:tabs>
      <w:suppressAutoHyphens/>
      <w:spacing w:line="600" w:lineRule="exact"/>
      <w:ind w:left="1267" w:right="1267"/>
      <w:outlineLvl w:val="0"/>
    </w:pPr>
    <w:rPr>
      <w:rFonts w:ascii="Traditional Arabic" w:hAnsi="Traditional Arabic"/>
      <w:b/>
      <w:bCs/>
      <w:spacing w:val="-4"/>
      <w:w w:val="98"/>
      <w:sz w:val="60"/>
      <w:szCs w:val="60"/>
    </w:rPr>
  </w:style>
  <w:style w:type="paragraph" w:customStyle="1" w:styleId="STitleS">
    <w:name w:val="S_Title_S"/>
    <w:basedOn w:val="HCh"/>
    <w:next w:val="Normal"/>
    <w:qFormat/>
    <w:rsid w:val="00844FC4"/>
    <w:pPr>
      <w:spacing w:line="600" w:lineRule="exact"/>
      <w:ind w:left="1267" w:right="1267"/>
    </w:pPr>
    <w:rPr>
      <w:rFonts w:ascii="Traditional Arabic" w:hAnsi="Traditional Arabic"/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854B93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semiHidden/>
    <w:unhideWhenUsed/>
    <w:rsid w:val="002A02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020E"/>
    <w:rPr>
      <w:rFonts w:eastAsiaTheme="minorHAnsi"/>
      <w:kern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0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020E"/>
    <w:rPr>
      <w:rFonts w:eastAsiaTheme="minorHAnsi"/>
      <w:b/>
      <w:bCs/>
      <w:kern w:val="14"/>
      <w:lang w:eastAsia="en-US"/>
    </w:rPr>
  </w:style>
  <w:style w:type="paragraph" w:styleId="BlockText">
    <w:name w:val="Block Text"/>
    <w:basedOn w:val="Normal"/>
    <w:semiHidden/>
    <w:unhideWhenUsed/>
    <w:rsid w:val="00EA1D0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790E-E848-4F20-926B-47E09E68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Shery Rizk</dc:creator>
  <cp:keywords/>
  <dc:description/>
  <cp:lastModifiedBy>Arabic Text Processing</cp:lastModifiedBy>
  <cp:revision>3</cp:revision>
  <cp:lastPrinted>2019-08-29T14:26:00Z</cp:lastPrinted>
  <dcterms:created xsi:type="dcterms:W3CDTF">2019-08-29T13:51:00Z</dcterms:created>
  <dcterms:modified xsi:type="dcterms:W3CDTF">2019-08-29T14:27:00Z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1913247</vt:lpwstr>
  </property>
  <property fmtid="{D5CDD505-2E9C-101B-9397-08002B2CF9AE}" pid="3" name="ODSRefJobNo">
    <vt:lpwstr>1924298A</vt:lpwstr>
  </property>
  <property fmtid="{D5CDD505-2E9C-101B-9397-08002B2CF9AE}" pid="4" name="Symbol1">
    <vt:lpwstr>CEDAW/C/KWT/CO/5/Add.1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Arabic</vt:lpwstr>
  </property>
  <property fmtid="{D5CDD505-2E9C-101B-9397-08002B2CF9AE}" pid="12" name="Distribution">
    <vt:lpwstr>General</vt:lpwstr>
  </property>
  <property fmtid="{D5CDD505-2E9C-101B-9397-08002B2CF9AE}" pid="13" name="Publication Date">
    <vt:lpwstr>2 August 2019</vt:lpwstr>
  </property>
  <property fmtid="{D5CDD505-2E9C-101B-9397-08002B2CF9AE}" pid="14" name="Original">
    <vt:lpwstr>Arabic/English/French and</vt:lpwstr>
  </property>
  <property fmtid="{D5CDD505-2E9C-101B-9397-08002B2CF9AE}" pid="15" name="Release Date">
    <vt:lpwstr>290819</vt:lpwstr>
  </property>
  <property fmtid="{D5CDD505-2E9C-101B-9397-08002B2CF9AE}" pid="16" name="Title1">
    <vt:lpwstr>		الملاحظات الختامية بشأن التقرير الدوري الخامس للكويت_x000d_</vt:lpwstr>
  </property>
  <property fmtid="{D5CDD505-2E9C-101B-9397-08002B2CF9AE}" pid="17" name="Title2">
    <vt:lpwstr>		إضافة_x000d_</vt:lpwstr>
  </property>
  <property fmtid="{D5CDD505-2E9C-101B-9397-08002B2CF9AE}" pid="18" name="Title3">
    <vt:lpwstr>		معلومات مقدمة من الكويت في إطار متابعة الملاحظات الختامية*_x000d_</vt:lpwstr>
  </property>
</Properties>
</file>