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ECEDD" w14:textId="77777777" w:rsidR="0041338D" w:rsidRPr="000D6387" w:rsidRDefault="0041338D" w:rsidP="0041338D">
      <w:pPr>
        <w:spacing w:line="240" w:lineRule="auto"/>
        <w:rPr>
          <w:sz w:val="2"/>
          <w:lang w:val="fr-FR"/>
        </w:rPr>
        <w:sectPr w:rsidR="0041338D" w:rsidRPr="000D6387" w:rsidSect="0079427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0D6387">
        <w:rPr>
          <w:rStyle w:val="CommentReference"/>
          <w:lang w:val="fr-FR"/>
        </w:rPr>
        <w:commentReference w:id="0"/>
      </w:r>
    </w:p>
    <w:p w14:paraId="1CE5FB74" w14:textId="681F9749" w:rsidR="00794277" w:rsidRPr="000D6387" w:rsidRDefault="00794277" w:rsidP="007942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D6387">
        <w:rPr>
          <w:lang w:val="fr-FR"/>
        </w:rPr>
        <w:t>Comité pour l</w:t>
      </w:r>
      <w:r w:rsidR="00BD12BA" w:rsidRPr="000D6387">
        <w:rPr>
          <w:lang w:val="fr-FR"/>
        </w:rPr>
        <w:t>’</w:t>
      </w:r>
      <w:r w:rsidRPr="000D6387">
        <w:rPr>
          <w:lang w:val="fr-FR"/>
        </w:rPr>
        <w:t xml:space="preserve">élimination de la discrimination </w:t>
      </w:r>
      <w:r w:rsidRPr="000D6387">
        <w:rPr>
          <w:lang w:val="fr-FR"/>
        </w:rPr>
        <w:br/>
        <w:t>à l</w:t>
      </w:r>
      <w:r w:rsidR="00BD12BA" w:rsidRPr="000D6387">
        <w:rPr>
          <w:lang w:val="fr-FR"/>
        </w:rPr>
        <w:t>’</w:t>
      </w:r>
      <w:r w:rsidRPr="000D6387">
        <w:rPr>
          <w:lang w:val="fr-FR"/>
        </w:rPr>
        <w:t>égard des femmes</w:t>
      </w:r>
    </w:p>
    <w:p w14:paraId="3DEC5D1E" w14:textId="77777777" w:rsidR="00794277" w:rsidRPr="000D6387" w:rsidRDefault="00794277" w:rsidP="00794277">
      <w:pPr>
        <w:pStyle w:val="Session"/>
        <w:rPr>
          <w:lang w:val="fr-FR"/>
        </w:rPr>
      </w:pPr>
      <w:r w:rsidRPr="000D6387">
        <w:rPr>
          <w:lang w:val="fr-FR"/>
        </w:rPr>
        <w:t>Soixante-seizième session</w:t>
      </w:r>
    </w:p>
    <w:p w14:paraId="2FBD28C8" w14:textId="134D75C1" w:rsidR="00794277" w:rsidRPr="000D6387" w:rsidRDefault="00794277" w:rsidP="00794277">
      <w:pPr>
        <w:rPr>
          <w:lang w:val="fr-FR"/>
        </w:rPr>
      </w:pPr>
      <w:r w:rsidRPr="00280912">
        <w:rPr>
          <w:lang w:val="fr-FR"/>
        </w:rPr>
        <w:t>22</w:t>
      </w:r>
      <w:r w:rsidRPr="000D6387">
        <w:rPr>
          <w:lang w:val="fr-FR"/>
        </w:rPr>
        <w:t xml:space="preserve"> juin-</w:t>
      </w:r>
      <w:r w:rsidRPr="00280912">
        <w:rPr>
          <w:lang w:val="fr-FR"/>
        </w:rPr>
        <w:t>20</w:t>
      </w:r>
      <w:r w:rsidRPr="000D6387">
        <w:rPr>
          <w:lang w:val="fr-FR"/>
        </w:rPr>
        <w:t xml:space="preserve"> juillet </w:t>
      </w:r>
      <w:r w:rsidRPr="00280912">
        <w:rPr>
          <w:lang w:val="fr-FR"/>
        </w:rPr>
        <w:t>2020</w:t>
      </w:r>
    </w:p>
    <w:p w14:paraId="06D2552E" w14:textId="3B05BDED" w:rsidR="00794277" w:rsidRPr="000D6387" w:rsidRDefault="00794277" w:rsidP="00794277">
      <w:pPr>
        <w:pStyle w:val="AgendaItemNormal"/>
        <w:rPr>
          <w:lang w:val="fr-FR"/>
        </w:rPr>
      </w:pPr>
      <w:r w:rsidRPr="000D6387">
        <w:rPr>
          <w:lang w:val="fr-FR"/>
        </w:rPr>
        <w:t xml:space="preserve">Point </w:t>
      </w:r>
      <w:r w:rsidRPr="00280912">
        <w:rPr>
          <w:lang w:val="fr-FR"/>
        </w:rPr>
        <w:t>4</w:t>
      </w:r>
      <w:r w:rsidRPr="000D6387">
        <w:rPr>
          <w:lang w:val="fr-FR"/>
        </w:rPr>
        <w:t xml:space="preserve"> de l</w:t>
      </w:r>
      <w:r w:rsidR="00BD12BA" w:rsidRPr="000D6387">
        <w:rPr>
          <w:lang w:val="fr-FR"/>
        </w:rPr>
        <w:t>’</w:t>
      </w:r>
      <w:r w:rsidRPr="000D6387">
        <w:rPr>
          <w:lang w:val="fr-FR"/>
        </w:rPr>
        <w:t>ordre du jour provisoire</w:t>
      </w:r>
    </w:p>
    <w:p w14:paraId="4E1A74FD" w14:textId="23784781" w:rsidR="00794277" w:rsidRPr="000D6387" w:rsidRDefault="00794277" w:rsidP="00794277">
      <w:pPr>
        <w:pStyle w:val="AgendaTitleH2"/>
        <w:rPr>
          <w:lang w:val="fr-FR"/>
        </w:rPr>
      </w:pPr>
      <w:r w:rsidRPr="000D6387">
        <w:rPr>
          <w:lang w:val="fr-FR"/>
        </w:rPr>
        <w:t>Examen des rapports soumis par les États parties en application de l</w:t>
      </w:r>
      <w:r w:rsidR="00BD12BA" w:rsidRPr="000D6387">
        <w:rPr>
          <w:lang w:val="fr-FR"/>
        </w:rPr>
        <w:t>’</w:t>
      </w:r>
      <w:r w:rsidRPr="000D6387">
        <w:rPr>
          <w:lang w:val="fr-FR"/>
        </w:rPr>
        <w:t xml:space="preserve">article </w:t>
      </w:r>
      <w:r w:rsidRPr="00280912">
        <w:rPr>
          <w:lang w:val="fr-FR"/>
        </w:rPr>
        <w:t>18</w:t>
      </w:r>
      <w:r w:rsidRPr="000D6387">
        <w:rPr>
          <w:lang w:val="fr-FR"/>
        </w:rPr>
        <w:t xml:space="preserve"> de la Convention sur l</w:t>
      </w:r>
      <w:r w:rsidR="00BD12BA" w:rsidRPr="000D6387">
        <w:rPr>
          <w:lang w:val="fr-FR"/>
        </w:rPr>
        <w:t>’</w:t>
      </w:r>
      <w:r w:rsidRPr="000D6387">
        <w:rPr>
          <w:lang w:val="fr-FR"/>
        </w:rPr>
        <w:t>élimination de toutes les formes de discrimination à l</w:t>
      </w:r>
      <w:r w:rsidR="00BD12BA" w:rsidRPr="000D6387">
        <w:rPr>
          <w:lang w:val="fr-FR"/>
        </w:rPr>
        <w:t>’</w:t>
      </w:r>
      <w:r w:rsidRPr="000D6387">
        <w:rPr>
          <w:lang w:val="fr-FR"/>
        </w:rPr>
        <w:t>égard des femmes</w:t>
      </w:r>
    </w:p>
    <w:p w14:paraId="6806FF59" w14:textId="1053650D" w:rsidR="00794277" w:rsidRPr="000D6387" w:rsidRDefault="00794277" w:rsidP="00794277">
      <w:pPr>
        <w:pStyle w:val="SingleTxt"/>
        <w:spacing w:after="0" w:line="120" w:lineRule="exact"/>
        <w:rPr>
          <w:b/>
          <w:sz w:val="10"/>
          <w:lang w:val="fr-FR"/>
        </w:rPr>
      </w:pPr>
    </w:p>
    <w:p w14:paraId="6A586402" w14:textId="5C019B15" w:rsidR="00794277" w:rsidRPr="000D6387" w:rsidRDefault="00794277" w:rsidP="00794277">
      <w:pPr>
        <w:pStyle w:val="SingleTxt"/>
        <w:spacing w:after="0" w:line="120" w:lineRule="exact"/>
        <w:rPr>
          <w:b/>
          <w:sz w:val="10"/>
          <w:lang w:val="fr-FR"/>
        </w:rPr>
      </w:pPr>
    </w:p>
    <w:p w14:paraId="44A76638" w14:textId="65095A44" w:rsidR="00794277" w:rsidRPr="000D6387" w:rsidRDefault="00794277" w:rsidP="00794277">
      <w:pPr>
        <w:pStyle w:val="SingleTxt"/>
        <w:spacing w:after="0" w:line="120" w:lineRule="exact"/>
        <w:rPr>
          <w:b/>
          <w:sz w:val="10"/>
          <w:lang w:val="fr-FR"/>
        </w:rPr>
      </w:pPr>
    </w:p>
    <w:p w14:paraId="6F7EF9AE" w14:textId="7DA856A2" w:rsidR="00794277" w:rsidRPr="000D6387" w:rsidRDefault="00794277" w:rsidP="007942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Pr="000D6387">
        <w:rPr>
          <w:lang w:val="fr-FR"/>
        </w:rPr>
        <w:tab/>
        <w:t>Réponses du Kirghizistan à la liste de points et de questions concernant son cinquième rapport périodique</w:t>
      </w:r>
      <w:r w:rsidRPr="000D6387">
        <w:rPr>
          <w:b w:val="0"/>
          <w:sz w:val="20"/>
          <w:szCs w:val="20"/>
          <w:lang w:val="fr-FR"/>
        </w:rPr>
        <w:footnoteReference w:customMarkFollows="1" w:id="1"/>
        <w:t>*</w:t>
      </w:r>
    </w:p>
    <w:p w14:paraId="1CF52301" w14:textId="77777777" w:rsidR="00794277" w:rsidRPr="000D6387" w:rsidRDefault="00794277" w:rsidP="00794277">
      <w:pPr>
        <w:pStyle w:val="SingleTxt"/>
        <w:spacing w:after="0" w:line="120" w:lineRule="exact"/>
        <w:rPr>
          <w:sz w:val="10"/>
          <w:lang w:val="fr-FR"/>
        </w:rPr>
      </w:pPr>
    </w:p>
    <w:p w14:paraId="79C22CDF" w14:textId="455F9009" w:rsidR="00794277" w:rsidRPr="000D6387" w:rsidRDefault="00794277" w:rsidP="00794277">
      <w:pPr>
        <w:pStyle w:val="SingleTxt"/>
        <w:jc w:val="right"/>
        <w:rPr>
          <w:lang w:val="fr-FR"/>
        </w:rPr>
      </w:pPr>
      <w:r w:rsidRPr="000D6387">
        <w:rPr>
          <w:lang w:val="fr-FR"/>
        </w:rPr>
        <w:t>[Date de réception</w:t>
      </w:r>
      <w:r w:rsidR="00BD12BA" w:rsidRPr="000D6387">
        <w:rPr>
          <w:lang w:val="fr-FR"/>
        </w:rPr>
        <w:t> :</w:t>
      </w:r>
      <w:r w:rsidRPr="000D6387">
        <w:rPr>
          <w:lang w:val="fr-FR"/>
        </w:rPr>
        <w:t xml:space="preserve"> </w:t>
      </w:r>
      <w:r w:rsidRPr="00280912">
        <w:rPr>
          <w:lang w:val="fr-FR"/>
        </w:rPr>
        <w:t>28</w:t>
      </w:r>
      <w:r w:rsidRPr="000D6387">
        <w:rPr>
          <w:lang w:val="fr-FR"/>
        </w:rPr>
        <w:t xml:space="preserve"> février </w:t>
      </w:r>
      <w:r w:rsidRPr="00280912">
        <w:rPr>
          <w:lang w:val="fr-FR"/>
        </w:rPr>
        <w:t>2020</w:t>
      </w:r>
      <w:r w:rsidRPr="000D6387">
        <w:rPr>
          <w:lang w:val="fr-FR"/>
        </w:rPr>
        <w:t>]</w:t>
      </w:r>
    </w:p>
    <w:p w14:paraId="262941B6" w14:textId="17CABBD6" w:rsidR="00794277" w:rsidRPr="000D6387" w:rsidRDefault="00794277" w:rsidP="0041338D">
      <w:pPr>
        <w:pStyle w:val="SingleTxt"/>
        <w:rPr>
          <w:lang w:val="fr-FR"/>
        </w:rPr>
      </w:pPr>
    </w:p>
    <w:p w14:paraId="5794B69D" w14:textId="034CA5BF" w:rsidR="00794277" w:rsidRPr="000D6387" w:rsidRDefault="00794277">
      <w:pPr>
        <w:spacing w:after="200" w:line="276" w:lineRule="auto"/>
        <w:rPr>
          <w:lang w:val="fr-FR"/>
        </w:rPr>
      </w:pPr>
      <w:r w:rsidRPr="000D6387">
        <w:rPr>
          <w:lang w:val="fr-FR"/>
        </w:rPr>
        <w:br w:type="page"/>
      </w:r>
    </w:p>
    <w:p w14:paraId="3AA2ACFB" w14:textId="51119CB1" w:rsidR="00794277" w:rsidRPr="000D6387" w:rsidRDefault="0093250D" w:rsidP="009325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lastRenderedPageBreak/>
        <w:tab/>
      </w:r>
      <w:r w:rsidRPr="000D6387">
        <w:rPr>
          <w:lang w:val="fr-FR"/>
        </w:rPr>
        <w:tab/>
      </w:r>
      <w:r w:rsidR="00794277" w:rsidRPr="000D6387">
        <w:rPr>
          <w:lang w:val="fr-FR"/>
        </w:rPr>
        <w:t xml:space="preserve">Réponses du Kirghizistan à la liste de points et de questions concernant son cinquième rapport périodique </w:t>
      </w:r>
    </w:p>
    <w:p w14:paraId="5D20C16B" w14:textId="77777777" w:rsidR="0093250D" w:rsidRPr="000D6387" w:rsidRDefault="0093250D" w:rsidP="0093250D">
      <w:pPr>
        <w:pStyle w:val="SingleTxt"/>
        <w:spacing w:after="0" w:line="120" w:lineRule="exact"/>
        <w:rPr>
          <w:b/>
          <w:sz w:val="10"/>
          <w:lang w:val="fr-FR"/>
        </w:rPr>
      </w:pPr>
    </w:p>
    <w:p w14:paraId="0DD0937A" w14:textId="77777777" w:rsidR="0093250D" w:rsidRPr="000D6387" w:rsidRDefault="0093250D" w:rsidP="0093250D">
      <w:pPr>
        <w:pStyle w:val="SingleTxt"/>
        <w:spacing w:after="0" w:line="120" w:lineRule="exact"/>
        <w:rPr>
          <w:b/>
          <w:sz w:val="10"/>
          <w:lang w:val="fr-FR"/>
        </w:rPr>
      </w:pPr>
    </w:p>
    <w:p w14:paraId="0DD2FBCB" w14:textId="15B66F89" w:rsidR="00794277" w:rsidRPr="000D6387" w:rsidRDefault="0093250D" w:rsidP="0093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1</w:t>
      </w:r>
      <w:r w:rsidR="00794277" w:rsidRPr="000D6387">
        <w:rPr>
          <w:lang w:val="fr-FR"/>
        </w:rPr>
        <w:t>.</w:t>
      </w:r>
      <w:r w:rsidR="00794277" w:rsidRPr="000D6387">
        <w:rPr>
          <w:lang w:val="fr-FR"/>
        </w:rPr>
        <w:tab/>
        <w:t xml:space="preserve">Cadre constitutionnel, législatif et institutionnel </w:t>
      </w:r>
    </w:p>
    <w:p w14:paraId="75EF0C75" w14:textId="77777777" w:rsidR="0093250D" w:rsidRPr="000D6387" w:rsidRDefault="0093250D" w:rsidP="0093250D">
      <w:pPr>
        <w:pStyle w:val="SingleTxt"/>
        <w:spacing w:after="0" w:line="120" w:lineRule="exact"/>
        <w:rPr>
          <w:sz w:val="10"/>
          <w:lang w:val="fr-FR"/>
        </w:rPr>
      </w:pPr>
    </w:p>
    <w:p w14:paraId="72124FB8" w14:textId="2BC35C43" w:rsidR="00794277" w:rsidRPr="000D6387" w:rsidRDefault="0093250D" w:rsidP="00794277">
      <w:pPr>
        <w:pStyle w:val="SingleTxt"/>
        <w:rPr>
          <w:lang w:val="fr-FR"/>
        </w:rPr>
      </w:pPr>
      <w:r w:rsidRPr="000D6387">
        <w:rPr>
          <w:lang w:val="fr-FR"/>
        </w:rPr>
        <w:tab/>
      </w:r>
      <w:r w:rsidR="00794277" w:rsidRPr="000D6387">
        <w:rPr>
          <w:lang w:val="fr-FR"/>
        </w:rPr>
        <w:t>La Constitution kirghize dispose que nul ne peut faire l</w:t>
      </w:r>
      <w:r w:rsidR="00BD12BA" w:rsidRPr="000D6387">
        <w:rPr>
          <w:lang w:val="fr-FR"/>
        </w:rPr>
        <w:t>’</w:t>
      </w:r>
      <w:r w:rsidR="00794277" w:rsidRPr="000D6387">
        <w:rPr>
          <w:lang w:val="fr-FR"/>
        </w:rPr>
        <w:t>objet de discrimination fondée sur le sexe, la race, la langue, le handicap, l</w:t>
      </w:r>
      <w:r w:rsidR="00BD12BA" w:rsidRPr="000D6387">
        <w:rPr>
          <w:lang w:val="fr-FR"/>
        </w:rPr>
        <w:t>’</w:t>
      </w:r>
      <w:r w:rsidR="00794277" w:rsidRPr="000D6387">
        <w:rPr>
          <w:lang w:val="fr-FR"/>
        </w:rPr>
        <w:t>appartenance ethnique, la religion, l</w:t>
      </w:r>
      <w:r w:rsidR="00BD12BA" w:rsidRPr="000D6387">
        <w:rPr>
          <w:lang w:val="fr-FR"/>
        </w:rPr>
        <w:t>’</w:t>
      </w:r>
      <w:r w:rsidR="00794277" w:rsidRPr="000D6387">
        <w:rPr>
          <w:lang w:val="fr-FR"/>
        </w:rPr>
        <w:t>âge, les convictions politiques ou autres, le niveau d</w:t>
      </w:r>
      <w:r w:rsidR="00BD12BA" w:rsidRPr="000D6387">
        <w:rPr>
          <w:lang w:val="fr-FR"/>
        </w:rPr>
        <w:t>’</w:t>
      </w:r>
      <w:r w:rsidR="00794277" w:rsidRPr="000D6387">
        <w:rPr>
          <w:lang w:val="fr-FR"/>
        </w:rPr>
        <w:t>éducation, l</w:t>
      </w:r>
      <w:r w:rsidR="00BD12BA" w:rsidRPr="000D6387">
        <w:rPr>
          <w:lang w:val="fr-FR"/>
        </w:rPr>
        <w:t>’</w:t>
      </w:r>
      <w:r w:rsidR="00794277" w:rsidRPr="000D6387">
        <w:rPr>
          <w:lang w:val="fr-FR"/>
        </w:rPr>
        <w:t>origine, la situation patrimoniale ou tout autre statut et toute autre condition. Les mesures législatives spéciales visant à garantir l</w:t>
      </w:r>
      <w:r w:rsidR="00BD12BA" w:rsidRPr="000D6387">
        <w:rPr>
          <w:lang w:val="fr-FR"/>
        </w:rPr>
        <w:t>’</w:t>
      </w:r>
      <w:r w:rsidR="00794277" w:rsidRPr="000D6387">
        <w:rPr>
          <w:lang w:val="fr-FR"/>
        </w:rPr>
        <w:t xml:space="preserve">égalité des chances pour les différents groupes sociaux, conformément aux obligations internationales, ne constituent pas une discrimination. </w:t>
      </w:r>
    </w:p>
    <w:p w14:paraId="43892FCB" w14:textId="184A54F1" w:rsidR="00794277" w:rsidRPr="000D6387" w:rsidRDefault="0093250D" w:rsidP="00794277">
      <w:pPr>
        <w:pStyle w:val="SingleTxt"/>
        <w:rPr>
          <w:lang w:val="fr-FR"/>
        </w:rPr>
      </w:pPr>
      <w:r w:rsidRPr="000D6387">
        <w:rPr>
          <w:lang w:val="fr-FR"/>
        </w:rPr>
        <w:tab/>
      </w:r>
      <w:r w:rsidR="00794277" w:rsidRPr="000D6387">
        <w:rPr>
          <w:lang w:val="fr-FR"/>
        </w:rPr>
        <w:t>Ces principes constitutionnels sont énoncés dans la loi sur les garanties de l</w:t>
      </w:r>
      <w:r w:rsidR="00BD12BA" w:rsidRPr="000D6387">
        <w:rPr>
          <w:lang w:val="fr-FR"/>
        </w:rPr>
        <w:t>’</w:t>
      </w:r>
      <w:r w:rsidR="00794277" w:rsidRPr="000D6387">
        <w:rPr>
          <w:lang w:val="fr-FR"/>
        </w:rPr>
        <w:t>État relatives à l</w:t>
      </w:r>
      <w:r w:rsidR="00BD12BA" w:rsidRPr="000D6387">
        <w:rPr>
          <w:lang w:val="fr-FR"/>
        </w:rPr>
        <w:t>’</w:t>
      </w:r>
      <w:r w:rsidR="00794277" w:rsidRPr="000D6387">
        <w:rPr>
          <w:lang w:val="fr-FR"/>
        </w:rPr>
        <w:t xml:space="preserve">égalité des droits et des chances des femmes et des hommes. </w:t>
      </w:r>
    </w:p>
    <w:p w14:paraId="00FB5298" w14:textId="28FB7DFA" w:rsidR="00794277" w:rsidRPr="000D6387" w:rsidRDefault="0093250D" w:rsidP="00794277">
      <w:pPr>
        <w:pStyle w:val="SingleTxt"/>
        <w:rPr>
          <w:lang w:val="fr-FR"/>
        </w:rPr>
      </w:pPr>
      <w:r w:rsidRPr="000D6387">
        <w:rPr>
          <w:lang w:val="fr-FR"/>
        </w:rPr>
        <w:tab/>
      </w:r>
      <w:r w:rsidR="00794277" w:rsidRPr="000D6387">
        <w:rPr>
          <w:lang w:val="fr-FR"/>
        </w:rPr>
        <w:t>La Stratégie nationale de promotion de l</w:t>
      </w:r>
      <w:r w:rsidR="00BD12BA" w:rsidRPr="000D6387">
        <w:rPr>
          <w:lang w:val="fr-FR"/>
        </w:rPr>
        <w:t>’</w:t>
      </w:r>
      <w:r w:rsidR="00794277" w:rsidRPr="000D6387">
        <w:rPr>
          <w:lang w:val="fr-FR"/>
        </w:rPr>
        <w:t>égalité des sexes à l</w:t>
      </w:r>
      <w:r w:rsidR="00BD12BA" w:rsidRPr="000D6387">
        <w:rPr>
          <w:lang w:val="fr-FR"/>
        </w:rPr>
        <w:t>’</w:t>
      </w:r>
      <w:r w:rsidR="00794277" w:rsidRPr="000D6387">
        <w:rPr>
          <w:lang w:val="fr-FR"/>
        </w:rPr>
        <w:t xml:space="preserve">horizon </w:t>
      </w:r>
      <w:r w:rsidR="00794277" w:rsidRPr="00280912">
        <w:rPr>
          <w:lang w:val="fr-FR"/>
        </w:rPr>
        <w:t>2020</w:t>
      </w:r>
      <w:r w:rsidR="00794277" w:rsidRPr="000D6387">
        <w:rPr>
          <w:lang w:val="fr-FR"/>
        </w:rPr>
        <w:t>, approuvée par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443</w:t>
      </w:r>
      <w:r w:rsidR="00794277" w:rsidRPr="000D6387">
        <w:rPr>
          <w:lang w:val="fr-FR"/>
        </w:rPr>
        <w:t xml:space="preserve"> du </w:t>
      </w:r>
      <w:r w:rsidR="00794277" w:rsidRPr="00280912">
        <w:rPr>
          <w:lang w:val="fr-FR"/>
        </w:rPr>
        <w:t>27</w:t>
      </w:r>
      <w:r w:rsidR="00794277" w:rsidRPr="000D6387">
        <w:rPr>
          <w:lang w:val="fr-FR"/>
        </w:rPr>
        <w:t xml:space="preserve"> juin </w:t>
      </w:r>
      <w:r w:rsidR="00794277" w:rsidRPr="00280912">
        <w:rPr>
          <w:lang w:val="fr-FR"/>
        </w:rPr>
        <w:t>2012</w:t>
      </w:r>
      <w:r w:rsidR="00794277" w:rsidRPr="000D6387">
        <w:rPr>
          <w:lang w:val="fr-FR"/>
        </w:rPr>
        <w:t>, définit les priorités de la politique nationale en matière d</w:t>
      </w:r>
      <w:r w:rsidR="00BD12BA" w:rsidRPr="000D6387">
        <w:rPr>
          <w:lang w:val="fr-FR"/>
        </w:rPr>
        <w:t>’</w:t>
      </w:r>
      <w:r w:rsidR="00794277" w:rsidRPr="000D6387">
        <w:rPr>
          <w:lang w:val="fr-FR"/>
        </w:rPr>
        <w:t>égalité des genres. Les mesures concrètes à prendre aux fins de sa mise en œuvre au cours de la période à venir sont énoncées dans le dernier Plan d</w:t>
      </w:r>
      <w:r w:rsidR="00BD12BA" w:rsidRPr="000D6387">
        <w:rPr>
          <w:lang w:val="fr-FR"/>
        </w:rPr>
        <w:t>’</w:t>
      </w:r>
      <w:r w:rsidR="00794277" w:rsidRPr="000D6387">
        <w:rPr>
          <w:lang w:val="fr-FR"/>
        </w:rPr>
        <w:t>action national pour l</w:t>
      </w:r>
      <w:r w:rsidR="00BD12BA" w:rsidRPr="000D6387">
        <w:rPr>
          <w:lang w:val="fr-FR"/>
        </w:rPr>
        <w:t>’</w:t>
      </w:r>
      <w:r w:rsidR="00794277" w:rsidRPr="000D6387">
        <w:rPr>
          <w:lang w:val="fr-FR"/>
        </w:rPr>
        <w:t>égalité des sexes (</w:t>
      </w:r>
      <w:r w:rsidR="00794277" w:rsidRPr="00280912">
        <w:rPr>
          <w:lang w:val="fr-FR"/>
        </w:rPr>
        <w:t>2018</w:t>
      </w:r>
      <w:r w:rsidR="00794277" w:rsidRPr="000D6387">
        <w:rPr>
          <w:lang w:val="fr-FR"/>
        </w:rPr>
        <w:t>-</w:t>
      </w:r>
      <w:r w:rsidR="00794277" w:rsidRPr="00280912">
        <w:rPr>
          <w:lang w:val="fr-FR"/>
        </w:rPr>
        <w:t>2020</w:t>
      </w:r>
      <w:r w:rsidR="00794277" w:rsidRPr="000D6387">
        <w:rPr>
          <w:lang w:val="fr-FR"/>
        </w:rPr>
        <w:t xml:space="preserve">). Dans une ordonnance du </w:t>
      </w:r>
      <w:r w:rsidR="00794277" w:rsidRPr="00280912">
        <w:rPr>
          <w:lang w:val="fr-FR"/>
        </w:rPr>
        <w:t>21</w:t>
      </w:r>
      <w:r w:rsidR="00794277" w:rsidRPr="000D6387">
        <w:rPr>
          <w:lang w:val="fr-FR"/>
        </w:rPr>
        <w:t xml:space="preserve"> septembre </w:t>
      </w:r>
      <w:r w:rsidR="00794277" w:rsidRPr="00280912">
        <w:rPr>
          <w:lang w:val="fr-FR"/>
        </w:rPr>
        <w:t>2018</w:t>
      </w:r>
      <w:r w:rsidR="00794277" w:rsidRPr="000D6387">
        <w:rPr>
          <w:lang w:val="fr-FR"/>
        </w:rPr>
        <w:t>, le Gouvernement a approuvé un plan d</w:t>
      </w:r>
      <w:r w:rsidR="00BD12BA" w:rsidRPr="000D6387">
        <w:rPr>
          <w:lang w:val="fr-FR"/>
        </w:rPr>
        <w:t>’</w:t>
      </w:r>
      <w:r w:rsidR="00794277" w:rsidRPr="000D6387">
        <w:rPr>
          <w:lang w:val="fr-FR"/>
        </w:rPr>
        <w:t xml:space="preserve">action pour la mise en œuvre de la résolution </w:t>
      </w:r>
      <w:hyperlink r:id="rId16" w:history="1">
        <w:r w:rsidR="00794277" w:rsidRPr="00280912">
          <w:rPr>
            <w:rStyle w:val="Hyperlink"/>
            <w:lang w:val="fr-FR"/>
          </w:rPr>
          <w:t>1325 (2000)</w:t>
        </w:r>
      </w:hyperlink>
      <w:r w:rsidR="00794277" w:rsidRPr="000D6387">
        <w:rPr>
          <w:lang w:val="fr-FR"/>
        </w:rPr>
        <w:t xml:space="preserve"> du Conseil de sécurité sur le rôle des femmes dans la paix et la sécurité. </w:t>
      </w:r>
    </w:p>
    <w:p w14:paraId="6AB71E7B" w14:textId="77777777" w:rsidR="0093250D" w:rsidRPr="000D6387" w:rsidRDefault="0093250D" w:rsidP="0093250D">
      <w:pPr>
        <w:pStyle w:val="SingleTxt"/>
        <w:spacing w:after="0" w:line="120" w:lineRule="exact"/>
        <w:rPr>
          <w:b/>
          <w:sz w:val="10"/>
          <w:lang w:val="fr-FR"/>
        </w:rPr>
      </w:pPr>
    </w:p>
    <w:p w14:paraId="449C4E83" w14:textId="0E193B1D" w:rsidR="00794277" w:rsidRPr="000D6387" w:rsidRDefault="0093250D" w:rsidP="0093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2</w:t>
      </w:r>
      <w:r w:rsidR="00794277" w:rsidRPr="000D6387">
        <w:rPr>
          <w:lang w:val="fr-FR"/>
        </w:rPr>
        <w:t>.</w:t>
      </w:r>
      <w:r w:rsidR="00794277" w:rsidRPr="000D6387">
        <w:rPr>
          <w:lang w:val="fr-FR"/>
        </w:rPr>
        <w:tab/>
        <w:t>Accès à la justice</w:t>
      </w:r>
    </w:p>
    <w:p w14:paraId="31227FB8" w14:textId="77777777" w:rsidR="0093250D" w:rsidRPr="000D6387" w:rsidRDefault="0093250D" w:rsidP="0093250D">
      <w:pPr>
        <w:pStyle w:val="SingleTxt"/>
        <w:spacing w:after="0" w:line="120" w:lineRule="exact"/>
        <w:rPr>
          <w:sz w:val="10"/>
          <w:lang w:val="fr-FR"/>
        </w:rPr>
      </w:pPr>
    </w:p>
    <w:p w14:paraId="3B7CC165" w14:textId="0040598E" w:rsidR="00794277" w:rsidRPr="000D6387" w:rsidRDefault="0093250D" w:rsidP="00794277">
      <w:pPr>
        <w:pStyle w:val="SingleTxt"/>
        <w:rPr>
          <w:bCs/>
          <w:u w:val="single"/>
          <w:lang w:val="fr-FR"/>
        </w:rPr>
      </w:pPr>
      <w:r w:rsidRPr="000D6387">
        <w:rPr>
          <w:lang w:val="fr-FR"/>
        </w:rPr>
        <w:tab/>
      </w:r>
      <w:r w:rsidR="00794277" w:rsidRPr="000D6387">
        <w:rPr>
          <w:lang w:val="fr-FR"/>
        </w:rPr>
        <w:t xml:space="preserve">Dans le cadre de son mandat, en </w:t>
      </w:r>
      <w:r w:rsidR="00794277" w:rsidRPr="00280912">
        <w:rPr>
          <w:lang w:val="fr-FR"/>
        </w:rPr>
        <w:t>2019</w:t>
      </w:r>
      <w:r w:rsidR="00794277" w:rsidRPr="000D6387">
        <w:rPr>
          <w:lang w:val="fr-FR"/>
        </w:rPr>
        <w:t>, le Centre de coordination de l</w:t>
      </w:r>
      <w:r w:rsidR="00BD12BA" w:rsidRPr="000D6387">
        <w:rPr>
          <w:lang w:val="fr-FR"/>
        </w:rPr>
        <w:t>’</w:t>
      </w:r>
      <w:r w:rsidR="00794277" w:rsidRPr="000D6387">
        <w:rPr>
          <w:lang w:val="fr-FR"/>
        </w:rPr>
        <w:t>aide juridictionnelle garantie par l</w:t>
      </w:r>
      <w:r w:rsidR="00BD12BA" w:rsidRPr="000D6387">
        <w:rPr>
          <w:lang w:val="fr-FR"/>
        </w:rPr>
        <w:t>’</w:t>
      </w:r>
      <w:r w:rsidR="00794277" w:rsidRPr="000D6387">
        <w:rPr>
          <w:lang w:val="fr-FR"/>
        </w:rPr>
        <w:t xml:space="preserve">État </w:t>
      </w:r>
      <w:r w:rsidR="00794277" w:rsidRPr="004B7FD8">
        <w:rPr>
          <w:lang w:val="fr-FR"/>
        </w:rPr>
        <w:t>près</w:t>
      </w:r>
      <w:r w:rsidR="00794277" w:rsidRPr="000D6387">
        <w:rPr>
          <w:lang w:val="fr-FR"/>
        </w:rPr>
        <w:t xml:space="preserve"> le Ministère de la justice (ci-après dénommé le « Centre de coordination de l</w:t>
      </w:r>
      <w:r w:rsidR="00BD12BA" w:rsidRPr="000D6387">
        <w:rPr>
          <w:lang w:val="fr-FR"/>
        </w:rPr>
        <w:t>’</w:t>
      </w:r>
      <w:r w:rsidR="00794277" w:rsidRPr="000D6387">
        <w:rPr>
          <w:lang w:val="fr-FR"/>
        </w:rPr>
        <w:t xml:space="preserve">aide juridictionnelle ») a fourni une aide juridictionnelle à </w:t>
      </w:r>
      <w:r w:rsidR="00794277" w:rsidRPr="00280912">
        <w:rPr>
          <w:lang w:val="fr-FR"/>
        </w:rPr>
        <w:t>95</w:t>
      </w:r>
      <w:r w:rsidR="00794277" w:rsidRPr="000D6387">
        <w:rPr>
          <w:lang w:val="fr-FR"/>
        </w:rPr>
        <w:t> </w:t>
      </w:r>
      <w:r w:rsidR="00794277" w:rsidRPr="00280912">
        <w:rPr>
          <w:lang w:val="fr-FR"/>
        </w:rPr>
        <w:t>322</w:t>
      </w:r>
      <w:r w:rsidR="00794277" w:rsidRPr="000D6387">
        <w:rPr>
          <w:lang w:val="fr-FR"/>
        </w:rPr>
        <w:t xml:space="preserve"> personnes (</w:t>
      </w:r>
      <w:r w:rsidR="00794277" w:rsidRPr="00280912">
        <w:rPr>
          <w:lang w:val="fr-FR"/>
        </w:rPr>
        <w:t>49</w:t>
      </w:r>
      <w:r w:rsidR="00794277" w:rsidRPr="000D6387">
        <w:rPr>
          <w:lang w:val="fr-FR"/>
        </w:rPr>
        <w:t> </w:t>
      </w:r>
      <w:r w:rsidR="00794277" w:rsidRPr="00280912">
        <w:rPr>
          <w:lang w:val="fr-FR"/>
        </w:rPr>
        <w:t>505</w:t>
      </w:r>
      <w:r w:rsidR="00794277" w:rsidRPr="000D6387">
        <w:rPr>
          <w:lang w:val="fr-FR"/>
        </w:rPr>
        <w:t xml:space="preserve"> hommes et </w:t>
      </w:r>
      <w:r w:rsidR="00794277" w:rsidRPr="00280912">
        <w:rPr>
          <w:bCs/>
          <w:lang w:val="fr-FR"/>
        </w:rPr>
        <w:t>45</w:t>
      </w:r>
      <w:r w:rsidR="00794277" w:rsidRPr="000D6387">
        <w:rPr>
          <w:bCs/>
          <w:lang w:val="fr-FR"/>
        </w:rPr>
        <w:t> </w:t>
      </w:r>
      <w:r w:rsidR="00794277" w:rsidRPr="00280912">
        <w:rPr>
          <w:bCs/>
          <w:lang w:val="fr-FR"/>
        </w:rPr>
        <w:t>817</w:t>
      </w:r>
      <w:r w:rsidR="00794277" w:rsidRPr="000D6387">
        <w:rPr>
          <w:bCs/>
          <w:lang w:val="fr-FR"/>
        </w:rPr>
        <w:t xml:space="preserve"> femmes). Plus précisément, il a fourni</w:t>
      </w:r>
      <w:r w:rsidR="00BD12BA" w:rsidRPr="000D6387">
        <w:rPr>
          <w:bCs/>
          <w:lang w:val="fr-FR"/>
        </w:rPr>
        <w:t> :</w:t>
      </w:r>
      <w:r w:rsidR="00794277" w:rsidRPr="000D6387">
        <w:rPr>
          <w:bCs/>
          <w:lang w:val="fr-FR"/>
        </w:rPr>
        <w:t xml:space="preserve"> </w:t>
      </w:r>
    </w:p>
    <w:p w14:paraId="3C1421C6" w14:textId="5F32CBC2" w:rsidR="00794277" w:rsidRPr="000D6387" w:rsidRDefault="0093250D" w:rsidP="00794277">
      <w:pPr>
        <w:pStyle w:val="SingleTxt"/>
        <w:rPr>
          <w:bCs/>
          <w:lang w:val="fr-FR"/>
        </w:rPr>
      </w:pPr>
      <w:r w:rsidRPr="000D6387">
        <w:rPr>
          <w:bCs/>
          <w:lang w:val="fr-FR"/>
        </w:rPr>
        <w:tab/>
      </w:r>
      <w:r w:rsidR="00794277" w:rsidRPr="00280912">
        <w:rPr>
          <w:bCs/>
          <w:lang w:val="fr-FR"/>
        </w:rPr>
        <w:t>1</w:t>
      </w:r>
      <w:r w:rsidR="00794277" w:rsidRPr="000D6387">
        <w:rPr>
          <w:bCs/>
          <w:lang w:val="fr-FR"/>
        </w:rPr>
        <w:t>)</w:t>
      </w:r>
      <w:r w:rsidRPr="000D6387">
        <w:rPr>
          <w:bCs/>
          <w:lang w:val="fr-FR"/>
        </w:rPr>
        <w:tab/>
      </w:r>
      <w:r w:rsidR="00794277" w:rsidRPr="000D6387">
        <w:rPr>
          <w:bCs/>
          <w:lang w:val="fr-FR"/>
        </w:rPr>
        <w:t xml:space="preserve">des conseils juridiques à </w:t>
      </w:r>
      <w:r w:rsidR="00794277" w:rsidRPr="00280912">
        <w:rPr>
          <w:bCs/>
          <w:lang w:val="fr-FR"/>
        </w:rPr>
        <w:t>80</w:t>
      </w:r>
      <w:r w:rsidR="00794277" w:rsidRPr="000D6387">
        <w:rPr>
          <w:bCs/>
          <w:lang w:val="fr-FR"/>
        </w:rPr>
        <w:t> </w:t>
      </w:r>
      <w:r w:rsidR="00794277" w:rsidRPr="00280912">
        <w:rPr>
          <w:bCs/>
          <w:lang w:val="fr-FR"/>
        </w:rPr>
        <w:t>881</w:t>
      </w:r>
      <w:r w:rsidR="00794277" w:rsidRPr="000D6387">
        <w:rPr>
          <w:bCs/>
          <w:lang w:val="fr-FR"/>
        </w:rPr>
        <w:t xml:space="preserve"> personnes (</w:t>
      </w:r>
      <w:r w:rsidR="00794277" w:rsidRPr="00280912">
        <w:rPr>
          <w:bCs/>
          <w:lang w:val="fr-FR"/>
        </w:rPr>
        <w:t>37</w:t>
      </w:r>
      <w:r w:rsidR="00794277" w:rsidRPr="000D6387">
        <w:rPr>
          <w:bCs/>
          <w:lang w:val="fr-FR"/>
        </w:rPr>
        <w:t> </w:t>
      </w:r>
      <w:r w:rsidR="00794277" w:rsidRPr="00280912">
        <w:rPr>
          <w:bCs/>
          <w:lang w:val="fr-FR"/>
        </w:rPr>
        <w:t>663</w:t>
      </w:r>
      <w:r w:rsidR="00794277" w:rsidRPr="000D6387">
        <w:rPr>
          <w:bCs/>
          <w:lang w:val="fr-FR"/>
        </w:rPr>
        <w:t xml:space="preserve"> hommes et </w:t>
      </w:r>
      <w:r w:rsidR="00794277" w:rsidRPr="00280912">
        <w:rPr>
          <w:bCs/>
          <w:lang w:val="fr-FR"/>
        </w:rPr>
        <w:t>43</w:t>
      </w:r>
      <w:r w:rsidR="00794277" w:rsidRPr="000D6387">
        <w:rPr>
          <w:bCs/>
          <w:lang w:val="fr-FR"/>
        </w:rPr>
        <w:t> </w:t>
      </w:r>
      <w:r w:rsidR="00794277" w:rsidRPr="00280912">
        <w:rPr>
          <w:bCs/>
          <w:lang w:val="fr-FR"/>
        </w:rPr>
        <w:t>218</w:t>
      </w:r>
      <w:r w:rsidR="00794277" w:rsidRPr="000D6387">
        <w:rPr>
          <w:bCs/>
          <w:lang w:val="fr-FR"/>
        </w:rPr>
        <w:t xml:space="preserve"> femmes)</w:t>
      </w:r>
      <w:r w:rsidR="00BD12BA" w:rsidRPr="000D6387">
        <w:rPr>
          <w:bCs/>
          <w:lang w:val="fr-FR"/>
        </w:rPr>
        <w:t> ;</w:t>
      </w:r>
    </w:p>
    <w:p w14:paraId="6B6079DA" w14:textId="1E2B5FEA" w:rsidR="00794277" w:rsidRPr="000D6387" w:rsidRDefault="0093250D" w:rsidP="00794277">
      <w:pPr>
        <w:pStyle w:val="SingleTxt"/>
        <w:rPr>
          <w:bCs/>
          <w:lang w:val="fr-FR"/>
        </w:rPr>
      </w:pPr>
      <w:r w:rsidRPr="000D6387">
        <w:rPr>
          <w:bCs/>
          <w:lang w:val="fr-FR"/>
        </w:rPr>
        <w:tab/>
      </w:r>
      <w:r w:rsidR="00794277" w:rsidRPr="00280912">
        <w:rPr>
          <w:bCs/>
          <w:lang w:val="fr-FR"/>
        </w:rPr>
        <w:t>2</w:t>
      </w:r>
      <w:r w:rsidR="00794277" w:rsidRPr="000D6387">
        <w:rPr>
          <w:bCs/>
          <w:lang w:val="fr-FR"/>
        </w:rPr>
        <w:t>)</w:t>
      </w:r>
      <w:r w:rsidRPr="000D6387">
        <w:rPr>
          <w:bCs/>
          <w:lang w:val="fr-FR"/>
        </w:rPr>
        <w:tab/>
      </w:r>
      <w:r w:rsidR="00794277" w:rsidRPr="000D6387">
        <w:rPr>
          <w:bCs/>
          <w:lang w:val="fr-FR"/>
        </w:rPr>
        <w:t xml:space="preserve">une aide juridique qualifiée à </w:t>
      </w:r>
      <w:r w:rsidR="00794277" w:rsidRPr="00280912">
        <w:rPr>
          <w:bCs/>
          <w:lang w:val="fr-FR"/>
        </w:rPr>
        <w:t>14</w:t>
      </w:r>
      <w:r w:rsidR="00794277" w:rsidRPr="000D6387">
        <w:rPr>
          <w:bCs/>
          <w:lang w:val="fr-FR"/>
        </w:rPr>
        <w:t> </w:t>
      </w:r>
      <w:r w:rsidR="00794277" w:rsidRPr="00280912">
        <w:rPr>
          <w:bCs/>
          <w:lang w:val="fr-FR"/>
        </w:rPr>
        <w:t>441</w:t>
      </w:r>
      <w:r w:rsidR="00794277" w:rsidRPr="000D6387">
        <w:rPr>
          <w:bCs/>
          <w:lang w:val="fr-FR"/>
        </w:rPr>
        <w:t xml:space="preserve"> personnes (</w:t>
      </w:r>
      <w:r w:rsidR="00794277" w:rsidRPr="00280912">
        <w:rPr>
          <w:bCs/>
          <w:lang w:val="fr-FR"/>
        </w:rPr>
        <w:t>11</w:t>
      </w:r>
      <w:r w:rsidR="00794277" w:rsidRPr="000D6387">
        <w:rPr>
          <w:bCs/>
          <w:lang w:val="fr-FR"/>
        </w:rPr>
        <w:t> </w:t>
      </w:r>
      <w:r w:rsidR="00794277" w:rsidRPr="00280912">
        <w:rPr>
          <w:bCs/>
          <w:lang w:val="fr-FR"/>
        </w:rPr>
        <w:t>842</w:t>
      </w:r>
      <w:r w:rsidR="00794277" w:rsidRPr="000D6387">
        <w:rPr>
          <w:bCs/>
          <w:lang w:val="fr-FR"/>
        </w:rPr>
        <w:t xml:space="preserve"> hommes et </w:t>
      </w:r>
      <w:r w:rsidR="00794277" w:rsidRPr="00280912">
        <w:rPr>
          <w:bCs/>
          <w:lang w:val="fr-FR"/>
        </w:rPr>
        <w:t>2</w:t>
      </w:r>
      <w:r w:rsidR="00794277" w:rsidRPr="000D6387">
        <w:rPr>
          <w:bCs/>
          <w:lang w:val="fr-FR"/>
        </w:rPr>
        <w:t> </w:t>
      </w:r>
      <w:r w:rsidR="00794277" w:rsidRPr="00280912">
        <w:rPr>
          <w:bCs/>
          <w:lang w:val="fr-FR"/>
        </w:rPr>
        <w:t>599</w:t>
      </w:r>
      <w:r w:rsidR="00794277" w:rsidRPr="000D6387">
        <w:rPr>
          <w:bCs/>
          <w:lang w:val="fr-FR"/>
        </w:rPr>
        <w:t xml:space="preserve"> femmes). </w:t>
      </w:r>
    </w:p>
    <w:p w14:paraId="6F2F80A0" w14:textId="010B4829" w:rsidR="00794277" w:rsidRPr="000D6387" w:rsidRDefault="0093250D" w:rsidP="00794277">
      <w:pPr>
        <w:pStyle w:val="SingleTxt"/>
        <w:rPr>
          <w:lang w:val="fr-FR"/>
        </w:rPr>
      </w:pPr>
      <w:r w:rsidRPr="000D6387">
        <w:rPr>
          <w:lang w:val="fr-FR"/>
        </w:rPr>
        <w:tab/>
      </w:r>
      <w:r w:rsidR="00794277" w:rsidRPr="000D6387">
        <w:rPr>
          <w:lang w:val="fr-FR"/>
        </w:rPr>
        <w:t xml:space="preserve">Les conseils juridiques ont été dispensés par les administrations judiciaires territoriales et par les centres de conseil juridique qui en relèvent et qui fournissent gratuitement leurs services à la population. </w:t>
      </w:r>
    </w:p>
    <w:p w14:paraId="0C6671A4" w14:textId="1CE02B08" w:rsidR="00794277" w:rsidRPr="000D6387" w:rsidRDefault="0093250D" w:rsidP="00794277">
      <w:pPr>
        <w:pStyle w:val="SingleTxt"/>
        <w:rPr>
          <w:lang w:val="fr-FR"/>
        </w:rPr>
      </w:pPr>
      <w:r w:rsidRPr="000D6387">
        <w:rPr>
          <w:lang w:val="fr-FR"/>
        </w:rPr>
        <w:tab/>
      </w:r>
      <w:r w:rsidR="00794277" w:rsidRPr="000D6387">
        <w:rPr>
          <w:lang w:val="fr-FR"/>
        </w:rPr>
        <w:t>L</w:t>
      </w:r>
      <w:r w:rsidR="00BD12BA" w:rsidRPr="000D6387">
        <w:rPr>
          <w:lang w:val="fr-FR"/>
        </w:rPr>
        <w:t>’</w:t>
      </w:r>
      <w:r w:rsidR="00794277" w:rsidRPr="000D6387">
        <w:rPr>
          <w:lang w:val="fr-FR"/>
        </w:rPr>
        <w:t>aide juridique qualifiée a été fournie par des avocats inscrits dans le registre public des avocats du système d</w:t>
      </w:r>
      <w:r w:rsidR="00BD12BA" w:rsidRPr="000D6387">
        <w:rPr>
          <w:lang w:val="fr-FR"/>
        </w:rPr>
        <w:t>’</w:t>
      </w:r>
      <w:r w:rsidR="00794277" w:rsidRPr="000D6387">
        <w:rPr>
          <w:lang w:val="fr-FR"/>
        </w:rPr>
        <w:t>aide juridictionnelle garantie par l</w:t>
      </w:r>
      <w:r w:rsidR="00BD12BA" w:rsidRPr="000D6387">
        <w:rPr>
          <w:lang w:val="fr-FR"/>
        </w:rPr>
        <w:t>’</w:t>
      </w:r>
      <w:r w:rsidR="00794277" w:rsidRPr="000D6387">
        <w:rPr>
          <w:lang w:val="fr-FR"/>
        </w:rPr>
        <w:t xml:space="preserve">État. Dans le cadre du système sont notamment prévus des consultations en ligne, un registre électronique des plaintes et des communications par WhatsApp. </w:t>
      </w:r>
    </w:p>
    <w:p w14:paraId="51224943" w14:textId="1BBC1A63" w:rsidR="00794277" w:rsidRPr="000D6387" w:rsidRDefault="0093250D" w:rsidP="00794277">
      <w:pPr>
        <w:pStyle w:val="SingleTxt"/>
        <w:rPr>
          <w:lang w:val="fr-FR"/>
        </w:rPr>
      </w:pPr>
      <w:r w:rsidRPr="000D6387">
        <w:rPr>
          <w:lang w:val="fr-FR"/>
        </w:rPr>
        <w:tab/>
      </w:r>
      <w:r w:rsidR="00794277" w:rsidRPr="000D6387">
        <w:rPr>
          <w:lang w:val="fr-FR"/>
        </w:rPr>
        <w:t>D</w:t>
      </w:r>
      <w:r w:rsidR="00BD12BA" w:rsidRPr="000D6387">
        <w:rPr>
          <w:lang w:val="fr-FR"/>
        </w:rPr>
        <w:t>’</w:t>
      </w:r>
      <w:r w:rsidR="00794277" w:rsidRPr="000D6387">
        <w:rPr>
          <w:lang w:val="fr-FR"/>
        </w:rPr>
        <w:t>après une analyse des plaintes, la population se heurte le plus souvent à des problèmes liés à la famille, à l</w:t>
      </w:r>
      <w:r w:rsidR="00BD12BA" w:rsidRPr="000D6387">
        <w:rPr>
          <w:lang w:val="fr-FR"/>
        </w:rPr>
        <w:t>’</w:t>
      </w:r>
      <w:r w:rsidR="00794277" w:rsidRPr="000D6387">
        <w:rPr>
          <w:lang w:val="fr-FR"/>
        </w:rPr>
        <w:t xml:space="preserve">héritage et à des questions sociales. </w:t>
      </w:r>
    </w:p>
    <w:p w14:paraId="2B618162" w14:textId="65D43754" w:rsidR="00794277" w:rsidRPr="000D6387" w:rsidRDefault="0093250D" w:rsidP="00794277">
      <w:pPr>
        <w:pStyle w:val="SingleTxt"/>
        <w:rPr>
          <w:lang w:val="fr-FR"/>
        </w:rPr>
      </w:pPr>
      <w:r w:rsidRPr="000D6387">
        <w:rPr>
          <w:lang w:val="fr-FR"/>
        </w:rPr>
        <w:tab/>
      </w:r>
      <w:r w:rsidR="00794277" w:rsidRPr="000D6387">
        <w:rPr>
          <w:lang w:val="fr-FR"/>
        </w:rPr>
        <w:t>Des cours vidéo ont été conçus sur la base des manuels évoqués plus loin</w:t>
      </w:r>
      <w:r w:rsidR="00BD12BA" w:rsidRPr="000D6387">
        <w:rPr>
          <w:lang w:val="fr-FR"/>
        </w:rPr>
        <w:t> ;</w:t>
      </w:r>
      <w:r w:rsidR="00794277" w:rsidRPr="000D6387">
        <w:rPr>
          <w:lang w:val="fr-FR"/>
        </w:rPr>
        <w:t xml:space="preserve"> ils contiennent des infographies et des descriptions concises des procédures juridiques et sont destinés à un large public. Ils seront publiés sur les sites Web du Ministère de la justice et du Centre de coordination de l</w:t>
      </w:r>
      <w:r w:rsidR="00BD12BA" w:rsidRPr="000D6387">
        <w:rPr>
          <w:lang w:val="fr-FR"/>
        </w:rPr>
        <w:t>’</w:t>
      </w:r>
      <w:r w:rsidR="00794277" w:rsidRPr="000D6387">
        <w:rPr>
          <w:lang w:val="fr-FR"/>
        </w:rPr>
        <w:t>aide juridictionnelle et seront ainsi accessibles à toutes et à tous.</w:t>
      </w:r>
    </w:p>
    <w:p w14:paraId="56AD519C" w14:textId="416E3B74" w:rsidR="00794277" w:rsidRPr="000D6387" w:rsidRDefault="0093250D" w:rsidP="00794277">
      <w:pPr>
        <w:pStyle w:val="SingleTxt"/>
        <w:rPr>
          <w:lang w:val="fr-FR"/>
        </w:rPr>
      </w:pPr>
      <w:r w:rsidRPr="000D6387">
        <w:rPr>
          <w:lang w:val="fr-FR"/>
        </w:rPr>
        <w:tab/>
      </w:r>
      <w:r w:rsidR="00794277" w:rsidRPr="000D6387">
        <w:rPr>
          <w:lang w:val="fr-FR"/>
        </w:rPr>
        <w:t xml:space="preserve">Par ailleurs, le </w:t>
      </w:r>
      <w:r w:rsidR="00794277" w:rsidRPr="00280912">
        <w:rPr>
          <w:lang w:val="fr-FR"/>
        </w:rPr>
        <w:t>13</w:t>
      </w:r>
      <w:r w:rsidR="00794277" w:rsidRPr="000D6387">
        <w:rPr>
          <w:lang w:val="fr-FR"/>
        </w:rPr>
        <w:t xml:space="preserve"> décembre </w:t>
      </w:r>
      <w:r w:rsidR="00794277" w:rsidRPr="00280912">
        <w:rPr>
          <w:lang w:val="fr-FR"/>
        </w:rPr>
        <w:t>2019</w:t>
      </w:r>
      <w:r w:rsidR="00794277" w:rsidRPr="000D6387">
        <w:rPr>
          <w:lang w:val="fr-FR"/>
        </w:rPr>
        <w:t>, des membres du personnel du Ministère de la justice ont participé à un séminaire organisé par les tribunaux d</w:t>
      </w:r>
      <w:r w:rsidR="00BD12BA" w:rsidRPr="000D6387">
        <w:rPr>
          <w:lang w:val="fr-FR"/>
        </w:rPr>
        <w:t>’</w:t>
      </w:r>
      <w:r w:rsidR="00794277" w:rsidRPr="000D6387">
        <w:rPr>
          <w:lang w:val="fr-FR"/>
        </w:rPr>
        <w:t xml:space="preserve">anciens (aksakal) de la région de Tchou. Y ont également participé des représentants de divers organismes </w:t>
      </w:r>
      <w:r w:rsidR="00794277" w:rsidRPr="000D6387">
        <w:rPr>
          <w:lang w:val="fr-FR"/>
        </w:rPr>
        <w:lastRenderedPageBreak/>
        <w:t>publics et collectivités locales, de tribunaux d</w:t>
      </w:r>
      <w:r w:rsidR="00BD12BA" w:rsidRPr="000D6387">
        <w:rPr>
          <w:lang w:val="fr-FR"/>
        </w:rPr>
        <w:t>’</w:t>
      </w:r>
      <w:r w:rsidR="00794277" w:rsidRPr="000D6387">
        <w:rPr>
          <w:lang w:val="fr-FR"/>
        </w:rPr>
        <w:t>anciens du district de Sokoulouk et d</w:t>
      </w:r>
      <w:r w:rsidR="00BD12BA" w:rsidRPr="000D6387">
        <w:rPr>
          <w:lang w:val="fr-FR"/>
        </w:rPr>
        <w:t>’</w:t>
      </w:r>
      <w:r w:rsidR="00794277" w:rsidRPr="000D6387">
        <w:rPr>
          <w:lang w:val="fr-FR"/>
        </w:rPr>
        <w:t xml:space="preserve">organisations à but non lucratif. </w:t>
      </w:r>
    </w:p>
    <w:p w14:paraId="5220B2AD" w14:textId="1369A625" w:rsidR="00794277" w:rsidRPr="000D6387" w:rsidRDefault="0093250D" w:rsidP="00794277">
      <w:pPr>
        <w:pStyle w:val="SingleTxt"/>
        <w:rPr>
          <w:lang w:val="fr-FR"/>
        </w:rPr>
      </w:pPr>
      <w:r w:rsidRPr="000D6387">
        <w:rPr>
          <w:lang w:val="fr-FR"/>
        </w:rPr>
        <w:tab/>
      </w:r>
      <w:r w:rsidR="00794277" w:rsidRPr="000D6387">
        <w:rPr>
          <w:lang w:val="fr-FR"/>
        </w:rPr>
        <w:t xml:space="preserve">Le </w:t>
      </w:r>
      <w:r w:rsidR="00794277" w:rsidRPr="00280912">
        <w:rPr>
          <w:lang w:val="fr-FR"/>
        </w:rPr>
        <w:t>13</w:t>
      </w:r>
      <w:r w:rsidR="00794277" w:rsidRPr="000D6387">
        <w:rPr>
          <w:lang w:val="fr-FR"/>
        </w:rPr>
        <w:t xml:space="preserve"> décembre </w:t>
      </w:r>
      <w:r w:rsidR="00794277" w:rsidRPr="00280912">
        <w:rPr>
          <w:lang w:val="fr-FR"/>
        </w:rPr>
        <w:t>2019</w:t>
      </w:r>
      <w:r w:rsidR="00794277" w:rsidRPr="000D6387">
        <w:rPr>
          <w:lang w:val="fr-FR"/>
        </w:rPr>
        <w:t xml:space="preserve"> également, le Département interrégional pour les régions d</w:t>
      </w:r>
      <w:r w:rsidR="00BD12BA" w:rsidRPr="000D6387">
        <w:rPr>
          <w:lang w:val="fr-FR"/>
        </w:rPr>
        <w:t>’</w:t>
      </w:r>
      <w:r w:rsidR="00794277" w:rsidRPr="000D6387">
        <w:rPr>
          <w:lang w:val="fr-FR"/>
        </w:rPr>
        <w:t>Och, de Djalalabad, de Batken et de Talas a mené des activités d</w:t>
      </w:r>
      <w:r w:rsidR="00BD12BA" w:rsidRPr="000D6387">
        <w:rPr>
          <w:lang w:val="fr-FR"/>
        </w:rPr>
        <w:t>’</w:t>
      </w:r>
      <w:r w:rsidR="00794277" w:rsidRPr="000D6387">
        <w:rPr>
          <w:lang w:val="fr-FR"/>
        </w:rPr>
        <w:t>information à l</w:t>
      </w:r>
      <w:r w:rsidR="00BD12BA" w:rsidRPr="000D6387">
        <w:rPr>
          <w:lang w:val="fr-FR"/>
        </w:rPr>
        <w:t>’</w:t>
      </w:r>
      <w:r w:rsidR="00794277" w:rsidRPr="000D6387">
        <w:rPr>
          <w:lang w:val="fr-FR"/>
        </w:rPr>
        <w:t xml:space="preserve">intention du personnel des autorités locales et de la population du district de Leïlek sur les particularités des nouveaux codes entrés en vigueur le </w:t>
      </w:r>
      <w:r w:rsidR="00794277" w:rsidRPr="00280912">
        <w:rPr>
          <w:lang w:val="fr-FR"/>
        </w:rPr>
        <w:t>1</w:t>
      </w:r>
      <w:r w:rsidR="00794277" w:rsidRPr="000D6387">
        <w:rPr>
          <w:vertAlign w:val="superscript"/>
          <w:lang w:val="fr-FR"/>
        </w:rPr>
        <w:t>er</w:t>
      </w:r>
      <w:r w:rsidR="00794277" w:rsidRPr="000D6387">
        <w:rPr>
          <w:lang w:val="fr-FR"/>
        </w:rPr>
        <w:t xml:space="preserve"> janvier </w:t>
      </w:r>
      <w:r w:rsidR="00794277" w:rsidRPr="00280912">
        <w:rPr>
          <w:lang w:val="fr-FR"/>
        </w:rPr>
        <w:t>2019</w:t>
      </w:r>
      <w:r w:rsidR="00794277" w:rsidRPr="000D6387">
        <w:rPr>
          <w:lang w:val="fr-FR"/>
        </w:rPr>
        <w:t>. En outre, des membres du personnel des autorités locales ont été informés de la procédure à suivre pour fournir une aide juridictionnelle qualifiée conformément à la loi sur l</w:t>
      </w:r>
      <w:r w:rsidR="00BD12BA" w:rsidRPr="000D6387">
        <w:rPr>
          <w:lang w:val="fr-FR"/>
        </w:rPr>
        <w:t>’</w:t>
      </w:r>
      <w:r w:rsidR="00794277" w:rsidRPr="000D6387">
        <w:rPr>
          <w:lang w:val="fr-FR"/>
        </w:rPr>
        <w:t>assistance juridique garantie par l</w:t>
      </w:r>
      <w:r w:rsidR="00BD12BA" w:rsidRPr="000D6387">
        <w:rPr>
          <w:lang w:val="fr-FR"/>
        </w:rPr>
        <w:t>’</w:t>
      </w:r>
      <w:r w:rsidR="00794277" w:rsidRPr="000D6387">
        <w:rPr>
          <w:lang w:val="fr-FR"/>
        </w:rPr>
        <w:t>État et à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594</w:t>
      </w:r>
      <w:r w:rsidR="00794277" w:rsidRPr="000D6387">
        <w:rPr>
          <w:lang w:val="fr-FR"/>
        </w:rPr>
        <w:t xml:space="preserve"> du </w:t>
      </w:r>
      <w:r w:rsidR="00794277" w:rsidRPr="00280912">
        <w:rPr>
          <w:lang w:val="fr-FR"/>
        </w:rPr>
        <w:t>20</w:t>
      </w:r>
      <w:r w:rsidR="004B7FD8">
        <w:rPr>
          <w:lang w:val="fr-FR"/>
        </w:rPr>
        <w:t> </w:t>
      </w:r>
      <w:r w:rsidR="00794277" w:rsidRPr="000D6387">
        <w:rPr>
          <w:lang w:val="fr-FR"/>
        </w:rPr>
        <w:t xml:space="preserve">décembre </w:t>
      </w:r>
      <w:r w:rsidR="00794277" w:rsidRPr="00280912">
        <w:rPr>
          <w:lang w:val="fr-FR"/>
        </w:rPr>
        <w:t>2018</w:t>
      </w:r>
      <w:r w:rsidR="00794277" w:rsidRPr="000D6387">
        <w:rPr>
          <w:lang w:val="fr-FR"/>
        </w:rPr>
        <w:t xml:space="preserve"> portant approbation des modalités de coopération entre les entités du système d</w:t>
      </w:r>
      <w:r w:rsidR="00BD12BA" w:rsidRPr="000D6387">
        <w:rPr>
          <w:lang w:val="fr-FR"/>
        </w:rPr>
        <w:t>’</w:t>
      </w:r>
      <w:r w:rsidR="00794277" w:rsidRPr="000D6387">
        <w:rPr>
          <w:lang w:val="fr-FR"/>
        </w:rPr>
        <w:t>aide juridictionnelle garantie par l</w:t>
      </w:r>
      <w:r w:rsidR="00BD12BA" w:rsidRPr="000D6387">
        <w:rPr>
          <w:lang w:val="fr-FR"/>
        </w:rPr>
        <w:t>’</w:t>
      </w:r>
      <w:r w:rsidR="00794277" w:rsidRPr="000D6387">
        <w:rPr>
          <w:lang w:val="fr-FR"/>
        </w:rPr>
        <w:t>État et de la liste des documents donnant droit à l</w:t>
      </w:r>
      <w:r w:rsidR="00BD12BA" w:rsidRPr="000D6387">
        <w:rPr>
          <w:lang w:val="fr-FR"/>
        </w:rPr>
        <w:t>’</w:t>
      </w:r>
      <w:r w:rsidR="00794277" w:rsidRPr="000D6387">
        <w:rPr>
          <w:lang w:val="fr-FR"/>
        </w:rPr>
        <w:t>obtention d</w:t>
      </w:r>
      <w:r w:rsidR="00BD12BA" w:rsidRPr="000D6387">
        <w:rPr>
          <w:lang w:val="fr-FR"/>
        </w:rPr>
        <w:t>’</w:t>
      </w:r>
      <w:r w:rsidR="00794277" w:rsidRPr="000D6387">
        <w:rPr>
          <w:lang w:val="fr-FR"/>
        </w:rPr>
        <w:t>une aide juridictionnelle qualifiée.</w:t>
      </w:r>
    </w:p>
    <w:p w14:paraId="21EA85FE" w14:textId="77777777" w:rsidR="0093250D" w:rsidRPr="000D6387" w:rsidRDefault="0093250D" w:rsidP="0093250D">
      <w:pPr>
        <w:pStyle w:val="SingleTxt"/>
        <w:spacing w:after="0" w:line="120" w:lineRule="exact"/>
        <w:rPr>
          <w:sz w:val="10"/>
          <w:lang w:val="fr-FR"/>
        </w:rPr>
      </w:pPr>
    </w:p>
    <w:p w14:paraId="4B736AFE" w14:textId="3D231BF1" w:rsidR="00794277" w:rsidRPr="000D6387" w:rsidRDefault="0093250D" w:rsidP="0093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3</w:t>
      </w:r>
      <w:r w:rsidR="00794277" w:rsidRPr="000D6387">
        <w:rPr>
          <w:lang w:val="fr-FR"/>
        </w:rPr>
        <w:t>.</w:t>
      </w:r>
      <w:r w:rsidR="00794277" w:rsidRPr="000D6387">
        <w:rPr>
          <w:lang w:val="fr-FR"/>
        </w:rPr>
        <w:tab/>
        <w:t>Mécanisme national de promotion des femmes</w:t>
      </w:r>
    </w:p>
    <w:p w14:paraId="52594D20" w14:textId="77777777" w:rsidR="0093250D" w:rsidRPr="000D6387" w:rsidRDefault="0093250D" w:rsidP="0093250D">
      <w:pPr>
        <w:pStyle w:val="SingleTxt"/>
        <w:spacing w:after="0" w:line="120" w:lineRule="exact"/>
        <w:rPr>
          <w:sz w:val="10"/>
          <w:lang w:val="fr-FR"/>
        </w:rPr>
      </w:pPr>
    </w:p>
    <w:p w14:paraId="25DC6B71" w14:textId="573CD163" w:rsidR="00794277" w:rsidRPr="000D6387" w:rsidRDefault="0093250D" w:rsidP="00794277">
      <w:pPr>
        <w:pStyle w:val="SingleTxt"/>
        <w:rPr>
          <w:lang w:val="fr-FR"/>
        </w:rPr>
      </w:pPr>
      <w:r w:rsidRPr="000D6387">
        <w:rPr>
          <w:lang w:val="fr-FR"/>
        </w:rPr>
        <w:tab/>
      </w:r>
      <w:r w:rsidR="00794277" w:rsidRPr="000D6387">
        <w:rPr>
          <w:lang w:val="fr-FR"/>
        </w:rPr>
        <w:t>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600</w:t>
      </w:r>
      <w:r w:rsidR="00794277" w:rsidRPr="000D6387">
        <w:rPr>
          <w:lang w:val="fr-FR"/>
        </w:rPr>
        <w:t xml:space="preserve">, adoptée le </w:t>
      </w:r>
      <w:r w:rsidR="00794277" w:rsidRPr="00280912">
        <w:rPr>
          <w:lang w:val="fr-FR"/>
        </w:rPr>
        <w:t>11</w:t>
      </w:r>
      <w:r w:rsidR="00794277" w:rsidRPr="000D6387">
        <w:rPr>
          <w:lang w:val="fr-FR"/>
        </w:rPr>
        <w:t xml:space="preserve"> novembre </w:t>
      </w:r>
      <w:r w:rsidR="00794277" w:rsidRPr="00280912">
        <w:rPr>
          <w:lang w:val="fr-FR"/>
        </w:rPr>
        <w:t>2019</w:t>
      </w:r>
      <w:r w:rsidR="00794277" w:rsidRPr="000D6387">
        <w:rPr>
          <w:lang w:val="fr-FR"/>
        </w:rPr>
        <w:t>, a porté modification de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268</w:t>
      </w:r>
      <w:r w:rsidR="00794277" w:rsidRPr="000D6387">
        <w:rPr>
          <w:lang w:val="fr-FR"/>
        </w:rPr>
        <w:t xml:space="preserve"> du </w:t>
      </w:r>
      <w:r w:rsidR="00794277" w:rsidRPr="00280912">
        <w:rPr>
          <w:lang w:val="fr-FR"/>
        </w:rPr>
        <w:t>2</w:t>
      </w:r>
      <w:r w:rsidR="00794277" w:rsidRPr="000D6387">
        <w:rPr>
          <w:lang w:val="fr-FR"/>
        </w:rPr>
        <w:t xml:space="preserve"> mai </w:t>
      </w:r>
      <w:r w:rsidR="00794277" w:rsidRPr="00280912">
        <w:rPr>
          <w:lang w:val="fr-FR"/>
        </w:rPr>
        <w:t>2012</w:t>
      </w:r>
      <w:r w:rsidR="00794277" w:rsidRPr="000D6387">
        <w:rPr>
          <w:lang w:val="fr-FR"/>
        </w:rPr>
        <w:t xml:space="preserve"> portant création du Conseil national pour la promotion de l</w:t>
      </w:r>
      <w:r w:rsidR="00BD12BA" w:rsidRPr="000D6387">
        <w:rPr>
          <w:lang w:val="fr-FR"/>
        </w:rPr>
        <w:t>’</w:t>
      </w:r>
      <w:r w:rsidR="00794277" w:rsidRPr="000D6387">
        <w:rPr>
          <w:lang w:val="fr-FR"/>
        </w:rPr>
        <w:t>égalité des genres, qui relève du Gouvernement.</w:t>
      </w:r>
    </w:p>
    <w:p w14:paraId="14128760" w14:textId="7D718BB2" w:rsidR="00794277" w:rsidRPr="000D6387" w:rsidRDefault="0093250D" w:rsidP="00794277">
      <w:pPr>
        <w:pStyle w:val="SingleTxt"/>
        <w:rPr>
          <w:lang w:val="fr-FR"/>
        </w:rPr>
      </w:pPr>
      <w:r w:rsidRPr="000D6387">
        <w:rPr>
          <w:lang w:val="fr-FR"/>
        </w:rPr>
        <w:tab/>
      </w:r>
      <w:r w:rsidR="00794277" w:rsidRPr="008562B8">
        <w:rPr>
          <w:lang w:val="fr-FR"/>
        </w:rPr>
        <w:t>Organe de travail du Conseil national, le Secrétariat des affaires féminines et de la promotion de l</w:t>
      </w:r>
      <w:r w:rsidR="00BD12BA" w:rsidRPr="008562B8">
        <w:rPr>
          <w:lang w:val="fr-FR"/>
        </w:rPr>
        <w:t>’</w:t>
      </w:r>
      <w:r w:rsidR="00794277" w:rsidRPr="008562B8">
        <w:rPr>
          <w:lang w:val="fr-FR"/>
        </w:rPr>
        <w:t>égalité des genres apporte un appui en matière d</w:t>
      </w:r>
      <w:r w:rsidR="00BD12BA" w:rsidRPr="008562B8">
        <w:rPr>
          <w:lang w:val="fr-FR"/>
        </w:rPr>
        <w:t>’</w:t>
      </w:r>
      <w:r w:rsidR="00794277" w:rsidRPr="008562B8">
        <w:rPr>
          <w:lang w:val="fr-FR"/>
        </w:rPr>
        <w:t>organisation, d</w:t>
      </w:r>
      <w:r w:rsidR="00BD12BA" w:rsidRPr="008562B8">
        <w:rPr>
          <w:lang w:val="fr-FR"/>
        </w:rPr>
        <w:t>’</w:t>
      </w:r>
      <w:r w:rsidR="00794277" w:rsidRPr="008562B8">
        <w:rPr>
          <w:lang w:val="fr-FR"/>
        </w:rPr>
        <w:t>information et autre afin d</w:t>
      </w:r>
      <w:r w:rsidR="00BD12BA" w:rsidRPr="008562B8">
        <w:rPr>
          <w:lang w:val="fr-FR"/>
        </w:rPr>
        <w:t>’</w:t>
      </w:r>
      <w:r w:rsidR="00794277" w:rsidRPr="008562B8">
        <w:rPr>
          <w:lang w:val="fr-FR"/>
        </w:rPr>
        <w:t>aider le Conseil à mener à bien ses activités.</w:t>
      </w:r>
    </w:p>
    <w:p w14:paraId="25E01FA1" w14:textId="1B16EDC7" w:rsidR="00794277" w:rsidRPr="000D6387" w:rsidRDefault="0093250D" w:rsidP="00794277">
      <w:pPr>
        <w:pStyle w:val="SingleTxt"/>
        <w:rPr>
          <w:lang w:val="fr-FR"/>
        </w:rPr>
      </w:pPr>
      <w:r w:rsidRPr="000D6387">
        <w:rPr>
          <w:lang w:val="fr-FR"/>
        </w:rPr>
        <w:tab/>
      </w:r>
      <w:r w:rsidR="00794277" w:rsidRPr="000D6387">
        <w:rPr>
          <w:lang w:val="fr-FR"/>
        </w:rPr>
        <w:t>Le personnel du Secrétariat est composé de membres du Ministère du travail et du développement social et d</w:t>
      </w:r>
      <w:r w:rsidR="00BD12BA" w:rsidRPr="000D6387">
        <w:rPr>
          <w:lang w:val="fr-FR"/>
        </w:rPr>
        <w:t>’</w:t>
      </w:r>
      <w:r w:rsidR="00794277" w:rsidRPr="000D6387">
        <w:rPr>
          <w:lang w:val="fr-FR"/>
        </w:rPr>
        <w:t>autres organismes publics, ainsi que d</w:t>
      </w:r>
      <w:r w:rsidR="00BD12BA" w:rsidRPr="000D6387">
        <w:rPr>
          <w:lang w:val="fr-FR"/>
        </w:rPr>
        <w:t>’</w:t>
      </w:r>
      <w:r w:rsidR="00794277" w:rsidRPr="000D6387">
        <w:rPr>
          <w:lang w:val="fr-FR"/>
        </w:rPr>
        <w:t>organisations internationales et non gouvernementales.</w:t>
      </w:r>
    </w:p>
    <w:p w14:paraId="222A2E58" w14:textId="1C65CD2E" w:rsidR="00794277" w:rsidRPr="000D6387" w:rsidRDefault="0093250D" w:rsidP="00794277">
      <w:pPr>
        <w:pStyle w:val="SingleTxt"/>
        <w:rPr>
          <w:lang w:val="fr-FR"/>
        </w:rPr>
      </w:pPr>
      <w:r w:rsidRPr="000D6387">
        <w:rPr>
          <w:lang w:val="fr-FR"/>
        </w:rPr>
        <w:tab/>
      </w:r>
      <w:r w:rsidR="00794277" w:rsidRPr="000D6387">
        <w:rPr>
          <w:lang w:val="fr-FR"/>
        </w:rPr>
        <w:t>Les objectifs du Secrétariat sont les suivants</w:t>
      </w:r>
      <w:r w:rsidR="00BD12BA" w:rsidRPr="000D6387">
        <w:rPr>
          <w:lang w:val="fr-FR"/>
        </w:rPr>
        <w:t> :</w:t>
      </w:r>
    </w:p>
    <w:p w14:paraId="4740AB0D" w14:textId="6712071C" w:rsidR="00794277" w:rsidRPr="000D6387" w:rsidRDefault="0093250D" w:rsidP="0093250D">
      <w:pPr>
        <w:pStyle w:val="SingleTxt"/>
        <w:tabs>
          <w:tab w:val="right" w:pos="1685"/>
        </w:tabs>
        <w:ind w:left="1742" w:hanging="475"/>
        <w:rPr>
          <w:lang w:val="fr-FR"/>
        </w:rPr>
      </w:pPr>
      <w:r w:rsidRPr="000D6387">
        <w:rPr>
          <w:lang w:val="fr-FR"/>
        </w:rPr>
        <w:tab/>
        <w:t>–</w:t>
      </w:r>
      <w:r w:rsidRPr="000D6387">
        <w:rPr>
          <w:lang w:val="fr-FR"/>
        </w:rPr>
        <w:tab/>
      </w:r>
      <w:r w:rsidR="00794277" w:rsidRPr="000D6387">
        <w:rPr>
          <w:lang w:val="fr-FR"/>
        </w:rPr>
        <w:t>Promouvoir l</w:t>
      </w:r>
      <w:r w:rsidR="00BD12BA" w:rsidRPr="000D6387">
        <w:rPr>
          <w:lang w:val="fr-FR"/>
        </w:rPr>
        <w:t>’</w:t>
      </w:r>
      <w:r w:rsidR="00794277" w:rsidRPr="000D6387">
        <w:rPr>
          <w:lang w:val="fr-FR"/>
        </w:rPr>
        <w:t>égalité des chances pour les femmes et les hommes dans le domaine économique, ainsi que l</w:t>
      </w:r>
      <w:r w:rsidR="00BD12BA" w:rsidRPr="000D6387">
        <w:rPr>
          <w:lang w:val="fr-FR"/>
        </w:rPr>
        <w:t>’</w:t>
      </w:r>
      <w:r w:rsidR="00794277" w:rsidRPr="000D6387">
        <w:rPr>
          <w:lang w:val="fr-FR"/>
        </w:rPr>
        <w:t>entrepreneuriat des femmes, et accroître la compétitivité de ces dernières sur le marché de l</w:t>
      </w:r>
      <w:r w:rsidR="00BD12BA" w:rsidRPr="000D6387">
        <w:rPr>
          <w:lang w:val="fr-FR"/>
        </w:rPr>
        <w:t>’</w:t>
      </w:r>
      <w:r w:rsidR="00794277" w:rsidRPr="000D6387">
        <w:rPr>
          <w:lang w:val="fr-FR"/>
        </w:rPr>
        <w:t>emploi</w:t>
      </w:r>
      <w:r w:rsidR="00BD12BA" w:rsidRPr="000D6387">
        <w:rPr>
          <w:lang w:val="fr-FR"/>
        </w:rPr>
        <w:t> ;</w:t>
      </w:r>
    </w:p>
    <w:p w14:paraId="16EEFDB2" w14:textId="4871EEEB" w:rsidR="00794277" w:rsidRPr="000D6387" w:rsidRDefault="0093250D" w:rsidP="0093250D">
      <w:pPr>
        <w:pStyle w:val="SingleTxt"/>
        <w:tabs>
          <w:tab w:val="right" w:pos="1685"/>
        </w:tabs>
        <w:ind w:left="1742" w:hanging="475"/>
        <w:rPr>
          <w:lang w:val="fr-FR"/>
        </w:rPr>
      </w:pPr>
      <w:r w:rsidRPr="000D6387">
        <w:rPr>
          <w:lang w:val="fr-FR"/>
        </w:rPr>
        <w:tab/>
        <w:t>–</w:t>
      </w:r>
      <w:r w:rsidRPr="000D6387">
        <w:rPr>
          <w:lang w:val="fr-FR"/>
        </w:rPr>
        <w:tab/>
      </w:r>
      <w:r w:rsidR="00794277" w:rsidRPr="000D6387">
        <w:rPr>
          <w:lang w:val="fr-FR"/>
        </w:rPr>
        <w:t>Sensibiliser et informer le public sur les questions de genre.</w:t>
      </w:r>
    </w:p>
    <w:p w14:paraId="698765AF" w14:textId="0E841AD1" w:rsidR="00794277" w:rsidRPr="000D6387" w:rsidRDefault="0093250D" w:rsidP="00794277">
      <w:pPr>
        <w:pStyle w:val="SingleTxt"/>
        <w:rPr>
          <w:lang w:val="fr-FR"/>
        </w:rPr>
      </w:pPr>
      <w:r w:rsidRPr="000D6387">
        <w:rPr>
          <w:lang w:val="fr-FR"/>
        </w:rPr>
        <w:tab/>
      </w:r>
      <w:r w:rsidR="00794277" w:rsidRPr="000D6387">
        <w:rPr>
          <w:lang w:val="fr-FR"/>
        </w:rPr>
        <w:t xml:space="preserve">Le </w:t>
      </w:r>
      <w:r w:rsidR="00794277" w:rsidRPr="00280912">
        <w:rPr>
          <w:lang w:val="fr-FR"/>
        </w:rPr>
        <w:t>15</w:t>
      </w:r>
      <w:r w:rsidR="00794277" w:rsidRPr="000D6387">
        <w:rPr>
          <w:lang w:val="fr-FR"/>
        </w:rPr>
        <w:t xml:space="preserve"> janvier </w:t>
      </w:r>
      <w:r w:rsidR="00794277" w:rsidRPr="00280912">
        <w:rPr>
          <w:lang w:val="fr-FR"/>
        </w:rPr>
        <w:t>2020</w:t>
      </w:r>
      <w:r w:rsidR="00794277" w:rsidRPr="000D6387">
        <w:rPr>
          <w:lang w:val="fr-FR"/>
        </w:rPr>
        <w:t>, le Plan d</w:t>
      </w:r>
      <w:r w:rsidR="00BD12BA" w:rsidRPr="000D6387">
        <w:rPr>
          <w:lang w:val="fr-FR"/>
        </w:rPr>
        <w:t>’</w:t>
      </w:r>
      <w:r w:rsidR="00794277" w:rsidRPr="000D6387">
        <w:rPr>
          <w:lang w:val="fr-FR"/>
        </w:rPr>
        <w:t xml:space="preserve">action pour </w:t>
      </w:r>
      <w:r w:rsidR="00794277" w:rsidRPr="00280912">
        <w:rPr>
          <w:lang w:val="fr-FR"/>
        </w:rPr>
        <w:t>2020</w:t>
      </w:r>
      <w:r w:rsidR="00794277" w:rsidRPr="000D6387">
        <w:rPr>
          <w:lang w:val="fr-FR"/>
        </w:rPr>
        <w:t xml:space="preserve"> a été adopté à l</w:t>
      </w:r>
      <w:r w:rsidR="00BD12BA" w:rsidRPr="000D6387">
        <w:rPr>
          <w:lang w:val="fr-FR"/>
        </w:rPr>
        <w:t>’</w:t>
      </w:r>
      <w:r w:rsidR="00794277" w:rsidRPr="000D6387">
        <w:rPr>
          <w:lang w:val="fr-FR"/>
        </w:rPr>
        <w:t>issue d</w:t>
      </w:r>
      <w:r w:rsidR="00BD12BA" w:rsidRPr="000D6387">
        <w:rPr>
          <w:lang w:val="fr-FR"/>
        </w:rPr>
        <w:t>’</w:t>
      </w:r>
      <w:r w:rsidR="00794277" w:rsidRPr="000D6387">
        <w:rPr>
          <w:lang w:val="fr-FR"/>
        </w:rPr>
        <w:t>une réunion ordinaire du Conseil national.</w:t>
      </w:r>
    </w:p>
    <w:p w14:paraId="42731321" w14:textId="4B7D3D7E" w:rsidR="0093250D" w:rsidRPr="000D6387" w:rsidRDefault="0093250D" w:rsidP="0093250D">
      <w:pPr>
        <w:pStyle w:val="SingleTxt"/>
        <w:spacing w:after="0" w:line="120" w:lineRule="exact"/>
        <w:rPr>
          <w:sz w:val="10"/>
          <w:lang w:val="fr-FR"/>
        </w:rPr>
      </w:pPr>
    </w:p>
    <w:p w14:paraId="0A54EA7B" w14:textId="5494A9AB" w:rsidR="00794277" w:rsidRPr="000D6387" w:rsidRDefault="0093250D" w:rsidP="0093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4</w:t>
      </w:r>
      <w:r w:rsidR="00794277" w:rsidRPr="000D6387">
        <w:rPr>
          <w:lang w:val="fr-FR"/>
        </w:rPr>
        <w:t>.</w:t>
      </w:r>
      <w:r w:rsidR="00794277" w:rsidRPr="000D6387">
        <w:rPr>
          <w:lang w:val="fr-FR"/>
        </w:rPr>
        <w:tab/>
        <w:t>Institutions nationales des droits de l</w:t>
      </w:r>
      <w:r w:rsidR="00BD12BA" w:rsidRPr="000D6387">
        <w:rPr>
          <w:lang w:val="fr-FR"/>
        </w:rPr>
        <w:t>’</w:t>
      </w:r>
      <w:r w:rsidR="00794277" w:rsidRPr="000D6387">
        <w:rPr>
          <w:lang w:val="fr-FR"/>
        </w:rPr>
        <w:t>homme</w:t>
      </w:r>
    </w:p>
    <w:p w14:paraId="629C46E5" w14:textId="4457A85C" w:rsidR="0093250D" w:rsidRPr="000D6387" w:rsidRDefault="0093250D" w:rsidP="0093250D">
      <w:pPr>
        <w:pStyle w:val="SingleTxt"/>
        <w:spacing w:after="0" w:line="120" w:lineRule="exact"/>
        <w:rPr>
          <w:sz w:val="10"/>
          <w:lang w:val="fr-FR"/>
        </w:rPr>
      </w:pPr>
    </w:p>
    <w:p w14:paraId="76B4267B" w14:textId="702C0330" w:rsidR="00794277" w:rsidRPr="000D6387" w:rsidRDefault="0093250D" w:rsidP="00794277">
      <w:pPr>
        <w:pStyle w:val="SingleTxt"/>
        <w:rPr>
          <w:bCs/>
          <w:lang w:val="fr-FR"/>
        </w:rPr>
      </w:pPr>
      <w:r w:rsidRPr="000D6387">
        <w:rPr>
          <w:lang w:val="fr-FR"/>
        </w:rPr>
        <w:tab/>
      </w:r>
      <w:r w:rsidR="00794277" w:rsidRPr="000D6387">
        <w:rPr>
          <w:lang w:val="fr-FR"/>
        </w:rPr>
        <w:t>Le statut de Médiateur (Médiatrice) (Akyïkatchy) est consacré par la Constitution, dont l</w:t>
      </w:r>
      <w:r w:rsidR="00BD12BA" w:rsidRPr="000D6387">
        <w:rPr>
          <w:lang w:val="fr-FR"/>
        </w:rPr>
        <w:t>’</w:t>
      </w:r>
      <w:r w:rsidR="00794277" w:rsidRPr="000D6387">
        <w:rPr>
          <w:lang w:val="fr-FR"/>
        </w:rPr>
        <w:t xml:space="preserve">article </w:t>
      </w:r>
      <w:r w:rsidR="00794277" w:rsidRPr="00280912">
        <w:rPr>
          <w:lang w:val="fr-FR"/>
        </w:rPr>
        <w:t>108</w:t>
      </w:r>
      <w:r w:rsidR="00794277" w:rsidRPr="000D6387">
        <w:rPr>
          <w:lang w:val="fr-FR"/>
        </w:rPr>
        <w:t xml:space="preserve"> dispose que le contrôle parlementaire du respect des libertés et des droits humains et civils au Kirghizistan est exercé par le Médiateur ou la Médiatrice.</w:t>
      </w:r>
    </w:p>
    <w:p w14:paraId="7835268E" w14:textId="00ECFD15" w:rsidR="00794277" w:rsidRPr="000D6387" w:rsidRDefault="0093250D" w:rsidP="00794277">
      <w:pPr>
        <w:pStyle w:val="SingleTxt"/>
        <w:rPr>
          <w:lang w:val="fr-FR"/>
        </w:rPr>
      </w:pPr>
      <w:r w:rsidRPr="000D6387">
        <w:rPr>
          <w:lang w:val="fr-FR"/>
        </w:rPr>
        <w:tab/>
      </w:r>
      <w:r w:rsidR="00E76891" w:rsidRPr="000D6387">
        <w:rPr>
          <w:lang w:val="fr-FR"/>
        </w:rPr>
        <w:t>Conformément</w:t>
      </w:r>
      <w:r w:rsidR="00794277" w:rsidRPr="000D6387">
        <w:rPr>
          <w:lang w:val="fr-FR"/>
        </w:rPr>
        <w:t xml:space="preserve"> au principe d</w:t>
      </w:r>
      <w:r w:rsidR="00BD12BA" w:rsidRPr="000D6387">
        <w:rPr>
          <w:lang w:val="fr-FR"/>
        </w:rPr>
        <w:t>’</w:t>
      </w:r>
      <w:r w:rsidR="00794277" w:rsidRPr="000D6387">
        <w:rPr>
          <w:lang w:val="fr-FR"/>
        </w:rPr>
        <w:t>indépendance du Médiateur (de la Médiatrice), celui-ci (celle-ci) soumet des rapports annuels sur le respect des libertés et droits humains et civils au Parlement.</w:t>
      </w:r>
    </w:p>
    <w:p w14:paraId="2A1508C1" w14:textId="32E8504A" w:rsidR="00794277" w:rsidRPr="000D6387" w:rsidRDefault="0093250D" w:rsidP="00794277">
      <w:pPr>
        <w:pStyle w:val="SingleTxt"/>
        <w:rPr>
          <w:lang w:val="fr-FR"/>
        </w:rPr>
      </w:pPr>
      <w:r w:rsidRPr="000D6387">
        <w:rPr>
          <w:lang w:val="fr-FR"/>
        </w:rPr>
        <w:tab/>
      </w:r>
      <w:r w:rsidR="00794277" w:rsidRPr="000D6387">
        <w:rPr>
          <w:lang w:val="fr-FR"/>
        </w:rPr>
        <w:t>Toutefois, la loi en vigueur sur le Médiateur (la Médiatrice) de la République kirghize contient une disposition contraire aux normes du droit international en application desquelles la fonction a été établie, plus particulièrement les Principes concernant le statut des institutions nationales pour la promotion et la protection des droits de l</w:t>
      </w:r>
      <w:r w:rsidR="00BD12BA" w:rsidRPr="000D6387">
        <w:rPr>
          <w:lang w:val="fr-FR"/>
        </w:rPr>
        <w:t>’</w:t>
      </w:r>
      <w:r w:rsidR="00794277" w:rsidRPr="000D6387">
        <w:rPr>
          <w:lang w:val="fr-FR"/>
        </w:rPr>
        <w:t>homme (Principes de Paris) et les Principes de Belgrade sur les relations entre les institutions nationales des droits de l</w:t>
      </w:r>
      <w:r w:rsidR="00BD12BA" w:rsidRPr="000D6387">
        <w:rPr>
          <w:lang w:val="fr-FR"/>
        </w:rPr>
        <w:t>’</w:t>
      </w:r>
      <w:r w:rsidR="00794277" w:rsidRPr="000D6387">
        <w:rPr>
          <w:lang w:val="fr-FR"/>
        </w:rPr>
        <w:t>homme et les parlements.</w:t>
      </w:r>
    </w:p>
    <w:p w14:paraId="03FD8EA3" w14:textId="2AEBF6A6" w:rsidR="00794277" w:rsidRPr="000D6387" w:rsidRDefault="0093250D" w:rsidP="00794277">
      <w:pPr>
        <w:pStyle w:val="SingleTxt"/>
        <w:rPr>
          <w:lang w:val="fr-FR"/>
        </w:rPr>
      </w:pPr>
      <w:r w:rsidRPr="000D6387">
        <w:rPr>
          <w:lang w:val="fr-FR"/>
        </w:rPr>
        <w:tab/>
      </w:r>
      <w:r w:rsidR="00794277" w:rsidRPr="000D6387">
        <w:rPr>
          <w:lang w:val="fr-FR"/>
        </w:rPr>
        <w:t xml:space="preserve">La disposition en question figure au paragraphe </w:t>
      </w:r>
      <w:r w:rsidR="00794277" w:rsidRPr="00280912">
        <w:rPr>
          <w:lang w:val="fr-FR"/>
        </w:rPr>
        <w:t>7</w:t>
      </w:r>
      <w:r w:rsidR="00794277" w:rsidRPr="000D6387">
        <w:rPr>
          <w:lang w:val="fr-FR"/>
        </w:rPr>
        <w:t xml:space="preserve"> de l</w:t>
      </w:r>
      <w:r w:rsidR="00BD12BA" w:rsidRPr="000D6387">
        <w:rPr>
          <w:lang w:val="fr-FR"/>
        </w:rPr>
        <w:t>’</w:t>
      </w:r>
      <w:r w:rsidR="00794277" w:rsidRPr="000D6387">
        <w:rPr>
          <w:lang w:val="fr-FR"/>
        </w:rPr>
        <w:t xml:space="preserve">article </w:t>
      </w:r>
      <w:r w:rsidR="00794277" w:rsidRPr="00280912">
        <w:rPr>
          <w:lang w:val="fr-FR"/>
        </w:rPr>
        <w:t>7</w:t>
      </w:r>
      <w:r w:rsidR="00794277" w:rsidRPr="000D6387">
        <w:rPr>
          <w:lang w:val="fr-FR"/>
        </w:rPr>
        <w:t xml:space="preserve"> de ladite loi et dispose que la non-approbation du rapport annuel par le Parlement peut être un motif de dénonciation anticipée du mandat du Médiateur ou de la Médiatrice.</w:t>
      </w:r>
    </w:p>
    <w:p w14:paraId="3155B15F" w14:textId="4E0B05FF" w:rsidR="00794277" w:rsidRPr="000D6387" w:rsidRDefault="0093250D" w:rsidP="00794277">
      <w:pPr>
        <w:pStyle w:val="SingleTxt"/>
        <w:rPr>
          <w:lang w:val="fr-FR"/>
        </w:rPr>
      </w:pPr>
      <w:r w:rsidRPr="000D6387">
        <w:rPr>
          <w:lang w:val="fr-FR"/>
        </w:rPr>
        <w:tab/>
      </w:r>
      <w:r w:rsidR="00794277" w:rsidRPr="000D6387">
        <w:rPr>
          <w:lang w:val="fr-FR"/>
        </w:rPr>
        <w:t>En outre, le Médiateur ou la Médiatrice peut être destitué(e) de façon anticipée s</w:t>
      </w:r>
      <w:r w:rsidR="00BD12BA" w:rsidRPr="000D6387">
        <w:rPr>
          <w:lang w:val="fr-FR"/>
        </w:rPr>
        <w:t>’</w:t>
      </w:r>
      <w:r w:rsidR="00794277" w:rsidRPr="000D6387">
        <w:rPr>
          <w:lang w:val="fr-FR"/>
        </w:rPr>
        <w:t>il ou elle trahit son serment. Compte tenu de ces circonstances, l</w:t>
      </w:r>
      <w:r w:rsidR="00BD12BA" w:rsidRPr="000D6387">
        <w:rPr>
          <w:lang w:val="fr-FR"/>
        </w:rPr>
        <w:t>’</w:t>
      </w:r>
      <w:r w:rsidR="00794277" w:rsidRPr="000D6387">
        <w:rPr>
          <w:lang w:val="fr-FR"/>
        </w:rPr>
        <w:t>Alliance globale des institutions nationales des droits de l</w:t>
      </w:r>
      <w:r w:rsidR="00BD12BA" w:rsidRPr="000D6387">
        <w:rPr>
          <w:lang w:val="fr-FR"/>
        </w:rPr>
        <w:t>’</w:t>
      </w:r>
      <w:r w:rsidR="00794277" w:rsidRPr="000D6387">
        <w:rPr>
          <w:lang w:val="fr-FR"/>
        </w:rPr>
        <w:t>homme a attribué le statut B à l</w:t>
      </w:r>
      <w:r w:rsidR="00BD12BA" w:rsidRPr="000D6387">
        <w:rPr>
          <w:lang w:val="fr-FR"/>
        </w:rPr>
        <w:t>’</w:t>
      </w:r>
      <w:r w:rsidR="00794277" w:rsidRPr="000D6387">
        <w:rPr>
          <w:lang w:val="fr-FR"/>
        </w:rPr>
        <w:t xml:space="preserve">institution kirghize, ce qui signifie que les Principes de Paris sont partiellement respectés. </w:t>
      </w:r>
    </w:p>
    <w:p w14:paraId="3F825F28" w14:textId="5C3550C8" w:rsidR="00794277" w:rsidRPr="000D6387" w:rsidRDefault="0093250D" w:rsidP="00794277">
      <w:pPr>
        <w:pStyle w:val="SingleTxt"/>
        <w:rPr>
          <w:lang w:val="fr-FR"/>
        </w:rPr>
      </w:pPr>
      <w:r w:rsidRPr="000D6387">
        <w:rPr>
          <w:lang w:val="fr-FR"/>
        </w:rPr>
        <w:tab/>
      </w:r>
      <w:r w:rsidR="00794277" w:rsidRPr="000D6387">
        <w:rPr>
          <w:lang w:val="fr-FR"/>
        </w:rPr>
        <w:t xml:space="preserve">Au printemps </w:t>
      </w:r>
      <w:r w:rsidR="00794277" w:rsidRPr="00280912">
        <w:rPr>
          <w:lang w:val="fr-FR"/>
        </w:rPr>
        <w:t>2018</w:t>
      </w:r>
      <w:r w:rsidR="00794277" w:rsidRPr="000D6387">
        <w:rPr>
          <w:lang w:val="fr-FR"/>
        </w:rPr>
        <w:t>, les membres du Parlement ont rédigé un nouveau projet de loi sur le Médiateur (la Médiatrice), qui a été adopté en première lecture.</w:t>
      </w:r>
    </w:p>
    <w:p w14:paraId="07894C9D" w14:textId="1D022DA9" w:rsidR="00794277" w:rsidRPr="000D6387" w:rsidRDefault="0093250D" w:rsidP="00794277">
      <w:pPr>
        <w:pStyle w:val="SingleTxt"/>
        <w:rPr>
          <w:lang w:val="fr-FR"/>
        </w:rPr>
      </w:pPr>
      <w:r w:rsidRPr="000D6387">
        <w:rPr>
          <w:lang w:val="fr-FR"/>
        </w:rPr>
        <w:tab/>
      </w:r>
      <w:r w:rsidR="00794277" w:rsidRPr="000D6387">
        <w:rPr>
          <w:lang w:val="fr-FR"/>
        </w:rPr>
        <w:t xml:space="preserve">En </w:t>
      </w:r>
      <w:r w:rsidR="00794277" w:rsidRPr="00280912">
        <w:rPr>
          <w:lang w:val="fr-FR"/>
        </w:rPr>
        <w:t>2019</w:t>
      </w:r>
      <w:r w:rsidR="00794277" w:rsidRPr="000D6387">
        <w:rPr>
          <w:lang w:val="fr-FR"/>
        </w:rPr>
        <w:t>, après avoir réexaminé le projet de loi, le Bureau du Médiateur a toutefois demandé que celui-ci soit rejeté, car sa teneur n</w:t>
      </w:r>
      <w:r w:rsidR="00BD12BA" w:rsidRPr="000D6387">
        <w:rPr>
          <w:lang w:val="fr-FR"/>
        </w:rPr>
        <w:t>’</w:t>
      </w:r>
      <w:r w:rsidR="00794277" w:rsidRPr="000D6387">
        <w:rPr>
          <w:lang w:val="fr-FR"/>
        </w:rPr>
        <w:t>était globalement pas conforme aux dispositions fondamentales des principes concernant le statut des institutions nationales pour la promotion et la protection des droits de l</w:t>
      </w:r>
      <w:r w:rsidR="00BD12BA" w:rsidRPr="000D6387">
        <w:rPr>
          <w:lang w:val="fr-FR"/>
        </w:rPr>
        <w:t>’</w:t>
      </w:r>
      <w:r w:rsidR="00794277" w:rsidRPr="000D6387">
        <w:rPr>
          <w:lang w:val="fr-FR"/>
        </w:rPr>
        <w:t>homme (Principes de Paris, adoptés par l</w:t>
      </w:r>
      <w:r w:rsidR="00BD12BA" w:rsidRPr="000D6387">
        <w:rPr>
          <w:lang w:val="fr-FR"/>
        </w:rPr>
        <w:t>’</w:t>
      </w:r>
      <w:r w:rsidR="00794277" w:rsidRPr="000D6387">
        <w:rPr>
          <w:lang w:val="fr-FR"/>
        </w:rPr>
        <w:t xml:space="preserve">Assemblée générale dans sa résolution </w:t>
      </w:r>
      <w:hyperlink r:id="rId17" w:history="1">
        <w:r w:rsidR="00794277" w:rsidRPr="00280912">
          <w:rPr>
            <w:rStyle w:val="Hyperlink"/>
            <w:lang w:val="fr-FR"/>
          </w:rPr>
          <w:t>48/134</w:t>
        </w:r>
      </w:hyperlink>
      <w:r w:rsidR="00794277" w:rsidRPr="000D6387">
        <w:rPr>
          <w:lang w:val="fr-FR"/>
        </w:rPr>
        <w:t>, et Principes de Belgrade, adoptés conformément à la Charte des Nations Unies, à la Déclaration universelle des droits de l</w:t>
      </w:r>
      <w:r w:rsidR="00BD12BA" w:rsidRPr="000D6387">
        <w:rPr>
          <w:lang w:val="fr-FR"/>
        </w:rPr>
        <w:t>’</w:t>
      </w:r>
      <w:r w:rsidR="00794277" w:rsidRPr="000D6387">
        <w:rPr>
          <w:lang w:val="fr-FR"/>
        </w:rPr>
        <w:t xml:space="preserve">homme, aux résolutions </w:t>
      </w:r>
      <w:hyperlink r:id="rId18" w:history="1">
        <w:r w:rsidR="00794277" w:rsidRPr="00280912">
          <w:rPr>
            <w:rStyle w:val="Hyperlink"/>
            <w:lang w:val="fr-FR"/>
          </w:rPr>
          <w:t>63/169</w:t>
        </w:r>
      </w:hyperlink>
      <w:r w:rsidR="00794277" w:rsidRPr="000D6387">
        <w:rPr>
          <w:lang w:val="fr-FR"/>
        </w:rPr>
        <w:t xml:space="preserve"> et </w:t>
      </w:r>
      <w:hyperlink r:id="rId19" w:history="1">
        <w:r w:rsidR="00794277" w:rsidRPr="00280912">
          <w:rPr>
            <w:rStyle w:val="Hyperlink"/>
            <w:lang w:val="fr-FR"/>
          </w:rPr>
          <w:t>65/207</w:t>
        </w:r>
      </w:hyperlink>
      <w:r w:rsidR="00794277" w:rsidRPr="000D6387">
        <w:rPr>
          <w:lang w:val="fr-FR"/>
        </w:rPr>
        <w:t xml:space="preserve"> de l</w:t>
      </w:r>
      <w:r w:rsidR="00BD12BA" w:rsidRPr="000D6387">
        <w:rPr>
          <w:lang w:val="fr-FR"/>
        </w:rPr>
        <w:t>’</w:t>
      </w:r>
      <w:r w:rsidR="00794277" w:rsidRPr="000D6387">
        <w:rPr>
          <w:lang w:val="fr-FR"/>
        </w:rPr>
        <w:t>Assemblée générale sur le rôle de l</w:t>
      </w:r>
      <w:r w:rsidR="00BD12BA" w:rsidRPr="000D6387">
        <w:rPr>
          <w:lang w:val="fr-FR"/>
        </w:rPr>
        <w:t>’</w:t>
      </w:r>
      <w:r w:rsidR="00794277" w:rsidRPr="000D6387">
        <w:rPr>
          <w:lang w:val="fr-FR"/>
        </w:rPr>
        <w:t>ombudsman, du médiateur et des autres institutions nationales de défense des droits de l</w:t>
      </w:r>
      <w:r w:rsidR="00BD12BA" w:rsidRPr="000D6387">
        <w:rPr>
          <w:lang w:val="fr-FR"/>
        </w:rPr>
        <w:t>’</w:t>
      </w:r>
      <w:r w:rsidR="00794277" w:rsidRPr="000D6387">
        <w:rPr>
          <w:lang w:val="fr-FR"/>
        </w:rPr>
        <w:t>homme dans la promotion et la protection des droits de l</w:t>
      </w:r>
      <w:r w:rsidR="00BD12BA" w:rsidRPr="000D6387">
        <w:rPr>
          <w:lang w:val="fr-FR"/>
        </w:rPr>
        <w:t>’</w:t>
      </w:r>
      <w:r w:rsidR="00794277" w:rsidRPr="000D6387">
        <w:rPr>
          <w:lang w:val="fr-FR"/>
        </w:rPr>
        <w:t xml:space="preserve">homme, aux résolutions </w:t>
      </w:r>
      <w:hyperlink r:id="rId20" w:history="1">
        <w:r w:rsidR="00794277" w:rsidRPr="00280912">
          <w:rPr>
            <w:rStyle w:val="Hyperlink"/>
            <w:lang w:val="fr-FR"/>
          </w:rPr>
          <w:t>63/172</w:t>
        </w:r>
      </w:hyperlink>
      <w:r w:rsidR="00794277" w:rsidRPr="000D6387">
        <w:rPr>
          <w:lang w:val="fr-FR"/>
        </w:rPr>
        <w:t xml:space="preserve"> et </w:t>
      </w:r>
      <w:hyperlink r:id="rId21" w:history="1">
        <w:r w:rsidR="00794277" w:rsidRPr="00280912">
          <w:rPr>
            <w:rStyle w:val="Hyperlink"/>
            <w:lang w:val="fr-FR"/>
          </w:rPr>
          <w:t>64/161</w:t>
        </w:r>
      </w:hyperlink>
      <w:r w:rsidR="00794277" w:rsidRPr="000D6387">
        <w:rPr>
          <w:lang w:val="fr-FR"/>
        </w:rPr>
        <w:t xml:space="preserve"> sur les institutions nationales pour la promotion et la protection des droits de l</w:t>
      </w:r>
      <w:r w:rsidR="00BD12BA" w:rsidRPr="000D6387">
        <w:rPr>
          <w:lang w:val="fr-FR"/>
        </w:rPr>
        <w:t>’</w:t>
      </w:r>
      <w:r w:rsidR="00794277" w:rsidRPr="000D6387">
        <w:rPr>
          <w:lang w:val="fr-FR"/>
        </w:rPr>
        <w:t xml:space="preserve">homme, et à la résolution </w:t>
      </w:r>
      <w:hyperlink r:id="rId22" w:history="1">
        <w:r w:rsidR="00794277" w:rsidRPr="00280912">
          <w:rPr>
            <w:rStyle w:val="Hyperlink"/>
            <w:lang w:val="fr-FR"/>
          </w:rPr>
          <w:t>17/9</w:t>
        </w:r>
      </w:hyperlink>
      <w:r w:rsidR="00794277" w:rsidRPr="000D6387">
        <w:rPr>
          <w:lang w:val="fr-FR"/>
        </w:rPr>
        <w:t xml:space="preserve"> du Conseil des droits de l</w:t>
      </w:r>
      <w:r w:rsidR="00BD12BA" w:rsidRPr="000D6387">
        <w:rPr>
          <w:lang w:val="fr-FR"/>
        </w:rPr>
        <w:t>’</w:t>
      </w:r>
      <w:r w:rsidR="00794277" w:rsidRPr="000D6387">
        <w:rPr>
          <w:lang w:val="fr-FR"/>
        </w:rPr>
        <w:t>homme sur les institutions nationales de promotion et de protection des droits de l</w:t>
      </w:r>
      <w:r w:rsidR="00BD12BA" w:rsidRPr="000D6387">
        <w:rPr>
          <w:lang w:val="fr-FR"/>
        </w:rPr>
        <w:t>’</w:t>
      </w:r>
      <w:r w:rsidR="00794277" w:rsidRPr="000D6387">
        <w:rPr>
          <w:lang w:val="fr-FR"/>
        </w:rPr>
        <w:t>homme).</w:t>
      </w:r>
    </w:p>
    <w:p w14:paraId="394CD6A9" w14:textId="201E9786" w:rsidR="00794277" w:rsidRPr="000D6387" w:rsidRDefault="0093250D" w:rsidP="00794277">
      <w:pPr>
        <w:pStyle w:val="SingleTxt"/>
        <w:rPr>
          <w:lang w:val="fr-FR"/>
        </w:rPr>
      </w:pPr>
      <w:r w:rsidRPr="000D6387">
        <w:rPr>
          <w:lang w:val="fr-FR"/>
        </w:rPr>
        <w:tab/>
      </w:r>
      <w:r w:rsidR="00794277" w:rsidRPr="000D6387">
        <w:rPr>
          <w:lang w:val="fr-FR"/>
        </w:rPr>
        <w:t>De plus, le projet de loi ne prévoit pas que les modifications voulues soient apportées aux lois et codes adoptés dans le cadre de la réforme judiciaire et juridique, qui ne permettra pas non plus un réel contrôle parlementaire du respect des libertés et droits humains et civils, même si le projet de loi est adopté.</w:t>
      </w:r>
    </w:p>
    <w:p w14:paraId="53D3F101" w14:textId="50A7A69A" w:rsidR="00794277" w:rsidRPr="000D6387" w:rsidRDefault="0093250D" w:rsidP="00794277">
      <w:pPr>
        <w:pStyle w:val="SingleTxt"/>
        <w:rPr>
          <w:lang w:val="fr-FR"/>
        </w:rPr>
      </w:pPr>
      <w:r w:rsidRPr="000D6387">
        <w:rPr>
          <w:lang w:val="fr-FR"/>
        </w:rPr>
        <w:tab/>
      </w:r>
      <w:r w:rsidR="00794277" w:rsidRPr="000D6387">
        <w:rPr>
          <w:lang w:val="fr-FR"/>
        </w:rPr>
        <w:t xml:space="preserve">À cet égard, le Bureau du Médiateur a rédigé, conjointement avec des membres du Parlement et du Gouvernement, des projets de loi modifiant et complétant ces lois et codes. </w:t>
      </w:r>
    </w:p>
    <w:p w14:paraId="04D18484" w14:textId="667BE69E" w:rsidR="00794277" w:rsidRPr="000D6387" w:rsidRDefault="0093250D" w:rsidP="00794277">
      <w:pPr>
        <w:pStyle w:val="SingleTxt"/>
        <w:rPr>
          <w:lang w:val="fr-FR"/>
        </w:rPr>
      </w:pPr>
      <w:r w:rsidRPr="000D6387">
        <w:rPr>
          <w:lang w:val="fr-FR"/>
        </w:rPr>
        <w:tab/>
      </w:r>
      <w:r w:rsidR="00794277" w:rsidRPr="000D6387">
        <w:rPr>
          <w:lang w:val="fr-FR"/>
        </w:rPr>
        <w:t>Il est prévu dans un deuxième temps d</w:t>
      </w:r>
      <w:r w:rsidR="00BD12BA" w:rsidRPr="000D6387">
        <w:rPr>
          <w:lang w:val="fr-FR"/>
        </w:rPr>
        <w:t>’</w:t>
      </w:r>
      <w:r w:rsidR="00794277" w:rsidRPr="000D6387">
        <w:rPr>
          <w:lang w:val="fr-FR"/>
        </w:rPr>
        <w:t xml:space="preserve">adopter une loi constitutionnelle relative au Médiateur (à la Médiatrice). </w:t>
      </w:r>
    </w:p>
    <w:p w14:paraId="74D56490" w14:textId="40673640" w:rsidR="00794277" w:rsidRPr="000D6387" w:rsidRDefault="0093250D" w:rsidP="00794277">
      <w:pPr>
        <w:pStyle w:val="SingleTxt"/>
        <w:rPr>
          <w:lang w:val="fr-FR"/>
        </w:rPr>
      </w:pPr>
      <w:r w:rsidRPr="000D6387">
        <w:rPr>
          <w:lang w:val="fr-FR"/>
        </w:rPr>
        <w:tab/>
      </w:r>
      <w:r w:rsidR="00794277" w:rsidRPr="000D6387">
        <w:rPr>
          <w:lang w:val="fr-FR"/>
        </w:rPr>
        <w:t>Par ailleurs, en vertu de la loi sur le Médiateur (la Médiatrice), un adjoint ou une adjointe est chargé(e) de suivre les questions liées à la protection des droits des femmes. Le département de la protection des droits des enfants, des femmes et des familles est une entité indépendante du Bureau du Médiateur qui aide ce dernier à veiller au respect des droits, des libertés et des intérêts légitimes de des enfants, des femmes et des familles.</w:t>
      </w:r>
    </w:p>
    <w:p w14:paraId="397FD363" w14:textId="12AE54E9" w:rsidR="00794277" w:rsidRPr="000D6387" w:rsidRDefault="0093250D" w:rsidP="00794277">
      <w:pPr>
        <w:pStyle w:val="SingleTxt"/>
        <w:rPr>
          <w:lang w:val="fr-FR"/>
        </w:rPr>
      </w:pPr>
      <w:r w:rsidRPr="000D6387">
        <w:rPr>
          <w:lang w:val="fr-FR"/>
        </w:rPr>
        <w:tab/>
      </w:r>
      <w:r w:rsidR="00794277" w:rsidRPr="000D6387">
        <w:rPr>
          <w:lang w:val="fr-FR"/>
        </w:rPr>
        <w:t>Le Bureau du Médiateur a conclu un mémorandum de coopération avec le Centre de coordination de l</w:t>
      </w:r>
      <w:r w:rsidR="00BD12BA" w:rsidRPr="000D6387">
        <w:rPr>
          <w:lang w:val="fr-FR"/>
        </w:rPr>
        <w:t>’</w:t>
      </w:r>
      <w:r w:rsidR="00794277" w:rsidRPr="000D6387">
        <w:rPr>
          <w:lang w:val="fr-FR"/>
        </w:rPr>
        <w:t>aide juridictionnelle afin d</w:t>
      </w:r>
      <w:r w:rsidR="00BD12BA" w:rsidRPr="000D6387">
        <w:rPr>
          <w:lang w:val="fr-FR"/>
        </w:rPr>
        <w:t>’</w:t>
      </w:r>
      <w:r w:rsidR="00794277" w:rsidRPr="000D6387">
        <w:rPr>
          <w:lang w:val="fr-FR"/>
        </w:rPr>
        <w:t>instaurer une coopération effective aux fins du développement du système d</w:t>
      </w:r>
      <w:r w:rsidR="00BD12BA" w:rsidRPr="000D6387">
        <w:rPr>
          <w:lang w:val="fr-FR"/>
        </w:rPr>
        <w:t>’</w:t>
      </w:r>
      <w:r w:rsidR="00794277" w:rsidRPr="000D6387">
        <w:rPr>
          <w:lang w:val="fr-FR"/>
        </w:rPr>
        <w:t xml:space="preserve">aide juridictionnelle destiné aux femmes en situation difficile. </w:t>
      </w:r>
    </w:p>
    <w:p w14:paraId="77DD462B" w14:textId="55BC4D54" w:rsidR="00794277" w:rsidRPr="000D6387" w:rsidRDefault="0093250D" w:rsidP="00794277">
      <w:pPr>
        <w:pStyle w:val="SingleTxt"/>
        <w:rPr>
          <w:lang w:val="fr-FR"/>
        </w:rPr>
      </w:pPr>
      <w:r w:rsidRPr="000D6387">
        <w:rPr>
          <w:lang w:val="fr-FR"/>
        </w:rPr>
        <w:tab/>
      </w:r>
      <w:r w:rsidR="00794277" w:rsidRPr="000D6387">
        <w:rPr>
          <w:lang w:val="fr-FR"/>
        </w:rPr>
        <w:t xml:space="preserve">Il a également conclu un mémorandum de coopération avec le Centre associatif de crise « Sezim » aux fins de la protection des droits et intérêts des femmes et des familles dans tous les domaines de la vie. </w:t>
      </w:r>
    </w:p>
    <w:p w14:paraId="7ED9CB37" w14:textId="68CB8F06" w:rsidR="00794277" w:rsidRPr="000D6387" w:rsidRDefault="0093250D" w:rsidP="00794277">
      <w:pPr>
        <w:pStyle w:val="SingleTxt"/>
        <w:rPr>
          <w:lang w:val="fr-FR"/>
        </w:rPr>
      </w:pPr>
      <w:r w:rsidRPr="000D6387">
        <w:rPr>
          <w:lang w:val="fr-FR"/>
        </w:rPr>
        <w:tab/>
      </w:r>
      <w:r w:rsidR="00794277" w:rsidRPr="000D6387">
        <w:rPr>
          <w:lang w:val="fr-FR"/>
        </w:rPr>
        <w:t>Il entretient en outre une collaboration permanente avec de nombreuses organisations non gouvernementales, telles que le mouvement de défense des droits humains «</w:t>
      </w:r>
      <w:r w:rsidR="00BD12BA" w:rsidRPr="000D6387">
        <w:rPr>
          <w:lang w:val="fr-FR"/>
        </w:rPr>
        <w:t> </w:t>
      </w:r>
      <w:r w:rsidR="00794277" w:rsidRPr="000D6387">
        <w:rPr>
          <w:lang w:val="fr-FR"/>
        </w:rPr>
        <w:t>Bir Duina Kyrgyzstan</w:t>
      </w:r>
      <w:r w:rsidR="00BD12BA" w:rsidRPr="000D6387">
        <w:rPr>
          <w:lang w:val="fr-FR"/>
        </w:rPr>
        <w:t> </w:t>
      </w:r>
      <w:r w:rsidR="00794277" w:rsidRPr="000D6387">
        <w:rPr>
          <w:lang w:val="fr-FR"/>
        </w:rPr>
        <w:t>», le Centre de solidarité de Bichkek, l</w:t>
      </w:r>
      <w:r w:rsidR="00BD12BA" w:rsidRPr="000D6387">
        <w:rPr>
          <w:lang w:val="fr-FR"/>
        </w:rPr>
        <w:t>’</w:t>
      </w:r>
      <w:r w:rsidR="00794277" w:rsidRPr="000D6387">
        <w:rPr>
          <w:lang w:val="fr-FR"/>
        </w:rPr>
        <w:t>Alliance pour la santé procréative et d</w:t>
      </w:r>
      <w:r w:rsidR="00BD12BA" w:rsidRPr="000D6387">
        <w:rPr>
          <w:lang w:val="fr-FR"/>
        </w:rPr>
        <w:t>’</w:t>
      </w:r>
      <w:r w:rsidR="00794277" w:rsidRPr="000D6387">
        <w:rPr>
          <w:lang w:val="fr-FR"/>
        </w:rPr>
        <w:t>autres organisations de défense des droits des femmes.</w:t>
      </w:r>
    </w:p>
    <w:p w14:paraId="2BDAFA27" w14:textId="77777777" w:rsidR="0093250D" w:rsidRPr="000D6387" w:rsidRDefault="0093250D" w:rsidP="0093250D">
      <w:pPr>
        <w:pStyle w:val="SingleTxt"/>
        <w:spacing w:after="0" w:line="120" w:lineRule="exact"/>
        <w:rPr>
          <w:sz w:val="10"/>
          <w:lang w:val="fr-FR"/>
        </w:rPr>
      </w:pPr>
    </w:p>
    <w:p w14:paraId="0455F6E5" w14:textId="0ABB6B49" w:rsidR="00794277" w:rsidRPr="000D6387" w:rsidRDefault="0093250D" w:rsidP="0093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5</w:t>
      </w:r>
      <w:r w:rsidR="00794277" w:rsidRPr="000D6387">
        <w:rPr>
          <w:lang w:val="fr-FR"/>
        </w:rPr>
        <w:t>.</w:t>
      </w:r>
      <w:r w:rsidR="00794277" w:rsidRPr="000D6387">
        <w:rPr>
          <w:lang w:val="fr-FR"/>
        </w:rPr>
        <w:tab/>
        <w:t>Mesures temporaires spéciales</w:t>
      </w:r>
    </w:p>
    <w:p w14:paraId="17B0A4D3" w14:textId="77777777" w:rsidR="0093250D" w:rsidRPr="000D6387" w:rsidRDefault="0093250D" w:rsidP="0093250D">
      <w:pPr>
        <w:pStyle w:val="SingleTxt"/>
        <w:spacing w:after="0" w:line="120" w:lineRule="exact"/>
        <w:rPr>
          <w:sz w:val="10"/>
          <w:lang w:val="fr-FR"/>
        </w:rPr>
      </w:pPr>
    </w:p>
    <w:p w14:paraId="70ED50AF" w14:textId="033A8332" w:rsidR="00794277" w:rsidRPr="000D6387" w:rsidRDefault="0093250D" w:rsidP="00794277">
      <w:pPr>
        <w:pStyle w:val="SingleTxt"/>
        <w:rPr>
          <w:lang w:val="fr-FR"/>
        </w:rPr>
      </w:pPr>
      <w:r w:rsidRPr="000D6387">
        <w:rPr>
          <w:lang w:val="fr-FR"/>
        </w:rPr>
        <w:tab/>
      </w:r>
      <w:r w:rsidR="00794277" w:rsidRPr="000D6387">
        <w:rPr>
          <w:lang w:val="fr-FR"/>
        </w:rPr>
        <w:t>Le Kirghizistan dispose d</w:t>
      </w:r>
      <w:r w:rsidR="00BD12BA" w:rsidRPr="000D6387">
        <w:rPr>
          <w:lang w:val="fr-FR"/>
        </w:rPr>
        <w:t>’</w:t>
      </w:r>
      <w:r w:rsidR="00794277" w:rsidRPr="000D6387">
        <w:rPr>
          <w:lang w:val="fr-FR"/>
        </w:rPr>
        <w:t>une cadre juridique relativement progressif pour assurer l</w:t>
      </w:r>
      <w:r w:rsidR="00BD12BA" w:rsidRPr="000D6387">
        <w:rPr>
          <w:lang w:val="fr-FR"/>
        </w:rPr>
        <w:t>’</w:t>
      </w:r>
      <w:r w:rsidR="00794277" w:rsidRPr="000D6387">
        <w:rPr>
          <w:lang w:val="fr-FR"/>
        </w:rPr>
        <w:t>égalité des genres, notamment des normes constitutionnelles, des traités internationaux et des lois sur l</w:t>
      </w:r>
      <w:r w:rsidR="00BD12BA" w:rsidRPr="000D6387">
        <w:rPr>
          <w:lang w:val="fr-FR"/>
        </w:rPr>
        <w:t>’</w:t>
      </w:r>
      <w:r w:rsidR="00794277" w:rsidRPr="000D6387">
        <w:rPr>
          <w:lang w:val="fr-FR"/>
        </w:rPr>
        <w:t>égalité des genres. Parmi les textes les plus importants, on peut citer la loi sur les garanties de l</w:t>
      </w:r>
      <w:r w:rsidR="00BD12BA" w:rsidRPr="000D6387">
        <w:rPr>
          <w:lang w:val="fr-FR"/>
        </w:rPr>
        <w:t>’</w:t>
      </w:r>
      <w:r w:rsidR="00794277" w:rsidRPr="000D6387">
        <w:rPr>
          <w:lang w:val="fr-FR"/>
        </w:rPr>
        <w:t>État relatives à l</w:t>
      </w:r>
      <w:r w:rsidR="00BD12BA" w:rsidRPr="000D6387">
        <w:rPr>
          <w:lang w:val="fr-FR"/>
        </w:rPr>
        <w:t>’</w:t>
      </w:r>
      <w:r w:rsidR="00794277" w:rsidRPr="000D6387">
        <w:rPr>
          <w:lang w:val="fr-FR"/>
        </w:rPr>
        <w:t>égalité des droits et des chances des femmes et des hommes et la loi sur la protection et la lutte contre la violence domestique. Force est toutefois de constater qu</w:t>
      </w:r>
      <w:r w:rsidR="00BD12BA" w:rsidRPr="000D6387">
        <w:rPr>
          <w:lang w:val="fr-FR"/>
        </w:rPr>
        <w:t>’</w:t>
      </w:r>
      <w:r w:rsidR="00794277" w:rsidRPr="000D6387">
        <w:rPr>
          <w:lang w:val="fr-FR"/>
        </w:rPr>
        <w:t>il reste difficile de parvenir à l</w:t>
      </w:r>
      <w:r w:rsidR="00BD12BA" w:rsidRPr="000D6387">
        <w:rPr>
          <w:lang w:val="fr-FR"/>
        </w:rPr>
        <w:t>’</w:t>
      </w:r>
      <w:r w:rsidR="00794277" w:rsidRPr="000D6387">
        <w:rPr>
          <w:lang w:val="fr-FR"/>
        </w:rPr>
        <w:t>égalité des genres dans les faits. Le mouvement des femmes du Kirghizistan a connu d</w:t>
      </w:r>
      <w:r w:rsidR="00BD12BA" w:rsidRPr="000D6387">
        <w:rPr>
          <w:lang w:val="fr-FR"/>
        </w:rPr>
        <w:t>’</w:t>
      </w:r>
      <w:r w:rsidR="00794277" w:rsidRPr="000D6387">
        <w:rPr>
          <w:lang w:val="fr-FR"/>
        </w:rPr>
        <w:t>importants succès dans le cadre de l</w:t>
      </w:r>
      <w:r w:rsidR="00BD12BA" w:rsidRPr="000D6387">
        <w:rPr>
          <w:lang w:val="fr-FR"/>
        </w:rPr>
        <w:t>’</w:t>
      </w:r>
      <w:r w:rsidR="00794277" w:rsidRPr="000D6387">
        <w:rPr>
          <w:lang w:val="fr-FR"/>
        </w:rPr>
        <w:t>action menée en vue de parvenir à l</w:t>
      </w:r>
      <w:r w:rsidR="00BD12BA" w:rsidRPr="000D6387">
        <w:rPr>
          <w:lang w:val="fr-FR"/>
        </w:rPr>
        <w:t>’</w:t>
      </w:r>
      <w:r w:rsidR="00794277" w:rsidRPr="000D6387">
        <w:rPr>
          <w:lang w:val="fr-FR"/>
        </w:rPr>
        <w:t xml:space="preserve">égalité des genres au cours des dix dernières années, mais les femmes sont toujours sous-représentées dans la prise de décisions. </w:t>
      </w:r>
    </w:p>
    <w:p w14:paraId="5B3D2AD4" w14:textId="6FF670CF" w:rsidR="00794277" w:rsidRPr="000D6387" w:rsidRDefault="0093250D" w:rsidP="00794277">
      <w:pPr>
        <w:pStyle w:val="SingleTxt"/>
        <w:rPr>
          <w:lang w:val="fr-FR"/>
        </w:rPr>
      </w:pPr>
      <w:r w:rsidRPr="000D6387">
        <w:rPr>
          <w:lang w:val="fr-FR"/>
        </w:rPr>
        <w:tab/>
      </w:r>
      <w:r w:rsidR="00794277" w:rsidRPr="000D6387">
        <w:rPr>
          <w:lang w:val="fr-FR"/>
        </w:rPr>
        <w:t xml:space="preserve">Les indicateurs de la participation des femmes à la vie politique, plus particulièrement la représentation des femmes aux postes de décision, reflètent clairement des inégalités. </w:t>
      </w:r>
    </w:p>
    <w:p w14:paraId="54A0FE86" w14:textId="5717A2F2" w:rsidR="00794277" w:rsidRPr="000D6387" w:rsidRDefault="0093250D" w:rsidP="00794277">
      <w:pPr>
        <w:pStyle w:val="SingleTxt"/>
        <w:rPr>
          <w:lang w:val="fr-FR"/>
        </w:rPr>
      </w:pPr>
      <w:r w:rsidRPr="000D6387">
        <w:rPr>
          <w:lang w:val="fr-FR"/>
        </w:rPr>
        <w:tab/>
      </w:r>
      <w:r w:rsidR="00794277" w:rsidRPr="000D6387">
        <w:rPr>
          <w:lang w:val="fr-FR"/>
        </w:rPr>
        <w:t xml:space="preserve">La situation est particulièrement alarmante au niveau des conseils locaux (aïylny kenech). Au cours des dix dernières années, la proportion de femmes dans ces conseils est en effet tombée de </w:t>
      </w:r>
      <w:r w:rsidR="00794277" w:rsidRPr="00280912">
        <w:rPr>
          <w:lang w:val="fr-FR"/>
        </w:rPr>
        <w:t>24</w:t>
      </w:r>
      <w:r w:rsidR="005D4517" w:rsidRPr="000D6387">
        <w:rPr>
          <w:lang w:val="fr-FR"/>
        </w:rPr>
        <w:t> %</w:t>
      </w:r>
      <w:r w:rsidR="00794277" w:rsidRPr="000D6387">
        <w:rPr>
          <w:lang w:val="fr-FR"/>
        </w:rPr>
        <w:t xml:space="preserve"> à </w:t>
      </w:r>
      <w:r w:rsidR="00794277" w:rsidRPr="00280912">
        <w:rPr>
          <w:lang w:val="fr-FR"/>
        </w:rPr>
        <w:t>11</w:t>
      </w:r>
      <w:r w:rsidR="005D4517" w:rsidRPr="000D6387">
        <w:rPr>
          <w:lang w:val="fr-FR"/>
        </w:rPr>
        <w:t> %</w:t>
      </w:r>
      <w:r w:rsidR="00794277" w:rsidRPr="000D6387">
        <w:rPr>
          <w:lang w:val="fr-FR"/>
        </w:rPr>
        <w:t xml:space="preserve">. Pour un total de </w:t>
      </w:r>
      <w:r w:rsidR="00794277" w:rsidRPr="00280912">
        <w:rPr>
          <w:lang w:val="fr-FR"/>
        </w:rPr>
        <w:t>8</w:t>
      </w:r>
      <w:r w:rsidR="00563CC0">
        <w:rPr>
          <w:lang w:val="fr-FR"/>
        </w:rPr>
        <w:t> </w:t>
      </w:r>
      <w:r w:rsidR="00794277" w:rsidRPr="00280912">
        <w:rPr>
          <w:lang w:val="fr-FR"/>
        </w:rPr>
        <w:t>384</w:t>
      </w:r>
      <w:r w:rsidR="00794277" w:rsidRPr="000D6387">
        <w:rPr>
          <w:lang w:val="fr-FR"/>
        </w:rPr>
        <w:t xml:space="preserve"> députés, on compte </w:t>
      </w:r>
      <w:r w:rsidR="00794277" w:rsidRPr="00280912">
        <w:rPr>
          <w:lang w:val="fr-FR"/>
        </w:rPr>
        <w:t>7</w:t>
      </w:r>
      <w:r w:rsidR="00BD12BA" w:rsidRPr="000D6387">
        <w:rPr>
          <w:lang w:val="fr-FR"/>
        </w:rPr>
        <w:t> </w:t>
      </w:r>
      <w:r w:rsidR="00794277" w:rsidRPr="00280912">
        <w:rPr>
          <w:lang w:val="fr-FR"/>
        </w:rPr>
        <w:t>456</w:t>
      </w:r>
      <w:r w:rsidR="00794277" w:rsidRPr="000D6387">
        <w:rPr>
          <w:lang w:val="fr-FR"/>
        </w:rPr>
        <w:t xml:space="preserve"> hommes et </w:t>
      </w:r>
      <w:r w:rsidR="00794277" w:rsidRPr="00280912">
        <w:rPr>
          <w:lang w:val="fr-FR"/>
        </w:rPr>
        <w:t>928</w:t>
      </w:r>
      <w:r w:rsidR="00794277" w:rsidRPr="000D6387">
        <w:rPr>
          <w:lang w:val="fr-FR"/>
        </w:rPr>
        <w:t xml:space="preserve"> femmes. Jusqu</w:t>
      </w:r>
      <w:r w:rsidR="00BD12BA" w:rsidRPr="000D6387">
        <w:rPr>
          <w:lang w:val="fr-FR"/>
        </w:rPr>
        <w:t>’</w:t>
      </w:r>
      <w:r w:rsidR="00794277" w:rsidRPr="000D6387">
        <w:rPr>
          <w:lang w:val="fr-FR"/>
        </w:rPr>
        <w:t>à récemment, il n</w:t>
      </w:r>
      <w:r w:rsidR="00BD12BA" w:rsidRPr="000D6387">
        <w:rPr>
          <w:lang w:val="fr-FR"/>
        </w:rPr>
        <w:t>’</w:t>
      </w:r>
      <w:r w:rsidR="00794277" w:rsidRPr="000D6387">
        <w:rPr>
          <w:lang w:val="fr-FR"/>
        </w:rPr>
        <w:t xml:space="preserve">existait pas de mécanisme garantissant la représentation des femmes dans les conseils locaux. </w:t>
      </w:r>
    </w:p>
    <w:p w14:paraId="3F515005" w14:textId="1F366EBC" w:rsidR="00794277" w:rsidRPr="000D6387" w:rsidRDefault="0093250D" w:rsidP="00794277">
      <w:pPr>
        <w:pStyle w:val="SingleTxt"/>
        <w:rPr>
          <w:lang w:val="fr-FR"/>
        </w:rPr>
      </w:pPr>
      <w:r w:rsidRPr="000D6387">
        <w:rPr>
          <w:lang w:val="fr-FR"/>
        </w:rPr>
        <w:tab/>
      </w:r>
      <w:r w:rsidR="00794277" w:rsidRPr="000D6387">
        <w:rPr>
          <w:lang w:val="fr-FR"/>
        </w:rPr>
        <w:t>Afin d</w:t>
      </w:r>
      <w:r w:rsidR="00BD12BA" w:rsidRPr="000D6387">
        <w:rPr>
          <w:lang w:val="fr-FR"/>
        </w:rPr>
        <w:t>’</w:t>
      </w:r>
      <w:r w:rsidR="00794277" w:rsidRPr="000D6387">
        <w:rPr>
          <w:lang w:val="fr-FR"/>
        </w:rPr>
        <w:t>atteindre l</w:t>
      </w:r>
      <w:r w:rsidR="00BD12BA" w:rsidRPr="000D6387">
        <w:rPr>
          <w:lang w:val="fr-FR"/>
        </w:rPr>
        <w:t>’</w:t>
      </w:r>
      <w:r w:rsidR="00794277" w:rsidRPr="000D6387">
        <w:rPr>
          <w:lang w:val="fr-FR"/>
        </w:rPr>
        <w:t>objectif de la Stratégie nationale de promotion de l</w:t>
      </w:r>
      <w:r w:rsidR="00BD12BA" w:rsidRPr="000D6387">
        <w:rPr>
          <w:lang w:val="fr-FR"/>
        </w:rPr>
        <w:t>’</w:t>
      </w:r>
      <w:r w:rsidR="00794277" w:rsidRPr="000D6387">
        <w:rPr>
          <w:lang w:val="fr-FR"/>
        </w:rPr>
        <w:t>égalité des sexes à l</w:t>
      </w:r>
      <w:r w:rsidR="00BD12BA" w:rsidRPr="000D6387">
        <w:rPr>
          <w:lang w:val="fr-FR"/>
        </w:rPr>
        <w:t>’</w:t>
      </w:r>
      <w:r w:rsidR="00794277" w:rsidRPr="000D6387">
        <w:rPr>
          <w:lang w:val="fr-FR"/>
        </w:rPr>
        <w:t xml:space="preserve">horizon </w:t>
      </w:r>
      <w:r w:rsidR="00794277" w:rsidRPr="00280912">
        <w:rPr>
          <w:lang w:val="fr-FR"/>
        </w:rPr>
        <w:t>2020</w:t>
      </w:r>
      <w:r w:rsidR="00794277" w:rsidRPr="000D6387">
        <w:rPr>
          <w:lang w:val="fr-FR"/>
        </w:rPr>
        <w:t xml:space="preserve"> énoncé plus haut et d</w:t>
      </w:r>
      <w:r w:rsidR="00BD12BA" w:rsidRPr="000D6387">
        <w:rPr>
          <w:lang w:val="fr-FR"/>
        </w:rPr>
        <w:t>’</w:t>
      </w:r>
      <w:r w:rsidR="00794277" w:rsidRPr="000D6387">
        <w:rPr>
          <w:lang w:val="fr-FR"/>
        </w:rPr>
        <w:t xml:space="preserve">accroître la représentation des femmes dans les conseils locaux, la loi portant modification de la loi sur les élections aux conseils locaux, signée le </w:t>
      </w:r>
      <w:r w:rsidR="00794277" w:rsidRPr="00280912">
        <w:rPr>
          <w:lang w:val="fr-FR"/>
        </w:rPr>
        <w:t>8</w:t>
      </w:r>
      <w:r w:rsidR="00794277" w:rsidRPr="000D6387">
        <w:rPr>
          <w:lang w:val="fr-FR"/>
        </w:rPr>
        <w:t xml:space="preserve"> août </w:t>
      </w:r>
      <w:r w:rsidR="00794277" w:rsidRPr="00280912">
        <w:rPr>
          <w:lang w:val="fr-FR"/>
        </w:rPr>
        <w:t>2019</w:t>
      </w:r>
      <w:r w:rsidR="00794277" w:rsidRPr="000D6387">
        <w:rPr>
          <w:lang w:val="fr-FR"/>
        </w:rPr>
        <w:t>, prévoit la mise en place d</w:t>
      </w:r>
      <w:r w:rsidR="00BD12BA" w:rsidRPr="000D6387">
        <w:rPr>
          <w:lang w:val="fr-FR"/>
        </w:rPr>
        <w:t>’</w:t>
      </w:r>
      <w:r w:rsidR="00794277" w:rsidRPr="000D6387">
        <w:rPr>
          <w:lang w:val="fr-FR"/>
        </w:rPr>
        <w:t xml:space="preserve">un mécanisme permettant de réserver </w:t>
      </w:r>
      <w:r w:rsidR="00794277" w:rsidRPr="00280912">
        <w:rPr>
          <w:lang w:val="fr-FR"/>
        </w:rPr>
        <w:t>30</w:t>
      </w:r>
      <w:r w:rsidR="005D4517" w:rsidRPr="000D6387">
        <w:rPr>
          <w:lang w:val="fr-FR"/>
        </w:rPr>
        <w:t> %</w:t>
      </w:r>
      <w:r w:rsidR="00794277" w:rsidRPr="000D6387">
        <w:rPr>
          <w:lang w:val="fr-FR"/>
        </w:rPr>
        <w:t xml:space="preserve"> des sièges des conseils locaux à des femmes et fixe la procédure à suivre pour la répartition des sièges réservés vacants. En cas de dénonciation anticipée du mandat d</w:t>
      </w:r>
      <w:r w:rsidR="00BD12BA" w:rsidRPr="000D6387">
        <w:rPr>
          <w:lang w:val="fr-FR"/>
        </w:rPr>
        <w:t>’</w:t>
      </w:r>
      <w:r w:rsidR="00794277" w:rsidRPr="000D6387">
        <w:rPr>
          <w:lang w:val="fr-FR"/>
        </w:rPr>
        <w:t>un député ou d</w:t>
      </w:r>
      <w:r w:rsidR="00BD12BA" w:rsidRPr="000D6387">
        <w:rPr>
          <w:lang w:val="fr-FR"/>
        </w:rPr>
        <w:t>’</w:t>
      </w:r>
      <w:r w:rsidR="00794277" w:rsidRPr="000D6387">
        <w:rPr>
          <w:lang w:val="fr-FR"/>
        </w:rPr>
        <w:t xml:space="preserve">une députée élu(e) au scrutin proportionnel, son mandat est confié au candidat ou à la candidate suivant(e) inscrit(e) sur la liste du sexe correspondant. </w:t>
      </w:r>
    </w:p>
    <w:p w14:paraId="2D779487" w14:textId="4992213D" w:rsidR="00794277" w:rsidRPr="000D6387" w:rsidRDefault="0093250D" w:rsidP="00794277">
      <w:pPr>
        <w:pStyle w:val="SingleTxt"/>
        <w:rPr>
          <w:lang w:val="fr-FR"/>
        </w:rPr>
      </w:pPr>
      <w:r w:rsidRPr="000D6387">
        <w:rPr>
          <w:lang w:val="fr-FR"/>
        </w:rPr>
        <w:tab/>
      </w:r>
      <w:r w:rsidR="00794277" w:rsidRPr="000D6387">
        <w:rPr>
          <w:lang w:val="fr-FR"/>
        </w:rPr>
        <w:t>Un projet de loi portant modification de certains textes législatifs (la loi constitutionnelle sur le Gouvernement et la loi sur les garanties de l</w:t>
      </w:r>
      <w:r w:rsidR="00BD12BA" w:rsidRPr="000D6387">
        <w:rPr>
          <w:lang w:val="fr-FR"/>
        </w:rPr>
        <w:t>’</w:t>
      </w:r>
      <w:r w:rsidR="00794277" w:rsidRPr="000D6387">
        <w:rPr>
          <w:lang w:val="fr-FR"/>
        </w:rPr>
        <w:t>État relatives à l</w:t>
      </w:r>
      <w:r w:rsidR="00BD12BA" w:rsidRPr="000D6387">
        <w:rPr>
          <w:lang w:val="fr-FR"/>
        </w:rPr>
        <w:t>’</w:t>
      </w:r>
      <w:r w:rsidR="00794277" w:rsidRPr="000D6387">
        <w:rPr>
          <w:lang w:val="fr-FR"/>
        </w:rPr>
        <w:t>égalité des droits et des chances des femmes et des hommes), qui prévoit la participation des femmes dans les organes gouvernementaux et à la prise de décision, a été établi.</w:t>
      </w:r>
    </w:p>
    <w:p w14:paraId="630348E7" w14:textId="77777777" w:rsidR="0093250D" w:rsidRPr="000D6387" w:rsidRDefault="0093250D" w:rsidP="0093250D">
      <w:pPr>
        <w:pStyle w:val="SingleTxt"/>
        <w:spacing w:after="0" w:line="120" w:lineRule="exact"/>
        <w:rPr>
          <w:sz w:val="10"/>
          <w:lang w:val="fr-FR"/>
        </w:rPr>
      </w:pPr>
    </w:p>
    <w:p w14:paraId="5F89C82C" w14:textId="1010A6F4" w:rsidR="00794277" w:rsidRPr="000D6387" w:rsidRDefault="0093250D" w:rsidP="009325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6</w:t>
      </w:r>
      <w:r w:rsidR="00794277" w:rsidRPr="000D6387">
        <w:rPr>
          <w:lang w:val="fr-FR"/>
        </w:rPr>
        <w:t>.</w:t>
      </w:r>
      <w:r w:rsidR="00794277" w:rsidRPr="000D6387">
        <w:rPr>
          <w:lang w:val="fr-FR"/>
        </w:rPr>
        <w:tab/>
        <w:t>Stéréotypes et pratiques préjudiciables</w:t>
      </w:r>
    </w:p>
    <w:p w14:paraId="0EF9EBB3" w14:textId="77777777" w:rsidR="0093250D" w:rsidRPr="000D6387" w:rsidRDefault="0093250D" w:rsidP="0093250D">
      <w:pPr>
        <w:pStyle w:val="SingleTxt"/>
        <w:spacing w:after="0" w:line="120" w:lineRule="exact"/>
        <w:rPr>
          <w:sz w:val="10"/>
          <w:lang w:val="fr-FR"/>
        </w:rPr>
      </w:pPr>
    </w:p>
    <w:p w14:paraId="43D1249D" w14:textId="7DBC9F4D" w:rsidR="00794277" w:rsidRPr="000D6387" w:rsidRDefault="0093250D" w:rsidP="00794277">
      <w:pPr>
        <w:pStyle w:val="SingleTxt"/>
        <w:rPr>
          <w:bCs/>
          <w:lang w:val="fr-FR"/>
        </w:rPr>
      </w:pPr>
      <w:r w:rsidRPr="000D6387">
        <w:rPr>
          <w:lang w:val="fr-FR"/>
        </w:rPr>
        <w:tab/>
      </w:r>
      <w:r w:rsidR="00794277" w:rsidRPr="000D6387">
        <w:rPr>
          <w:lang w:val="fr-FR"/>
        </w:rPr>
        <w:t>Des supports d</w:t>
      </w:r>
      <w:r w:rsidR="00BD12BA" w:rsidRPr="000D6387">
        <w:rPr>
          <w:lang w:val="fr-FR"/>
        </w:rPr>
        <w:t>’</w:t>
      </w:r>
      <w:r w:rsidR="00794277" w:rsidRPr="000D6387">
        <w:rPr>
          <w:lang w:val="fr-FR"/>
        </w:rPr>
        <w:t xml:space="preserve">information et des clips vidéo sociaux visant à prévenir la violence domestique, y compris des supports et clips qui mettent en scène des mineurs, sont régulièrement produits et publiés. </w:t>
      </w:r>
    </w:p>
    <w:p w14:paraId="497672B3" w14:textId="2F0DF4FF" w:rsidR="00794277" w:rsidRPr="000D6387" w:rsidRDefault="0093250D" w:rsidP="00794277">
      <w:pPr>
        <w:pStyle w:val="SingleTxt"/>
        <w:rPr>
          <w:lang w:val="fr-FR"/>
        </w:rPr>
      </w:pPr>
      <w:r w:rsidRPr="000D6387">
        <w:rPr>
          <w:lang w:val="fr-FR"/>
        </w:rPr>
        <w:tab/>
      </w:r>
      <w:r w:rsidR="00794277" w:rsidRPr="000D6387">
        <w:rPr>
          <w:lang w:val="fr-FR"/>
        </w:rPr>
        <w:t>Une page consacrée à la politique concernant les questions de genre a été créée sur le site Web du Ministère de l</w:t>
      </w:r>
      <w:r w:rsidR="00BD12BA" w:rsidRPr="000D6387">
        <w:rPr>
          <w:lang w:val="fr-FR"/>
        </w:rPr>
        <w:t>’</w:t>
      </w:r>
      <w:r w:rsidR="00794277" w:rsidRPr="000D6387">
        <w:rPr>
          <w:lang w:val="fr-FR"/>
        </w:rPr>
        <w:t>intérieur. Les principales dispositions de la loi sur la protection et la lutte contre la violence domestique ainsi que des informations sur les services d</w:t>
      </w:r>
      <w:r w:rsidR="00BD12BA" w:rsidRPr="000D6387">
        <w:rPr>
          <w:lang w:val="fr-FR"/>
        </w:rPr>
        <w:t>’</w:t>
      </w:r>
      <w:r w:rsidR="00794277" w:rsidRPr="000D6387">
        <w:rPr>
          <w:lang w:val="fr-FR"/>
        </w:rPr>
        <w:t>assistance ont été publiées sur cette page, qui contient également un recueil de textes réglementaires régissant la prévention de la violence fondée sur le genre et de la violence domestique. On y trouve également des vidéos sur la prévention de la violence fondée sur le genre et de la violence domestique, ainsi qu</w:t>
      </w:r>
      <w:r w:rsidR="00BD12BA" w:rsidRPr="000D6387">
        <w:rPr>
          <w:lang w:val="fr-FR"/>
        </w:rPr>
        <w:t>’</w:t>
      </w:r>
      <w:r w:rsidR="00794277" w:rsidRPr="000D6387">
        <w:rPr>
          <w:lang w:val="fr-FR"/>
        </w:rPr>
        <w:t>une vidéo sur les conséquences du non-respect de la législation relative à l</w:t>
      </w:r>
      <w:r w:rsidR="00BD12BA" w:rsidRPr="000D6387">
        <w:rPr>
          <w:lang w:val="fr-FR"/>
        </w:rPr>
        <w:t>’</w:t>
      </w:r>
      <w:r w:rsidR="00794277" w:rsidRPr="000D6387">
        <w:rPr>
          <w:lang w:val="fr-FR"/>
        </w:rPr>
        <w:t xml:space="preserve">âge du mariage. Au total, plus de </w:t>
      </w:r>
      <w:r w:rsidR="00794277" w:rsidRPr="00280912">
        <w:rPr>
          <w:lang w:val="fr-FR"/>
        </w:rPr>
        <w:t>15</w:t>
      </w:r>
      <w:r w:rsidR="00794277" w:rsidRPr="000D6387">
        <w:rPr>
          <w:lang w:val="fr-FR"/>
        </w:rPr>
        <w:t xml:space="preserve"> vidéos ont été mises en ligne. En outre, des vidéos sur les thèmes ci-après ont été produites et diffusées sur les chaînes de télévision nationales</w:t>
      </w:r>
      <w:r w:rsidR="00BD12BA" w:rsidRPr="000D6387">
        <w:rPr>
          <w:lang w:val="fr-FR"/>
        </w:rPr>
        <w:t> :</w:t>
      </w:r>
      <w:r w:rsidR="00794277" w:rsidRPr="000D6387">
        <w:rPr>
          <w:lang w:val="fr-FR"/>
        </w:rPr>
        <w:t xml:space="preserve"> «</w:t>
      </w:r>
      <w:r w:rsidR="0029448F" w:rsidRPr="000D6387">
        <w:rPr>
          <w:lang w:val="fr-FR"/>
        </w:rPr>
        <w:t> </w:t>
      </w:r>
      <w:r w:rsidR="00794277" w:rsidRPr="000D6387">
        <w:rPr>
          <w:lang w:val="fr-FR"/>
        </w:rPr>
        <w:t>Ne brisez pas mes rêves</w:t>
      </w:r>
      <w:r w:rsidR="0029448F" w:rsidRPr="000D6387">
        <w:rPr>
          <w:lang w:val="fr-FR"/>
        </w:rPr>
        <w:t> </w:t>
      </w:r>
      <w:r w:rsidR="00794277" w:rsidRPr="000D6387">
        <w:rPr>
          <w:lang w:val="fr-FR"/>
        </w:rPr>
        <w:t>», «</w:t>
      </w:r>
      <w:r w:rsidR="0029448F" w:rsidRPr="000D6387">
        <w:rPr>
          <w:lang w:val="fr-FR"/>
        </w:rPr>
        <w:t> </w:t>
      </w:r>
      <w:r w:rsidR="00794277" w:rsidRPr="000D6387">
        <w:rPr>
          <w:lang w:val="fr-FR"/>
        </w:rPr>
        <w:t>Parents, surveillez vos enfants</w:t>
      </w:r>
      <w:r w:rsidR="0029448F" w:rsidRPr="000D6387">
        <w:rPr>
          <w:lang w:val="fr-FR"/>
        </w:rPr>
        <w:t> </w:t>
      </w:r>
      <w:r w:rsidR="00794277" w:rsidRPr="000D6387">
        <w:rPr>
          <w:lang w:val="fr-FR"/>
        </w:rPr>
        <w:t>!» et «</w:t>
      </w:r>
      <w:r w:rsidR="0029448F" w:rsidRPr="000D6387">
        <w:rPr>
          <w:lang w:val="fr-FR"/>
        </w:rPr>
        <w:t> </w:t>
      </w:r>
      <w:r w:rsidR="00794277" w:rsidRPr="000D6387">
        <w:rPr>
          <w:lang w:val="fr-FR"/>
        </w:rPr>
        <w:t>Respectez le Code de la route et restez en vie !</w:t>
      </w:r>
      <w:r w:rsidR="0029448F" w:rsidRPr="000D6387">
        <w:rPr>
          <w:lang w:val="fr-FR"/>
        </w:rPr>
        <w:t> </w:t>
      </w:r>
      <w:r w:rsidR="00794277" w:rsidRPr="000D6387">
        <w:rPr>
          <w:lang w:val="fr-FR"/>
        </w:rPr>
        <w:t>».</w:t>
      </w:r>
    </w:p>
    <w:p w14:paraId="601B2ACC" w14:textId="6BD83E2F" w:rsidR="00794277" w:rsidRPr="000D6387" w:rsidRDefault="007F1722" w:rsidP="00794277">
      <w:pPr>
        <w:pStyle w:val="SingleTxt"/>
        <w:rPr>
          <w:lang w:val="fr-FR"/>
        </w:rPr>
      </w:pPr>
      <w:r w:rsidRPr="000D6387">
        <w:rPr>
          <w:lang w:val="fr-FR"/>
        </w:rPr>
        <w:tab/>
      </w:r>
      <w:r w:rsidR="00794277" w:rsidRPr="000D6387">
        <w:rPr>
          <w:lang w:val="fr-FR"/>
        </w:rPr>
        <w:t>La section «</w:t>
      </w:r>
      <w:r w:rsidR="00563CC0">
        <w:rPr>
          <w:lang w:val="fr-FR"/>
        </w:rPr>
        <w:t> </w:t>
      </w:r>
      <w:r w:rsidR="00794277" w:rsidRPr="000D6387">
        <w:rPr>
          <w:lang w:val="fr-FR"/>
        </w:rPr>
        <w:t>Vidéos</w:t>
      </w:r>
      <w:r w:rsidR="00563CC0">
        <w:rPr>
          <w:lang w:val="fr-FR"/>
        </w:rPr>
        <w:t> </w:t>
      </w:r>
      <w:r w:rsidR="00794277" w:rsidRPr="000D6387">
        <w:rPr>
          <w:lang w:val="fr-FR"/>
        </w:rPr>
        <w:t>» contient des vidéos sur des questions sociales telles que la prévention du suicide, la protection contre la violence domestique et le mariage d</w:t>
      </w:r>
      <w:r w:rsidR="00BD12BA" w:rsidRPr="000D6387">
        <w:rPr>
          <w:lang w:val="fr-FR"/>
        </w:rPr>
        <w:t>’</w:t>
      </w:r>
      <w:r w:rsidR="00794277" w:rsidRPr="000D6387">
        <w:rPr>
          <w:lang w:val="fr-FR"/>
        </w:rPr>
        <w:t>enfants, mais aussi une galerie de photos, une section consacrée aux campagnes et aux concours et une section intitulée «</w:t>
      </w:r>
      <w:r w:rsidR="00563CC0">
        <w:rPr>
          <w:lang w:val="fr-FR"/>
        </w:rPr>
        <w:t> </w:t>
      </w:r>
      <w:r w:rsidR="00794277" w:rsidRPr="000D6387">
        <w:rPr>
          <w:lang w:val="fr-FR"/>
        </w:rPr>
        <w:t>Un Internet sûr pour les enfants</w:t>
      </w:r>
      <w:r w:rsidR="00563CC0">
        <w:rPr>
          <w:lang w:val="fr-FR"/>
        </w:rPr>
        <w:t> </w:t>
      </w:r>
      <w:r w:rsidR="00794277" w:rsidRPr="000D6387">
        <w:rPr>
          <w:lang w:val="fr-FR"/>
        </w:rPr>
        <w:t>», qui contient des livrets sur l</w:t>
      </w:r>
      <w:r w:rsidR="00BD12BA" w:rsidRPr="000D6387">
        <w:rPr>
          <w:lang w:val="fr-FR"/>
        </w:rPr>
        <w:t>’</w:t>
      </w:r>
      <w:r w:rsidR="00794277" w:rsidRPr="000D6387">
        <w:rPr>
          <w:lang w:val="fr-FR"/>
        </w:rPr>
        <w:t>utilisation sans danger d</w:t>
      </w:r>
      <w:r w:rsidR="00BD12BA" w:rsidRPr="000D6387">
        <w:rPr>
          <w:lang w:val="fr-FR"/>
        </w:rPr>
        <w:t>’</w:t>
      </w:r>
      <w:r w:rsidR="00794277" w:rsidRPr="000D6387">
        <w:rPr>
          <w:lang w:val="fr-FR"/>
        </w:rPr>
        <w:t xml:space="preserve">Internet. </w:t>
      </w:r>
    </w:p>
    <w:p w14:paraId="0D45B1EC" w14:textId="167A393A" w:rsidR="00794277" w:rsidRPr="000D6387" w:rsidRDefault="007F1722" w:rsidP="00794277">
      <w:pPr>
        <w:pStyle w:val="SingleTxt"/>
        <w:rPr>
          <w:lang w:val="fr-FR"/>
        </w:rPr>
      </w:pPr>
      <w:r w:rsidRPr="000D6387">
        <w:rPr>
          <w:lang w:val="fr-FR"/>
        </w:rPr>
        <w:tab/>
      </w:r>
      <w:r w:rsidR="00794277" w:rsidRPr="000D6387">
        <w:rPr>
          <w:lang w:val="fr-FR"/>
        </w:rPr>
        <w:t xml:space="preserve">Le </w:t>
      </w:r>
      <w:r w:rsidR="00794277" w:rsidRPr="00280912">
        <w:rPr>
          <w:lang w:val="fr-FR"/>
        </w:rPr>
        <w:t>17</w:t>
      </w:r>
      <w:r w:rsidR="00794277" w:rsidRPr="000D6387">
        <w:rPr>
          <w:lang w:val="fr-FR"/>
        </w:rPr>
        <w:t xml:space="preserve"> janvier </w:t>
      </w:r>
      <w:r w:rsidR="00794277" w:rsidRPr="00280912">
        <w:rPr>
          <w:lang w:val="fr-FR"/>
        </w:rPr>
        <w:t>2020</w:t>
      </w:r>
      <w:r w:rsidR="00794277" w:rsidRPr="000D6387">
        <w:rPr>
          <w:lang w:val="fr-FR"/>
        </w:rPr>
        <w:t>, l</w:t>
      </w:r>
      <w:r w:rsidR="00BD12BA" w:rsidRPr="000D6387">
        <w:rPr>
          <w:lang w:val="fr-FR"/>
        </w:rPr>
        <w:t>’</w:t>
      </w:r>
      <w:r w:rsidR="00794277" w:rsidRPr="000D6387">
        <w:rPr>
          <w:lang w:val="fr-FR"/>
        </w:rPr>
        <w:t>agence de presse Kabar a tenu une conférence de presse avec des membres du personnel du Ministère de l</w:t>
      </w:r>
      <w:r w:rsidR="00BD12BA" w:rsidRPr="000D6387">
        <w:rPr>
          <w:lang w:val="fr-FR"/>
        </w:rPr>
        <w:t>’</w:t>
      </w:r>
      <w:r w:rsidR="00794277" w:rsidRPr="000D6387">
        <w:rPr>
          <w:lang w:val="fr-FR"/>
        </w:rPr>
        <w:t>intérieur sur le thème «</w:t>
      </w:r>
      <w:r w:rsidR="00563CC0">
        <w:rPr>
          <w:lang w:val="fr-FR"/>
        </w:rPr>
        <w:t> </w:t>
      </w:r>
      <w:r w:rsidR="00794277" w:rsidRPr="000D6387">
        <w:rPr>
          <w:lang w:val="fr-FR"/>
        </w:rPr>
        <w:t xml:space="preserve">La lutte contre la violence domestique et la violence fondée sur le genre au </w:t>
      </w:r>
      <w:r w:rsidR="00E76891" w:rsidRPr="000D6387">
        <w:rPr>
          <w:lang w:val="fr-FR"/>
        </w:rPr>
        <w:t>cœur</w:t>
      </w:r>
      <w:r w:rsidR="00794277" w:rsidRPr="000D6387">
        <w:rPr>
          <w:lang w:val="fr-FR"/>
        </w:rPr>
        <w:t xml:space="preserve"> des priorités des services de l</w:t>
      </w:r>
      <w:r w:rsidR="00BD12BA" w:rsidRPr="000D6387">
        <w:rPr>
          <w:lang w:val="fr-FR"/>
        </w:rPr>
        <w:t>’</w:t>
      </w:r>
      <w:r w:rsidR="00794277" w:rsidRPr="000D6387">
        <w:rPr>
          <w:lang w:val="fr-FR"/>
        </w:rPr>
        <w:t>intérieur</w:t>
      </w:r>
      <w:r w:rsidR="00563CC0">
        <w:rPr>
          <w:lang w:val="fr-FR"/>
        </w:rPr>
        <w:t> </w:t>
      </w:r>
      <w:r w:rsidR="00794277" w:rsidRPr="000D6387">
        <w:rPr>
          <w:lang w:val="fr-FR"/>
        </w:rPr>
        <w:t xml:space="preserve">». La conférence de presse a été couverte par les médias, notamment les agences de presse AKIpress, Kabar, </w:t>
      </w:r>
      <w:r w:rsidR="00794277" w:rsidRPr="00280912">
        <w:rPr>
          <w:lang w:val="fr-FR"/>
        </w:rPr>
        <w:t>24</w:t>
      </w:r>
      <w:r w:rsidR="00794277" w:rsidRPr="000D6387">
        <w:rPr>
          <w:lang w:val="fr-FR"/>
        </w:rPr>
        <w:t xml:space="preserve">.kg, fact.kg et Kabarlar, et diffusée sur les chaînes de télévision KTRK, ElTR, STV, </w:t>
      </w:r>
      <w:r w:rsidR="00794277" w:rsidRPr="00280912">
        <w:rPr>
          <w:lang w:val="fr-FR"/>
        </w:rPr>
        <w:t>5</w:t>
      </w:r>
      <w:r w:rsidR="00794277" w:rsidRPr="000D6387">
        <w:rPr>
          <w:lang w:val="fr-FR"/>
        </w:rPr>
        <w:t xml:space="preserve"> Kanal, NTS, Asia TV, TV</w:t>
      </w:r>
      <w:r w:rsidR="00563CC0">
        <w:rPr>
          <w:lang w:val="fr-FR"/>
        </w:rPr>
        <w:t> </w:t>
      </w:r>
      <w:r w:rsidR="00794277" w:rsidRPr="000D6387">
        <w:rPr>
          <w:lang w:val="fr-FR"/>
        </w:rPr>
        <w:t>Kirghizistan, New TV, Piramida et Next TV</w:t>
      </w:r>
      <w:r w:rsidR="0029448F" w:rsidRPr="000D6387">
        <w:rPr>
          <w:lang w:val="fr-FR"/>
        </w:rPr>
        <w:t>.</w:t>
      </w:r>
    </w:p>
    <w:p w14:paraId="45C76E18" w14:textId="0774B312" w:rsidR="00794277" w:rsidRPr="000D6387" w:rsidRDefault="007F1722" w:rsidP="00794277">
      <w:pPr>
        <w:pStyle w:val="SingleTxt"/>
        <w:rPr>
          <w:lang w:val="fr-FR"/>
        </w:rPr>
      </w:pPr>
      <w:r w:rsidRPr="000D6387">
        <w:rPr>
          <w:lang w:val="fr-FR"/>
        </w:rPr>
        <w:tab/>
      </w:r>
      <w:r w:rsidR="00794277" w:rsidRPr="000D6387">
        <w:rPr>
          <w:lang w:val="fr-FR"/>
        </w:rPr>
        <w:t>En coopération avec le Centre d</w:t>
      </w:r>
      <w:r w:rsidR="00BD12BA" w:rsidRPr="000D6387">
        <w:rPr>
          <w:lang w:val="fr-FR"/>
        </w:rPr>
        <w:t>’</w:t>
      </w:r>
      <w:r w:rsidR="00794277" w:rsidRPr="000D6387">
        <w:rPr>
          <w:lang w:val="fr-FR"/>
        </w:rPr>
        <w:t>aide aux femmes, une campagne contre le mariage d</w:t>
      </w:r>
      <w:r w:rsidR="00BD12BA" w:rsidRPr="000D6387">
        <w:rPr>
          <w:lang w:val="fr-FR"/>
        </w:rPr>
        <w:t>’</w:t>
      </w:r>
      <w:r w:rsidR="00794277" w:rsidRPr="000D6387">
        <w:rPr>
          <w:lang w:val="fr-FR"/>
        </w:rPr>
        <w:t>enfants a été organisée à l</w:t>
      </w:r>
      <w:r w:rsidR="00BD12BA" w:rsidRPr="000D6387">
        <w:rPr>
          <w:lang w:val="fr-FR"/>
        </w:rPr>
        <w:t>’</w:t>
      </w:r>
      <w:r w:rsidR="00794277" w:rsidRPr="000D6387">
        <w:rPr>
          <w:lang w:val="fr-FR"/>
        </w:rPr>
        <w:t>établissement d</w:t>
      </w:r>
      <w:r w:rsidR="00BD12BA" w:rsidRPr="000D6387">
        <w:rPr>
          <w:lang w:val="fr-FR"/>
        </w:rPr>
        <w:t>’</w:t>
      </w:r>
      <w:r w:rsidR="00794277" w:rsidRPr="000D6387">
        <w:rPr>
          <w:lang w:val="fr-FR"/>
        </w:rPr>
        <w:t>enseignement secondaire de Kara Jigatch (district d</w:t>
      </w:r>
      <w:r w:rsidR="00BD12BA" w:rsidRPr="000D6387">
        <w:rPr>
          <w:lang w:val="fr-FR"/>
        </w:rPr>
        <w:t>’</w:t>
      </w:r>
      <w:r w:rsidR="00794277" w:rsidRPr="000D6387">
        <w:rPr>
          <w:lang w:val="fr-FR"/>
        </w:rPr>
        <w:t>Alamoudoun, région de Tchou). Un manuel intitulé «</w:t>
      </w:r>
      <w:r w:rsidR="00563CC0">
        <w:rPr>
          <w:lang w:val="fr-FR"/>
        </w:rPr>
        <w:t> </w:t>
      </w:r>
      <w:r w:rsidR="00794277" w:rsidRPr="000D6387">
        <w:rPr>
          <w:lang w:val="fr-FR"/>
        </w:rPr>
        <w:t>La violence sexuelle est inadmissible et constitue une infraction pénale</w:t>
      </w:r>
      <w:r w:rsidR="00563CC0">
        <w:rPr>
          <w:lang w:val="fr-FR"/>
        </w:rPr>
        <w:t> </w:t>
      </w:r>
      <w:r w:rsidR="00794277" w:rsidRPr="000D6387">
        <w:rPr>
          <w:lang w:val="fr-FR"/>
        </w:rPr>
        <w:t>» et des recommandations à l</w:t>
      </w:r>
      <w:r w:rsidR="00BD12BA" w:rsidRPr="000D6387">
        <w:rPr>
          <w:lang w:val="fr-FR"/>
        </w:rPr>
        <w:t>’</w:t>
      </w:r>
      <w:r w:rsidR="00794277" w:rsidRPr="000D6387">
        <w:rPr>
          <w:lang w:val="fr-FR"/>
        </w:rPr>
        <w:t>intention des spécialistes visant à mettre fin à la violence ont été établis dans le cadre d</w:t>
      </w:r>
      <w:r w:rsidR="00BD12BA" w:rsidRPr="000D6387">
        <w:rPr>
          <w:lang w:val="fr-FR"/>
        </w:rPr>
        <w:t>’</w:t>
      </w:r>
      <w:r w:rsidR="00794277" w:rsidRPr="000D6387">
        <w:rPr>
          <w:lang w:val="fr-FR"/>
        </w:rPr>
        <w:t>un projet visant à offrir des services complets aux victimes de violence sexuelle et de violence fondée sur le genre et ont été envoyés aux services territoriaux de l</w:t>
      </w:r>
      <w:r w:rsidR="00BD12BA" w:rsidRPr="000D6387">
        <w:rPr>
          <w:lang w:val="fr-FR"/>
        </w:rPr>
        <w:t>’</w:t>
      </w:r>
      <w:r w:rsidR="00794277" w:rsidRPr="000D6387">
        <w:rPr>
          <w:lang w:val="fr-FR"/>
        </w:rPr>
        <w:t>intérieur. Un clip vidéo sur le mariage d</w:t>
      </w:r>
      <w:r w:rsidR="00BD12BA" w:rsidRPr="000D6387">
        <w:rPr>
          <w:lang w:val="fr-FR"/>
        </w:rPr>
        <w:t>’</w:t>
      </w:r>
      <w:r w:rsidR="00794277" w:rsidRPr="000D6387">
        <w:rPr>
          <w:lang w:val="fr-FR"/>
        </w:rPr>
        <w:t xml:space="preserve">enfants a également été produit. </w:t>
      </w:r>
    </w:p>
    <w:p w14:paraId="0ED773E0" w14:textId="14392A52" w:rsidR="00794277" w:rsidRPr="000D6387" w:rsidRDefault="00794277" w:rsidP="007F1722">
      <w:pPr>
        <w:pStyle w:val="SingleTxt"/>
        <w:spacing w:after="0" w:line="120" w:lineRule="exact"/>
        <w:rPr>
          <w:sz w:val="10"/>
          <w:lang w:val="fr-FR"/>
        </w:rPr>
      </w:pPr>
    </w:p>
    <w:p w14:paraId="7A851417" w14:textId="1184B803" w:rsidR="00794277" w:rsidRPr="000D6387" w:rsidRDefault="007F1722" w:rsidP="007F1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7</w:t>
      </w:r>
      <w:r w:rsidR="00794277" w:rsidRPr="000D6387">
        <w:rPr>
          <w:lang w:val="fr-FR"/>
        </w:rPr>
        <w:t>.</w:t>
      </w:r>
      <w:r w:rsidR="00794277" w:rsidRPr="000D6387">
        <w:rPr>
          <w:lang w:val="fr-FR"/>
        </w:rPr>
        <w:tab/>
        <w:t>Violence à l</w:t>
      </w:r>
      <w:r w:rsidR="00BD12BA" w:rsidRPr="000D6387">
        <w:rPr>
          <w:lang w:val="fr-FR"/>
        </w:rPr>
        <w:t>’</w:t>
      </w:r>
      <w:r w:rsidR="00794277" w:rsidRPr="000D6387">
        <w:rPr>
          <w:lang w:val="fr-FR"/>
        </w:rPr>
        <w:t>égard des femmes fondée sur le genre</w:t>
      </w:r>
    </w:p>
    <w:p w14:paraId="0D204F0C" w14:textId="77777777" w:rsidR="007F1722" w:rsidRPr="000D6387" w:rsidRDefault="007F1722" w:rsidP="007F1722">
      <w:pPr>
        <w:pStyle w:val="SingleTxt"/>
        <w:spacing w:after="0" w:line="120" w:lineRule="exact"/>
        <w:rPr>
          <w:sz w:val="10"/>
          <w:lang w:val="fr-FR"/>
        </w:rPr>
      </w:pPr>
    </w:p>
    <w:p w14:paraId="5E60ADA4" w14:textId="6C219E5C" w:rsidR="00794277" w:rsidRPr="000D6387" w:rsidRDefault="007F1722" w:rsidP="00794277">
      <w:pPr>
        <w:pStyle w:val="SingleTxt"/>
        <w:rPr>
          <w:b/>
          <w:lang w:val="fr-FR"/>
        </w:rPr>
      </w:pPr>
      <w:r w:rsidRPr="000D6387">
        <w:rPr>
          <w:lang w:val="fr-FR"/>
        </w:rPr>
        <w:tab/>
      </w:r>
      <w:r w:rsidR="00794277" w:rsidRPr="000D6387">
        <w:rPr>
          <w:lang w:val="fr-FR"/>
        </w:rPr>
        <w:t>La violence domestique est un problème répandu dans la société, y compris au Kirghizistan. D</w:t>
      </w:r>
      <w:r w:rsidR="00BD12BA" w:rsidRPr="000D6387">
        <w:rPr>
          <w:lang w:val="fr-FR"/>
        </w:rPr>
        <w:t>’</w:t>
      </w:r>
      <w:r w:rsidR="00794277" w:rsidRPr="000D6387">
        <w:rPr>
          <w:lang w:val="fr-FR"/>
        </w:rPr>
        <w:t>après des recherches menées dans le pays, les victimes de violence domestique sont, dans la plupart des cas, des membres socialement vulnérables de la famille</w:t>
      </w:r>
      <w:r w:rsidR="00BD12BA" w:rsidRPr="000D6387">
        <w:rPr>
          <w:lang w:val="fr-FR"/>
        </w:rPr>
        <w:t> :</w:t>
      </w:r>
      <w:r w:rsidR="00794277" w:rsidRPr="000D6387">
        <w:rPr>
          <w:lang w:val="fr-FR"/>
        </w:rPr>
        <w:t xml:space="preserve"> enfants, personnes âgées et personnes handicapées. En effet, </w:t>
      </w:r>
      <w:r w:rsidR="00794277" w:rsidRPr="00280912">
        <w:rPr>
          <w:lang w:val="fr-FR"/>
        </w:rPr>
        <w:t>95</w:t>
      </w:r>
      <w:r w:rsidR="005D4517" w:rsidRPr="000D6387">
        <w:rPr>
          <w:lang w:val="fr-FR"/>
        </w:rPr>
        <w:t> %</w:t>
      </w:r>
      <w:r w:rsidR="00794277" w:rsidRPr="000D6387">
        <w:rPr>
          <w:lang w:val="fr-FR"/>
        </w:rPr>
        <w:t xml:space="preserve"> des victimes de violence domestique sont des femmes, </w:t>
      </w:r>
      <w:r w:rsidR="00794277" w:rsidRPr="00280912">
        <w:rPr>
          <w:lang w:val="fr-FR"/>
        </w:rPr>
        <w:t>30</w:t>
      </w:r>
      <w:r w:rsidR="005D4517" w:rsidRPr="000D6387">
        <w:rPr>
          <w:lang w:val="fr-FR"/>
        </w:rPr>
        <w:t> %</w:t>
      </w:r>
      <w:r w:rsidR="00794277" w:rsidRPr="000D6387">
        <w:rPr>
          <w:lang w:val="fr-FR"/>
        </w:rPr>
        <w:t xml:space="preserve"> des enfants subissent des violences physiques dans leur famille et </w:t>
      </w:r>
      <w:r w:rsidR="00794277" w:rsidRPr="00280912">
        <w:rPr>
          <w:lang w:val="fr-FR"/>
        </w:rPr>
        <w:t>71</w:t>
      </w:r>
      <w:r w:rsidR="005D4517" w:rsidRPr="000D6387">
        <w:rPr>
          <w:lang w:val="fr-FR"/>
        </w:rPr>
        <w:t> %</w:t>
      </w:r>
      <w:r w:rsidR="00794277" w:rsidRPr="000D6387">
        <w:rPr>
          <w:lang w:val="fr-FR"/>
        </w:rPr>
        <w:t xml:space="preserve"> des personnes interrogées ont indiqué que le problème de la violence à l</w:t>
      </w:r>
      <w:r w:rsidR="00BD12BA" w:rsidRPr="000D6387">
        <w:rPr>
          <w:lang w:val="fr-FR"/>
        </w:rPr>
        <w:t>’</w:t>
      </w:r>
      <w:r w:rsidR="00794277" w:rsidRPr="000D6387">
        <w:rPr>
          <w:lang w:val="fr-FR"/>
        </w:rPr>
        <w:t>égard de personnes âgées est bien réel.</w:t>
      </w:r>
    </w:p>
    <w:p w14:paraId="3DF24D03" w14:textId="7764104A" w:rsidR="00794277" w:rsidRPr="000D6387" w:rsidRDefault="007F1722" w:rsidP="00794277">
      <w:pPr>
        <w:pStyle w:val="SingleTxt"/>
        <w:rPr>
          <w:lang w:val="fr-FR"/>
        </w:rPr>
      </w:pPr>
      <w:r w:rsidRPr="000D6387">
        <w:rPr>
          <w:lang w:val="fr-FR"/>
        </w:rPr>
        <w:tab/>
      </w:r>
      <w:r w:rsidR="00794277" w:rsidRPr="000D6387">
        <w:rPr>
          <w:lang w:val="fr-FR"/>
        </w:rPr>
        <w:t xml:space="preserve">Le pays compte </w:t>
      </w:r>
      <w:r w:rsidR="00794277" w:rsidRPr="00280912">
        <w:rPr>
          <w:lang w:val="fr-FR"/>
        </w:rPr>
        <w:t>14</w:t>
      </w:r>
      <w:r w:rsidR="00794277" w:rsidRPr="000D6387">
        <w:rPr>
          <w:lang w:val="fr-FR"/>
        </w:rPr>
        <w:t xml:space="preserve"> centres d</w:t>
      </w:r>
      <w:r w:rsidR="00BD12BA" w:rsidRPr="000D6387">
        <w:rPr>
          <w:lang w:val="fr-FR"/>
        </w:rPr>
        <w:t>’</w:t>
      </w:r>
      <w:r w:rsidR="00794277" w:rsidRPr="000D6387">
        <w:rPr>
          <w:lang w:val="fr-FR"/>
        </w:rPr>
        <w:t>accueil d</w:t>
      </w:r>
      <w:r w:rsidR="00BD12BA" w:rsidRPr="000D6387">
        <w:rPr>
          <w:lang w:val="fr-FR"/>
        </w:rPr>
        <w:t>’</w:t>
      </w:r>
      <w:r w:rsidR="00794277" w:rsidRPr="000D6387">
        <w:rPr>
          <w:lang w:val="fr-FR"/>
        </w:rPr>
        <w:t>urgence pour les femmes, des centres pour enfants et d</w:t>
      </w:r>
      <w:r w:rsidR="00BD12BA" w:rsidRPr="000D6387">
        <w:rPr>
          <w:lang w:val="fr-FR"/>
        </w:rPr>
        <w:t>’</w:t>
      </w:r>
      <w:r w:rsidR="00794277" w:rsidRPr="000D6387">
        <w:rPr>
          <w:lang w:val="fr-FR"/>
        </w:rPr>
        <w:t xml:space="preserve">autres institutions spécialisées qui offrent une assistance à la population, notamment aux victimes de violence domestique. </w:t>
      </w:r>
    </w:p>
    <w:p w14:paraId="13813D2A" w14:textId="031234E1"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2018</w:t>
      </w:r>
      <w:r w:rsidR="00794277" w:rsidRPr="000D6387">
        <w:rPr>
          <w:lang w:val="fr-FR"/>
        </w:rPr>
        <w:t xml:space="preserve">, </w:t>
      </w:r>
      <w:r w:rsidR="00794277" w:rsidRPr="00280912">
        <w:rPr>
          <w:lang w:val="fr-FR"/>
        </w:rPr>
        <w:t>8</w:t>
      </w:r>
      <w:r w:rsidRPr="000D6387">
        <w:rPr>
          <w:lang w:val="fr-FR"/>
        </w:rPr>
        <w:t> </w:t>
      </w:r>
      <w:r w:rsidR="00794277" w:rsidRPr="00280912">
        <w:rPr>
          <w:lang w:val="fr-FR"/>
        </w:rPr>
        <w:t>730</w:t>
      </w:r>
      <w:r w:rsidR="00794277" w:rsidRPr="000D6387">
        <w:rPr>
          <w:lang w:val="fr-FR"/>
        </w:rPr>
        <w:t xml:space="preserve"> personnes au total, dont la plupart étaient des femmes (</w:t>
      </w:r>
      <w:r w:rsidR="00794277" w:rsidRPr="00280912">
        <w:rPr>
          <w:lang w:val="fr-FR"/>
        </w:rPr>
        <w:t>78</w:t>
      </w:r>
      <w:r w:rsidR="005D4517" w:rsidRPr="000D6387">
        <w:rPr>
          <w:lang w:val="fr-FR"/>
        </w:rPr>
        <w:t> %</w:t>
      </w:r>
      <w:r w:rsidR="00794277" w:rsidRPr="000D6387">
        <w:rPr>
          <w:lang w:val="fr-FR"/>
        </w:rPr>
        <w:t>), se sont adressées aux centres d</w:t>
      </w:r>
      <w:r w:rsidR="00BD12BA" w:rsidRPr="000D6387">
        <w:rPr>
          <w:lang w:val="fr-FR"/>
        </w:rPr>
        <w:t>’</w:t>
      </w:r>
      <w:r w:rsidR="00794277" w:rsidRPr="000D6387">
        <w:rPr>
          <w:lang w:val="fr-FR"/>
        </w:rPr>
        <w:t>accueil d</w:t>
      </w:r>
      <w:r w:rsidR="00BD12BA" w:rsidRPr="000D6387">
        <w:rPr>
          <w:lang w:val="fr-FR"/>
        </w:rPr>
        <w:t>’</w:t>
      </w:r>
      <w:r w:rsidR="00794277" w:rsidRPr="000D6387">
        <w:rPr>
          <w:lang w:val="fr-FR"/>
        </w:rPr>
        <w:t>urgence et à d</w:t>
      </w:r>
      <w:r w:rsidR="00BD12BA" w:rsidRPr="000D6387">
        <w:rPr>
          <w:lang w:val="fr-FR"/>
        </w:rPr>
        <w:t>’</w:t>
      </w:r>
      <w:r w:rsidR="00794277" w:rsidRPr="000D6387">
        <w:rPr>
          <w:lang w:val="fr-FR"/>
        </w:rPr>
        <w:t>autres institutions compétentes concernant des cas de violence domestique.</w:t>
      </w:r>
    </w:p>
    <w:p w14:paraId="60143C43" w14:textId="49835B38"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2016</w:t>
      </w:r>
      <w:r w:rsidR="00794277" w:rsidRPr="000D6387">
        <w:rPr>
          <w:lang w:val="fr-FR"/>
        </w:rPr>
        <w:t xml:space="preserve">, des normes ont été révisées et un mécanisme plus efficace de protection des victimes de violence domestique a été mis en place. En avril </w:t>
      </w:r>
      <w:r w:rsidR="00794277" w:rsidRPr="00280912">
        <w:rPr>
          <w:lang w:val="fr-FR"/>
        </w:rPr>
        <w:t>2017</w:t>
      </w:r>
      <w:r w:rsidR="00794277" w:rsidRPr="000D6387">
        <w:rPr>
          <w:lang w:val="fr-FR"/>
        </w:rPr>
        <w:t xml:space="preserve">, une loi sur la protection et la lutte contre la violence familiale a été adoptée. </w:t>
      </w:r>
    </w:p>
    <w:p w14:paraId="0358C58A" w14:textId="49C0949A" w:rsidR="00794277" w:rsidRPr="000D6387" w:rsidRDefault="007F1722" w:rsidP="00794277">
      <w:pPr>
        <w:pStyle w:val="SingleTxt"/>
        <w:rPr>
          <w:lang w:val="fr-FR"/>
        </w:rPr>
      </w:pPr>
      <w:r w:rsidRPr="000D6387">
        <w:rPr>
          <w:lang w:val="fr-FR"/>
        </w:rPr>
        <w:tab/>
      </w:r>
      <w:r w:rsidR="00794277" w:rsidRPr="000D6387">
        <w:rPr>
          <w:lang w:val="fr-FR"/>
        </w:rPr>
        <w:t>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390</w:t>
      </w:r>
      <w:r w:rsidR="00794277" w:rsidRPr="000D6387">
        <w:rPr>
          <w:lang w:val="fr-FR"/>
        </w:rPr>
        <w:t xml:space="preserve"> du </w:t>
      </w:r>
      <w:r w:rsidR="00794277" w:rsidRPr="00280912">
        <w:rPr>
          <w:lang w:val="fr-FR"/>
        </w:rPr>
        <w:t>1</w:t>
      </w:r>
      <w:r w:rsidR="00794277" w:rsidRPr="000D6387">
        <w:rPr>
          <w:vertAlign w:val="superscript"/>
          <w:lang w:val="fr-FR"/>
        </w:rPr>
        <w:t xml:space="preserve">er </w:t>
      </w:r>
      <w:r w:rsidR="00794277" w:rsidRPr="000D6387">
        <w:rPr>
          <w:lang w:val="fr-FR"/>
        </w:rPr>
        <w:t xml:space="preserve">août </w:t>
      </w:r>
      <w:r w:rsidR="00794277" w:rsidRPr="00280912">
        <w:rPr>
          <w:lang w:val="fr-FR"/>
        </w:rPr>
        <w:t>2019</w:t>
      </w:r>
      <w:r w:rsidR="00794277" w:rsidRPr="000D6387">
        <w:rPr>
          <w:lang w:val="fr-FR"/>
        </w:rPr>
        <w:t xml:space="preserve"> sur la procédure de protection et de lutte contre la violence domestique a été adoptée aux fins de l</w:t>
      </w:r>
      <w:r w:rsidR="00BD12BA" w:rsidRPr="000D6387">
        <w:rPr>
          <w:lang w:val="fr-FR"/>
        </w:rPr>
        <w:t>’</w:t>
      </w:r>
      <w:r w:rsidR="00794277" w:rsidRPr="000D6387">
        <w:rPr>
          <w:lang w:val="fr-FR"/>
        </w:rPr>
        <w:t>application de la loi susmentionnée. Elle définit les modalités de collaboration entre les organismes publics en cas de violence familiale afin qu</w:t>
      </w:r>
      <w:r w:rsidR="00BD12BA" w:rsidRPr="000D6387">
        <w:rPr>
          <w:lang w:val="fr-FR"/>
        </w:rPr>
        <w:t>’</w:t>
      </w:r>
      <w:r w:rsidR="00794277" w:rsidRPr="000D6387">
        <w:rPr>
          <w:lang w:val="fr-FR"/>
        </w:rPr>
        <w:t xml:space="preserve">une assistance complète soit rapidement apportée aux victimes, et prévoit des programmes de rééducation visant à changer le comportement des auteurs de ces violences. En décembre </w:t>
      </w:r>
      <w:r w:rsidR="00794277" w:rsidRPr="00280912">
        <w:rPr>
          <w:lang w:val="fr-FR"/>
        </w:rPr>
        <w:t>2019</w:t>
      </w:r>
      <w:r w:rsidR="00794277" w:rsidRPr="000D6387">
        <w:rPr>
          <w:lang w:val="fr-FR"/>
        </w:rPr>
        <w:t>, des employés de l</w:t>
      </w:r>
      <w:r w:rsidR="00BD12BA" w:rsidRPr="000D6387">
        <w:rPr>
          <w:lang w:val="fr-FR"/>
        </w:rPr>
        <w:t>’</w:t>
      </w:r>
      <w:r w:rsidR="00794277" w:rsidRPr="000D6387">
        <w:rPr>
          <w:lang w:val="fr-FR"/>
        </w:rPr>
        <w:t>administration centrale et des antennes territoriales ont reçu une formation sur l</w:t>
      </w:r>
      <w:r w:rsidR="00BD12BA" w:rsidRPr="000D6387">
        <w:rPr>
          <w:lang w:val="fr-FR"/>
        </w:rPr>
        <w:t>’</w:t>
      </w:r>
      <w:r w:rsidR="00794277" w:rsidRPr="000D6387">
        <w:rPr>
          <w:lang w:val="fr-FR"/>
        </w:rPr>
        <w:t xml:space="preserve">application de la décision. </w:t>
      </w:r>
    </w:p>
    <w:p w14:paraId="7F9EE185" w14:textId="64FE25F6" w:rsidR="00794277" w:rsidRPr="000D6387" w:rsidRDefault="007F1722" w:rsidP="00794277">
      <w:pPr>
        <w:pStyle w:val="SingleTxt"/>
        <w:rPr>
          <w:lang w:val="fr-FR"/>
        </w:rPr>
      </w:pPr>
      <w:r w:rsidRPr="000D6387">
        <w:rPr>
          <w:lang w:val="fr-FR"/>
        </w:rPr>
        <w:tab/>
      </w:r>
      <w:r w:rsidR="00794277" w:rsidRPr="000D6387">
        <w:rPr>
          <w:lang w:val="fr-FR"/>
        </w:rPr>
        <w:t xml:space="preserve">Le </w:t>
      </w:r>
      <w:r w:rsidR="00794277" w:rsidRPr="00280912">
        <w:rPr>
          <w:lang w:val="fr-FR"/>
        </w:rPr>
        <w:t>25</w:t>
      </w:r>
      <w:r w:rsidR="00794277" w:rsidRPr="000D6387">
        <w:rPr>
          <w:lang w:val="fr-FR"/>
        </w:rPr>
        <w:t xml:space="preserve"> octobre </w:t>
      </w:r>
      <w:r w:rsidR="00794277" w:rsidRPr="00280912">
        <w:rPr>
          <w:lang w:val="fr-FR"/>
        </w:rPr>
        <w:t>2019</w:t>
      </w:r>
      <w:r w:rsidR="00794277" w:rsidRPr="000D6387">
        <w:rPr>
          <w:lang w:val="fr-FR"/>
        </w:rPr>
        <w:t>, le Ministère du travail et du développement social et le Ministère de l</w:t>
      </w:r>
      <w:r w:rsidR="00BD12BA" w:rsidRPr="000D6387">
        <w:rPr>
          <w:lang w:val="fr-FR"/>
        </w:rPr>
        <w:t>’</w:t>
      </w:r>
      <w:r w:rsidR="00794277" w:rsidRPr="000D6387">
        <w:rPr>
          <w:lang w:val="fr-FR"/>
        </w:rPr>
        <w:t>intérieur ont approuvé conjointement l</w:t>
      </w:r>
      <w:r w:rsidR="00BD12BA" w:rsidRPr="000D6387">
        <w:rPr>
          <w:lang w:val="fr-FR"/>
        </w:rPr>
        <w:t>’</w:t>
      </w:r>
      <w:r w:rsidR="00794277" w:rsidRPr="000D6387">
        <w:rPr>
          <w:lang w:val="fr-FR"/>
        </w:rPr>
        <w:t>ordonnance n</w:t>
      </w:r>
      <w:r w:rsidR="00794277" w:rsidRPr="000D6387">
        <w:rPr>
          <w:vertAlign w:val="superscript"/>
          <w:lang w:val="fr-FR"/>
        </w:rPr>
        <w:t>o</w:t>
      </w:r>
      <w:r w:rsidR="00794277" w:rsidRPr="000D6387">
        <w:rPr>
          <w:lang w:val="fr-FR"/>
        </w:rPr>
        <w:t xml:space="preserve"> </w:t>
      </w:r>
      <w:r w:rsidR="00794277" w:rsidRPr="00280912">
        <w:rPr>
          <w:lang w:val="fr-FR"/>
        </w:rPr>
        <w:t>133</w:t>
      </w:r>
      <w:r w:rsidR="00794277" w:rsidRPr="000D6387">
        <w:rPr>
          <w:lang w:val="fr-FR"/>
        </w:rPr>
        <w:t xml:space="preserve"> portant approbation des instructions relatives à la coopération entre les organismes chargés du développement social et de la protection des enfants et les services de l</w:t>
      </w:r>
      <w:r w:rsidR="00BD12BA" w:rsidRPr="000D6387">
        <w:rPr>
          <w:lang w:val="fr-FR"/>
        </w:rPr>
        <w:t>’</w:t>
      </w:r>
      <w:r w:rsidR="00794277" w:rsidRPr="000D6387">
        <w:rPr>
          <w:lang w:val="fr-FR"/>
        </w:rPr>
        <w:t>intérieur dans le domaine de la protection et de la lutte contre la violence domestique.</w:t>
      </w:r>
    </w:p>
    <w:p w14:paraId="0D3EB9D5" w14:textId="53585530" w:rsidR="00794277" w:rsidRPr="000D6387" w:rsidRDefault="007F1722" w:rsidP="00794277">
      <w:pPr>
        <w:pStyle w:val="SingleTxt"/>
        <w:rPr>
          <w:lang w:val="fr-FR"/>
        </w:rPr>
      </w:pPr>
      <w:r w:rsidRPr="000D6387">
        <w:rPr>
          <w:lang w:val="fr-FR"/>
        </w:rPr>
        <w:tab/>
      </w:r>
      <w:r w:rsidR="00794277" w:rsidRPr="000D6387">
        <w:rPr>
          <w:lang w:val="fr-FR"/>
        </w:rPr>
        <w:t>Les centres d</w:t>
      </w:r>
      <w:r w:rsidR="00BD12BA" w:rsidRPr="000D6387">
        <w:rPr>
          <w:lang w:val="fr-FR"/>
        </w:rPr>
        <w:t>’</w:t>
      </w:r>
      <w:r w:rsidR="00794277" w:rsidRPr="000D6387">
        <w:rPr>
          <w:lang w:val="fr-FR"/>
        </w:rPr>
        <w:t>accueil d</w:t>
      </w:r>
      <w:r w:rsidR="00BD12BA" w:rsidRPr="000D6387">
        <w:rPr>
          <w:lang w:val="fr-FR"/>
        </w:rPr>
        <w:t>’</w:t>
      </w:r>
      <w:r w:rsidR="00794277" w:rsidRPr="000D6387">
        <w:rPr>
          <w:lang w:val="fr-FR"/>
        </w:rPr>
        <w:t>urgence apportant des services sociaux aux victimes de violence domestique qui ont été retenus à l</w:t>
      </w:r>
      <w:r w:rsidR="00BD12BA" w:rsidRPr="000D6387">
        <w:rPr>
          <w:lang w:val="fr-FR"/>
        </w:rPr>
        <w:t>’</w:t>
      </w:r>
      <w:r w:rsidR="00794277" w:rsidRPr="000D6387">
        <w:rPr>
          <w:lang w:val="fr-FR"/>
        </w:rPr>
        <w:t>issue d</w:t>
      </w:r>
      <w:r w:rsidR="00BD12BA" w:rsidRPr="000D6387">
        <w:rPr>
          <w:lang w:val="fr-FR"/>
        </w:rPr>
        <w:t>’</w:t>
      </w:r>
      <w:r w:rsidR="00794277" w:rsidRPr="000D6387">
        <w:rPr>
          <w:lang w:val="fr-FR"/>
        </w:rPr>
        <w:t>un appel d</w:t>
      </w:r>
      <w:r w:rsidR="00BD12BA" w:rsidRPr="000D6387">
        <w:rPr>
          <w:lang w:val="fr-FR"/>
        </w:rPr>
        <w:t>’</w:t>
      </w:r>
      <w:r w:rsidR="00794277" w:rsidRPr="000D6387">
        <w:rPr>
          <w:lang w:val="fr-FR"/>
        </w:rPr>
        <w:t>offres public ont reçu des subventions d</w:t>
      </w:r>
      <w:r w:rsidR="00BD12BA" w:rsidRPr="000D6387">
        <w:rPr>
          <w:lang w:val="fr-FR"/>
        </w:rPr>
        <w:t>’</w:t>
      </w:r>
      <w:r w:rsidR="00794277" w:rsidRPr="000D6387">
        <w:rPr>
          <w:lang w:val="fr-FR"/>
        </w:rPr>
        <w:t xml:space="preserve">un montant total de </w:t>
      </w:r>
      <w:r w:rsidR="00794277" w:rsidRPr="00280912">
        <w:rPr>
          <w:lang w:val="fr-FR"/>
        </w:rPr>
        <w:t>3</w:t>
      </w:r>
      <w:r w:rsidR="00794277" w:rsidRPr="000D6387">
        <w:rPr>
          <w:lang w:val="fr-FR"/>
        </w:rPr>
        <w:t>,</w:t>
      </w:r>
      <w:r w:rsidR="00794277" w:rsidRPr="00280912">
        <w:rPr>
          <w:lang w:val="fr-FR"/>
        </w:rPr>
        <w:t>5</w:t>
      </w:r>
      <w:r w:rsidR="00794277" w:rsidRPr="000D6387">
        <w:rPr>
          <w:lang w:val="fr-FR"/>
        </w:rPr>
        <w:t xml:space="preserve"> millions de soms en </w:t>
      </w:r>
      <w:r w:rsidR="00794277" w:rsidRPr="00280912">
        <w:rPr>
          <w:lang w:val="fr-FR"/>
        </w:rPr>
        <w:t>2018</w:t>
      </w:r>
      <w:r w:rsidR="00794277" w:rsidRPr="000D6387">
        <w:rPr>
          <w:lang w:val="fr-FR"/>
        </w:rPr>
        <w:t xml:space="preserve"> et de </w:t>
      </w:r>
      <w:r w:rsidR="00794277" w:rsidRPr="00280912">
        <w:rPr>
          <w:lang w:val="fr-FR"/>
        </w:rPr>
        <w:t>6</w:t>
      </w:r>
      <w:r w:rsidR="00794277" w:rsidRPr="000D6387">
        <w:rPr>
          <w:lang w:val="fr-FR"/>
        </w:rPr>
        <w:t>,</w:t>
      </w:r>
      <w:r w:rsidR="00794277" w:rsidRPr="00280912">
        <w:rPr>
          <w:lang w:val="fr-FR"/>
        </w:rPr>
        <w:t>4</w:t>
      </w:r>
      <w:r w:rsidR="00794277" w:rsidRPr="000D6387">
        <w:rPr>
          <w:lang w:val="fr-FR"/>
        </w:rPr>
        <w:t xml:space="preserve"> millions de soms en </w:t>
      </w:r>
      <w:r w:rsidR="00794277" w:rsidRPr="00280912">
        <w:rPr>
          <w:lang w:val="fr-FR"/>
        </w:rPr>
        <w:t>2019</w:t>
      </w:r>
      <w:r w:rsidR="00794277" w:rsidRPr="000D6387">
        <w:rPr>
          <w:lang w:val="fr-FR"/>
        </w:rPr>
        <w:t>.</w:t>
      </w:r>
    </w:p>
    <w:p w14:paraId="3A6BE670" w14:textId="7F115AF5" w:rsidR="00794277" w:rsidRPr="000D6387" w:rsidRDefault="007F1722" w:rsidP="00794277">
      <w:pPr>
        <w:pStyle w:val="SingleTxt"/>
        <w:rPr>
          <w:lang w:val="fr-FR"/>
        </w:rPr>
      </w:pPr>
      <w:r w:rsidRPr="000D6387">
        <w:rPr>
          <w:lang w:val="fr-FR"/>
        </w:rPr>
        <w:tab/>
      </w:r>
      <w:r w:rsidR="00794277" w:rsidRPr="000D6387">
        <w:rPr>
          <w:lang w:val="fr-FR"/>
        </w:rPr>
        <w:t xml:space="preserve">En octobre </w:t>
      </w:r>
      <w:r w:rsidR="00794277" w:rsidRPr="00280912">
        <w:rPr>
          <w:lang w:val="fr-FR"/>
        </w:rPr>
        <w:t>2019</w:t>
      </w:r>
      <w:r w:rsidR="00794277" w:rsidRPr="000D6387">
        <w:rPr>
          <w:lang w:val="fr-FR"/>
        </w:rPr>
        <w:t>, le Ministère du travail et du développement social et l</w:t>
      </w:r>
      <w:r w:rsidR="00BD12BA" w:rsidRPr="000D6387">
        <w:rPr>
          <w:lang w:val="fr-FR"/>
        </w:rPr>
        <w:t>’</w:t>
      </w:r>
      <w:r w:rsidR="00794277" w:rsidRPr="000D6387">
        <w:rPr>
          <w:lang w:val="fr-FR"/>
        </w:rPr>
        <w:t>Agence des États-Unis pour le développement international ont organisé une conférence sur les activités des comités de prévention de la violence domestique.</w:t>
      </w:r>
    </w:p>
    <w:p w14:paraId="58742A28" w14:textId="24EC8B72" w:rsidR="00794277" w:rsidRPr="000D6387" w:rsidRDefault="007F1722" w:rsidP="00794277">
      <w:pPr>
        <w:pStyle w:val="SingleTxt"/>
        <w:rPr>
          <w:lang w:val="fr-FR"/>
        </w:rPr>
      </w:pPr>
      <w:r w:rsidRPr="000D6387">
        <w:rPr>
          <w:lang w:val="fr-FR"/>
        </w:rPr>
        <w:tab/>
      </w:r>
      <w:r w:rsidR="00794277" w:rsidRPr="000D6387">
        <w:rPr>
          <w:lang w:val="fr-FR"/>
        </w:rPr>
        <w:t xml:space="preserve">Au total, </w:t>
      </w:r>
      <w:r w:rsidR="00794277" w:rsidRPr="00280912">
        <w:rPr>
          <w:lang w:val="fr-FR"/>
        </w:rPr>
        <w:t>27</w:t>
      </w:r>
      <w:r w:rsidR="00794277" w:rsidRPr="000D6387">
        <w:rPr>
          <w:lang w:val="fr-FR"/>
        </w:rPr>
        <w:t xml:space="preserve"> comités de </w:t>
      </w:r>
      <w:r w:rsidR="00794277" w:rsidRPr="00280912">
        <w:rPr>
          <w:lang w:val="fr-FR"/>
        </w:rPr>
        <w:t>4</w:t>
      </w:r>
      <w:r w:rsidR="00794277" w:rsidRPr="000D6387">
        <w:rPr>
          <w:lang w:val="fr-FR"/>
        </w:rPr>
        <w:t xml:space="preserve"> districts des régions d</w:t>
      </w:r>
      <w:r w:rsidR="00BD12BA" w:rsidRPr="000D6387">
        <w:rPr>
          <w:lang w:val="fr-FR"/>
        </w:rPr>
        <w:t>’</w:t>
      </w:r>
      <w:r w:rsidR="00794277" w:rsidRPr="000D6387">
        <w:rPr>
          <w:lang w:val="fr-FR"/>
        </w:rPr>
        <w:t>Issyk-Koul et d</w:t>
      </w:r>
      <w:r w:rsidR="00BD12BA" w:rsidRPr="000D6387">
        <w:rPr>
          <w:lang w:val="fr-FR"/>
        </w:rPr>
        <w:t>’</w:t>
      </w:r>
      <w:r w:rsidR="00794277" w:rsidRPr="000D6387">
        <w:rPr>
          <w:lang w:val="fr-FR"/>
        </w:rPr>
        <w:t xml:space="preserve">Och et de </w:t>
      </w:r>
      <w:r w:rsidR="00794277" w:rsidRPr="00280912">
        <w:rPr>
          <w:lang w:val="fr-FR"/>
        </w:rPr>
        <w:t>9</w:t>
      </w:r>
      <w:r w:rsidR="0029448F" w:rsidRPr="000D6387">
        <w:rPr>
          <w:lang w:val="fr-FR"/>
        </w:rPr>
        <w:t> </w:t>
      </w:r>
      <w:r w:rsidR="00794277" w:rsidRPr="000D6387">
        <w:rPr>
          <w:lang w:val="fr-FR"/>
        </w:rPr>
        <w:t xml:space="preserve">nouveaux bâtiments à Bichkek ont présenté les résultats de leurs activités à la conférence. Depuis janvier </w:t>
      </w:r>
      <w:r w:rsidR="00794277" w:rsidRPr="00280912">
        <w:rPr>
          <w:lang w:val="fr-FR"/>
        </w:rPr>
        <w:t>2019</w:t>
      </w:r>
      <w:r w:rsidR="00794277" w:rsidRPr="000D6387">
        <w:rPr>
          <w:lang w:val="fr-FR"/>
        </w:rPr>
        <w:t xml:space="preserve">, les comités ont informé plus de </w:t>
      </w:r>
      <w:r w:rsidR="00794277" w:rsidRPr="00280912">
        <w:rPr>
          <w:lang w:val="fr-FR"/>
        </w:rPr>
        <w:t>3</w:t>
      </w:r>
      <w:r w:rsidR="00794277" w:rsidRPr="000D6387">
        <w:rPr>
          <w:lang w:val="fr-FR"/>
        </w:rPr>
        <w:t xml:space="preserve"> </w:t>
      </w:r>
      <w:r w:rsidR="00794277" w:rsidRPr="00280912">
        <w:rPr>
          <w:lang w:val="fr-FR"/>
        </w:rPr>
        <w:t>400</w:t>
      </w:r>
      <w:r w:rsidR="00794277" w:rsidRPr="000D6387">
        <w:rPr>
          <w:lang w:val="fr-FR"/>
        </w:rPr>
        <w:t xml:space="preserve"> résidents au sujet de la loi sur la protection et la lutte contre la violence domestique et des manières de se protéger contre ce type de violence et de la prévenir, et ont établi un projet de procédures relatives au fonctionnement des comités locaux de protection et de lutte contre la violence domestique.</w:t>
      </w:r>
    </w:p>
    <w:p w14:paraId="7B8227B4" w14:textId="23066F7D" w:rsidR="00794277" w:rsidRPr="000D6387" w:rsidRDefault="007F1722" w:rsidP="00794277">
      <w:pPr>
        <w:pStyle w:val="SingleTxt"/>
        <w:rPr>
          <w:lang w:val="fr-FR"/>
        </w:rPr>
      </w:pPr>
      <w:r w:rsidRPr="000D6387">
        <w:rPr>
          <w:lang w:val="fr-FR"/>
        </w:rPr>
        <w:tab/>
      </w:r>
      <w:r w:rsidR="00794277" w:rsidRPr="000D6387">
        <w:rPr>
          <w:lang w:val="fr-FR"/>
        </w:rPr>
        <w:t>Par la décision gouvernementale n</w:t>
      </w:r>
      <w:r w:rsidR="00794277" w:rsidRPr="000D6387">
        <w:rPr>
          <w:vertAlign w:val="superscript"/>
          <w:lang w:val="fr-FR"/>
        </w:rPr>
        <w:t xml:space="preserve">o </w:t>
      </w:r>
      <w:r w:rsidR="00794277" w:rsidRPr="00280912">
        <w:rPr>
          <w:lang w:val="fr-FR"/>
        </w:rPr>
        <w:t>5</w:t>
      </w:r>
      <w:r w:rsidR="00794277" w:rsidRPr="000D6387">
        <w:rPr>
          <w:lang w:val="fr-FR"/>
        </w:rPr>
        <w:t xml:space="preserve"> du </w:t>
      </w:r>
      <w:r w:rsidR="00794277" w:rsidRPr="00280912">
        <w:rPr>
          <w:lang w:val="fr-FR"/>
        </w:rPr>
        <w:t>13</w:t>
      </w:r>
      <w:r w:rsidR="00794277" w:rsidRPr="000D6387">
        <w:rPr>
          <w:lang w:val="fr-FR"/>
        </w:rPr>
        <w:t xml:space="preserve"> janvier </w:t>
      </w:r>
      <w:r w:rsidR="00794277" w:rsidRPr="00280912">
        <w:rPr>
          <w:lang w:val="fr-FR"/>
        </w:rPr>
        <w:t>2020</w:t>
      </w:r>
      <w:r w:rsidR="00794277" w:rsidRPr="000D6387">
        <w:rPr>
          <w:lang w:val="fr-FR"/>
        </w:rPr>
        <w:t xml:space="preserve"> relative à certaines questions concernant l</w:t>
      </w:r>
      <w:r w:rsidR="00BD12BA" w:rsidRPr="000D6387">
        <w:rPr>
          <w:lang w:val="fr-FR"/>
        </w:rPr>
        <w:t>’</w:t>
      </w:r>
      <w:r w:rsidR="00794277" w:rsidRPr="000D6387">
        <w:rPr>
          <w:lang w:val="fr-FR"/>
        </w:rPr>
        <w:t xml:space="preserve">organisation des activités du Ministère du travail et du développement social, ce dernier a été chargé de coordonner les activités des entités compétentes en matière de protection et de lutte contre la violence domestique et </w:t>
      </w:r>
      <w:r w:rsidR="00794277" w:rsidRPr="00280912">
        <w:rPr>
          <w:lang w:val="fr-FR"/>
        </w:rPr>
        <w:t>5</w:t>
      </w:r>
      <w:r w:rsidR="008E0870">
        <w:rPr>
          <w:lang w:val="fr-FR"/>
        </w:rPr>
        <w:t> </w:t>
      </w:r>
      <w:r w:rsidR="00794277" w:rsidRPr="000D6387">
        <w:rPr>
          <w:lang w:val="fr-FR"/>
        </w:rPr>
        <w:t xml:space="preserve">postes ont été créés à cet effet. </w:t>
      </w:r>
    </w:p>
    <w:p w14:paraId="4B3A292A" w14:textId="498F2534" w:rsidR="00794277" w:rsidRPr="000D6387" w:rsidRDefault="007F1722" w:rsidP="00794277">
      <w:pPr>
        <w:pStyle w:val="SingleTxt"/>
        <w:rPr>
          <w:lang w:val="fr-FR"/>
        </w:rPr>
      </w:pPr>
      <w:r w:rsidRPr="000D6387">
        <w:rPr>
          <w:lang w:val="fr-FR"/>
        </w:rPr>
        <w:tab/>
      </w:r>
      <w:r w:rsidR="00794277" w:rsidRPr="000D6387">
        <w:rPr>
          <w:lang w:val="fr-FR"/>
        </w:rPr>
        <w:t>Le Ministère de l</w:t>
      </w:r>
      <w:r w:rsidR="00BD12BA" w:rsidRPr="000D6387">
        <w:rPr>
          <w:lang w:val="fr-FR"/>
        </w:rPr>
        <w:t>’</w:t>
      </w:r>
      <w:r w:rsidR="00794277" w:rsidRPr="000D6387">
        <w:rPr>
          <w:lang w:val="fr-FR"/>
        </w:rPr>
        <w:t>intérieur a pris les mesures voulues pour mettre en application la loi sur la protection et la lutte contre la violence domestique.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642</w:t>
      </w:r>
      <w:r w:rsidR="00794277" w:rsidRPr="000D6387">
        <w:rPr>
          <w:lang w:val="fr-FR"/>
        </w:rPr>
        <w:t xml:space="preserve"> du </w:t>
      </w:r>
      <w:r w:rsidR="00794277" w:rsidRPr="00280912">
        <w:rPr>
          <w:lang w:val="fr-FR"/>
        </w:rPr>
        <w:t>3</w:t>
      </w:r>
      <w:r w:rsidR="00794277" w:rsidRPr="000D6387">
        <w:rPr>
          <w:lang w:val="fr-FR"/>
        </w:rPr>
        <w:t xml:space="preserve"> octobre </w:t>
      </w:r>
      <w:r w:rsidR="00794277" w:rsidRPr="00280912">
        <w:rPr>
          <w:lang w:val="fr-FR"/>
        </w:rPr>
        <w:t>2017</w:t>
      </w:r>
      <w:r w:rsidR="00794277" w:rsidRPr="000D6387">
        <w:rPr>
          <w:lang w:val="fr-FR"/>
        </w:rPr>
        <w:t xml:space="preserve"> a porté approbation du formulaire d</w:t>
      </w:r>
      <w:r w:rsidR="00BD12BA" w:rsidRPr="000D6387">
        <w:rPr>
          <w:lang w:val="fr-FR"/>
        </w:rPr>
        <w:t>’</w:t>
      </w:r>
      <w:r w:rsidR="00794277" w:rsidRPr="000D6387">
        <w:rPr>
          <w:lang w:val="fr-FR"/>
        </w:rPr>
        <w:t>ordonnance de protection et le Ministère de l</w:t>
      </w:r>
      <w:r w:rsidR="00BD12BA" w:rsidRPr="000D6387">
        <w:rPr>
          <w:lang w:val="fr-FR"/>
        </w:rPr>
        <w:t>’</w:t>
      </w:r>
      <w:r w:rsidR="00794277" w:rsidRPr="000D6387">
        <w:rPr>
          <w:lang w:val="fr-FR"/>
        </w:rPr>
        <w:t>intérieur a approuvé les instructions concernant l</w:t>
      </w:r>
      <w:r w:rsidR="00BD12BA" w:rsidRPr="000D6387">
        <w:rPr>
          <w:lang w:val="fr-FR"/>
        </w:rPr>
        <w:t>’</w:t>
      </w:r>
      <w:r w:rsidR="00794277" w:rsidRPr="000D6387">
        <w:rPr>
          <w:lang w:val="fr-FR"/>
        </w:rPr>
        <w:t>organisation des activités de protection et de lutte contre la violence domestique, ainsi que celles relatives à l</w:t>
      </w:r>
      <w:r w:rsidR="00BD12BA" w:rsidRPr="000D6387">
        <w:rPr>
          <w:lang w:val="fr-FR"/>
        </w:rPr>
        <w:t>’</w:t>
      </w:r>
      <w:r w:rsidR="00794277" w:rsidRPr="000D6387">
        <w:rPr>
          <w:lang w:val="fr-FR"/>
        </w:rPr>
        <w:t xml:space="preserve">approbation des formulaires à remplir par les services compétents. </w:t>
      </w:r>
    </w:p>
    <w:p w14:paraId="114A0501" w14:textId="0FAC5677" w:rsidR="00794277" w:rsidRPr="000D6387" w:rsidRDefault="007F1722" w:rsidP="00794277">
      <w:pPr>
        <w:pStyle w:val="SingleTxt"/>
        <w:rPr>
          <w:lang w:val="fr-FR"/>
        </w:rPr>
      </w:pPr>
      <w:r w:rsidRPr="000D6387">
        <w:rPr>
          <w:lang w:val="fr-FR"/>
        </w:rPr>
        <w:tab/>
      </w:r>
      <w:r w:rsidR="00794277" w:rsidRPr="000D6387">
        <w:rPr>
          <w:lang w:val="fr-FR"/>
        </w:rPr>
        <w:t>En collaboration avec les acteurs de la prévention de la violence domestique, les services de l</w:t>
      </w:r>
      <w:r w:rsidR="00BD12BA" w:rsidRPr="000D6387">
        <w:rPr>
          <w:lang w:val="fr-FR"/>
        </w:rPr>
        <w:t>’</w:t>
      </w:r>
      <w:r w:rsidR="00794277" w:rsidRPr="000D6387">
        <w:rPr>
          <w:lang w:val="fr-FR"/>
        </w:rPr>
        <w:t>intérieur mènent régulièrement des campagnes de sensibilisation en vue de prévenir et de combattre ce type de violence.</w:t>
      </w:r>
    </w:p>
    <w:p w14:paraId="5FAEBB8C" w14:textId="6A0B666D" w:rsidR="00794277" w:rsidRPr="00462EE0" w:rsidRDefault="007F1722" w:rsidP="00794277">
      <w:pPr>
        <w:pStyle w:val="SingleTxt"/>
        <w:rPr>
          <w:bCs/>
          <w:iCs/>
          <w:lang w:val="fr-FR"/>
        </w:rPr>
      </w:pPr>
      <w:r w:rsidRPr="000D6387">
        <w:rPr>
          <w:lang w:val="fr-FR"/>
        </w:rPr>
        <w:tab/>
      </w:r>
      <w:r w:rsidR="00794277" w:rsidRPr="000D6387">
        <w:rPr>
          <w:lang w:val="fr-FR"/>
        </w:rPr>
        <w:t>Le Ministère du travail et du développement social et le Ministère de l</w:t>
      </w:r>
      <w:r w:rsidR="00BD12BA" w:rsidRPr="000D6387">
        <w:rPr>
          <w:lang w:val="fr-FR"/>
        </w:rPr>
        <w:t>’</w:t>
      </w:r>
      <w:r w:rsidR="00794277" w:rsidRPr="000D6387">
        <w:rPr>
          <w:lang w:val="fr-FR"/>
        </w:rPr>
        <w:t>intérieur ont établi et promulgué une ordonnance conjointe portant approbation des instructions relatives à la coopération entre les organismes chargés du développement social et de la protection des enfants et les services de l</w:t>
      </w:r>
      <w:r w:rsidR="00BD12BA" w:rsidRPr="000D6387">
        <w:rPr>
          <w:lang w:val="fr-FR"/>
        </w:rPr>
        <w:t>’</w:t>
      </w:r>
      <w:r w:rsidR="00794277" w:rsidRPr="000D6387">
        <w:rPr>
          <w:lang w:val="fr-FR"/>
        </w:rPr>
        <w:t>intérieur dans le domaine de la protection et de la lutte contre la violence domestique.</w:t>
      </w:r>
    </w:p>
    <w:p w14:paraId="4D5DCEF0" w14:textId="356BBF68" w:rsidR="00794277" w:rsidRPr="000D6387" w:rsidRDefault="007F1722" w:rsidP="00794277">
      <w:pPr>
        <w:pStyle w:val="SingleTxt"/>
        <w:rPr>
          <w:bCs/>
          <w:lang w:val="fr-FR"/>
        </w:rPr>
      </w:pPr>
      <w:r w:rsidRPr="000D6387">
        <w:rPr>
          <w:lang w:val="fr-FR"/>
        </w:rPr>
        <w:tab/>
      </w:r>
      <w:r w:rsidR="00794277" w:rsidRPr="000D6387">
        <w:rPr>
          <w:lang w:val="fr-FR"/>
        </w:rPr>
        <w:t>Des agents de la Direction centrale du Ministère de l</w:t>
      </w:r>
      <w:r w:rsidR="00BD12BA" w:rsidRPr="000D6387">
        <w:rPr>
          <w:lang w:val="fr-FR"/>
        </w:rPr>
        <w:t>’</w:t>
      </w:r>
      <w:r w:rsidR="00794277" w:rsidRPr="000D6387">
        <w:rPr>
          <w:lang w:val="fr-FR"/>
        </w:rPr>
        <w:t xml:space="preserve">intérieur de Bichkek ont dispensé des sessions de formation de trois jours sur les compétences oratoires et la gestion des conflits dans </w:t>
      </w:r>
      <w:r w:rsidR="000D4F0A">
        <w:rPr>
          <w:lang w:val="fr-FR"/>
        </w:rPr>
        <w:t>dix</w:t>
      </w:r>
      <w:r w:rsidR="000D4F0A" w:rsidRPr="000D6387">
        <w:rPr>
          <w:lang w:val="fr-FR"/>
        </w:rPr>
        <w:t xml:space="preserve"> </w:t>
      </w:r>
      <w:r w:rsidR="00794277" w:rsidRPr="000D6387">
        <w:rPr>
          <w:lang w:val="fr-FR"/>
        </w:rPr>
        <w:t>nouveaux ensembles d</w:t>
      </w:r>
      <w:r w:rsidR="00BD12BA" w:rsidRPr="000D6387">
        <w:rPr>
          <w:lang w:val="fr-FR"/>
        </w:rPr>
        <w:t>’</w:t>
      </w:r>
      <w:r w:rsidR="00794277" w:rsidRPr="000D6387">
        <w:rPr>
          <w:lang w:val="fr-FR"/>
        </w:rPr>
        <w:t>habitation pilotes afin d</w:t>
      </w:r>
      <w:r w:rsidR="00BD12BA" w:rsidRPr="000D6387">
        <w:rPr>
          <w:lang w:val="fr-FR"/>
        </w:rPr>
        <w:t>’</w:t>
      </w:r>
      <w:r w:rsidR="00794277" w:rsidRPr="000D6387">
        <w:rPr>
          <w:lang w:val="fr-FR"/>
        </w:rPr>
        <w:t>améliorer la prévention au sein de la population.</w:t>
      </w:r>
    </w:p>
    <w:p w14:paraId="22D8A84D" w14:textId="2BABAE24" w:rsidR="00794277" w:rsidRPr="000D6387" w:rsidRDefault="007F1722" w:rsidP="00794277">
      <w:pPr>
        <w:pStyle w:val="SingleTxt"/>
        <w:rPr>
          <w:bCs/>
          <w:lang w:val="fr-FR"/>
        </w:rPr>
      </w:pPr>
      <w:r w:rsidRPr="000D6387">
        <w:rPr>
          <w:lang w:val="fr-FR"/>
        </w:rPr>
        <w:tab/>
      </w:r>
      <w:r w:rsidR="00794277" w:rsidRPr="000D6387">
        <w:rPr>
          <w:lang w:val="fr-FR"/>
        </w:rPr>
        <w:t>Dix activités d</w:t>
      </w:r>
      <w:r w:rsidR="00BD12BA" w:rsidRPr="000D6387">
        <w:rPr>
          <w:lang w:val="fr-FR"/>
        </w:rPr>
        <w:t>’</w:t>
      </w:r>
      <w:r w:rsidR="00794277" w:rsidRPr="000D6387">
        <w:rPr>
          <w:lang w:val="fr-FR"/>
        </w:rPr>
        <w:t>information ont été menées, dont cinq menées par des inspecteurs de la brigade des mineurs dans des établissements scolaires, auxquelles ont participé les élèves, des parents d</w:t>
      </w:r>
      <w:r w:rsidR="00BD12BA" w:rsidRPr="000D6387">
        <w:rPr>
          <w:lang w:val="fr-FR"/>
        </w:rPr>
        <w:t>’</w:t>
      </w:r>
      <w:r w:rsidR="00794277" w:rsidRPr="000D6387">
        <w:rPr>
          <w:lang w:val="fr-FR"/>
        </w:rPr>
        <w:t>élèves et des représentants des autorités locales, d</w:t>
      </w:r>
      <w:r w:rsidR="00BD12BA" w:rsidRPr="000D6387">
        <w:rPr>
          <w:lang w:val="fr-FR"/>
        </w:rPr>
        <w:t>’</w:t>
      </w:r>
      <w:r w:rsidR="00794277" w:rsidRPr="000D6387">
        <w:rPr>
          <w:lang w:val="fr-FR"/>
        </w:rPr>
        <w:t>organisations non gouvernementales et de la fondation «</w:t>
      </w:r>
      <w:r w:rsidR="006A6860">
        <w:rPr>
          <w:lang w:val="fr-FR"/>
        </w:rPr>
        <w:t> </w:t>
      </w:r>
      <w:r w:rsidR="00794277" w:rsidRPr="000D6387">
        <w:rPr>
          <w:lang w:val="fr-FR"/>
        </w:rPr>
        <w:t>Centre pour l</w:t>
      </w:r>
      <w:r w:rsidR="00BD12BA" w:rsidRPr="000D6387">
        <w:rPr>
          <w:lang w:val="fr-FR"/>
        </w:rPr>
        <w:t>’</w:t>
      </w:r>
      <w:r w:rsidR="00794277" w:rsidRPr="000D6387">
        <w:rPr>
          <w:lang w:val="fr-FR"/>
        </w:rPr>
        <w:t>étude des processus démocratiques</w:t>
      </w:r>
      <w:r w:rsidR="006A6860">
        <w:rPr>
          <w:lang w:val="fr-FR"/>
        </w:rPr>
        <w:t> </w:t>
      </w:r>
      <w:r w:rsidR="00794277" w:rsidRPr="000D6387">
        <w:rPr>
          <w:lang w:val="fr-FR"/>
        </w:rPr>
        <w:t>», et cinq séances d</w:t>
      </w:r>
      <w:r w:rsidR="00BD12BA" w:rsidRPr="000D6387">
        <w:rPr>
          <w:lang w:val="fr-FR"/>
        </w:rPr>
        <w:t>’</w:t>
      </w:r>
      <w:r w:rsidR="00794277" w:rsidRPr="000D6387">
        <w:rPr>
          <w:lang w:val="fr-FR"/>
        </w:rPr>
        <w:t xml:space="preserve">information publiques animées par des commissaires de police de quartier, qui ont fait une présentation et donné des informations sur la criminalité dans les nouveaux bâtiments et sur la prévention des vols et de la violence domestique. </w:t>
      </w:r>
    </w:p>
    <w:p w14:paraId="6CBD6704" w14:textId="58301701" w:rsidR="00794277" w:rsidRPr="000D6387" w:rsidRDefault="007F1722" w:rsidP="00794277">
      <w:pPr>
        <w:pStyle w:val="SingleTxt"/>
        <w:rPr>
          <w:bCs/>
          <w:lang w:val="fr-FR"/>
        </w:rPr>
      </w:pPr>
      <w:r w:rsidRPr="000D6387">
        <w:rPr>
          <w:lang w:val="fr-FR"/>
        </w:rPr>
        <w:tab/>
      </w:r>
      <w:r w:rsidR="00794277" w:rsidRPr="000D6387">
        <w:rPr>
          <w:lang w:val="fr-FR"/>
        </w:rPr>
        <w:t>Des représentants des autorités locales et d</w:t>
      </w:r>
      <w:r w:rsidR="00BD12BA" w:rsidRPr="000D6387">
        <w:rPr>
          <w:lang w:val="fr-FR"/>
        </w:rPr>
        <w:t>’</w:t>
      </w:r>
      <w:r w:rsidR="00794277" w:rsidRPr="000D6387">
        <w:rPr>
          <w:lang w:val="fr-FR"/>
        </w:rPr>
        <w:t>associations, les résidents des nouveaux bâtiments ainsi que des représentants des pouvoirs publics ont été invités à participer à ces activités.</w:t>
      </w:r>
    </w:p>
    <w:p w14:paraId="3925E483" w14:textId="7ECF8E53" w:rsidR="00794277" w:rsidRPr="000D6387" w:rsidRDefault="007F1722" w:rsidP="00794277">
      <w:pPr>
        <w:pStyle w:val="SingleTxt"/>
        <w:rPr>
          <w:bCs/>
          <w:lang w:val="fr-FR"/>
        </w:rPr>
      </w:pPr>
      <w:r w:rsidRPr="000D6387">
        <w:rPr>
          <w:lang w:val="fr-FR"/>
        </w:rPr>
        <w:tab/>
      </w:r>
      <w:r w:rsidR="00794277" w:rsidRPr="000D6387">
        <w:rPr>
          <w:lang w:val="fr-FR"/>
        </w:rPr>
        <w:t>Des agents des services de l</w:t>
      </w:r>
      <w:r w:rsidR="00BD12BA" w:rsidRPr="000D6387">
        <w:rPr>
          <w:lang w:val="fr-FR"/>
        </w:rPr>
        <w:t>’</w:t>
      </w:r>
      <w:r w:rsidR="00794277" w:rsidRPr="000D6387">
        <w:rPr>
          <w:lang w:val="fr-FR"/>
        </w:rPr>
        <w:t xml:space="preserve">intérieur, ainsi que les membres de </w:t>
      </w:r>
      <w:r w:rsidR="00794277" w:rsidRPr="00280912">
        <w:rPr>
          <w:lang w:val="fr-FR"/>
        </w:rPr>
        <w:t>27</w:t>
      </w:r>
      <w:r w:rsidR="00794277" w:rsidRPr="000D6387">
        <w:rPr>
          <w:lang w:val="fr-FR"/>
        </w:rPr>
        <w:t xml:space="preserve"> comités de prévention de la violence domestique de Bichkek et des districts d</w:t>
      </w:r>
      <w:r w:rsidR="00BD12BA" w:rsidRPr="000D6387">
        <w:rPr>
          <w:lang w:val="fr-FR"/>
        </w:rPr>
        <w:t>’</w:t>
      </w:r>
      <w:r w:rsidR="00794277" w:rsidRPr="000D6387">
        <w:rPr>
          <w:lang w:val="fr-FR"/>
        </w:rPr>
        <w:t>Alamadoun, de Djeti-Ogouz, d</w:t>
      </w:r>
      <w:r w:rsidR="00BD12BA" w:rsidRPr="000D6387">
        <w:rPr>
          <w:lang w:val="fr-FR"/>
        </w:rPr>
        <w:t>’</w:t>
      </w:r>
      <w:r w:rsidR="00794277" w:rsidRPr="000D6387">
        <w:rPr>
          <w:lang w:val="fr-FR"/>
        </w:rPr>
        <w:t>Ak-Souou, de Kara-Souou et de Nookat (</w:t>
      </w:r>
      <w:r w:rsidR="00794277" w:rsidRPr="00280912">
        <w:rPr>
          <w:lang w:val="fr-FR"/>
        </w:rPr>
        <w:t>3</w:t>
      </w:r>
      <w:r w:rsidR="00794277" w:rsidRPr="000D6387">
        <w:rPr>
          <w:lang w:val="fr-FR"/>
        </w:rPr>
        <w:t xml:space="preserve"> </w:t>
      </w:r>
      <w:r w:rsidR="00794277" w:rsidRPr="00280912">
        <w:rPr>
          <w:lang w:val="fr-FR"/>
        </w:rPr>
        <w:t>477</w:t>
      </w:r>
      <w:r w:rsidR="00794277" w:rsidRPr="000D6387">
        <w:rPr>
          <w:lang w:val="fr-FR"/>
        </w:rPr>
        <w:t xml:space="preserve"> personnes au total) ont pris part à des activités de prévention de la violence fondée sur le genre et de la violence domestique (organisées conjointement avec l</w:t>
      </w:r>
      <w:r w:rsidR="00BD12BA" w:rsidRPr="000D6387">
        <w:rPr>
          <w:lang w:val="fr-FR"/>
        </w:rPr>
        <w:t>’</w:t>
      </w:r>
      <w:r w:rsidR="00794277" w:rsidRPr="000D6387">
        <w:rPr>
          <w:lang w:val="fr-FR"/>
        </w:rPr>
        <w:t>Association des centres d</w:t>
      </w:r>
      <w:r w:rsidR="00BD12BA" w:rsidRPr="000D6387">
        <w:rPr>
          <w:lang w:val="fr-FR"/>
        </w:rPr>
        <w:t>’</w:t>
      </w:r>
      <w:r w:rsidR="00794277" w:rsidRPr="000D6387">
        <w:rPr>
          <w:lang w:val="fr-FR"/>
        </w:rPr>
        <w:t>accueil d</w:t>
      </w:r>
      <w:r w:rsidR="00BD12BA" w:rsidRPr="000D6387">
        <w:rPr>
          <w:lang w:val="fr-FR"/>
        </w:rPr>
        <w:t>’</w:t>
      </w:r>
      <w:r w:rsidR="00794277" w:rsidRPr="000D6387">
        <w:rPr>
          <w:lang w:val="fr-FR"/>
        </w:rPr>
        <w:t>urgence, l</w:t>
      </w:r>
      <w:r w:rsidR="00BD12BA" w:rsidRPr="000D6387">
        <w:rPr>
          <w:lang w:val="fr-FR"/>
        </w:rPr>
        <w:t>’</w:t>
      </w:r>
      <w:r w:rsidR="00794277" w:rsidRPr="000D6387">
        <w:rPr>
          <w:lang w:val="fr-FR"/>
        </w:rPr>
        <w:t>association « DIA » et la fondation « Abiïir »).</w:t>
      </w:r>
    </w:p>
    <w:p w14:paraId="7DBC4A55" w14:textId="037BCC45" w:rsidR="00794277" w:rsidRPr="000D6387" w:rsidRDefault="007F1722" w:rsidP="00794277">
      <w:pPr>
        <w:pStyle w:val="SingleTxt"/>
        <w:rPr>
          <w:bCs/>
          <w:lang w:val="fr-FR"/>
        </w:rPr>
      </w:pPr>
      <w:r w:rsidRPr="000D6387">
        <w:rPr>
          <w:lang w:val="fr-FR"/>
        </w:rPr>
        <w:tab/>
      </w:r>
      <w:r w:rsidR="00794277" w:rsidRPr="000D6387">
        <w:rPr>
          <w:lang w:val="fr-FR"/>
        </w:rPr>
        <w:t>Quatre clips vidéo sur la prévention des vols et de la violence contre les enfants ont été produits.</w:t>
      </w:r>
    </w:p>
    <w:p w14:paraId="3B7C896D" w14:textId="3D7A17A1" w:rsidR="00794277" w:rsidRPr="000D6387" w:rsidRDefault="007F1722" w:rsidP="00794277">
      <w:pPr>
        <w:pStyle w:val="SingleTxt"/>
        <w:rPr>
          <w:bCs/>
          <w:lang w:val="fr-FR"/>
        </w:rPr>
      </w:pPr>
      <w:r w:rsidRPr="000D6387">
        <w:rPr>
          <w:lang w:val="fr-FR"/>
        </w:rPr>
        <w:tab/>
      </w:r>
      <w:r w:rsidR="00794277" w:rsidRPr="000D6387">
        <w:rPr>
          <w:lang w:val="fr-FR"/>
        </w:rPr>
        <w:t>Des brochures (</w:t>
      </w:r>
      <w:r w:rsidR="00794277" w:rsidRPr="00280912">
        <w:rPr>
          <w:lang w:val="fr-FR"/>
        </w:rPr>
        <w:t>8</w:t>
      </w:r>
      <w:r w:rsidR="00794277" w:rsidRPr="000D6387">
        <w:rPr>
          <w:lang w:val="fr-FR"/>
        </w:rPr>
        <w:t xml:space="preserve"> </w:t>
      </w:r>
      <w:r w:rsidR="00794277" w:rsidRPr="00280912">
        <w:rPr>
          <w:lang w:val="fr-FR"/>
        </w:rPr>
        <w:t>000</w:t>
      </w:r>
      <w:r w:rsidR="00794277" w:rsidRPr="000D6387">
        <w:rPr>
          <w:lang w:val="fr-FR"/>
        </w:rPr>
        <w:t xml:space="preserve"> exemplaires) sur la prévention de la violence domestique et sur les services d</w:t>
      </w:r>
      <w:r w:rsidR="00BD12BA" w:rsidRPr="000D6387">
        <w:rPr>
          <w:lang w:val="fr-FR"/>
        </w:rPr>
        <w:t>’</w:t>
      </w:r>
      <w:r w:rsidR="00794277" w:rsidRPr="000D6387">
        <w:rPr>
          <w:lang w:val="fr-FR"/>
        </w:rPr>
        <w:t>assistance aux victimes de violence domestique ont été publiées et distribuées (Association des centres d</w:t>
      </w:r>
      <w:r w:rsidR="00BD12BA" w:rsidRPr="000D6387">
        <w:rPr>
          <w:lang w:val="fr-FR"/>
        </w:rPr>
        <w:t>’</w:t>
      </w:r>
      <w:r w:rsidR="00794277" w:rsidRPr="000D6387">
        <w:rPr>
          <w:lang w:val="fr-FR"/>
        </w:rPr>
        <w:t>accueil d</w:t>
      </w:r>
      <w:r w:rsidR="00BD12BA" w:rsidRPr="000D6387">
        <w:rPr>
          <w:lang w:val="fr-FR"/>
        </w:rPr>
        <w:t>’</w:t>
      </w:r>
      <w:r w:rsidR="00794277" w:rsidRPr="000D6387">
        <w:rPr>
          <w:lang w:val="fr-FR"/>
        </w:rPr>
        <w:t>urgence).</w:t>
      </w:r>
    </w:p>
    <w:p w14:paraId="33B0FFD4" w14:textId="06F997FE" w:rsidR="00794277" w:rsidRPr="000D6387" w:rsidRDefault="007F1722" w:rsidP="00794277">
      <w:pPr>
        <w:pStyle w:val="SingleTxt"/>
        <w:rPr>
          <w:bCs/>
          <w:lang w:val="fr-FR"/>
        </w:rPr>
      </w:pPr>
      <w:r w:rsidRPr="000D6387">
        <w:rPr>
          <w:lang w:val="fr-FR"/>
        </w:rPr>
        <w:tab/>
      </w:r>
      <w:r w:rsidR="00794277" w:rsidRPr="000D6387">
        <w:rPr>
          <w:lang w:val="fr-FR"/>
        </w:rPr>
        <w:t>Des supports d</w:t>
      </w:r>
      <w:r w:rsidR="00BD12BA" w:rsidRPr="000D6387">
        <w:rPr>
          <w:lang w:val="fr-FR"/>
        </w:rPr>
        <w:t>’</w:t>
      </w:r>
      <w:r w:rsidR="00794277" w:rsidRPr="000D6387">
        <w:rPr>
          <w:lang w:val="fr-FR"/>
        </w:rPr>
        <w:t xml:space="preserve">information et des clips vidéo sociaux visant à prévenir la violence domestique, y compris des supports et clips qui mettent en scène des mineurs, sont régulièrement produits et publiés. </w:t>
      </w:r>
    </w:p>
    <w:p w14:paraId="28532AB4" w14:textId="6B473135" w:rsidR="00794277" w:rsidRPr="000D6387" w:rsidRDefault="007F1722" w:rsidP="00794277">
      <w:pPr>
        <w:pStyle w:val="SingleTxt"/>
        <w:rPr>
          <w:lang w:val="fr-FR"/>
        </w:rPr>
      </w:pPr>
      <w:r w:rsidRPr="000D6387">
        <w:rPr>
          <w:lang w:val="fr-FR"/>
        </w:rPr>
        <w:tab/>
      </w:r>
      <w:r w:rsidR="00794277" w:rsidRPr="000D6387">
        <w:rPr>
          <w:lang w:val="fr-FR"/>
        </w:rPr>
        <w:t>En outre, des représentants des centres sociaux de prévention, en particulier des représentants des conseils de femmes et de jeunes, ainsi que des commissaires de police de quartier et des inspecteurs de la brigade des mineurs, effectuent un travail de prévention auprès des personnes ayant commis à plusieurs reprises des infractions dans la sphère familiale et domestique et des consommateurs réguliers d</w:t>
      </w:r>
      <w:r w:rsidR="00BD12BA" w:rsidRPr="000D6387">
        <w:rPr>
          <w:lang w:val="fr-FR"/>
        </w:rPr>
        <w:t>’</w:t>
      </w:r>
      <w:r w:rsidR="00794277" w:rsidRPr="000D6387">
        <w:rPr>
          <w:lang w:val="fr-FR"/>
        </w:rPr>
        <w:t>alcool et de stupéfiants.</w:t>
      </w:r>
    </w:p>
    <w:p w14:paraId="199A0832" w14:textId="13B8A3D7" w:rsidR="00794277" w:rsidRPr="000D6387" w:rsidRDefault="007F1722" w:rsidP="00794277">
      <w:pPr>
        <w:pStyle w:val="SingleTxt"/>
        <w:rPr>
          <w:lang w:val="fr-FR"/>
        </w:rPr>
      </w:pPr>
      <w:r w:rsidRPr="000D6387">
        <w:rPr>
          <w:lang w:val="fr-FR"/>
        </w:rPr>
        <w:tab/>
      </w:r>
      <w:r w:rsidR="00794277" w:rsidRPr="000D6387">
        <w:rPr>
          <w:lang w:val="fr-FR"/>
        </w:rPr>
        <w:t>Avec le concours du Centre pour l</w:t>
      </w:r>
      <w:r w:rsidR="00BD12BA" w:rsidRPr="000D6387">
        <w:rPr>
          <w:lang w:val="fr-FR"/>
        </w:rPr>
        <w:t>’</w:t>
      </w:r>
      <w:r w:rsidR="00794277" w:rsidRPr="000D6387">
        <w:rPr>
          <w:lang w:val="fr-FR"/>
        </w:rPr>
        <w:t>étude des processus démocratiques, le Ministère de l</w:t>
      </w:r>
      <w:r w:rsidR="00BD12BA" w:rsidRPr="000D6387">
        <w:rPr>
          <w:lang w:val="fr-FR"/>
        </w:rPr>
        <w:t>’</w:t>
      </w:r>
      <w:r w:rsidR="00794277" w:rsidRPr="000D6387">
        <w:rPr>
          <w:lang w:val="fr-FR"/>
        </w:rPr>
        <w:t>intérieur a élaboré des cours en ligne sur la lutte contre la violence fondée sur le genre et la violence domestique à l</w:t>
      </w:r>
      <w:r w:rsidR="00BD12BA" w:rsidRPr="000D6387">
        <w:rPr>
          <w:lang w:val="fr-FR"/>
        </w:rPr>
        <w:t>’</w:t>
      </w:r>
      <w:r w:rsidR="00794277" w:rsidRPr="000D6387">
        <w:rPr>
          <w:lang w:val="fr-FR"/>
        </w:rPr>
        <w:t>intention des forces de l</w:t>
      </w:r>
      <w:r w:rsidR="00BD12BA" w:rsidRPr="000D6387">
        <w:rPr>
          <w:lang w:val="fr-FR"/>
        </w:rPr>
        <w:t>’</w:t>
      </w:r>
      <w:r w:rsidR="00794277" w:rsidRPr="000D6387">
        <w:rPr>
          <w:lang w:val="fr-FR"/>
        </w:rPr>
        <w:t>ordre et du système juridique (une présentation a été faite).</w:t>
      </w:r>
    </w:p>
    <w:p w14:paraId="4539209C" w14:textId="40E7082F" w:rsidR="00794277" w:rsidRPr="000D6387" w:rsidRDefault="007F1722" w:rsidP="00794277">
      <w:pPr>
        <w:pStyle w:val="SingleTxt"/>
        <w:rPr>
          <w:lang w:val="fr-FR"/>
        </w:rPr>
      </w:pPr>
      <w:r w:rsidRPr="000D6387">
        <w:rPr>
          <w:lang w:val="fr-FR"/>
        </w:rPr>
        <w:tab/>
      </w:r>
      <w:r w:rsidR="00794277" w:rsidRPr="000D6387">
        <w:rPr>
          <w:lang w:val="fr-FR"/>
        </w:rPr>
        <w:t>Un groupe de travail interministériel a établi un projet de loi portant modification de la loi sur la protection et la lutte contre la violence domestique visant à rendre celle-ci conforme aux nouveaux codes. Le projet de loi a été approuvé par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543</w:t>
      </w:r>
      <w:r w:rsidR="00794277" w:rsidRPr="000D6387">
        <w:rPr>
          <w:lang w:val="fr-FR"/>
        </w:rPr>
        <w:t xml:space="preserve"> du </w:t>
      </w:r>
      <w:r w:rsidR="00794277" w:rsidRPr="00280912">
        <w:rPr>
          <w:lang w:val="fr-FR"/>
        </w:rPr>
        <w:t>14</w:t>
      </w:r>
      <w:r w:rsidR="00794277" w:rsidRPr="000D6387">
        <w:rPr>
          <w:lang w:val="fr-FR"/>
        </w:rPr>
        <w:t xml:space="preserve"> septembre </w:t>
      </w:r>
      <w:r w:rsidR="00794277" w:rsidRPr="00280912">
        <w:rPr>
          <w:lang w:val="fr-FR"/>
        </w:rPr>
        <w:t>2019</w:t>
      </w:r>
      <w:r w:rsidR="00794277" w:rsidRPr="000D6387">
        <w:rPr>
          <w:lang w:val="fr-FR"/>
        </w:rPr>
        <w:t xml:space="preserve"> et est actuellement examiné par le Parlement.</w:t>
      </w:r>
    </w:p>
    <w:p w14:paraId="3BA4CE39" w14:textId="00C7BE3D"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2019</w:t>
      </w:r>
      <w:r w:rsidR="00794277" w:rsidRPr="000D6387">
        <w:rPr>
          <w:lang w:val="fr-FR"/>
        </w:rPr>
        <w:t xml:space="preserve">, </w:t>
      </w:r>
      <w:r w:rsidR="00794277" w:rsidRPr="00280912">
        <w:rPr>
          <w:lang w:val="fr-FR"/>
        </w:rPr>
        <w:t>8</w:t>
      </w:r>
      <w:r w:rsidR="00DD24C3">
        <w:rPr>
          <w:lang w:val="fr-FR"/>
        </w:rPr>
        <w:t> </w:t>
      </w:r>
      <w:r w:rsidR="00794277" w:rsidRPr="00280912">
        <w:rPr>
          <w:lang w:val="fr-FR"/>
        </w:rPr>
        <w:t>159</w:t>
      </w:r>
      <w:r w:rsidR="00794277" w:rsidRPr="000D6387">
        <w:rPr>
          <w:lang w:val="fr-FR"/>
        </w:rPr>
        <w:t xml:space="preserve"> cas de violence familiale (domestique) ont été recensés, dont </w:t>
      </w:r>
      <w:r w:rsidR="00794277" w:rsidRPr="00280912">
        <w:rPr>
          <w:lang w:val="fr-FR"/>
        </w:rPr>
        <w:t>5</w:t>
      </w:r>
      <w:r w:rsidR="0029448F" w:rsidRPr="000D6387">
        <w:rPr>
          <w:lang w:val="fr-FR"/>
        </w:rPr>
        <w:t> </w:t>
      </w:r>
      <w:r w:rsidR="00794277" w:rsidRPr="00280912">
        <w:rPr>
          <w:lang w:val="fr-FR"/>
        </w:rPr>
        <w:t>379</w:t>
      </w:r>
      <w:r w:rsidR="00794277" w:rsidRPr="000D6387">
        <w:rPr>
          <w:lang w:val="fr-FR"/>
        </w:rPr>
        <w:t xml:space="preserve"> cas de violence physique, </w:t>
      </w:r>
      <w:r w:rsidR="00794277" w:rsidRPr="00280912">
        <w:rPr>
          <w:lang w:val="fr-FR"/>
        </w:rPr>
        <w:t>2</w:t>
      </w:r>
      <w:r w:rsidR="00DD24C3">
        <w:rPr>
          <w:lang w:val="fr-FR"/>
        </w:rPr>
        <w:t> </w:t>
      </w:r>
      <w:r w:rsidR="00794277" w:rsidRPr="00280912">
        <w:rPr>
          <w:lang w:val="fr-FR"/>
        </w:rPr>
        <w:t>518</w:t>
      </w:r>
      <w:r w:rsidR="00794277" w:rsidRPr="000D6387">
        <w:rPr>
          <w:lang w:val="fr-FR"/>
        </w:rPr>
        <w:t xml:space="preserve"> cas de violence psychologique, </w:t>
      </w:r>
      <w:r w:rsidR="00794277" w:rsidRPr="00280912">
        <w:rPr>
          <w:lang w:val="fr-FR"/>
        </w:rPr>
        <w:t>8</w:t>
      </w:r>
      <w:r w:rsidR="00794277" w:rsidRPr="000D6387">
        <w:rPr>
          <w:lang w:val="fr-FR"/>
        </w:rPr>
        <w:t xml:space="preserve"> cas de violence sexuelle et </w:t>
      </w:r>
      <w:r w:rsidR="00794277" w:rsidRPr="00280912">
        <w:rPr>
          <w:lang w:val="fr-FR"/>
        </w:rPr>
        <w:t>254</w:t>
      </w:r>
      <w:r w:rsidR="00794277" w:rsidRPr="000D6387">
        <w:rPr>
          <w:lang w:val="fr-FR"/>
        </w:rPr>
        <w:t xml:space="preserve"> cas de négligence. </w:t>
      </w:r>
    </w:p>
    <w:p w14:paraId="3C883A79" w14:textId="06A8416D" w:rsidR="00794277" w:rsidRPr="000D6387" w:rsidRDefault="007F1722" w:rsidP="00794277">
      <w:pPr>
        <w:pStyle w:val="SingleTxt"/>
        <w:rPr>
          <w:lang w:val="fr-FR"/>
        </w:rPr>
      </w:pPr>
      <w:r w:rsidRPr="000D6387">
        <w:rPr>
          <w:lang w:val="fr-FR"/>
        </w:rPr>
        <w:tab/>
      </w:r>
      <w:r w:rsidR="00794277" w:rsidRPr="000D6387">
        <w:rPr>
          <w:lang w:val="fr-FR"/>
        </w:rPr>
        <w:t>La même année, les services de l</w:t>
      </w:r>
      <w:r w:rsidR="00BD12BA" w:rsidRPr="000D6387">
        <w:rPr>
          <w:lang w:val="fr-FR"/>
        </w:rPr>
        <w:t>’</w:t>
      </w:r>
      <w:r w:rsidR="00794277" w:rsidRPr="000D6387">
        <w:rPr>
          <w:lang w:val="fr-FR"/>
        </w:rPr>
        <w:t xml:space="preserve">intérieur ont rendu </w:t>
      </w:r>
      <w:r w:rsidR="00794277" w:rsidRPr="00280912">
        <w:rPr>
          <w:lang w:val="fr-FR"/>
        </w:rPr>
        <w:t>6</w:t>
      </w:r>
      <w:r w:rsidR="00DD24C3">
        <w:rPr>
          <w:lang w:val="fr-FR"/>
        </w:rPr>
        <w:t> </w:t>
      </w:r>
      <w:r w:rsidR="00794277" w:rsidRPr="00280912">
        <w:rPr>
          <w:lang w:val="fr-FR"/>
        </w:rPr>
        <w:t>145</w:t>
      </w:r>
      <w:r w:rsidR="00794277" w:rsidRPr="000D6387">
        <w:rPr>
          <w:lang w:val="fr-FR"/>
        </w:rPr>
        <w:t xml:space="preserve"> ordonnances de protection, dont </w:t>
      </w:r>
      <w:r w:rsidR="00794277" w:rsidRPr="00280912">
        <w:rPr>
          <w:lang w:val="fr-FR"/>
        </w:rPr>
        <w:t>5</w:t>
      </w:r>
      <w:r w:rsidR="00DD24C3">
        <w:rPr>
          <w:lang w:val="fr-FR"/>
        </w:rPr>
        <w:t> </w:t>
      </w:r>
      <w:r w:rsidR="00794277" w:rsidRPr="00280912">
        <w:rPr>
          <w:lang w:val="fr-FR"/>
        </w:rPr>
        <w:t>752</w:t>
      </w:r>
      <w:r w:rsidR="00794277" w:rsidRPr="000D6387">
        <w:rPr>
          <w:lang w:val="fr-FR"/>
        </w:rPr>
        <w:t xml:space="preserve"> contre des hommes (</w:t>
      </w:r>
      <w:r w:rsidR="00794277" w:rsidRPr="00280912">
        <w:rPr>
          <w:lang w:val="fr-FR"/>
        </w:rPr>
        <w:t>94</w:t>
      </w:r>
      <w:r w:rsidR="00794277" w:rsidRPr="000D6387">
        <w:rPr>
          <w:lang w:val="fr-FR"/>
        </w:rPr>
        <w:t>,</w:t>
      </w:r>
      <w:r w:rsidR="00794277" w:rsidRPr="00280912">
        <w:rPr>
          <w:lang w:val="fr-FR"/>
        </w:rPr>
        <w:t>1</w:t>
      </w:r>
      <w:r w:rsidR="005D4517" w:rsidRPr="000D6387">
        <w:rPr>
          <w:lang w:val="fr-FR"/>
        </w:rPr>
        <w:t> %</w:t>
      </w:r>
      <w:r w:rsidR="00794277" w:rsidRPr="000D6387">
        <w:rPr>
          <w:lang w:val="fr-FR"/>
        </w:rPr>
        <w:t xml:space="preserve"> des cas) et </w:t>
      </w:r>
      <w:r w:rsidR="00794277" w:rsidRPr="00280912">
        <w:rPr>
          <w:lang w:val="fr-FR"/>
        </w:rPr>
        <w:t>393</w:t>
      </w:r>
      <w:r w:rsidR="00794277" w:rsidRPr="000D6387">
        <w:rPr>
          <w:lang w:val="fr-FR"/>
        </w:rPr>
        <w:t xml:space="preserve"> contre des femmes (</w:t>
      </w:r>
      <w:r w:rsidR="00794277" w:rsidRPr="00280912">
        <w:rPr>
          <w:lang w:val="fr-FR"/>
        </w:rPr>
        <w:t>5</w:t>
      </w:r>
      <w:r w:rsidR="00794277" w:rsidRPr="000D6387">
        <w:rPr>
          <w:lang w:val="fr-FR"/>
        </w:rPr>
        <w:t>,</w:t>
      </w:r>
      <w:r w:rsidR="00794277" w:rsidRPr="00280912">
        <w:rPr>
          <w:lang w:val="fr-FR"/>
        </w:rPr>
        <w:t>9</w:t>
      </w:r>
      <w:r w:rsidR="005D4517" w:rsidRPr="000D6387">
        <w:rPr>
          <w:lang w:val="fr-FR"/>
        </w:rPr>
        <w:t> %</w:t>
      </w:r>
      <w:r w:rsidR="00794277" w:rsidRPr="000D6387">
        <w:rPr>
          <w:lang w:val="fr-FR"/>
        </w:rPr>
        <w:t xml:space="preserve">). </w:t>
      </w:r>
    </w:p>
    <w:p w14:paraId="5137FEA9" w14:textId="276B7E58" w:rsidR="00794277" w:rsidRPr="000D6387" w:rsidRDefault="007F1722" w:rsidP="00794277">
      <w:pPr>
        <w:pStyle w:val="SingleTxt"/>
        <w:rPr>
          <w:lang w:val="fr-FR"/>
        </w:rPr>
      </w:pPr>
      <w:r w:rsidRPr="000D6387">
        <w:rPr>
          <w:lang w:val="fr-FR"/>
        </w:rPr>
        <w:tab/>
      </w:r>
      <w:r w:rsidR="00794277" w:rsidRPr="000D6387">
        <w:rPr>
          <w:lang w:val="fr-FR"/>
        </w:rPr>
        <w:t xml:space="preserve">Parmi ces ordonnances de protection, </w:t>
      </w:r>
      <w:r w:rsidR="00794277" w:rsidRPr="00280912">
        <w:rPr>
          <w:lang w:val="fr-FR"/>
        </w:rPr>
        <w:t>790</w:t>
      </w:r>
      <w:r w:rsidR="00794277" w:rsidRPr="000D6387">
        <w:rPr>
          <w:lang w:val="fr-FR"/>
        </w:rPr>
        <w:t xml:space="preserve"> étaient des ordonnances prorogées.</w:t>
      </w:r>
    </w:p>
    <w:p w14:paraId="6C3176E7" w14:textId="61DAC2B2" w:rsidR="00794277" w:rsidRPr="000D6387" w:rsidRDefault="007F1722" w:rsidP="00794277">
      <w:pPr>
        <w:pStyle w:val="SingleTxt"/>
        <w:rPr>
          <w:lang w:val="fr-FR"/>
        </w:rPr>
      </w:pPr>
      <w:r w:rsidRPr="000D6387">
        <w:rPr>
          <w:lang w:val="fr-FR"/>
        </w:rPr>
        <w:tab/>
      </w:r>
      <w:r w:rsidR="00794277" w:rsidRPr="000D6387">
        <w:rPr>
          <w:lang w:val="fr-FR"/>
        </w:rPr>
        <w:t xml:space="preserve">Des ordonnances de protection ont été rendues en faveur de </w:t>
      </w:r>
      <w:r w:rsidR="00794277" w:rsidRPr="00280912">
        <w:rPr>
          <w:lang w:val="fr-FR"/>
        </w:rPr>
        <w:t>169</w:t>
      </w:r>
      <w:r w:rsidR="00794277" w:rsidRPr="000D6387">
        <w:rPr>
          <w:lang w:val="fr-FR"/>
        </w:rPr>
        <w:t xml:space="preserve"> mineurs victimes de violence domestique (</w:t>
      </w:r>
      <w:r w:rsidR="00794277" w:rsidRPr="00280912">
        <w:rPr>
          <w:lang w:val="fr-FR"/>
        </w:rPr>
        <w:t>81</w:t>
      </w:r>
      <w:r w:rsidR="00794277" w:rsidRPr="000D6387">
        <w:rPr>
          <w:lang w:val="fr-FR"/>
        </w:rPr>
        <w:t xml:space="preserve"> garçons et </w:t>
      </w:r>
      <w:r w:rsidR="00794277" w:rsidRPr="00280912">
        <w:rPr>
          <w:lang w:val="fr-FR"/>
        </w:rPr>
        <w:t>88</w:t>
      </w:r>
      <w:r w:rsidR="00794277" w:rsidRPr="000D6387">
        <w:rPr>
          <w:lang w:val="fr-FR"/>
        </w:rPr>
        <w:t xml:space="preserve"> filles). </w:t>
      </w:r>
    </w:p>
    <w:p w14:paraId="40AB7022" w14:textId="348FCE12" w:rsidR="00794277" w:rsidRPr="000D6387" w:rsidRDefault="007F1722" w:rsidP="00794277">
      <w:pPr>
        <w:pStyle w:val="SingleTxt"/>
        <w:rPr>
          <w:lang w:val="fr-FR"/>
        </w:rPr>
      </w:pPr>
      <w:r w:rsidRPr="000D6387">
        <w:rPr>
          <w:lang w:val="fr-FR"/>
        </w:rPr>
        <w:tab/>
      </w:r>
      <w:r w:rsidR="00794277" w:rsidRPr="000D6387">
        <w:rPr>
          <w:lang w:val="fr-FR"/>
        </w:rPr>
        <w:t xml:space="preserve">Au total, </w:t>
      </w:r>
      <w:r w:rsidR="00794277" w:rsidRPr="00280912">
        <w:rPr>
          <w:lang w:val="fr-FR"/>
        </w:rPr>
        <w:t>8</w:t>
      </w:r>
      <w:r w:rsidR="00DD24C3">
        <w:rPr>
          <w:lang w:val="fr-FR"/>
        </w:rPr>
        <w:t> </w:t>
      </w:r>
      <w:r w:rsidR="00794277" w:rsidRPr="00280912">
        <w:rPr>
          <w:lang w:val="fr-FR"/>
        </w:rPr>
        <w:t>519</w:t>
      </w:r>
      <w:r w:rsidR="00794277" w:rsidRPr="000D6387">
        <w:rPr>
          <w:lang w:val="fr-FR"/>
        </w:rPr>
        <w:t xml:space="preserve"> affaires liées à des infractions au titre de l</w:t>
      </w:r>
      <w:r w:rsidR="00BD12BA" w:rsidRPr="000D6387">
        <w:rPr>
          <w:lang w:val="fr-FR"/>
        </w:rPr>
        <w:t>’</w:t>
      </w:r>
      <w:r w:rsidR="00794277" w:rsidRPr="000D6387">
        <w:rPr>
          <w:lang w:val="fr-FR"/>
        </w:rPr>
        <w:t xml:space="preserve">article </w:t>
      </w:r>
      <w:r w:rsidR="00794277" w:rsidRPr="00280912">
        <w:rPr>
          <w:lang w:val="fr-FR"/>
        </w:rPr>
        <w:t>75</w:t>
      </w:r>
      <w:r w:rsidR="00794277" w:rsidRPr="000D6387">
        <w:rPr>
          <w:lang w:val="fr-FR"/>
        </w:rPr>
        <w:t xml:space="preserve"> du Code des infractions pénales (Violence domestique) ont été recensé</w:t>
      </w:r>
      <w:r w:rsidR="00DD24C3">
        <w:rPr>
          <w:lang w:val="fr-FR"/>
        </w:rPr>
        <w:t>e</w:t>
      </w:r>
      <w:r w:rsidR="00794277" w:rsidRPr="000D6387">
        <w:rPr>
          <w:lang w:val="fr-FR"/>
        </w:rPr>
        <w:t>s</w:t>
      </w:r>
      <w:r w:rsidR="00BD12BA" w:rsidRPr="000D6387">
        <w:rPr>
          <w:lang w:val="fr-FR"/>
        </w:rPr>
        <w:t> ;</w:t>
      </w:r>
      <w:r w:rsidR="00794277" w:rsidRPr="000D6387">
        <w:rPr>
          <w:lang w:val="fr-FR"/>
        </w:rPr>
        <w:t xml:space="preserve"> </w:t>
      </w:r>
      <w:r w:rsidR="00794277" w:rsidRPr="00280912">
        <w:rPr>
          <w:lang w:val="fr-FR"/>
        </w:rPr>
        <w:t>554</w:t>
      </w:r>
      <w:r w:rsidR="00794277" w:rsidRPr="000D6387">
        <w:rPr>
          <w:lang w:val="fr-FR"/>
        </w:rPr>
        <w:t xml:space="preserve"> ont été déférées aux juridictions compétentes et </w:t>
      </w:r>
      <w:r w:rsidR="00794277" w:rsidRPr="00280912">
        <w:rPr>
          <w:lang w:val="fr-FR"/>
        </w:rPr>
        <w:t>7</w:t>
      </w:r>
      <w:r w:rsidR="00DD24C3">
        <w:rPr>
          <w:lang w:val="fr-FR"/>
        </w:rPr>
        <w:t> </w:t>
      </w:r>
      <w:r w:rsidR="00794277" w:rsidRPr="00280912">
        <w:rPr>
          <w:lang w:val="fr-FR"/>
        </w:rPr>
        <w:t>045</w:t>
      </w:r>
      <w:r w:rsidR="00794277" w:rsidRPr="000D6387">
        <w:rPr>
          <w:lang w:val="fr-FR"/>
        </w:rPr>
        <w:t xml:space="preserve"> ont été classées. Sept affaires liées à des infractions au titre de l</w:t>
      </w:r>
      <w:r w:rsidR="00BD12BA" w:rsidRPr="000D6387">
        <w:rPr>
          <w:lang w:val="fr-FR"/>
        </w:rPr>
        <w:t>’</w:t>
      </w:r>
      <w:r w:rsidR="00794277" w:rsidRPr="000D6387">
        <w:rPr>
          <w:lang w:val="fr-FR"/>
        </w:rPr>
        <w:t xml:space="preserve">article </w:t>
      </w:r>
      <w:r w:rsidR="00794277" w:rsidRPr="00280912">
        <w:rPr>
          <w:lang w:val="fr-FR"/>
        </w:rPr>
        <w:t>76</w:t>
      </w:r>
      <w:r w:rsidR="00794277" w:rsidRPr="000D6387">
        <w:rPr>
          <w:lang w:val="fr-FR"/>
        </w:rPr>
        <w:t xml:space="preserve"> du Code des infractions pénales (Non-respect d</w:t>
      </w:r>
      <w:r w:rsidR="00BD12BA" w:rsidRPr="000D6387">
        <w:rPr>
          <w:lang w:val="fr-FR"/>
        </w:rPr>
        <w:t>’</w:t>
      </w:r>
      <w:r w:rsidR="00794277" w:rsidRPr="000D6387">
        <w:rPr>
          <w:lang w:val="fr-FR"/>
        </w:rPr>
        <w:t xml:space="preserve">une ordonnance de protection temporaire) ont été recensées, dont </w:t>
      </w:r>
      <w:r w:rsidR="00794277" w:rsidRPr="00280912">
        <w:rPr>
          <w:lang w:val="fr-FR"/>
        </w:rPr>
        <w:t>5</w:t>
      </w:r>
      <w:r w:rsidR="00794277" w:rsidRPr="000D6387">
        <w:rPr>
          <w:lang w:val="fr-FR"/>
        </w:rPr>
        <w:t xml:space="preserve"> ont été classées.</w:t>
      </w:r>
    </w:p>
    <w:p w14:paraId="0BF997B4" w14:textId="08E5F73D" w:rsidR="00794277" w:rsidRPr="000D6387" w:rsidRDefault="007F1722" w:rsidP="00794277">
      <w:pPr>
        <w:pStyle w:val="SingleTxt"/>
        <w:rPr>
          <w:lang w:val="fr-FR"/>
        </w:rPr>
      </w:pPr>
      <w:r w:rsidRPr="000D6387">
        <w:rPr>
          <w:lang w:val="fr-FR"/>
        </w:rPr>
        <w:tab/>
      </w:r>
      <w:r w:rsidR="00794277" w:rsidRPr="000D6387">
        <w:rPr>
          <w:lang w:val="fr-FR"/>
        </w:rPr>
        <w:t xml:space="preserve">Au total, on a enregistré </w:t>
      </w:r>
      <w:r w:rsidR="00794277" w:rsidRPr="00280912">
        <w:rPr>
          <w:lang w:val="fr-FR"/>
        </w:rPr>
        <w:t>129</w:t>
      </w:r>
      <w:r w:rsidR="00794277" w:rsidRPr="000D6387">
        <w:rPr>
          <w:lang w:val="fr-FR"/>
        </w:rPr>
        <w:t xml:space="preserve"> affaires au titre de l</w:t>
      </w:r>
      <w:r w:rsidR="00BD12BA" w:rsidRPr="000D6387">
        <w:rPr>
          <w:lang w:val="fr-FR"/>
        </w:rPr>
        <w:t>’</w:t>
      </w:r>
      <w:r w:rsidR="00794277" w:rsidRPr="000D6387">
        <w:rPr>
          <w:lang w:val="fr-FR"/>
        </w:rPr>
        <w:t xml:space="preserve">article </w:t>
      </w:r>
      <w:r w:rsidR="00794277" w:rsidRPr="00280912">
        <w:rPr>
          <w:lang w:val="fr-FR"/>
        </w:rPr>
        <w:t>61</w:t>
      </w:r>
      <w:r w:rsidR="00794277" w:rsidRPr="000D6387">
        <w:rPr>
          <w:lang w:val="fr-FR"/>
        </w:rPr>
        <w:t xml:space="preserve"> du Code des délits (Non-respect des obligations parentales) et </w:t>
      </w:r>
      <w:r w:rsidR="00794277" w:rsidRPr="00280912">
        <w:rPr>
          <w:lang w:val="fr-FR"/>
        </w:rPr>
        <w:t>649</w:t>
      </w:r>
      <w:r w:rsidR="00794277" w:rsidRPr="000D6387">
        <w:rPr>
          <w:lang w:val="fr-FR"/>
        </w:rPr>
        <w:t xml:space="preserve"> affaires de violence domestique relevant du Code pénal.</w:t>
      </w:r>
    </w:p>
    <w:p w14:paraId="013D9595" w14:textId="24BBB52D" w:rsidR="00794277" w:rsidRPr="000D6387" w:rsidRDefault="007F1722" w:rsidP="00794277">
      <w:pPr>
        <w:pStyle w:val="SingleTxt"/>
        <w:rPr>
          <w:lang w:val="fr-FR"/>
        </w:rPr>
      </w:pPr>
      <w:r w:rsidRPr="000D6387">
        <w:rPr>
          <w:lang w:val="fr-FR"/>
        </w:rPr>
        <w:tab/>
      </w:r>
      <w:r w:rsidR="00794277" w:rsidRPr="000D6387">
        <w:rPr>
          <w:lang w:val="fr-FR"/>
        </w:rPr>
        <w:t xml:space="preserve">Les agents de la brigade des mineurs ont fait </w:t>
      </w:r>
      <w:r w:rsidR="00794277" w:rsidRPr="00280912">
        <w:rPr>
          <w:lang w:val="fr-FR"/>
        </w:rPr>
        <w:t>166</w:t>
      </w:r>
      <w:r w:rsidR="003E3F8F">
        <w:rPr>
          <w:lang w:val="fr-FR"/>
        </w:rPr>
        <w:t> </w:t>
      </w:r>
      <w:r w:rsidR="00794277" w:rsidRPr="00280912">
        <w:rPr>
          <w:lang w:val="fr-FR"/>
        </w:rPr>
        <w:t>065</w:t>
      </w:r>
      <w:r w:rsidR="00794277" w:rsidRPr="000D6387">
        <w:rPr>
          <w:lang w:val="fr-FR"/>
        </w:rPr>
        <w:t xml:space="preserve"> présentations dans des établissements d</w:t>
      </w:r>
      <w:r w:rsidR="00BD12BA" w:rsidRPr="000D6387">
        <w:rPr>
          <w:lang w:val="fr-FR"/>
        </w:rPr>
        <w:t>’</w:t>
      </w:r>
      <w:r w:rsidR="00794277" w:rsidRPr="000D6387">
        <w:rPr>
          <w:lang w:val="fr-FR"/>
        </w:rPr>
        <w:t xml:space="preserve">enseignement et sont intervenus </w:t>
      </w:r>
      <w:r w:rsidR="00794277" w:rsidRPr="00280912">
        <w:rPr>
          <w:lang w:val="fr-FR"/>
        </w:rPr>
        <w:t>993</w:t>
      </w:r>
      <w:r w:rsidR="00794277" w:rsidRPr="000D6387">
        <w:rPr>
          <w:lang w:val="fr-FR"/>
        </w:rPr>
        <w:t xml:space="preserve"> fois dans les médias. En outre, </w:t>
      </w:r>
      <w:r w:rsidR="00794277" w:rsidRPr="00280912">
        <w:rPr>
          <w:lang w:val="fr-FR"/>
        </w:rPr>
        <w:t>24</w:t>
      </w:r>
      <w:r w:rsidR="003E3F8F">
        <w:rPr>
          <w:lang w:val="fr-FR"/>
        </w:rPr>
        <w:t> </w:t>
      </w:r>
      <w:r w:rsidR="00794277" w:rsidRPr="00280912">
        <w:rPr>
          <w:lang w:val="fr-FR"/>
        </w:rPr>
        <w:t>370</w:t>
      </w:r>
      <w:r w:rsidR="00794277" w:rsidRPr="000D6387">
        <w:rPr>
          <w:lang w:val="fr-FR"/>
        </w:rPr>
        <w:t xml:space="preserve"> activités de prévention ont été menées, dont </w:t>
      </w:r>
      <w:r w:rsidR="00794277" w:rsidRPr="00280912">
        <w:rPr>
          <w:lang w:val="fr-FR"/>
        </w:rPr>
        <w:t>4</w:t>
      </w:r>
      <w:r w:rsidR="003E3F8F">
        <w:rPr>
          <w:lang w:val="fr-FR"/>
        </w:rPr>
        <w:t> </w:t>
      </w:r>
      <w:r w:rsidR="00794277" w:rsidRPr="00280912">
        <w:rPr>
          <w:lang w:val="fr-FR"/>
        </w:rPr>
        <w:t>819</w:t>
      </w:r>
      <w:r w:rsidR="00794277" w:rsidRPr="000D6387">
        <w:rPr>
          <w:lang w:val="fr-FR"/>
        </w:rPr>
        <w:t xml:space="preserve"> séminaires, </w:t>
      </w:r>
      <w:r w:rsidR="00794277" w:rsidRPr="00280912">
        <w:rPr>
          <w:lang w:val="fr-FR"/>
        </w:rPr>
        <w:t>2</w:t>
      </w:r>
      <w:r w:rsidR="003E3F8F">
        <w:rPr>
          <w:lang w:val="fr-FR"/>
        </w:rPr>
        <w:t> </w:t>
      </w:r>
      <w:r w:rsidR="00794277" w:rsidRPr="00280912">
        <w:rPr>
          <w:lang w:val="fr-FR"/>
        </w:rPr>
        <w:t>501</w:t>
      </w:r>
      <w:r w:rsidR="00794277" w:rsidRPr="000D6387">
        <w:rPr>
          <w:lang w:val="fr-FR"/>
        </w:rPr>
        <w:t xml:space="preserve"> tables rondes, </w:t>
      </w:r>
      <w:r w:rsidR="00794277" w:rsidRPr="00280912">
        <w:rPr>
          <w:lang w:val="fr-FR"/>
        </w:rPr>
        <w:t>726</w:t>
      </w:r>
      <w:r w:rsidR="00794277" w:rsidRPr="000D6387">
        <w:rPr>
          <w:lang w:val="fr-FR"/>
        </w:rPr>
        <w:t xml:space="preserve"> conférences, </w:t>
      </w:r>
      <w:r w:rsidR="00794277" w:rsidRPr="00280912">
        <w:rPr>
          <w:lang w:val="fr-FR"/>
        </w:rPr>
        <w:t>2</w:t>
      </w:r>
      <w:r w:rsidR="00794277" w:rsidRPr="000D6387">
        <w:rPr>
          <w:lang w:val="fr-FR"/>
        </w:rPr>
        <w:t xml:space="preserve"> </w:t>
      </w:r>
      <w:r w:rsidR="00794277" w:rsidRPr="00280912">
        <w:rPr>
          <w:lang w:val="fr-FR"/>
        </w:rPr>
        <w:t>341</w:t>
      </w:r>
      <w:r w:rsidR="00794277" w:rsidRPr="000D6387">
        <w:rPr>
          <w:lang w:val="fr-FR"/>
        </w:rPr>
        <w:t xml:space="preserve"> compétitions sportives et </w:t>
      </w:r>
      <w:r w:rsidR="00794277" w:rsidRPr="00280912">
        <w:rPr>
          <w:lang w:val="fr-FR"/>
        </w:rPr>
        <w:t>13</w:t>
      </w:r>
      <w:r w:rsidR="00794277" w:rsidRPr="000D6387">
        <w:rPr>
          <w:lang w:val="fr-FR"/>
        </w:rPr>
        <w:t xml:space="preserve"> </w:t>
      </w:r>
      <w:r w:rsidR="00794277" w:rsidRPr="00280912">
        <w:rPr>
          <w:lang w:val="fr-FR"/>
        </w:rPr>
        <w:t>983</w:t>
      </w:r>
      <w:r w:rsidR="00794277" w:rsidRPr="000D6387">
        <w:rPr>
          <w:lang w:val="fr-FR"/>
        </w:rPr>
        <w:t xml:space="preserve"> autres activités.</w:t>
      </w:r>
    </w:p>
    <w:p w14:paraId="32A029A8" w14:textId="4B60962F" w:rsidR="00794277" w:rsidRPr="000D6387" w:rsidRDefault="007F1722" w:rsidP="00794277">
      <w:pPr>
        <w:pStyle w:val="SingleTxt"/>
        <w:rPr>
          <w:lang w:val="fr-FR"/>
        </w:rPr>
      </w:pPr>
      <w:r w:rsidRPr="000D6387">
        <w:rPr>
          <w:lang w:val="fr-FR"/>
        </w:rPr>
        <w:tab/>
      </w:r>
      <w:r w:rsidR="00794277" w:rsidRPr="000D6387">
        <w:rPr>
          <w:lang w:val="fr-FR"/>
        </w:rPr>
        <w:t>Les agents de services de l</w:t>
      </w:r>
      <w:r w:rsidR="00BD12BA" w:rsidRPr="000D6387">
        <w:rPr>
          <w:lang w:val="fr-FR"/>
        </w:rPr>
        <w:t>’</w:t>
      </w:r>
      <w:r w:rsidR="00794277" w:rsidRPr="000D6387">
        <w:rPr>
          <w:lang w:val="fr-FR"/>
        </w:rPr>
        <w:t xml:space="preserve">intérieur ont envoyé </w:t>
      </w:r>
      <w:r w:rsidR="00794277" w:rsidRPr="00280912">
        <w:rPr>
          <w:lang w:val="fr-FR"/>
        </w:rPr>
        <w:t>48</w:t>
      </w:r>
      <w:r w:rsidR="00794277" w:rsidRPr="000D6387">
        <w:rPr>
          <w:lang w:val="fr-FR"/>
        </w:rPr>
        <w:t xml:space="preserve"> </w:t>
      </w:r>
      <w:r w:rsidR="00794277" w:rsidRPr="00280912">
        <w:rPr>
          <w:lang w:val="fr-FR"/>
        </w:rPr>
        <w:t>552</w:t>
      </w:r>
      <w:r w:rsidR="00794277" w:rsidRPr="000D6387">
        <w:rPr>
          <w:lang w:val="fr-FR"/>
        </w:rPr>
        <w:t xml:space="preserve"> communications sur des questions problématiques, dont </w:t>
      </w:r>
      <w:r w:rsidR="00794277" w:rsidRPr="00280912">
        <w:rPr>
          <w:lang w:val="fr-FR"/>
        </w:rPr>
        <w:t>26</w:t>
      </w:r>
      <w:r w:rsidR="00794277" w:rsidRPr="000D6387">
        <w:rPr>
          <w:lang w:val="fr-FR"/>
        </w:rPr>
        <w:t xml:space="preserve"> </w:t>
      </w:r>
      <w:r w:rsidR="00794277" w:rsidRPr="00280912">
        <w:rPr>
          <w:lang w:val="fr-FR"/>
        </w:rPr>
        <w:t>066</w:t>
      </w:r>
      <w:r w:rsidR="00794277" w:rsidRPr="000D6387">
        <w:rPr>
          <w:lang w:val="fr-FR"/>
        </w:rPr>
        <w:t xml:space="preserve"> aux services de l</w:t>
      </w:r>
      <w:r w:rsidR="00BD12BA" w:rsidRPr="000D6387">
        <w:rPr>
          <w:lang w:val="fr-FR"/>
        </w:rPr>
        <w:t>’</w:t>
      </w:r>
      <w:r w:rsidR="00794277" w:rsidRPr="000D6387">
        <w:rPr>
          <w:lang w:val="fr-FR"/>
        </w:rPr>
        <w:t xml:space="preserve">éducation, </w:t>
      </w:r>
      <w:r w:rsidR="00794277" w:rsidRPr="00280912">
        <w:rPr>
          <w:lang w:val="fr-FR"/>
        </w:rPr>
        <w:t>3</w:t>
      </w:r>
      <w:r w:rsidR="00794277" w:rsidRPr="000D6387">
        <w:rPr>
          <w:lang w:val="fr-FR"/>
        </w:rPr>
        <w:t xml:space="preserve"> </w:t>
      </w:r>
      <w:r w:rsidR="00794277" w:rsidRPr="00280912">
        <w:rPr>
          <w:lang w:val="fr-FR"/>
        </w:rPr>
        <w:t>031</w:t>
      </w:r>
      <w:r w:rsidR="00794277" w:rsidRPr="000D6387">
        <w:rPr>
          <w:lang w:val="fr-FR"/>
        </w:rPr>
        <w:t xml:space="preserve"> aux services de la santé, </w:t>
      </w:r>
      <w:r w:rsidR="00794277" w:rsidRPr="00280912">
        <w:rPr>
          <w:lang w:val="fr-FR"/>
        </w:rPr>
        <w:t>6</w:t>
      </w:r>
      <w:r w:rsidR="003E3F8F">
        <w:rPr>
          <w:lang w:val="fr-FR"/>
        </w:rPr>
        <w:t> </w:t>
      </w:r>
      <w:r w:rsidR="00794277" w:rsidRPr="00280912">
        <w:rPr>
          <w:lang w:val="fr-FR"/>
        </w:rPr>
        <w:t>020</w:t>
      </w:r>
      <w:r w:rsidR="00794277" w:rsidRPr="000D6387">
        <w:rPr>
          <w:lang w:val="fr-FR"/>
        </w:rPr>
        <w:t xml:space="preserve"> aux services du développement social, </w:t>
      </w:r>
      <w:r w:rsidR="00794277" w:rsidRPr="00280912">
        <w:rPr>
          <w:lang w:val="fr-FR"/>
        </w:rPr>
        <w:t>2</w:t>
      </w:r>
      <w:r w:rsidR="003E3F8F">
        <w:rPr>
          <w:lang w:val="fr-FR"/>
        </w:rPr>
        <w:t> </w:t>
      </w:r>
      <w:r w:rsidR="00794277" w:rsidRPr="00280912">
        <w:rPr>
          <w:lang w:val="fr-FR"/>
        </w:rPr>
        <w:t>577</w:t>
      </w:r>
      <w:r w:rsidR="00794277" w:rsidRPr="000D6387">
        <w:rPr>
          <w:lang w:val="fr-FR"/>
        </w:rPr>
        <w:t xml:space="preserve"> aux centres sociaux de prévention et à </w:t>
      </w:r>
      <w:r w:rsidR="00794277" w:rsidRPr="00280912">
        <w:rPr>
          <w:lang w:val="fr-FR"/>
        </w:rPr>
        <w:t>10</w:t>
      </w:r>
      <w:r w:rsidR="00794277" w:rsidRPr="000D6387">
        <w:rPr>
          <w:lang w:val="fr-FR"/>
        </w:rPr>
        <w:t xml:space="preserve"> </w:t>
      </w:r>
      <w:r w:rsidR="00794277" w:rsidRPr="00280912">
        <w:rPr>
          <w:lang w:val="fr-FR"/>
        </w:rPr>
        <w:t>858</w:t>
      </w:r>
      <w:r w:rsidR="00794277" w:rsidRPr="000D6387">
        <w:rPr>
          <w:lang w:val="fr-FR"/>
        </w:rPr>
        <w:t xml:space="preserve"> autres services sociaux.</w:t>
      </w:r>
    </w:p>
    <w:p w14:paraId="42C42AE7" w14:textId="7AAEBA47" w:rsidR="00BD12BA" w:rsidRPr="000D6387" w:rsidRDefault="00BD12BA" w:rsidP="00BD12BA">
      <w:pPr>
        <w:pStyle w:val="SingleTxt"/>
        <w:spacing w:after="0" w:line="120" w:lineRule="exact"/>
        <w:rPr>
          <w:sz w:val="10"/>
          <w:lang w:val="fr-FR"/>
        </w:rPr>
      </w:pPr>
    </w:p>
    <w:p w14:paraId="456AD22C" w14:textId="536E780B" w:rsidR="00794277" w:rsidRPr="000D6387" w:rsidRDefault="007F1722" w:rsidP="007F1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Pr="000D6387">
        <w:rPr>
          <w:lang w:val="fr-FR"/>
        </w:rPr>
        <w:tab/>
      </w:r>
      <w:r w:rsidR="00794277" w:rsidRPr="000D6387">
        <w:rPr>
          <w:lang w:val="fr-FR"/>
        </w:rPr>
        <w:t>Comité national de statistique</w:t>
      </w:r>
      <w:r w:rsidR="00BD12BA" w:rsidRPr="000D6387">
        <w:rPr>
          <w:lang w:val="fr-FR"/>
        </w:rPr>
        <w:t> :</w:t>
      </w:r>
      <w:r w:rsidR="00794277" w:rsidRPr="000D6387">
        <w:rPr>
          <w:lang w:val="fr-FR"/>
        </w:rPr>
        <w:t xml:space="preserve"> </w:t>
      </w:r>
      <w:r w:rsidR="003E3F8F">
        <w:rPr>
          <w:lang w:val="fr-FR"/>
        </w:rPr>
        <w:t>n</w:t>
      </w:r>
      <w:r w:rsidR="00794277" w:rsidRPr="000D6387">
        <w:rPr>
          <w:lang w:val="fr-FR"/>
        </w:rPr>
        <w:t>ombre de cas de violence familiale et mesures prises</w:t>
      </w:r>
    </w:p>
    <w:p w14:paraId="3E1A5815" w14:textId="33FFEC07" w:rsidR="00794277" w:rsidRPr="000D6387" w:rsidRDefault="00794277" w:rsidP="007F1722">
      <w:pPr>
        <w:pStyle w:val="SingleTxt"/>
        <w:spacing w:after="0" w:line="120" w:lineRule="exact"/>
        <w:rPr>
          <w:sz w:val="10"/>
          <w:lang w:val="fr-FR"/>
        </w:rPr>
      </w:pPr>
    </w:p>
    <w:p w14:paraId="7C0EA84C" w14:textId="595B710E" w:rsidR="007F1722" w:rsidRPr="000D6387" w:rsidRDefault="007F1722" w:rsidP="007F1722">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6570"/>
        <w:gridCol w:w="750"/>
      </w:tblGrid>
      <w:tr w:rsidR="00794277" w:rsidRPr="000D6387" w14:paraId="142665AF" w14:textId="77777777" w:rsidTr="00A300F0">
        <w:trPr>
          <w:tblHeader/>
        </w:trPr>
        <w:tc>
          <w:tcPr>
            <w:tcW w:w="6570" w:type="dxa"/>
            <w:tcBorders>
              <w:top w:val="single" w:sz="4" w:space="0" w:color="auto"/>
              <w:bottom w:val="single" w:sz="12" w:space="0" w:color="auto"/>
            </w:tcBorders>
            <w:shd w:val="clear" w:color="auto" w:fill="auto"/>
            <w:noWrap/>
            <w:vAlign w:val="bottom"/>
          </w:tcPr>
          <w:p w14:paraId="4414625E" w14:textId="41E637F5" w:rsidR="00794277" w:rsidRPr="000D6387" w:rsidRDefault="00794277" w:rsidP="00885FF7">
            <w:pPr>
              <w:suppressAutoHyphens/>
              <w:spacing w:before="81" w:after="81" w:line="160" w:lineRule="exact"/>
              <w:ind w:right="40"/>
              <w:rPr>
                <w:i/>
                <w:sz w:val="14"/>
                <w:lang w:val="fr-FR"/>
              </w:rPr>
            </w:pPr>
          </w:p>
        </w:tc>
        <w:tc>
          <w:tcPr>
            <w:tcW w:w="750" w:type="dxa"/>
            <w:tcBorders>
              <w:top w:val="single" w:sz="4" w:space="0" w:color="auto"/>
              <w:bottom w:val="single" w:sz="12" w:space="0" w:color="auto"/>
            </w:tcBorders>
            <w:shd w:val="clear" w:color="auto" w:fill="auto"/>
            <w:vAlign w:val="bottom"/>
          </w:tcPr>
          <w:p w14:paraId="5D0E9992" w14:textId="0DD38582" w:rsidR="00794277" w:rsidRPr="00280912" w:rsidRDefault="00794277" w:rsidP="00885FF7">
            <w:pPr>
              <w:suppressAutoHyphens/>
              <w:spacing w:before="81" w:after="81" w:line="160" w:lineRule="exact"/>
              <w:ind w:right="43"/>
              <w:jc w:val="right"/>
              <w:rPr>
                <w:i/>
                <w:sz w:val="14"/>
                <w:lang w:val="fr-FR"/>
              </w:rPr>
            </w:pPr>
            <w:r w:rsidRPr="00280912">
              <w:rPr>
                <w:i/>
                <w:sz w:val="14"/>
                <w:lang w:val="fr-FR"/>
              </w:rPr>
              <w:t xml:space="preserve">2019 </w:t>
            </w:r>
          </w:p>
        </w:tc>
      </w:tr>
      <w:tr w:rsidR="00885FF7" w:rsidRPr="000D6387" w14:paraId="50E0D875" w14:textId="77777777" w:rsidTr="00A300F0">
        <w:trPr>
          <w:trHeight w:hRule="exact" w:val="115"/>
          <w:tblHeader/>
        </w:trPr>
        <w:tc>
          <w:tcPr>
            <w:tcW w:w="6570" w:type="dxa"/>
            <w:tcBorders>
              <w:top w:val="single" w:sz="12" w:space="0" w:color="auto"/>
            </w:tcBorders>
            <w:shd w:val="clear" w:color="auto" w:fill="auto"/>
            <w:noWrap/>
            <w:vAlign w:val="bottom"/>
          </w:tcPr>
          <w:p w14:paraId="149DB194" w14:textId="77777777" w:rsidR="00885FF7" w:rsidRPr="000D6387" w:rsidRDefault="00885FF7" w:rsidP="00885FF7">
            <w:pPr>
              <w:suppressAutoHyphens/>
              <w:spacing w:before="40" w:after="40" w:line="210" w:lineRule="exact"/>
              <w:ind w:right="40"/>
              <w:rPr>
                <w:sz w:val="17"/>
                <w:lang w:val="fr-FR"/>
              </w:rPr>
            </w:pPr>
          </w:p>
        </w:tc>
        <w:tc>
          <w:tcPr>
            <w:tcW w:w="750" w:type="dxa"/>
            <w:tcBorders>
              <w:top w:val="single" w:sz="12" w:space="0" w:color="auto"/>
            </w:tcBorders>
            <w:shd w:val="clear" w:color="auto" w:fill="auto"/>
            <w:vAlign w:val="bottom"/>
          </w:tcPr>
          <w:p w14:paraId="00B23D28" w14:textId="77777777" w:rsidR="00885FF7" w:rsidRPr="000D6387" w:rsidRDefault="00885FF7" w:rsidP="00885FF7">
            <w:pPr>
              <w:suppressAutoHyphens/>
              <w:spacing w:before="40" w:after="40" w:line="210" w:lineRule="exact"/>
              <w:ind w:right="43"/>
              <w:jc w:val="right"/>
              <w:rPr>
                <w:sz w:val="17"/>
                <w:lang w:val="fr-FR"/>
              </w:rPr>
            </w:pPr>
          </w:p>
        </w:tc>
      </w:tr>
      <w:tr w:rsidR="00794277" w:rsidRPr="000D6387" w14:paraId="4B86BE00" w14:textId="77777777" w:rsidTr="00A300F0">
        <w:tc>
          <w:tcPr>
            <w:tcW w:w="6570" w:type="dxa"/>
            <w:shd w:val="clear" w:color="auto" w:fill="auto"/>
            <w:noWrap/>
            <w:vAlign w:val="bottom"/>
          </w:tcPr>
          <w:p w14:paraId="2017B6C7" w14:textId="77777777" w:rsidR="00794277" w:rsidRPr="000D6387" w:rsidRDefault="00794277" w:rsidP="00885FF7">
            <w:pPr>
              <w:tabs>
                <w:tab w:val="left" w:pos="288"/>
                <w:tab w:val="left" w:pos="576"/>
                <w:tab w:val="left" w:pos="864"/>
                <w:tab w:val="left" w:pos="1152"/>
              </w:tabs>
              <w:suppressAutoHyphens/>
              <w:spacing w:before="40" w:after="40" w:line="210" w:lineRule="exact"/>
              <w:ind w:right="40"/>
              <w:rPr>
                <w:b/>
                <w:bCs/>
                <w:sz w:val="17"/>
                <w:lang w:val="fr-FR"/>
              </w:rPr>
            </w:pPr>
            <w:r w:rsidRPr="000D6387">
              <w:rPr>
                <w:b/>
                <w:bCs/>
                <w:sz w:val="17"/>
                <w:lang w:val="fr-FR"/>
              </w:rPr>
              <w:t>Nombre de cas de violence familiale (domestique)</w:t>
            </w:r>
          </w:p>
        </w:tc>
        <w:tc>
          <w:tcPr>
            <w:tcW w:w="750" w:type="dxa"/>
            <w:shd w:val="clear" w:color="auto" w:fill="auto"/>
            <w:vAlign w:val="bottom"/>
          </w:tcPr>
          <w:p w14:paraId="48CBBFB7"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b/>
                <w:bCs/>
                <w:sz w:val="17"/>
                <w:lang w:val="fr-FR"/>
              </w:rPr>
            </w:pPr>
            <w:r w:rsidRPr="00280912">
              <w:rPr>
                <w:b/>
                <w:bCs/>
                <w:sz w:val="17"/>
                <w:lang w:val="fr-FR"/>
              </w:rPr>
              <w:t>6</w:t>
            </w:r>
            <w:r w:rsidRPr="000D6387">
              <w:rPr>
                <w:b/>
                <w:bCs/>
                <w:sz w:val="17"/>
                <w:lang w:val="fr-FR"/>
              </w:rPr>
              <w:t xml:space="preserve"> </w:t>
            </w:r>
            <w:r w:rsidRPr="00280912">
              <w:rPr>
                <w:b/>
                <w:bCs/>
                <w:sz w:val="17"/>
                <w:lang w:val="fr-FR"/>
              </w:rPr>
              <w:t>145</w:t>
            </w:r>
          </w:p>
        </w:tc>
      </w:tr>
      <w:tr w:rsidR="00794277" w:rsidRPr="000D6387" w14:paraId="78F31229" w14:textId="77777777" w:rsidTr="00A300F0">
        <w:tc>
          <w:tcPr>
            <w:tcW w:w="6570" w:type="dxa"/>
            <w:shd w:val="clear" w:color="auto" w:fill="auto"/>
            <w:noWrap/>
            <w:vAlign w:val="bottom"/>
          </w:tcPr>
          <w:p w14:paraId="0B33DCC5" w14:textId="06B57DAF" w:rsidR="00794277" w:rsidRPr="000D6387" w:rsidRDefault="00794277" w:rsidP="00885FF7">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Dont</w:t>
            </w:r>
            <w:r w:rsidR="00BD12BA" w:rsidRPr="000D6387">
              <w:rPr>
                <w:sz w:val="17"/>
                <w:lang w:val="fr-FR"/>
              </w:rPr>
              <w:t> :</w:t>
            </w:r>
          </w:p>
        </w:tc>
        <w:tc>
          <w:tcPr>
            <w:tcW w:w="750" w:type="dxa"/>
            <w:shd w:val="clear" w:color="auto" w:fill="auto"/>
            <w:vAlign w:val="bottom"/>
          </w:tcPr>
          <w:p w14:paraId="5FA93214"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p>
        </w:tc>
      </w:tr>
      <w:tr w:rsidR="00794277" w:rsidRPr="000D6387" w14:paraId="77883BC0" w14:textId="77777777" w:rsidTr="00A300F0">
        <w:tc>
          <w:tcPr>
            <w:tcW w:w="6570" w:type="dxa"/>
            <w:shd w:val="clear" w:color="auto" w:fill="auto"/>
            <w:noWrap/>
            <w:vAlign w:val="bottom"/>
          </w:tcPr>
          <w:p w14:paraId="200CBA7D" w14:textId="37FD980F" w:rsidR="00794277" w:rsidRPr="000D6387" w:rsidRDefault="00885FF7" w:rsidP="00885FF7">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0D6387">
              <w:rPr>
                <w:sz w:val="17"/>
                <w:lang w:val="fr-FR"/>
              </w:rPr>
              <w:t>Cas de violence physique</w:t>
            </w:r>
          </w:p>
        </w:tc>
        <w:tc>
          <w:tcPr>
            <w:tcW w:w="750" w:type="dxa"/>
            <w:shd w:val="clear" w:color="auto" w:fill="auto"/>
            <w:vAlign w:val="bottom"/>
          </w:tcPr>
          <w:p w14:paraId="235B102C"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w:t>
            </w:r>
            <w:r w:rsidRPr="000D6387">
              <w:rPr>
                <w:sz w:val="17"/>
                <w:lang w:val="fr-FR"/>
              </w:rPr>
              <w:t xml:space="preserve"> </w:t>
            </w:r>
            <w:r w:rsidRPr="00280912">
              <w:rPr>
                <w:sz w:val="17"/>
                <w:lang w:val="fr-FR"/>
              </w:rPr>
              <w:t>194</w:t>
            </w:r>
          </w:p>
        </w:tc>
      </w:tr>
      <w:tr w:rsidR="00794277" w:rsidRPr="000D6387" w14:paraId="3909DC2B" w14:textId="77777777" w:rsidTr="00A300F0">
        <w:tc>
          <w:tcPr>
            <w:tcW w:w="6570" w:type="dxa"/>
            <w:shd w:val="clear" w:color="auto" w:fill="auto"/>
            <w:noWrap/>
            <w:vAlign w:val="bottom"/>
          </w:tcPr>
          <w:p w14:paraId="406937CD" w14:textId="16BF3A10" w:rsidR="00794277" w:rsidRPr="000D6387" w:rsidRDefault="00885FF7" w:rsidP="00885FF7">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0D6387">
              <w:rPr>
                <w:sz w:val="17"/>
                <w:lang w:val="fr-FR"/>
              </w:rPr>
              <w:t>Cas de violence psychologique</w:t>
            </w:r>
          </w:p>
        </w:tc>
        <w:tc>
          <w:tcPr>
            <w:tcW w:w="750" w:type="dxa"/>
            <w:shd w:val="clear" w:color="auto" w:fill="auto"/>
            <w:vAlign w:val="bottom"/>
          </w:tcPr>
          <w:p w14:paraId="1F8E817A"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1</w:t>
            </w:r>
            <w:r w:rsidRPr="000D6387">
              <w:rPr>
                <w:sz w:val="17"/>
                <w:lang w:val="fr-FR"/>
              </w:rPr>
              <w:t xml:space="preserve"> </w:t>
            </w:r>
            <w:r w:rsidRPr="00280912">
              <w:rPr>
                <w:sz w:val="17"/>
                <w:lang w:val="fr-FR"/>
              </w:rPr>
              <w:t>688</w:t>
            </w:r>
          </w:p>
        </w:tc>
      </w:tr>
      <w:tr w:rsidR="00794277" w:rsidRPr="000D6387" w14:paraId="794BF0B5" w14:textId="77777777" w:rsidTr="00A300F0">
        <w:tc>
          <w:tcPr>
            <w:tcW w:w="6570" w:type="dxa"/>
            <w:shd w:val="clear" w:color="auto" w:fill="auto"/>
            <w:noWrap/>
            <w:vAlign w:val="bottom"/>
          </w:tcPr>
          <w:p w14:paraId="4A5035F6" w14:textId="41233DA5" w:rsidR="00794277" w:rsidRPr="000D6387" w:rsidRDefault="00885FF7" w:rsidP="00885FF7">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0D6387">
              <w:rPr>
                <w:sz w:val="17"/>
                <w:lang w:val="fr-FR"/>
              </w:rPr>
              <w:t>Cas de violence sexuelle</w:t>
            </w:r>
          </w:p>
        </w:tc>
        <w:tc>
          <w:tcPr>
            <w:tcW w:w="750" w:type="dxa"/>
            <w:shd w:val="clear" w:color="auto" w:fill="auto"/>
            <w:vAlign w:val="bottom"/>
          </w:tcPr>
          <w:p w14:paraId="0232FE21"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8</w:t>
            </w:r>
          </w:p>
        </w:tc>
      </w:tr>
      <w:tr w:rsidR="00794277" w:rsidRPr="000D6387" w14:paraId="1606135D" w14:textId="77777777" w:rsidTr="008F11B3">
        <w:tc>
          <w:tcPr>
            <w:tcW w:w="6570" w:type="dxa"/>
            <w:shd w:val="clear" w:color="auto" w:fill="auto"/>
            <w:noWrap/>
            <w:vAlign w:val="bottom"/>
          </w:tcPr>
          <w:p w14:paraId="715E3CD9" w14:textId="0000C7E0" w:rsidR="00794277" w:rsidRPr="000D6387" w:rsidRDefault="00885FF7" w:rsidP="008F11B3">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0D6387">
              <w:rPr>
                <w:sz w:val="17"/>
                <w:lang w:val="fr-FR"/>
              </w:rPr>
              <w:t>Cas de négligence</w:t>
            </w:r>
          </w:p>
        </w:tc>
        <w:tc>
          <w:tcPr>
            <w:tcW w:w="750" w:type="dxa"/>
            <w:shd w:val="clear" w:color="auto" w:fill="auto"/>
            <w:vAlign w:val="bottom"/>
          </w:tcPr>
          <w:p w14:paraId="475153BB" w14:textId="77777777" w:rsidR="00794277" w:rsidRPr="000D6387" w:rsidRDefault="00794277" w:rsidP="008F11B3">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254</w:t>
            </w:r>
          </w:p>
        </w:tc>
      </w:tr>
      <w:tr w:rsidR="00794277" w:rsidRPr="000D6387" w14:paraId="00DCAF8A" w14:textId="77777777" w:rsidTr="008F11B3">
        <w:tc>
          <w:tcPr>
            <w:tcW w:w="6570" w:type="dxa"/>
            <w:shd w:val="clear" w:color="auto" w:fill="auto"/>
            <w:noWrap/>
            <w:vAlign w:val="bottom"/>
          </w:tcPr>
          <w:p w14:paraId="022195E1" w14:textId="437BB4A4" w:rsidR="00794277" w:rsidRPr="000D6387" w:rsidRDefault="00794277" w:rsidP="008F11B3">
            <w:pPr>
              <w:tabs>
                <w:tab w:val="left" w:pos="288"/>
                <w:tab w:val="left" w:pos="576"/>
                <w:tab w:val="left" w:pos="864"/>
                <w:tab w:val="left" w:pos="1152"/>
              </w:tabs>
              <w:suppressAutoHyphens/>
              <w:spacing w:before="40" w:after="40" w:line="210" w:lineRule="exact"/>
              <w:ind w:right="40"/>
              <w:rPr>
                <w:b/>
                <w:sz w:val="17"/>
                <w:lang w:val="fr-FR"/>
              </w:rPr>
            </w:pPr>
            <w:r w:rsidRPr="000D6387">
              <w:rPr>
                <w:b/>
                <w:sz w:val="17"/>
                <w:lang w:val="fr-FR"/>
              </w:rPr>
              <w:t>Nombre d</w:t>
            </w:r>
            <w:r w:rsidR="00BD12BA" w:rsidRPr="000D6387">
              <w:rPr>
                <w:b/>
                <w:sz w:val="17"/>
                <w:lang w:val="fr-FR"/>
              </w:rPr>
              <w:t>’</w:t>
            </w:r>
            <w:r w:rsidRPr="000D6387">
              <w:rPr>
                <w:b/>
                <w:sz w:val="17"/>
                <w:lang w:val="fr-FR"/>
              </w:rPr>
              <w:t>ordonnances de protection rendues</w:t>
            </w:r>
          </w:p>
        </w:tc>
        <w:tc>
          <w:tcPr>
            <w:tcW w:w="750" w:type="dxa"/>
            <w:shd w:val="clear" w:color="auto" w:fill="auto"/>
            <w:vAlign w:val="bottom"/>
          </w:tcPr>
          <w:p w14:paraId="5D7F89F7" w14:textId="77777777" w:rsidR="00794277" w:rsidRPr="000D6387" w:rsidRDefault="00794277" w:rsidP="008F11B3">
            <w:pPr>
              <w:tabs>
                <w:tab w:val="left" w:pos="288"/>
                <w:tab w:val="left" w:pos="576"/>
                <w:tab w:val="left" w:pos="864"/>
                <w:tab w:val="left" w:pos="1152"/>
              </w:tabs>
              <w:suppressAutoHyphens/>
              <w:spacing w:before="40" w:after="40" w:line="210" w:lineRule="exact"/>
              <w:ind w:right="43"/>
              <w:jc w:val="right"/>
              <w:rPr>
                <w:b/>
                <w:sz w:val="17"/>
                <w:lang w:val="fr-FR"/>
              </w:rPr>
            </w:pPr>
            <w:r w:rsidRPr="00280912">
              <w:rPr>
                <w:b/>
                <w:sz w:val="17"/>
                <w:lang w:val="fr-FR"/>
              </w:rPr>
              <w:t>5</w:t>
            </w:r>
            <w:r w:rsidRPr="000D6387">
              <w:rPr>
                <w:b/>
                <w:sz w:val="17"/>
                <w:lang w:val="fr-FR"/>
              </w:rPr>
              <w:t xml:space="preserve"> </w:t>
            </w:r>
            <w:r w:rsidRPr="00280912">
              <w:rPr>
                <w:b/>
                <w:sz w:val="17"/>
                <w:lang w:val="fr-FR"/>
              </w:rPr>
              <w:t>355</w:t>
            </w:r>
          </w:p>
        </w:tc>
      </w:tr>
      <w:tr w:rsidR="00794277" w:rsidRPr="000D6387" w14:paraId="08D7B378" w14:textId="77777777" w:rsidTr="008F11B3">
        <w:tc>
          <w:tcPr>
            <w:tcW w:w="6570" w:type="dxa"/>
            <w:shd w:val="clear" w:color="auto" w:fill="auto"/>
            <w:noWrap/>
            <w:vAlign w:val="bottom"/>
          </w:tcPr>
          <w:p w14:paraId="2D46ED58" w14:textId="208ED710" w:rsidR="00794277" w:rsidRPr="000D6387" w:rsidRDefault="00794277" w:rsidP="008F11B3">
            <w:pPr>
              <w:tabs>
                <w:tab w:val="left" w:pos="288"/>
                <w:tab w:val="left" w:pos="576"/>
                <w:tab w:val="left" w:pos="864"/>
                <w:tab w:val="left" w:pos="1152"/>
              </w:tabs>
              <w:suppressAutoHyphens/>
              <w:spacing w:before="40" w:after="40" w:line="210" w:lineRule="exact"/>
              <w:ind w:right="40"/>
              <w:rPr>
                <w:b/>
                <w:sz w:val="17"/>
                <w:lang w:val="fr-FR"/>
              </w:rPr>
            </w:pPr>
            <w:r w:rsidRPr="000D6387">
              <w:rPr>
                <w:b/>
                <w:sz w:val="17"/>
                <w:lang w:val="fr-FR"/>
              </w:rPr>
              <w:t>Nombre d</w:t>
            </w:r>
            <w:r w:rsidR="00BD12BA" w:rsidRPr="000D6387">
              <w:rPr>
                <w:b/>
                <w:sz w:val="17"/>
                <w:lang w:val="fr-FR"/>
              </w:rPr>
              <w:t>’</w:t>
            </w:r>
            <w:r w:rsidRPr="000D6387">
              <w:rPr>
                <w:b/>
                <w:sz w:val="17"/>
                <w:lang w:val="fr-FR"/>
              </w:rPr>
              <w:t>affaires pénales de violence familiale (domestique) instruites et déférées au tribunal</w:t>
            </w:r>
          </w:p>
        </w:tc>
        <w:tc>
          <w:tcPr>
            <w:tcW w:w="750" w:type="dxa"/>
            <w:shd w:val="clear" w:color="auto" w:fill="auto"/>
            <w:vAlign w:val="bottom"/>
          </w:tcPr>
          <w:p w14:paraId="150C02E4" w14:textId="77777777" w:rsidR="00794277" w:rsidRPr="000D6387" w:rsidRDefault="00794277" w:rsidP="008F11B3">
            <w:pPr>
              <w:tabs>
                <w:tab w:val="left" w:pos="288"/>
                <w:tab w:val="left" w:pos="576"/>
                <w:tab w:val="left" w:pos="864"/>
                <w:tab w:val="left" w:pos="1152"/>
              </w:tabs>
              <w:suppressAutoHyphens/>
              <w:spacing w:before="40" w:after="40" w:line="210" w:lineRule="exact"/>
              <w:ind w:right="43"/>
              <w:jc w:val="right"/>
              <w:rPr>
                <w:b/>
                <w:sz w:val="17"/>
                <w:lang w:val="fr-FR"/>
              </w:rPr>
            </w:pPr>
            <w:r w:rsidRPr="00280912">
              <w:rPr>
                <w:b/>
                <w:sz w:val="17"/>
                <w:lang w:val="fr-FR"/>
              </w:rPr>
              <w:t>649</w:t>
            </w:r>
          </w:p>
        </w:tc>
      </w:tr>
      <w:tr w:rsidR="00794277" w:rsidRPr="000D6387" w14:paraId="0D39B698" w14:textId="77777777" w:rsidTr="008F11B3">
        <w:tc>
          <w:tcPr>
            <w:tcW w:w="6570" w:type="dxa"/>
            <w:shd w:val="clear" w:color="auto" w:fill="auto"/>
            <w:noWrap/>
            <w:vAlign w:val="bottom"/>
          </w:tcPr>
          <w:p w14:paraId="560CBB20" w14:textId="50001836" w:rsidR="00794277" w:rsidRPr="000D6387" w:rsidRDefault="00794277" w:rsidP="008F11B3">
            <w:pPr>
              <w:tabs>
                <w:tab w:val="left" w:pos="288"/>
                <w:tab w:val="left" w:pos="576"/>
                <w:tab w:val="left" w:pos="864"/>
                <w:tab w:val="left" w:pos="1152"/>
              </w:tabs>
              <w:suppressAutoHyphens/>
              <w:spacing w:before="40" w:after="40" w:line="210" w:lineRule="exact"/>
              <w:ind w:right="40"/>
              <w:rPr>
                <w:b/>
                <w:sz w:val="17"/>
                <w:lang w:val="fr-FR"/>
              </w:rPr>
            </w:pPr>
            <w:r w:rsidRPr="000D6387">
              <w:rPr>
                <w:b/>
                <w:sz w:val="17"/>
                <w:lang w:val="fr-FR"/>
              </w:rPr>
              <w:t>Nombre de cas de violence familiale enregistrés</w:t>
            </w:r>
          </w:p>
        </w:tc>
        <w:tc>
          <w:tcPr>
            <w:tcW w:w="750" w:type="dxa"/>
            <w:shd w:val="clear" w:color="auto" w:fill="auto"/>
            <w:vAlign w:val="bottom"/>
          </w:tcPr>
          <w:p w14:paraId="4173A97B" w14:textId="77777777" w:rsidR="00794277" w:rsidRPr="000D6387" w:rsidRDefault="00794277" w:rsidP="008F11B3">
            <w:pPr>
              <w:tabs>
                <w:tab w:val="left" w:pos="288"/>
                <w:tab w:val="left" w:pos="576"/>
                <w:tab w:val="left" w:pos="864"/>
                <w:tab w:val="left" w:pos="1152"/>
              </w:tabs>
              <w:suppressAutoHyphens/>
              <w:spacing w:before="40" w:after="40" w:line="210" w:lineRule="exact"/>
              <w:ind w:right="43"/>
              <w:jc w:val="right"/>
              <w:rPr>
                <w:b/>
                <w:sz w:val="17"/>
                <w:lang w:val="fr-FR"/>
              </w:rPr>
            </w:pPr>
            <w:r w:rsidRPr="00280912">
              <w:rPr>
                <w:b/>
                <w:sz w:val="17"/>
                <w:lang w:val="fr-FR"/>
              </w:rPr>
              <w:t>7</w:t>
            </w:r>
            <w:r w:rsidRPr="000D6387">
              <w:rPr>
                <w:b/>
                <w:sz w:val="17"/>
                <w:lang w:val="fr-FR"/>
              </w:rPr>
              <w:t xml:space="preserve"> </w:t>
            </w:r>
            <w:r w:rsidRPr="00280912">
              <w:rPr>
                <w:b/>
                <w:sz w:val="17"/>
                <w:lang w:val="fr-FR"/>
              </w:rPr>
              <w:t>045</w:t>
            </w:r>
          </w:p>
        </w:tc>
      </w:tr>
      <w:tr w:rsidR="00794277" w:rsidRPr="000D6387" w14:paraId="046237E8" w14:textId="77777777" w:rsidTr="00A300F0">
        <w:tc>
          <w:tcPr>
            <w:tcW w:w="6570" w:type="dxa"/>
            <w:shd w:val="clear" w:color="auto" w:fill="auto"/>
            <w:noWrap/>
            <w:vAlign w:val="bottom"/>
          </w:tcPr>
          <w:p w14:paraId="7A1E8FB3" w14:textId="463960DF" w:rsidR="00794277" w:rsidRPr="000D6387" w:rsidRDefault="00794277" w:rsidP="008F11B3">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En vertu des articles</w:t>
            </w:r>
            <w:r w:rsidR="00BD12BA" w:rsidRPr="000D6387">
              <w:rPr>
                <w:sz w:val="17"/>
                <w:lang w:val="fr-FR"/>
              </w:rPr>
              <w:t> :</w:t>
            </w:r>
          </w:p>
        </w:tc>
        <w:tc>
          <w:tcPr>
            <w:tcW w:w="750" w:type="dxa"/>
            <w:shd w:val="clear" w:color="auto" w:fill="auto"/>
            <w:vAlign w:val="bottom"/>
          </w:tcPr>
          <w:p w14:paraId="017BC5DC" w14:textId="77777777" w:rsidR="00794277" w:rsidRPr="000D6387" w:rsidRDefault="00794277" w:rsidP="008F11B3">
            <w:pPr>
              <w:tabs>
                <w:tab w:val="left" w:pos="288"/>
                <w:tab w:val="left" w:pos="576"/>
                <w:tab w:val="left" w:pos="864"/>
                <w:tab w:val="left" w:pos="1152"/>
              </w:tabs>
              <w:suppressAutoHyphens/>
              <w:spacing w:before="40" w:after="40" w:line="210" w:lineRule="exact"/>
              <w:ind w:right="43"/>
              <w:jc w:val="right"/>
              <w:rPr>
                <w:sz w:val="17"/>
                <w:lang w:val="fr-FR"/>
              </w:rPr>
            </w:pPr>
          </w:p>
        </w:tc>
      </w:tr>
      <w:tr w:rsidR="00794277" w:rsidRPr="000D6387" w14:paraId="77305B9A" w14:textId="77777777" w:rsidTr="00A300F0">
        <w:tc>
          <w:tcPr>
            <w:tcW w:w="6570" w:type="dxa"/>
            <w:shd w:val="clear" w:color="auto" w:fill="auto"/>
            <w:noWrap/>
            <w:vAlign w:val="bottom"/>
          </w:tcPr>
          <w:p w14:paraId="47076E7D" w14:textId="46DEE14F" w:rsidR="00794277" w:rsidRPr="000D6387" w:rsidRDefault="00A300F0" w:rsidP="00885FF7">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280912">
              <w:rPr>
                <w:sz w:val="17"/>
                <w:lang w:val="fr-FR"/>
              </w:rPr>
              <w:t>75</w:t>
            </w:r>
            <w:r w:rsidR="00BD12BA" w:rsidRPr="000D6387">
              <w:rPr>
                <w:sz w:val="17"/>
                <w:lang w:val="fr-FR"/>
              </w:rPr>
              <w:t> :</w:t>
            </w:r>
            <w:r w:rsidR="00794277" w:rsidRPr="000D6387">
              <w:rPr>
                <w:sz w:val="17"/>
                <w:lang w:val="fr-FR"/>
              </w:rPr>
              <w:t xml:space="preserve"> Violence familiale</w:t>
            </w:r>
          </w:p>
        </w:tc>
        <w:tc>
          <w:tcPr>
            <w:tcW w:w="750" w:type="dxa"/>
            <w:shd w:val="clear" w:color="auto" w:fill="auto"/>
            <w:vAlign w:val="bottom"/>
          </w:tcPr>
          <w:p w14:paraId="03268105"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w:t>
            </w:r>
            <w:r w:rsidRPr="000D6387">
              <w:rPr>
                <w:sz w:val="17"/>
                <w:lang w:val="fr-FR"/>
              </w:rPr>
              <w:t xml:space="preserve"> </w:t>
            </w:r>
            <w:r w:rsidRPr="00280912">
              <w:rPr>
                <w:sz w:val="17"/>
                <w:lang w:val="fr-FR"/>
              </w:rPr>
              <w:t>983</w:t>
            </w:r>
          </w:p>
        </w:tc>
      </w:tr>
      <w:tr w:rsidR="00794277" w:rsidRPr="000D6387" w14:paraId="10202BFC" w14:textId="77777777" w:rsidTr="00A300F0">
        <w:tc>
          <w:tcPr>
            <w:tcW w:w="6570" w:type="dxa"/>
            <w:shd w:val="clear" w:color="auto" w:fill="auto"/>
            <w:noWrap/>
            <w:tcMar>
              <w:left w:w="0" w:type="dxa"/>
              <w:right w:w="0" w:type="dxa"/>
            </w:tcMar>
            <w:vAlign w:val="bottom"/>
          </w:tcPr>
          <w:p w14:paraId="15372B65" w14:textId="6F76769A" w:rsidR="00794277" w:rsidRPr="000D6387" w:rsidRDefault="00A300F0" w:rsidP="00885FF7">
            <w:pPr>
              <w:tabs>
                <w:tab w:val="left" w:pos="288"/>
                <w:tab w:val="left" w:pos="576"/>
                <w:tab w:val="left" w:pos="864"/>
                <w:tab w:val="left" w:pos="1152"/>
              </w:tabs>
              <w:suppressAutoHyphens/>
              <w:spacing w:before="40" w:after="40" w:line="210" w:lineRule="exact"/>
              <w:ind w:right="40"/>
              <w:rPr>
                <w:sz w:val="17"/>
                <w:lang w:val="fr-FR"/>
              </w:rPr>
            </w:pPr>
            <w:bookmarkStart w:id="1" w:name="RANGE!A16"/>
            <w:r w:rsidRPr="000D6387">
              <w:rPr>
                <w:sz w:val="17"/>
                <w:lang w:val="fr-FR"/>
              </w:rPr>
              <w:tab/>
            </w:r>
            <w:r w:rsidR="00794277" w:rsidRPr="00280912">
              <w:rPr>
                <w:sz w:val="17"/>
                <w:lang w:val="fr-FR"/>
              </w:rPr>
              <w:t>76</w:t>
            </w:r>
            <w:r w:rsidR="00BD12BA" w:rsidRPr="000D6387">
              <w:rPr>
                <w:sz w:val="17"/>
                <w:lang w:val="fr-FR"/>
              </w:rPr>
              <w:t> :</w:t>
            </w:r>
            <w:r w:rsidR="00794277" w:rsidRPr="000D6387">
              <w:rPr>
                <w:sz w:val="17"/>
                <w:lang w:val="fr-FR"/>
              </w:rPr>
              <w:t xml:space="preserve"> Non-respect d</w:t>
            </w:r>
            <w:r w:rsidR="00BD12BA" w:rsidRPr="000D6387">
              <w:rPr>
                <w:sz w:val="17"/>
                <w:lang w:val="fr-FR"/>
              </w:rPr>
              <w:t>’</w:t>
            </w:r>
            <w:r w:rsidR="00794277" w:rsidRPr="000D6387">
              <w:rPr>
                <w:sz w:val="17"/>
                <w:lang w:val="fr-FR"/>
              </w:rPr>
              <w:t>une ordonnance de protection temporaire</w:t>
            </w:r>
            <w:bookmarkEnd w:id="1"/>
          </w:p>
        </w:tc>
        <w:tc>
          <w:tcPr>
            <w:tcW w:w="750" w:type="dxa"/>
            <w:shd w:val="clear" w:color="auto" w:fill="auto"/>
            <w:vAlign w:val="bottom"/>
          </w:tcPr>
          <w:p w14:paraId="00888342"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18</w:t>
            </w:r>
          </w:p>
        </w:tc>
      </w:tr>
      <w:tr w:rsidR="00794277" w:rsidRPr="000D6387" w14:paraId="1997A94A" w14:textId="77777777" w:rsidTr="00A300F0">
        <w:tc>
          <w:tcPr>
            <w:tcW w:w="6570" w:type="dxa"/>
            <w:shd w:val="clear" w:color="auto" w:fill="auto"/>
            <w:noWrap/>
            <w:tcMar>
              <w:left w:w="0" w:type="dxa"/>
              <w:right w:w="0" w:type="dxa"/>
            </w:tcMar>
            <w:vAlign w:val="bottom"/>
          </w:tcPr>
          <w:p w14:paraId="3D440E15" w14:textId="2EB0E928" w:rsidR="00794277" w:rsidRPr="000D6387" w:rsidRDefault="00A300F0" w:rsidP="00885FF7">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280912">
              <w:rPr>
                <w:sz w:val="17"/>
                <w:lang w:val="fr-FR"/>
              </w:rPr>
              <w:t>65</w:t>
            </w:r>
            <w:r w:rsidR="00BD12BA" w:rsidRPr="000D6387">
              <w:rPr>
                <w:sz w:val="17"/>
                <w:lang w:val="fr-FR"/>
              </w:rPr>
              <w:t> :</w:t>
            </w:r>
            <w:r w:rsidR="00794277" w:rsidRPr="000D6387">
              <w:rPr>
                <w:sz w:val="17"/>
                <w:lang w:val="fr-FR"/>
              </w:rPr>
              <w:t xml:space="preserve"> Voies de fait</w:t>
            </w:r>
          </w:p>
        </w:tc>
        <w:tc>
          <w:tcPr>
            <w:tcW w:w="750" w:type="dxa"/>
            <w:shd w:val="clear" w:color="auto" w:fill="auto"/>
            <w:vAlign w:val="bottom"/>
          </w:tcPr>
          <w:p w14:paraId="76DD0F0F"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438</w:t>
            </w:r>
          </w:p>
        </w:tc>
      </w:tr>
      <w:tr w:rsidR="00794277" w:rsidRPr="000D6387" w14:paraId="2DA4DB4C" w14:textId="77777777" w:rsidTr="00A300F0">
        <w:tc>
          <w:tcPr>
            <w:tcW w:w="6570" w:type="dxa"/>
            <w:shd w:val="clear" w:color="auto" w:fill="auto"/>
            <w:noWrap/>
            <w:tcMar>
              <w:left w:w="0" w:type="dxa"/>
              <w:right w:w="0" w:type="dxa"/>
            </w:tcMar>
            <w:vAlign w:val="bottom"/>
          </w:tcPr>
          <w:p w14:paraId="6A4632A7" w14:textId="53ED7D12" w:rsidR="00794277" w:rsidRPr="000D6387" w:rsidRDefault="00A300F0" w:rsidP="00885FF7">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280912">
              <w:rPr>
                <w:sz w:val="17"/>
                <w:lang w:val="fr-FR"/>
              </w:rPr>
              <w:t>66</w:t>
            </w:r>
            <w:r w:rsidR="00BD12BA" w:rsidRPr="000D6387">
              <w:rPr>
                <w:sz w:val="17"/>
                <w:lang w:val="fr-FR"/>
              </w:rPr>
              <w:t> :</w:t>
            </w:r>
            <w:r w:rsidR="00794277" w:rsidRPr="000D6387">
              <w:rPr>
                <w:sz w:val="17"/>
                <w:lang w:val="fr-FR"/>
              </w:rPr>
              <w:t xml:space="preserve"> Atteinte légère à la santé</w:t>
            </w:r>
          </w:p>
        </w:tc>
        <w:tc>
          <w:tcPr>
            <w:tcW w:w="750" w:type="dxa"/>
            <w:shd w:val="clear" w:color="auto" w:fill="auto"/>
            <w:vAlign w:val="bottom"/>
          </w:tcPr>
          <w:p w14:paraId="22122868"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287</w:t>
            </w:r>
          </w:p>
        </w:tc>
      </w:tr>
      <w:tr w:rsidR="00794277" w:rsidRPr="000D6387" w14:paraId="4938DD0F" w14:textId="77777777" w:rsidTr="00A300F0">
        <w:tc>
          <w:tcPr>
            <w:tcW w:w="6570" w:type="dxa"/>
            <w:shd w:val="clear" w:color="auto" w:fill="auto"/>
            <w:noWrap/>
            <w:tcMar>
              <w:left w:w="0" w:type="dxa"/>
              <w:right w:w="0" w:type="dxa"/>
            </w:tcMar>
            <w:vAlign w:val="bottom"/>
          </w:tcPr>
          <w:p w14:paraId="287DD152" w14:textId="58E3F7B3" w:rsidR="00794277" w:rsidRPr="000D6387" w:rsidRDefault="00A300F0" w:rsidP="00885FF7">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280912">
              <w:rPr>
                <w:sz w:val="17"/>
                <w:lang w:val="fr-FR"/>
              </w:rPr>
              <w:t>67</w:t>
            </w:r>
            <w:r w:rsidR="00BD12BA" w:rsidRPr="000D6387">
              <w:rPr>
                <w:sz w:val="17"/>
                <w:lang w:val="fr-FR"/>
              </w:rPr>
              <w:t> :</w:t>
            </w:r>
            <w:r w:rsidR="00794277" w:rsidRPr="000D6387">
              <w:rPr>
                <w:sz w:val="17"/>
                <w:lang w:val="fr-FR"/>
              </w:rPr>
              <w:t xml:space="preserve"> Atteinte à la santé de gravité moindre causée par imprudence</w:t>
            </w:r>
          </w:p>
        </w:tc>
        <w:tc>
          <w:tcPr>
            <w:tcW w:w="750" w:type="dxa"/>
            <w:shd w:val="clear" w:color="auto" w:fill="auto"/>
            <w:vAlign w:val="bottom"/>
          </w:tcPr>
          <w:p w14:paraId="7DD4010A"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95</w:t>
            </w:r>
          </w:p>
        </w:tc>
      </w:tr>
      <w:tr w:rsidR="00794277" w:rsidRPr="000D6387" w14:paraId="23A4802C" w14:textId="77777777" w:rsidTr="00A300F0">
        <w:tc>
          <w:tcPr>
            <w:tcW w:w="6570" w:type="dxa"/>
            <w:shd w:val="clear" w:color="auto" w:fill="auto"/>
            <w:noWrap/>
            <w:vAlign w:val="bottom"/>
          </w:tcPr>
          <w:p w14:paraId="25856F2E" w14:textId="3CA277E7" w:rsidR="00794277" w:rsidRPr="000D6387" w:rsidRDefault="00A300F0" w:rsidP="00885FF7">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280912">
              <w:rPr>
                <w:sz w:val="17"/>
                <w:lang w:val="fr-FR"/>
              </w:rPr>
              <w:t>119</w:t>
            </w:r>
            <w:r w:rsidR="00BD12BA" w:rsidRPr="000D6387">
              <w:rPr>
                <w:sz w:val="17"/>
                <w:lang w:val="fr-FR"/>
              </w:rPr>
              <w:t> :</w:t>
            </w:r>
            <w:r w:rsidR="00794277" w:rsidRPr="000D6387">
              <w:rPr>
                <w:sz w:val="17"/>
                <w:lang w:val="fr-FR"/>
              </w:rPr>
              <w:t xml:space="preserve"> Trouble modéré à l</w:t>
            </w:r>
            <w:r w:rsidR="00BD12BA" w:rsidRPr="000D6387">
              <w:rPr>
                <w:sz w:val="17"/>
                <w:lang w:val="fr-FR"/>
              </w:rPr>
              <w:t>’</w:t>
            </w:r>
            <w:r w:rsidR="00794277" w:rsidRPr="000D6387">
              <w:rPr>
                <w:sz w:val="17"/>
                <w:lang w:val="fr-FR"/>
              </w:rPr>
              <w:t>ordre public</w:t>
            </w:r>
          </w:p>
        </w:tc>
        <w:tc>
          <w:tcPr>
            <w:tcW w:w="750" w:type="dxa"/>
            <w:shd w:val="clear" w:color="auto" w:fill="auto"/>
            <w:vAlign w:val="bottom"/>
          </w:tcPr>
          <w:p w14:paraId="0B06EC50" w14:textId="77777777" w:rsidR="00794277" w:rsidRPr="000D6387" w:rsidRDefault="00794277" w:rsidP="00885FF7">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833</w:t>
            </w:r>
          </w:p>
        </w:tc>
      </w:tr>
      <w:tr w:rsidR="00794277" w:rsidRPr="000D6387" w14:paraId="4B073F7F" w14:textId="77777777" w:rsidTr="008F11B3">
        <w:tc>
          <w:tcPr>
            <w:tcW w:w="6570" w:type="dxa"/>
            <w:shd w:val="clear" w:color="auto" w:fill="auto"/>
            <w:noWrap/>
            <w:vAlign w:val="bottom"/>
          </w:tcPr>
          <w:p w14:paraId="78D5D9EB" w14:textId="5B8584C7" w:rsidR="00794277" w:rsidRPr="000D6387" w:rsidRDefault="00A300F0" w:rsidP="008F11B3">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ab/>
            </w:r>
            <w:r w:rsidR="00794277" w:rsidRPr="000D6387">
              <w:rPr>
                <w:sz w:val="17"/>
                <w:lang w:val="fr-FR"/>
              </w:rPr>
              <w:t xml:space="preserve">Autres articles </w:t>
            </w:r>
          </w:p>
        </w:tc>
        <w:tc>
          <w:tcPr>
            <w:tcW w:w="750" w:type="dxa"/>
            <w:shd w:val="clear" w:color="auto" w:fill="auto"/>
            <w:vAlign w:val="bottom"/>
          </w:tcPr>
          <w:p w14:paraId="3F160694" w14:textId="77777777" w:rsidR="00794277" w:rsidRPr="000D6387" w:rsidRDefault="00794277" w:rsidP="008F11B3">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391</w:t>
            </w:r>
          </w:p>
        </w:tc>
      </w:tr>
      <w:tr w:rsidR="00794277" w:rsidRPr="000D6387" w14:paraId="154CBA78" w14:textId="77777777" w:rsidTr="008F11B3">
        <w:tc>
          <w:tcPr>
            <w:tcW w:w="6570" w:type="dxa"/>
            <w:tcBorders>
              <w:bottom w:val="single" w:sz="12" w:space="0" w:color="auto"/>
            </w:tcBorders>
            <w:shd w:val="clear" w:color="auto" w:fill="auto"/>
            <w:noWrap/>
            <w:vAlign w:val="bottom"/>
          </w:tcPr>
          <w:p w14:paraId="701BBBE8" w14:textId="2EAD9DC5" w:rsidR="00794277" w:rsidRPr="000D6387" w:rsidRDefault="00794277" w:rsidP="008F11B3">
            <w:pPr>
              <w:tabs>
                <w:tab w:val="left" w:pos="288"/>
                <w:tab w:val="left" w:pos="576"/>
                <w:tab w:val="left" w:pos="864"/>
                <w:tab w:val="left" w:pos="1152"/>
              </w:tabs>
              <w:suppressAutoHyphens/>
              <w:spacing w:before="40" w:after="40" w:line="210" w:lineRule="exact"/>
              <w:ind w:right="40"/>
              <w:rPr>
                <w:b/>
                <w:bCs/>
                <w:sz w:val="17"/>
                <w:lang w:val="fr-FR"/>
              </w:rPr>
            </w:pPr>
            <w:r w:rsidRPr="000D6387">
              <w:rPr>
                <w:b/>
                <w:bCs/>
                <w:sz w:val="17"/>
                <w:lang w:val="fr-FR"/>
              </w:rPr>
              <w:t xml:space="preserve">Non-respect des obligations parentales </w:t>
            </w:r>
            <w:r w:rsidRPr="000D6387">
              <w:rPr>
                <w:sz w:val="17"/>
                <w:lang w:val="fr-FR"/>
              </w:rPr>
              <w:t xml:space="preserve">(art. </w:t>
            </w:r>
            <w:r w:rsidRPr="00280912">
              <w:rPr>
                <w:sz w:val="17"/>
                <w:lang w:val="fr-FR"/>
              </w:rPr>
              <w:t>61</w:t>
            </w:r>
            <w:r w:rsidRPr="000D6387">
              <w:rPr>
                <w:sz w:val="17"/>
                <w:lang w:val="fr-FR"/>
              </w:rPr>
              <w:t xml:space="preserve"> du Code des délits)</w:t>
            </w:r>
          </w:p>
        </w:tc>
        <w:tc>
          <w:tcPr>
            <w:tcW w:w="750" w:type="dxa"/>
            <w:tcBorders>
              <w:bottom w:val="single" w:sz="12" w:space="0" w:color="auto"/>
            </w:tcBorders>
            <w:shd w:val="clear" w:color="auto" w:fill="auto"/>
            <w:vAlign w:val="bottom"/>
          </w:tcPr>
          <w:p w14:paraId="7304AC23" w14:textId="77777777" w:rsidR="00794277" w:rsidRPr="000D6387" w:rsidRDefault="00794277" w:rsidP="008F11B3">
            <w:pPr>
              <w:tabs>
                <w:tab w:val="left" w:pos="288"/>
                <w:tab w:val="left" w:pos="576"/>
                <w:tab w:val="left" w:pos="864"/>
                <w:tab w:val="left" w:pos="1152"/>
              </w:tabs>
              <w:suppressAutoHyphens/>
              <w:spacing w:before="40" w:after="40" w:line="210" w:lineRule="exact"/>
              <w:ind w:right="43"/>
              <w:jc w:val="right"/>
              <w:rPr>
                <w:b/>
                <w:bCs/>
                <w:sz w:val="17"/>
                <w:lang w:val="fr-FR"/>
              </w:rPr>
            </w:pPr>
            <w:r w:rsidRPr="00280912">
              <w:rPr>
                <w:b/>
                <w:bCs/>
                <w:sz w:val="17"/>
                <w:lang w:val="fr-FR"/>
              </w:rPr>
              <w:t>129</w:t>
            </w:r>
          </w:p>
        </w:tc>
      </w:tr>
    </w:tbl>
    <w:p w14:paraId="2A6D2AED" w14:textId="119F378C" w:rsidR="00794277" w:rsidRPr="000D6387" w:rsidRDefault="00794277" w:rsidP="007F1722">
      <w:pPr>
        <w:pStyle w:val="SingleTxt"/>
        <w:spacing w:after="0" w:line="120" w:lineRule="exact"/>
        <w:rPr>
          <w:sz w:val="10"/>
          <w:lang w:val="fr-FR"/>
        </w:rPr>
      </w:pPr>
    </w:p>
    <w:p w14:paraId="2422A78A" w14:textId="60821D04" w:rsidR="007F1722" w:rsidRPr="000D6387" w:rsidRDefault="007F1722" w:rsidP="007F1722">
      <w:pPr>
        <w:pStyle w:val="SingleTxt"/>
        <w:spacing w:after="0" w:line="120" w:lineRule="exact"/>
        <w:rPr>
          <w:sz w:val="10"/>
          <w:lang w:val="fr-FR"/>
        </w:rPr>
      </w:pPr>
    </w:p>
    <w:p w14:paraId="33E6A889" w14:textId="280B5AC1"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2018</w:t>
      </w:r>
      <w:r w:rsidR="00794277" w:rsidRPr="000D6387">
        <w:rPr>
          <w:lang w:val="fr-FR"/>
        </w:rPr>
        <w:t>, le Ministère de l</w:t>
      </w:r>
      <w:r w:rsidR="00BD12BA" w:rsidRPr="000D6387">
        <w:rPr>
          <w:lang w:val="fr-FR"/>
        </w:rPr>
        <w:t>’</w:t>
      </w:r>
      <w:r w:rsidR="00794277" w:rsidRPr="000D6387">
        <w:rPr>
          <w:lang w:val="fr-FR"/>
        </w:rPr>
        <w:t>intérieur a mené, en collaboration avec le Centre pour l</w:t>
      </w:r>
      <w:r w:rsidR="00BD12BA" w:rsidRPr="000D6387">
        <w:rPr>
          <w:lang w:val="fr-FR"/>
        </w:rPr>
        <w:t>’</w:t>
      </w:r>
      <w:r w:rsidR="00794277" w:rsidRPr="000D6387">
        <w:rPr>
          <w:lang w:val="fr-FR"/>
        </w:rPr>
        <w:t>étude des processus démocratiques, des missions d</w:t>
      </w:r>
      <w:r w:rsidR="00BD12BA" w:rsidRPr="000D6387">
        <w:rPr>
          <w:lang w:val="fr-FR"/>
        </w:rPr>
        <w:t>’</w:t>
      </w:r>
      <w:r w:rsidR="00794277" w:rsidRPr="000D6387">
        <w:rPr>
          <w:lang w:val="fr-FR"/>
        </w:rPr>
        <w:t>étude dans la ville et la région d</w:t>
      </w:r>
      <w:r w:rsidR="00BD12BA" w:rsidRPr="000D6387">
        <w:rPr>
          <w:lang w:val="fr-FR"/>
        </w:rPr>
        <w:t>’</w:t>
      </w:r>
      <w:r w:rsidR="00794277" w:rsidRPr="000D6387">
        <w:rPr>
          <w:lang w:val="fr-FR"/>
        </w:rPr>
        <w:t>Och et la région d</w:t>
      </w:r>
      <w:r w:rsidR="00BD12BA" w:rsidRPr="000D6387">
        <w:rPr>
          <w:lang w:val="fr-FR"/>
        </w:rPr>
        <w:t>’</w:t>
      </w:r>
      <w:r w:rsidR="00794277" w:rsidRPr="000D6387">
        <w:rPr>
          <w:lang w:val="fr-FR"/>
        </w:rPr>
        <w:t>Issyk-Koul, dans la perspective d</w:t>
      </w:r>
      <w:r w:rsidR="00BD12BA" w:rsidRPr="000D6387">
        <w:rPr>
          <w:lang w:val="fr-FR"/>
        </w:rPr>
        <w:t>’</w:t>
      </w:r>
      <w:r w:rsidR="00794277" w:rsidRPr="000D6387">
        <w:rPr>
          <w:lang w:val="fr-FR"/>
        </w:rPr>
        <w:t>élaborer un manuel pratique destiné aux agents de ses services d</w:t>
      </w:r>
      <w:r w:rsidR="00BD12BA" w:rsidRPr="000D6387">
        <w:rPr>
          <w:lang w:val="fr-FR"/>
        </w:rPr>
        <w:t>’</w:t>
      </w:r>
      <w:r w:rsidR="00794277" w:rsidRPr="000D6387">
        <w:rPr>
          <w:lang w:val="fr-FR"/>
        </w:rPr>
        <w:t>enquête sur l</w:t>
      </w:r>
      <w:r w:rsidR="00BD12BA" w:rsidRPr="000D6387">
        <w:rPr>
          <w:lang w:val="fr-FR"/>
        </w:rPr>
        <w:t>’</w:t>
      </w:r>
      <w:r w:rsidR="00794277" w:rsidRPr="000D6387">
        <w:rPr>
          <w:lang w:val="fr-FR"/>
        </w:rPr>
        <w:t>accompagnement des victimes de violence fondée sur le genre, y compris des fiancées victimes d</w:t>
      </w:r>
      <w:r w:rsidR="00BD12BA" w:rsidRPr="000D6387">
        <w:rPr>
          <w:lang w:val="fr-FR"/>
        </w:rPr>
        <w:t>’</w:t>
      </w:r>
      <w:r w:rsidR="00794277" w:rsidRPr="000D6387">
        <w:rPr>
          <w:lang w:val="fr-FR"/>
        </w:rPr>
        <w:t>enlèvement.</w:t>
      </w:r>
    </w:p>
    <w:p w14:paraId="32DC615E" w14:textId="36AC73CB"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2019</w:t>
      </w:r>
      <w:r w:rsidR="00794277" w:rsidRPr="000D6387">
        <w:rPr>
          <w:lang w:val="fr-FR"/>
        </w:rPr>
        <w:t>, le Ministère de l</w:t>
      </w:r>
      <w:r w:rsidR="00BD12BA" w:rsidRPr="000D6387">
        <w:rPr>
          <w:lang w:val="fr-FR"/>
        </w:rPr>
        <w:t>’</w:t>
      </w:r>
      <w:r w:rsidR="00794277" w:rsidRPr="000D6387">
        <w:rPr>
          <w:lang w:val="fr-FR"/>
        </w:rPr>
        <w:t>intérieur a élaboré, dans la langue nationale et dans la langue officielle, un autre manuel pratique à l</w:t>
      </w:r>
      <w:r w:rsidR="00BD12BA" w:rsidRPr="000D6387">
        <w:rPr>
          <w:lang w:val="fr-FR"/>
        </w:rPr>
        <w:t>’</w:t>
      </w:r>
      <w:r w:rsidR="00794277" w:rsidRPr="000D6387">
        <w:rPr>
          <w:lang w:val="fr-FR"/>
        </w:rPr>
        <w:t>intention des agents de ses services d</w:t>
      </w:r>
      <w:r w:rsidR="00BD12BA" w:rsidRPr="000D6387">
        <w:rPr>
          <w:lang w:val="fr-FR"/>
        </w:rPr>
        <w:t>’</w:t>
      </w:r>
      <w:r w:rsidR="00794277" w:rsidRPr="000D6387">
        <w:rPr>
          <w:lang w:val="fr-FR"/>
        </w:rPr>
        <w:t>enquête sur le thème «</w:t>
      </w:r>
      <w:r w:rsidR="00132B08">
        <w:rPr>
          <w:lang w:val="fr-FR"/>
        </w:rPr>
        <w:t> </w:t>
      </w:r>
      <w:r w:rsidR="00794277" w:rsidRPr="000D6387">
        <w:rPr>
          <w:lang w:val="fr-FR"/>
        </w:rPr>
        <w:t>Enquêter efficacement sur les crimes fondés sur le genre commis contre des femmes et des mineurs</w:t>
      </w:r>
      <w:r w:rsidR="00132B08">
        <w:rPr>
          <w:lang w:val="fr-FR"/>
        </w:rPr>
        <w:t> </w:t>
      </w:r>
      <w:r w:rsidR="00794277" w:rsidRPr="000D6387">
        <w:rPr>
          <w:lang w:val="fr-FR"/>
        </w:rPr>
        <w:t>» en coopération avec le Centre pour l</w:t>
      </w:r>
      <w:r w:rsidR="00BD12BA" w:rsidRPr="000D6387">
        <w:rPr>
          <w:lang w:val="fr-FR"/>
        </w:rPr>
        <w:t>’</w:t>
      </w:r>
      <w:r w:rsidR="00794277" w:rsidRPr="000D6387">
        <w:rPr>
          <w:lang w:val="fr-FR"/>
        </w:rPr>
        <w:t>étude des processus démocratiques et le Centre d</w:t>
      </w:r>
      <w:r w:rsidR="00BD12BA" w:rsidRPr="000D6387">
        <w:rPr>
          <w:lang w:val="fr-FR"/>
        </w:rPr>
        <w:t>’</w:t>
      </w:r>
      <w:r w:rsidR="00794277" w:rsidRPr="000D6387">
        <w:rPr>
          <w:lang w:val="fr-FR"/>
        </w:rPr>
        <w:t>aide aux femmes, ainsi qu</w:t>
      </w:r>
      <w:r w:rsidR="00BD12BA" w:rsidRPr="000D6387">
        <w:rPr>
          <w:lang w:val="fr-FR"/>
        </w:rPr>
        <w:t>’</w:t>
      </w:r>
      <w:r w:rsidR="00794277" w:rsidRPr="000D6387">
        <w:rPr>
          <w:lang w:val="fr-FR"/>
        </w:rPr>
        <w:t>avec l</w:t>
      </w:r>
      <w:r w:rsidR="00BD12BA" w:rsidRPr="000D6387">
        <w:rPr>
          <w:lang w:val="fr-FR"/>
        </w:rPr>
        <w:t>’</w:t>
      </w:r>
      <w:r w:rsidR="00794277" w:rsidRPr="000D6387">
        <w:rPr>
          <w:lang w:val="fr-FR"/>
        </w:rPr>
        <w:t>appui du Fonds des Nations Unies pour la population, de l</w:t>
      </w:r>
      <w:r w:rsidR="00BD12BA" w:rsidRPr="000D6387">
        <w:rPr>
          <w:lang w:val="fr-FR"/>
        </w:rPr>
        <w:t>’</w:t>
      </w:r>
      <w:r w:rsidR="00794277" w:rsidRPr="000D6387">
        <w:rPr>
          <w:lang w:val="fr-FR"/>
        </w:rPr>
        <w:t>Ambassade britannique en République kirghize et du bureau de pays du Programme des Nations Unies pour le développement au Kirghizistan. Le manuel a été distribué dans les antennes territoriales des services de l</w:t>
      </w:r>
      <w:r w:rsidR="00BD12BA" w:rsidRPr="000D6387">
        <w:rPr>
          <w:lang w:val="fr-FR"/>
        </w:rPr>
        <w:t>’</w:t>
      </w:r>
      <w:r w:rsidR="00794277" w:rsidRPr="000D6387">
        <w:rPr>
          <w:lang w:val="fr-FR"/>
        </w:rPr>
        <w:t>intérieur (</w:t>
      </w:r>
      <w:r w:rsidR="00794277" w:rsidRPr="00280912">
        <w:rPr>
          <w:lang w:val="fr-FR"/>
        </w:rPr>
        <w:t>1</w:t>
      </w:r>
      <w:r w:rsidR="00794277" w:rsidRPr="000D6387">
        <w:rPr>
          <w:lang w:val="fr-FR"/>
        </w:rPr>
        <w:t xml:space="preserve"> </w:t>
      </w:r>
      <w:r w:rsidR="00794277" w:rsidRPr="00280912">
        <w:rPr>
          <w:lang w:val="fr-FR"/>
        </w:rPr>
        <w:t>600</w:t>
      </w:r>
      <w:r w:rsidR="00794277" w:rsidRPr="000D6387">
        <w:rPr>
          <w:lang w:val="fr-FR"/>
        </w:rPr>
        <w:t xml:space="preserve"> exemplaires).</w:t>
      </w:r>
    </w:p>
    <w:p w14:paraId="4B902592" w14:textId="73F9C3C7" w:rsidR="00794277" w:rsidRPr="000D6387" w:rsidRDefault="007F1722" w:rsidP="00794277">
      <w:pPr>
        <w:pStyle w:val="SingleTxt"/>
        <w:rPr>
          <w:lang w:val="fr-FR"/>
        </w:rPr>
      </w:pPr>
      <w:r w:rsidRPr="000D6387">
        <w:rPr>
          <w:lang w:val="fr-FR"/>
        </w:rPr>
        <w:tab/>
      </w:r>
      <w:r w:rsidR="00794277" w:rsidRPr="000D6387">
        <w:rPr>
          <w:lang w:val="fr-FR"/>
        </w:rPr>
        <w:t xml:space="preserve">En août </w:t>
      </w:r>
      <w:r w:rsidR="00794277" w:rsidRPr="00280912">
        <w:rPr>
          <w:lang w:val="fr-FR"/>
        </w:rPr>
        <w:t>2019</w:t>
      </w:r>
      <w:r w:rsidR="00794277" w:rsidRPr="000D6387">
        <w:rPr>
          <w:lang w:val="fr-FR"/>
        </w:rPr>
        <w:t xml:space="preserve">, </w:t>
      </w:r>
      <w:r w:rsidR="00794277" w:rsidRPr="00280912">
        <w:rPr>
          <w:lang w:val="fr-FR"/>
        </w:rPr>
        <w:t>77</w:t>
      </w:r>
      <w:r w:rsidR="00794277" w:rsidRPr="000D6387">
        <w:rPr>
          <w:lang w:val="fr-FR"/>
        </w:rPr>
        <w:t xml:space="preserve"> agents des services d</w:t>
      </w:r>
      <w:r w:rsidR="00BD12BA" w:rsidRPr="000D6387">
        <w:rPr>
          <w:lang w:val="fr-FR"/>
        </w:rPr>
        <w:t>’</w:t>
      </w:r>
      <w:r w:rsidR="00794277" w:rsidRPr="000D6387">
        <w:rPr>
          <w:lang w:val="fr-FR"/>
        </w:rPr>
        <w:t>enquête du Ministère de l</w:t>
      </w:r>
      <w:r w:rsidR="00BD12BA" w:rsidRPr="000D6387">
        <w:rPr>
          <w:lang w:val="fr-FR"/>
        </w:rPr>
        <w:t>’</w:t>
      </w:r>
      <w:r w:rsidR="00794277" w:rsidRPr="000D6387">
        <w:rPr>
          <w:lang w:val="fr-FR"/>
        </w:rPr>
        <w:t>intérieur ont en outre tenu, conjointement avec le Centre pour l</w:t>
      </w:r>
      <w:r w:rsidR="00BD12BA" w:rsidRPr="000D6387">
        <w:rPr>
          <w:lang w:val="fr-FR"/>
        </w:rPr>
        <w:t>’</w:t>
      </w:r>
      <w:r w:rsidR="00794277" w:rsidRPr="000D6387">
        <w:rPr>
          <w:lang w:val="fr-FR"/>
        </w:rPr>
        <w:t>étude des processus démocratiques, des séminaires de formation sur la manière de mener des enquêtes efficaces sur les crimes fondés sur le genre commis contre des femmes ou des mineurs à l</w:t>
      </w:r>
      <w:r w:rsidR="00BD12BA" w:rsidRPr="000D6387">
        <w:rPr>
          <w:lang w:val="fr-FR"/>
        </w:rPr>
        <w:t>’</w:t>
      </w:r>
      <w:r w:rsidR="00794277" w:rsidRPr="000D6387">
        <w:rPr>
          <w:lang w:val="fr-FR"/>
        </w:rPr>
        <w:t>intention des enquêteurs et des agents d</w:t>
      </w:r>
      <w:r w:rsidR="00BD12BA" w:rsidRPr="000D6387">
        <w:rPr>
          <w:lang w:val="fr-FR"/>
        </w:rPr>
        <w:t>’</w:t>
      </w:r>
      <w:r w:rsidR="00794277" w:rsidRPr="000D6387">
        <w:rPr>
          <w:lang w:val="fr-FR"/>
        </w:rPr>
        <w:t>instruction de la Direction centrale du Ministère de l</w:t>
      </w:r>
      <w:r w:rsidR="00BD12BA" w:rsidRPr="000D6387">
        <w:rPr>
          <w:lang w:val="fr-FR"/>
        </w:rPr>
        <w:t>’</w:t>
      </w:r>
      <w:r w:rsidR="00794277" w:rsidRPr="000D6387">
        <w:rPr>
          <w:lang w:val="fr-FR"/>
        </w:rPr>
        <w:t>intérieur de Bichkek et de la région de Tchou et des services de l</w:t>
      </w:r>
      <w:r w:rsidR="00BD12BA" w:rsidRPr="000D6387">
        <w:rPr>
          <w:lang w:val="fr-FR"/>
        </w:rPr>
        <w:t>’</w:t>
      </w:r>
      <w:r w:rsidR="00794277" w:rsidRPr="000D6387">
        <w:rPr>
          <w:lang w:val="fr-FR"/>
        </w:rPr>
        <w:t>intérieur des régions d</w:t>
      </w:r>
      <w:r w:rsidR="00BD12BA" w:rsidRPr="000D6387">
        <w:rPr>
          <w:lang w:val="fr-FR"/>
        </w:rPr>
        <w:t>’</w:t>
      </w:r>
      <w:r w:rsidR="00794277" w:rsidRPr="000D6387">
        <w:rPr>
          <w:lang w:val="fr-FR"/>
        </w:rPr>
        <w:t>Och et de Djalalabad.</w:t>
      </w:r>
    </w:p>
    <w:p w14:paraId="73FE2462" w14:textId="4A8F2C33" w:rsidR="00794277" w:rsidRPr="000D6387" w:rsidRDefault="007F1722" w:rsidP="00794277">
      <w:pPr>
        <w:pStyle w:val="SingleTxt"/>
        <w:rPr>
          <w:lang w:val="fr-FR"/>
        </w:rPr>
      </w:pPr>
      <w:r w:rsidRPr="000D6387">
        <w:rPr>
          <w:lang w:val="fr-FR"/>
        </w:rPr>
        <w:tab/>
      </w:r>
      <w:r w:rsidR="00794277" w:rsidRPr="000D6387">
        <w:rPr>
          <w:lang w:val="fr-FR"/>
        </w:rPr>
        <w:t xml:space="preserve">Le nouveau Code pénal, entré en vigueur le </w:t>
      </w:r>
      <w:r w:rsidR="00794277" w:rsidRPr="00280912">
        <w:rPr>
          <w:lang w:val="fr-FR"/>
        </w:rPr>
        <w:t>1</w:t>
      </w:r>
      <w:r w:rsidR="00794277" w:rsidRPr="000D6387">
        <w:rPr>
          <w:vertAlign w:val="superscript"/>
          <w:lang w:val="fr-FR"/>
        </w:rPr>
        <w:t>er</w:t>
      </w:r>
      <w:r w:rsidR="00794277" w:rsidRPr="000D6387">
        <w:rPr>
          <w:lang w:val="fr-FR"/>
        </w:rPr>
        <w:t xml:space="preserve"> janvier </w:t>
      </w:r>
      <w:r w:rsidR="00794277" w:rsidRPr="00280912">
        <w:rPr>
          <w:lang w:val="fr-FR"/>
        </w:rPr>
        <w:t>2019</w:t>
      </w:r>
      <w:r w:rsidR="00794277" w:rsidRPr="000D6387">
        <w:rPr>
          <w:lang w:val="fr-FR"/>
        </w:rPr>
        <w:t xml:space="preserve">, contient deux articles distincts pour le rapt nuptial (art. </w:t>
      </w:r>
      <w:r w:rsidR="00794277" w:rsidRPr="00280912">
        <w:rPr>
          <w:lang w:val="fr-FR"/>
        </w:rPr>
        <w:t>175</w:t>
      </w:r>
      <w:r w:rsidR="00794277" w:rsidRPr="000D6387">
        <w:rPr>
          <w:lang w:val="fr-FR"/>
        </w:rPr>
        <w:t xml:space="preserve">) et le mariage forcé (art. </w:t>
      </w:r>
      <w:r w:rsidR="00794277" w:rsidRPr="00280912">
        <w:rPr>
          <w:lang w:val="fr-FR"/>
        </w:rPr>
        <w:t>177</w:t>
      </w:r>
      <w:r w:rsidR="00794277" w:rsidRPr="000D6387">
        <w:rPr>
          <w:lang w:val="fr-FR"/>
        </w:rPr>
        <w:t xml:space="preserve">), contrairement à la précédente version de </w:t>
      </w:r>
      <w:r w:rsidR="00794277" w:rsidRPr="00280912">
        <w:rPr>
          <w:lang w:val="fr-FR"/>
        </w:rPr>
        <w:t>1997</w:t>
      </w:r>
      <w:r w:rsidR="00794277" w:rsidRPr="000D6387">
        <w:rPr>
          <w:lang w:val="fr-FR"/>
        </w:rPr>
        <w:t>, dans laquelle lesdites infractions étaient regroupées dans l</w:t>
      </w:r>
      <w:r w:rsidR="00BD12BA" w:rsidRPr="000D6387">
        <w:rPr>
          <w:lang w:val="fr-FR"/>
        </w:rPr>
        <w:t>’</w:t>
      </w:r>
      <w:r w:rsidR="00794277" w:rsidRPr="000D6387">
        <w:rPr>
          <w:lang w:val="fr-FR"/>
        </w:rPr>
        <w:t xml:space="preserve">article </w:t>
      </w:r>
      <w:r w:rsidR="00794277" w:rsidRPr="00280912">
        <w:rPr>
          <w:lang w:val="fr-FR"/>
        </w:rPr>
        <w:t>155</w:t>
      </w:r>
      <w:r w:rsidR="00794277" w:rsidRPr="000D6387">
        <w:rPr>
          <w:lang w:val="fr-FR"/>
        </w:rPr>
        <w:t xml:space="preserve"> (Fait de forcer une femme à se marier, enlèvement d</w:t>
      </w:r>
      <w:r w:rsidR="00BD12BA" w:rsidRPr="000D6387">
        <w:rPr>
          <w:lang w:val="fr-FR"/>
        </w:rPr>
        <w:t>’</w:t>
      </w:r>
      <w:r w:rsidR="00794277" w:rsidRPr="000D6387">
        <w:rPr>
          <w:lang w:val="fr-FR"/>
        </w:rPr>
        <w:t>une femme à des fins de mariage et fait d</w:t>
      </w:r>
      <w:r w:rsidR="00BD12BA" w:rsidRPr="000D6387">
        <w:rPr>
          <w:lang w:val="fr-FR"/>
        </w:rPr>
        <w:t>’</w:t>
      </w:r>
      <w:r w:rsidR="00794277" w:rsidRPr="000D6387">
        <w:rPr>
          <w:lang w:val="fr-FR"/>
        </w:rPr>
        <w:t>empêcher une femme de se marier).</w:t>
      </w:r>
    </w:p>
    <w:p w14:paraId="77C6B557" w14:textId="1E7F56FA" w:rsidR="00794277" w:rsidRPr="000D6387" w:rsidRDefault="007F1722" w:rsidP="00794277">
      <w:pPr>
        <w:pStyle w:val="SingleTxt"/>
        <w:rPr>
          <w:lang w:val="fr-FR"/>
        </w:rPr>
      </w:pPr>
      <w:r w:rsidRPr="000D6387">
        <w:rPr>
          <w:lang w:val="fr-FR"/>
        </w:rPr>
        <w:tab/>
      </w:r>
      <w:r w:rsidR="00794277" w:rsidRPr="000D6387">
        <w:rPr>
          <w:lang w:val="fr-FR"/>
        </w:rPr>
        <w:t xml:space="preserve">Depuis décembre </w:t>
      </w:r>
      <w:r w:rsidR="00794277" w:rsidRPr="00280912">
        <w:rPr>
          <w:lang w:val="fr-FR"/>
        </w:rPr>
        <w:t>2014</w:t>
      </w:r>
      <w:r w:rsidR="00794277" w:rsidRPr="000D6387">
        <w:rPr>
          <w:lang w:val="fr-FR"/>
        </w:rPr>
        <w:t>, le Ministère de la santé a adapté les normes internationales relatives à la collecte efficace d</w:t>
      </w:r>
      <w:r w:rsidR="00BD12BA" w:rsidRPr="000D6387">
        <w:rPr>
          <w:lang w:val="fr-FR"/>
        </w:rPr>
        <w:t>’</w:t>
      </w:r>
      <w:r w:rsidR="00794277" w:rsidRPr="000D6387">
        <w:rPr>
          <w:lang w:val="fr-FR"/>
        </w:rPr>
        <w:t>informations médicales sur les cas de violence et s</w:t>
      </w:r>
      <w:r w:rsidR="00BD12BA" w:rsidRPr="000D6387">
        <w:rPr>
          <w:lang w:val="fr-FR"/>
        </w:rPr>
        <w:t>’</w:t>
      </w:r>
      <w:r w:rsidR="00794277" w:rsidRPr="000D6387">
        <w:rPr>
          <w:lang w:val="fr-FR"/>
        </w:rPr>
        <w:t>emploie à ce qu</w:t>
      </w:r>
      <w:r w:rsidR="00BD12BA" w:rsidRPr="000D6387">
        <w:rPr>
          <w:lang w:val="fr-FR"/>
        </w:rPr>
        <w:t>’</w:t>
      </w:r>
      <w:r w:rsidR="00794277" w:rsidRPr="000D6387">
        <w:rPr>
          <w:lang w:val="fr-FR"/>
        </w:rPr>
        <w:t>elles soient intégrées dans les soins de santé non seulement pour améliorer la qualité des soins médicaux, mais également pour aider les services d</w:t>
      </w:r>
      <w:r w:rsidR="00BD12BA" w:rsidRPr="000D6387">
        <w:rPr>
          <w:lang w:val="fr-FR"/>
        </w:rPr>
        <w:t>’</w:t>
      </w:r>
      <w:r w:rsidR="00794277" w:rsidRPr="000D6387">
        <w:rPr>
          <w:lang w:val="fr-FR"/>
        </w:rPr>
        <w:t>enquête judiciaire à obtenir une expertise médicale objective dans le cadre des enquêtes sur les cas de violence. À titre d</w:t>
      </w:r>
      <w:r w:rsidR="00BD12BA" w:rsidRPr="000D6387">
        <w:rPr>
          <w:lang w:val="fr-FR"/>
        </w:rPr>
        <w:t>’</w:t>
      </w:r>
      <w:r w:rsidR="00794277" w:rsidRPr="000D6387">
        <w:rPr>
          <w:lang w:val="fr-FR"/>
        </w:rPr>
        <w:t>exemple, le Ministère de la santé a établi des directives pratiques assorties d</w:t>
      </w:r>
      <w:r w:rsidR="00BD12BA" w:rsidRPr="000D6387">
        <w:rPr>
          <w:lang w:val="fr-FR"/>
        </w:rPr>
        <w:t>’</w:t>
      </w:r>
      <w:r w:rsidR="00794277" w:rsidRPr="000D6387">
        <w:rPr>
          <w:lang w:val="fr-FR"/>
        </w:rPr>
        <w:t>un formulaire type unique pour les examens médicaux (ordonnance n</w:t>
      </w:r>
      <w:r w:rsidR="00794277" w:rsidRPr="000D6387">
        <w:rPr>
          <w:vertAlign w:val="superscript"/>
          <w:lang w:val="fr-FR"/>
        </w:rPr>
        <w:t>o</w:t>
      </w:r>
      <w:r w:rsidR="00794277" w:rsidRPr="000D6387">
        <w:rPr>
          <w:lang w:val="fr-FR"/>
        </w:rPr>
        <w:t xml:space="preserve"> </w:t>
      </w:r>
      <w:r w:rsidR="00794277" w:rsidRPr="00280912">
        <w:rPr>
          <w:lang w:val="fr-FR"/>
        </w:rPr>
        <w:t>680</w:t>
      </w:r>
      <w:r w:rsidR="00794277" w:rsidRPr="000D6387">
        <w:rPr>
          <w:lang w:val="fr-FR"/>
        </w:rPr>
        <w:t xml:space="preserve"> du Ministère de la santé datée du </w:t>
      </w:r>
      <w:r w:rsidR="00794277" w:rsidRPr="00280912">
        <w:rPr>
          <w:lang w:val="fr-FR"/>
        </w:rPr>
        <w:t>7</w:t>
      </w:r>
      <w:r w:rsidR="00794277" w:rsidRPr="000D6387">
        <w:rPr>
          <w:lang w:val="fr-FR"/>
        </w:rPr>
        <w:t xml:space="preserve"> décembre </w:t>
      </w:r>
      <w:r w:rsidR="00794277" w:rsidRPr="00280912">
        <w:rPr>
          <w:lang w:val="fr-FR"/>
        </w:rPr>
        <w:t>2015</w:t>
      </w:r>
      <w:r w:rsidR="00794277" w:rsidRPr="000D6387">
        <w:rPr>
          <w:lang w:val="fr-FR"/>
        </w:rPr>
        <w:t>) à l</w:t>
      </w:r>
      <w:r w:rsidR="00BD12BA" w:rsidRPr="000D6387">
        <w:rPr>
          <w:lang w:val="fr-FR"/>
        </w:rPr>
        <w:t>’</w:t>
      </w:r>
      <w:r w:rsidR="00794277" w:rsidRPr="000D6387">
        <w:rPr>
          <w:lang w:val="fr-FR"/>
        </w:rPr>
        <w:t>intention des professionnels de la santé du Kirghizistan aux fins de la collecte efficace d</w:t>
      </w:r>
      <w:r w:rsidR="00BD12BA" w:rsidRPr="000D6387">
        <w:rPr>
          <w:lang w:val="fr-FR"/>
        </w:rPr>
        <w:t>’</w:t>
      </w:r>
      <w:r w:rsidR="00794277" w:rsidRPr="000D6387">
        <w:rPr>
          <w:lang w:val="fr-FR"/>
        </w:rPr>
        <w:t>informations sur les cas de violence, de torture et de traitement cruel</w:t>
      </w:r>
      <w:r w:rsidR="00BD12BA" w:rsidRPr="000D6387">
        <w:rPr>
          <w:lang w:val="fr-FR"/>
        </w:rPr>
        <w:t> ;</w:t>
      </w:r>
      <w:r w:rsidR="00794277" w:rsidRPr="000D6387">
        <w:rPr>
          <w:lang w:val="fr-FR"/>
        </w:rPr>
        <w:t xml:space="preserve"> ces directives sont devenues un document national fondé sur les principes du Protocole d</w:t>
      </w:r>
      <w:r w:rsidR="00BD12BA" w:rsidRPr="000D6387">
        <w:rPr>
          <w:lang w:val="fr-FR"/>
        </w:rPr>
        <w:t>’</w:t>
      </w:r>
      <w:r w:rsidR="00794277" w:rsidRPr="000D6387">
        <w:rPr>
          <w:lang w:val="fr-FR"/>
        </w:rPr>
        <w:t>Istanbul et définissent les tâches à accomplir pour étayer et enregistrer correctement et exhaustivement les cas de violence, de torture et de traitement cruel, pour orienter les victimes vers les autorités compétentes afin qu</w:t>
      </w:r>
      <w:r w:rsidR="00BD12BA" w:rsidRPr="000D6387">
        <w:rPr>
          <w:lang w:val="fr-FR"/>
        </w:rPr>
        <w:t>’</w:t>
      </w:r>
      <w:r w:rsidR="00794277" w:rsidRPr="000D6387">
        <w:rPr>
          <w:lang w:val="fr-FR"/>
        </w:rPr>
        <w:t>elles reçoivent tout l</w:t>
      </w:r>
      <w:r w:rsidR="00BD12BA" w:rsidRPr="000D6387">
        <w:rPr>
          <w:lang w:val="fr-FR"/>
        </w:rPr>
        <w:t>’</w:t>
      </w:r>
      <w:r w:rsidR="00794277" w:rsidRPr="000D6387">
        <w:rPr>
          <w:lang w:val="fr-FR"/>
        </w:rPr>
        <w:t>appui voulu (y compris l</w:t>
      </w:r>
      <w:r w:rsidR="00BD12BA" w:rsidRPr="000D6387">
        <w:rPr>
          <w:lang w:val="fr-FR"/>
        </w:rPr>
        <w:t>’</w:t>
      </w:r>
      <w:r w:rsidR="00794277" w:rsidRPr="000D6387">
        <w:rPr>
          <w:lang w:val="fr-FR"/>
        </w:rPr>
        <w:t>ouverture d</w:t>
      </w:r>
      <w:r w:rsidR="00BD12BA" w:rsidRPr="000D6387">
        <w:rPr>
          <w:lang w:val="fr-FR"/>
        </w:rPr>
        <w:t>’</w:t>
      </w:r>
      <w:r w:rsidR="00794277" w:rsidRPr="000D6387">
        <w:rPr>
          <w:lang w:val="fr-FR"/>
        </w:rPr>
        <w:t>enquêtes), pour tenir ces dernières informées, pour enregistrer officiellement les cas au niveau national, pour améliorer la qualité des expertises médico-légales et des expertises judiciaires psychiatriques et pour traiter les groupes vulnérables avec plus de sensibilité.</w:t>
      </w:r>
    </w:p>
    <w:p w14:paraId="1D27C09F" w14:textId="1D7CA4F2" w:rsidR="00794277" w:rsidRPr="000D6387" w:rsidRDefault="007F1722" w:rsidP="00794277">
      <w:pPr>
        <w:pStyle w:val="SingleTxt"/>
        <w:rPr>
          <w:lang w:val="fr-FR"/>
        </w:rPr>
      </w:pPr>
      <w:r w:rsidRPr="000D6387">
        <w:rPr>
          <w:lang w:val="fr-FR"/>
        </w:rPr>
        <w:tab/>
      </w:r>
      <w:r w:rsidR="00794277" w:rsidRPr="000D6387">
        <w:rPr>
          <w:lang w:val="fr-FR"/>
        </w:rPr>
        <w:t>D</w:t>
      </w:r>
      <w:r w:rsidR="00BD12BA" w:rsidRPr="000D6387">
        <w:rPr>
          <w:lang w:val="fr-FR"/>
        </w:rPr>
        <w:t>’</w:t>
      </w:r>
      <w:r w:rsidR="00794277" w:rsidRPr="000D6387">
        <w:rPr>
          <w:lang w:val="fr-FR"/>
        </w:rPr>
        <w:t xml:space="preserve">après les données du Centre de santé en ligne, </w:t>
      </w:r>
      <w:r w:rsidR="00794277" w:rsidRPr="00280912">
        <w:rPr>
          <w:lang w:val="fr-FR"/>
        </w:rPr>
        <w:t>1</w:t>
      </w:r>
      <w:r w:rsidR="00794277" w:rsidRPr="000D6387">
        <w:rPr>
          <w:lang w:val="fr-FR"/>
        </w:rPr>
        <w:t xml:space="preserve"> </w:t>
      </w:r>
      <w:r w:rsidR="00794277" w:rsidRPr="00280912">
        <w:rPr>
          <w:lang w:val="fr-FR"/>
        </w:rPr>
        <w:t>428</w:t>
      </w:r>
      <w:r w:rsidR="00794277" w:rsidRPr="000D6387">
        <w:rPr>
          <w:lang w:val="fr-FR"/>
        </w:rPr>
        <w:t xml:space="preserve"> personnes au total ont reçu des soins de santé primaire après avoir subi des violences domestiques en </w:t>
      </w:r>
      <w:r w:rsidR="00794277" w:rsidRPr="00280912">
        <w:rPr>
          <w:lang w:val="fr-FR"/>
        </w:rPr>
        <w:t>2019</w:t>
      </w:r>
      <w:r w:rsidR="00794277" w:rsidRPr="000D6387">
        <w:rPr>
          <w:lang w:val="fr-FR"/>
        </w:rPr>
        <w:t xml:space="preserve">, dont </w:t>
      </w:r>
      <w:r w:rsidR="00794277" w:rsidRPr="00280912">
        <w:rPr>
          <w:lang w:val="fr-FR"/>
        </w:rPr>
        <w:t>824</w:t>
      </w:r>
      <w:r w:rsidR="00794277" w:rsidRPr="000D6387">
        <w:rPr>
          <w:lang w:val="fr-FR"/>
        </w:rPr>
        <w:t xml:space="preserve"> femmes et </w:t>
      </w:r>
      <w:r w:rsidR="00794277" w:rsidRPr="00280912">
        <w:rPr>
          <w:lang w:val="fr-FR"/>
        </w:rPr>
        <w:t>604</w:t>
      </w:r>
      <w:r w:rsidR="00794277" w:rsidRPr="000D6387">
        <w:rPr>
          <w:lang w:val="fr-FR"/>
        </w:rPr>
        <w:t xml:space="preserve"> hommes (contre </w:t>
      </w:r>
      <w:r w:rsidR="00794277" w:rsidRPr="00280912">
        <w:rPr>
          <w:lang w:val="fr-FR"/>
        </w:rPr>
        <w:t>1</w:t>
      </w:r>
      <w:r w:rsidR="00794277" w:rsidRPr="000D6387">
        <w:rPr>
          <w:lang w:val="fr-FR"/>
        </w:rPr>
        <w:t xml:space="preserve"> </w:t>
      </w:r>
      <w:r w:rsidR="00794277" w:rsidRPr="00280912">
        <w:rPr>
          <w:lang w:val="fr-FR"/>
        </w:rPr>
        <w:t>679</w:t>
      </w:r>
      <w:r w:rsidR="00794277" w:rsidRPr="000D6387">
        <w:rPr>
          <w:lang w:val="fr-FR"/>
        </w:rPr>
        <w:t xml:space="preserve">, dont </w:t>
      </w:r>
      <w:r w:rsidR="00794277" w:rsidRPr="00280912">
        <w:rPr>
          <w:lang w:val="fr-FR"/>
        </w:rPr>
        <w:t>909</w:t>
      </w:r>
      <w:r w:rsidR="00794277" w:rsidRPr="000D6387">
        <w:rPr>
          <w:lang w:val="fr-FR"/>
        </w:rPr>
        <w:t xml:space="preserve"> femmes et </w:t>
      </w:r>
      <w:r w:rsidR="00794277" w:rsidRPr="00280912">
        <w:rPr>
          <w:lang w:val="fr-FR"/>
        </w:rPr>
        <w:t>770</w:t>
      </w:r>
      <w:r w:rsidR="00794277" w:rsidRPr="000D6387">
        <w:rPr>
          <w:lang w:val="fr-FR"/>
        </w:rPr>
        <w:t xml:space="preserve"> hommes, pour la même période en </w:t>
      </w:r>
      <w:r w:rsidR="00794277" w:rsidRPr="00280912">
        <w:rPr>
          <w:lang w:val="fr-FR"/>
        </w:rPr>
        <w:t>2018</w:t>
      </w:r>
      <w:r w:rsidR="00794277" w:rsidRPr="000D6387">
        <w:rPr>
          <w:lang w:val="fr-FR"/>
        </w:rPr>
        <w:t xml:space="preserve">). </w:t>
      </w:r>
    </w:p>
    <w:p w14:paraId="19154A89" w14:textId="199B8CBB" w:rsidR="00794277" w:rsidRPr="000D6387" w:rsidRDefault="007F1722" w:rsidP="00794277">
      <w:pPr>
        <w:pStyle w:val="SingleTxt"/>
        <w:rPr>
          <w:lang w:val="fr-FR"/>
        </w:rPr>
      </w:pPr>
      <w:r w:rsidRPr="000D6387">
        <w:rPr>
          <w:lang w:val="fr-FR"/>
        </w:rPr>
        <w:tab/>
      </w:r>
      <w:r w:rsidR="00794277" w:rsidRPr="000D6387">
        <w:rPr>
          <w:lang w:val="fr-FR"/>
        </w:rPr>
        <w:t xml:space="preserve">Au total, </w:t>
      </w:r>
      <w:r w:rsidR="00794277" w:rsidRPr="00280912">
        <w:rPr>
          <w:lang w:val="fr-FR"/>
        </w:rPr>
        <w:t>5</w:t>
      </w:r>
      <w:r w:rsidR="00132B08">
        <w:rPr>
          <w:lang w:val="fr-FR"/>
        </w:rPr>
        <w:t> </w:t>
      </w:r>
      <w:r w:rsidR="00794277" w:rsidRPr="00280912">
        <w:rPr>
          <w:lang w:val="fr-FR"/>
        </w:rPr>
        <w:t>436</w:t>
      </w:r>
      <w:r w:rsidR="00794277" w:rsidRPr="000D6387">
        <w:rPr>
          <w:lang w:val="fr-FR"/>
        </w:rPr>
        <w:t xml:space="preserve"> personnes, dont </w:t>
      </w:r>
      <w:r w:rsidR="00794277" w:rsidRPr="00280912">
        <w:rPr>
          <w:lang w:val="fr-FR"/>
        </w:rPr>
        <w:t>2</w:t>
      </w:r>
      <w:r w:rsidR="00132B08">
        <w:rPr>
          <w:lang w:val="fr-FR"/>
        </w:rPr>
        <w:t> </w:t>
      </w:r>
      <w:r w:rsidR="00794277" w:rsidRPr="00280912">
        <w:rPr>
          <w:lang w:val="fr-FR"/>
        </w:rPr>
        <w:t>102</w:t>
      </w:r>
      <w:r w:rsidR="00794277" w:rsidRPr="000D6387">
        <w:rPr>
          <w:lang w:val="fr-FR"/>
        </w:rPr>
        <w:t xml:space="preserve"> femmes et </w:t>
      </w:r>
      <w:r w:rsidR="00794277" w:rsidRPr="00280912">
        <w:rPr>
          <w:lang w:val="fr-FR"/>
        </w:rPr>
        <w:t>3</w:t>
      </w:r>
      <w:r w:rsidR="00132B08">
        <w:rPr>
          <w:lang w:val="fr-FR"/>
        </w:rPr>
        <w:t> </w:t>
      </w:r>
      <w:r w:rsidR="00794277" w:rsidRPr="00280912">
        <w:rPr>
          <w:lang w:val="fr-FR"/>
        </w:rPr>
        <w:t>334</w:t>
      </w:r>
      <w:r w:rsidR="00794277" w:rsidRPr="000D6387">
        <w:rPr>
          <w:lang w:val="fr-FR"/>
        </w:rPr>
        <w:t xml:space="preserve"> hommes, ont été hospitalisées en </w:t>
      </w:r>
      <w:r w:rsidR="00794277" w:rsidRPr="00280912">
        <w:rPr>
          <w:lang w:val="fr-FR"/>
        </w:rPr>
        <w:t>2019</w:t>
      </w:r>
      <w:r w:rsidR="00794277" w:rsidRPr="000D6387">
        <w:rPr>
          <w:lang w:val="fr-FR"/>
        </w:rPr>
        <w:t xml:space="preserve"> pour des pathologies liées à la violence domestique (contre </w:t>
      </w:r>
      <w:r w:rsidR="00794277" w:rsidRPr="00280912">
        <w:rPr>
          <w:lang w:val="fr-FR"/>
        </w:rPr>
        <w:t>5</w:t>
      </w:r>
      <w:r w:rsidR="00132B08">
        <w:rPr>
          <w:lang w:val="fr-FR"/>
        </w:rPr>
        <w:t> </w:t>
      </w:r>
      <w:r w:rsidR="00794277" w:rsidRPr="00280912">
        <w:rPr>
          <w:lang w:val="fr-FR"/>
        </w:rPr>
        <w:t>796</w:t>
      </w:r>
      <w:r w:rsidR="00794277" w:rsidRPr="000D6387">
        <w:rPr>
          <w:lang w:val="fr-FR"/>
        </w:rPr>
        <w:t xml:space="preserve">, dont </w:t>
      </w:r>
      <w:r w:rsidR="00794277" w:rsidRPr="00280912">
        <w:rPr>
          <w:lang w:val="fr-FR"/>
        </w:rPr>
        <w:t>2</w:t>
      </w:r>
      <w:r w:rsidR="00794277" w:rsidRPr="000D6387">
        <w:rPr>
          <w:lang w:val="fr-FR"/>
        </w:rPr>
        <w:t xml:space="preserve"> </w:t>
      </w:r>
      <w:r w:rsidR="00794277" w:rsidRPr="00280912">
        <w:rPr>
          <w:lang w:val="fr-FR"/>
        </w:rPr>
        <w:t>255</w:t>
      </w:r>
      <w:r w:rsidR="00794277" w:rsidRPr="000D6387">
        <w:rPr>
          <w:lang w:val="fr-FR"/>
        </w:rPr>
        <w:t xml:space="preserve"> femmes et </w:t>
      </w:r>
      <w:r w:rsidR="00794277" w:rsidRPr="00280912">
        <w:rPr>
          <w:lang w:val="fr-FR"/>
        </w:rPr>
        <w:t>3</w:t>
      </w:r>
      <w:r w:rsidR="00794277" w:rsidRPr="000D6387">
        <w:rPr>
          <w:lang w:val="fr-FR"/>
        </w:rPr>
        <w:t xml:space="preserve"> </w:t>
      </w:r>
      <w:r w:rsidR="00794277" w:rsidRPr="00280912">
        <w:rPr>
          <w:lang w:val="fr-FR"/>
        </w:rPr>
        <w:t>541</w:t>
      </w:r>
      <w:r w:rsidR="00794277" w:rsidRPr="000D6387">
        <w:rPr>
          <w:lang w:val="fr-FR"/>
        </w:rPr>
        <w:t xml:space="preserve"> hommes, en </w:t>
      </w:r>
      <w:r w:rsidR="00794277" w:rsidRPr="00280912">
        <w:rPr>
          <w:lang w:val="fr-FR"/>
        </w:rPr>
        <w:t>2018</w:t>
      </w:r>
      <w:r w:rsidR="00794277" w:rsidRPr="000D6387">
        <w:rPr>
          <w:lang w:val="fr-FR"/>
        </w:rPr>
        <w:t xml:space="preserve">). </w:t>
      </w:r>
    </w:p>
    <w:p w14:paraId="60D93B24" w14:textId="3FB01FC9" w:rsidR="00794277" w:rsidRPr="000D6387" w:rsidRDefault="007F1722" w:rsidP="00794277">
      <w:pPr>
        <w:pStyle w:val="SingleTxt"/>
        <w:rPr>
          <w:bCs/>
          <w:iCs/>
          <w:lang w:val="fr-FR"/>
        </w:rPr>
      </w:pPr>
      <w:r w:rsidRPr="000D6387">
        <w:rPr>
          <w:lang w:val="fr-FR"/>
        </w:rPr>
        <w:tab/>
      </w:r>
      <w:r w:rsidR="00794277" w:rsidRPr="000D6387">
        <w:rPr>
          <w:lang w:val="fr-FR"/>
        </w:rPr>
        <w:t xml:space="preserve">En </w:t>
      </w:r>
      <w:r w:rsidR="00794277" w:rsidRPr="00280912">
        <w:rPr>
          <w:lang w:val="fr-FR"/>
        </w:rPr>
        <w:t>2019</w:t>
      </w:r>
      <w:r w:rsidR="00794277" w:rsidRPr="000D6387">
        <w:rPr>
          <w:lang w:val="fr-FR"/>
        </w:rPr>
        <w:t xml:space="preserve">, </w:t>
      </w:r>
      <w:r w:rsidR="00794277" w:rsidRPr="00280912">
        <w:rPr>
          <w:lang w:val="fr-FR"/>
        </w:rPr>
        <w:t>4</w:t>
      </w:r>
      <w:r w:rsidR="00794277" w:rsidRPr="000D6387">
        <w:rPr>
          <w:lang w:val="fr-FR"/>
        </w:rPr>
        <w:t xml:space="preserve"> </w:t>
      </w:r>
      <w:r w:rsidR="00794277" w:rsidRPr="00280912">
        <w:rPr>
          <w:lang w:val="fr-FR"/>
        </w:rPr>
        <w:t>627</w:t>
      </w:r>
      <w:r w:rsidR="00794277" w:rsidRPr="000D6387">
        <w:rPr>
          <w:lang w:val="fr-FR"/>
        </w:rPr>
        <w:t xml:space="preserve"> expertises médico-légales ont été réalisées (contre </w:t>
      </w:r>
      <w:r w:rsidR="00794277" w:rsidRPr="00280912">
        <w:rPr>
          <w:lang w:val="fr-FR"/>
        </w:rPr>
        <w:t>4</w:t>
      </w:r>
      <w:r w:rsidR="00794277" w:rsidRPr="000D6387">
        <w:rPr>
          <w:lang w:val="fr-FR"/>
        </w:rPr>
        <w:t xml:space="preserve"> </w:t>
      </w:r>
      <w:r w:rsidR="00794277" w:rsidRPr="00280912">
        <w:rPr>
          <w:lang w:val="fr-FR"/>
        </w:rPr>
        <w:t>967</w:t>
      </w:r>
      <w:r w:rsidR="00794277" w:rsidRPr="000D6387">
        <w:rPr>
          <w:lang w:val="fr-FR"/>
        </w:rPr>
        <w:t xml:space="preserve"> en </w:t>
      </w:r>
      <w:r w:rsidR="00794277" w:rsidRPr="00280912">
        <w:rPr>
          <w:lang w:val="fr-FR"/>
        </w:rPr>
        <w:t>2018</w:t>
      </w:r>
      <w:r w:rsidR="00794277" w:rsidRPr="000D6387">
        <w:rPr>
          <w:lang w:val="fr-FR"/>
        </w:rPr>
        <w:t xml:space="preserve">, soit une diminution de </w:t>
      </w:r>
      <w:r w:rsidR="00794277" w:rsidRPr="00280912">
        <w:rPr>
          <w:lang w:val="fr-FR"/>
        </w:rPr>
        <w:t>7</w:t>
      </w:r>
      <w:r w:rsidR="00794277" w:rsidRPr="000D6387">
        <w:rPr>
          <w:lang w:val="fr-FR"/>
        </w:rPr>
        <w:t>,</w:t>
      </w:r>
      <w:r w:rsidR="00794277" w:rsidRPr="00280912">
        <w:rPr>
          <w:lang w:val="fr-FR"/>
        </w:rPr>
        <w:t>1</w:t>
      </w:r>
      <w:r w:rsidR="005D4517" w:rsidRPr="000D6387">
        <w:rPr>
          <w:lang w:val="fr-FR"/>
        </w:rPr>
        <w:t> %</w:t>
      </w:r>
      <w:r w:rsidR="00794277" w:rsidRPr="000D6387">
        <w:rPr>
          <w:lang w:val="fr-FR"/>
        </w:rPr>
        <w:t xml:space="preserve">), dont </w:t>
      </w:r>
      <w:r w:rsidR="00794277" w:rsidRPr="00280912">
        <w:rPr>
          <w:lang w:val="fr-FR"/>
        </w:rPr>
        <w:t>2</w:t>
      </w:r>
      <w:r w:rsidR="00794277" w:rsidRPr="000D6387">
        <w:rPr>
          <w:lang w:val="fr-FR"/>
        </w:rPr>
        <w:t xml:space="preserve"> </w:t>
      </w:r>
      <w:r w:rsidR="00794277" w:rsidRPr="00280912">
        <w:rPr>
          <w:lang w:val="fr-FR"/>
        </w:rPr>
        <w:t>035</w:t>
      </w:r>
      <w:r w:rsidR="00794277" w:rsidRPr="000D6387">
        <w:rPr>
          <w:lang w:val="fr-FR"/>
        </w:rPr>
        <w:t xml:space="preserve"> (</w:t>
      </w:r>
      <w:r w:rsidR="00794277" w:rsidRPr="00280912">
        <w:rPr>
          <w:lang w:val="fr-FR"/>
        </w:rPr>
        <w:t>39</w:t>
      </w:r>
      <w:r w:rsidR="00794277" w:rsidRPr="000D6387">
        <w:rPr>
          <w:lang w:val="fr-FR"/>
        </w:rPr>
        <w:t>,</w:t>
      </w:r>
      <w:r w:rsidR="00794277" w:rsidRPr="00280912">
        <w:rPr>
          <w:lang w:val="fr-FR"/>
        </w:rPr>
        <w:t>2</w:t>
      </w:r>
      <w:r w:rsidR="005D4517" w:rsidRPr="000D6387">
        <w:rPr>
          <w:lang w:val="fr-FR"/>
        </w:rPr>
        <w:t> %</w:t>
      </w:r>
      <w:r w:rsidR="00794277" w:rsidRPr="000D6387">
        <w:rPr>
          <w:lang w:val="fr-FR"/>
        </w:rPr>
        <w:t>) concernaient des cas de violence domestique</w:t>
      </w:r>
      <w:r w:rsidR="00BD12BA" w:rsidRPr="000D6387">
        <w:rPr>
          <w:lang w:val="fr-FR"/>
        </w:rPr>
        <w:t> ;</w:t>
      </w:r>
      <w:r w:rsidR="00794277" w:rsidRPr="000D6387">
        <w:rPr>
          <w:lang w:val="fr-FR"/>
        </w:rPr>
        <w:t xml:space="preserve"> </w:t>
      </w:r>
      <w:r w:rsidR="00794277" w:rsidRPr="00280912">
        <w:rPr>
          <w:lang w:val="fr-FR"/>
        </w:rPr>
        <w:t>3</w:t>
      </w:r>
      <w:r w:rsidR="00794277" w:rsidRPr="000D6387">
        <w:rPr>
          <w:lang w:val="fr-FR"/>
        </w:rPr>
        <w:t xml:space="preserve"> (</w:t>
      </w:r>
      <w:r w:rsidR="00794277" w:rsidRPr="00280912">
        <w:rPr>
          <w:lang w:val="fr-FR"/>
        </w:rPr>
        <w:t>0</w:t>
      </w:r>
      <w:r w:rsidR="00794277" w:rsidRPr="000D6387">
        <w:rPr>
          <w:lang w:val="fr-FR"/>
        </w:rPr>
        <w:t>,</w:t>
      </w:r>
      <w:r w:rsidR="00794277" w:rsidRPr="00280912">
        <w:rPr>
          <w:lang w:val="fr-FR"/>
        </w:rPr>
        <w:t>2</w:t>
      </w:r>
      <w:r w:rsidR="005D4517" w:rsidRPr="000D6387">
        <w:rPr>
          <w:lang w:val="fr-FR"/>
        </w:rPr>
        <w:t> %</w:t>
      </w:r>
      <w:r w:rsidR="00794277" w:rsidRPr="000D6387">
        <w:rPr>
          <w:lang w:val="fr-FR"/>
        </w:rPr>
        <w:t>) des cas de violence psychologique</w:t>
      </w:r>
      <w:r w:rsidR="00BD12BA" w:rsidRPr="000D6387">
        <w:rPr>
          <w:lang w:val="fr-FR"/>
        </w:rPr>
        <w:t> ;</w:t>
      </w:r>
      <w:r w:rsidR="00794277" w:rsidRPr="000D6387">
        <w:rPr>
          <w:lang w:val="fr-FR"/>
        </w:rPr>
        <w:t xml:space="preserve"> </w:t>
      </w:r>
      <w:r w:rsidR="00794277" w:rsidRPr="00280912">
        <w:rPr>
          <w:lang w:val="fr-FR"/>
        </w:rPr>
        <w:t>4</w:t>
      </w:r>
      <w:r w:rsidR="00794277" w:rsidRPr="000D6387">
        <w:rPr>
          <w:lang w:val="fr-FR"/>
        </w:rPr>
        <w:t xml:space="preserve"> </w:t>
      </w:r>
      <w:r w:rsidR="00794277" w:rsidRPr="00280912">
        <w:rPr>
          <w:lang w:val="fr-FR"/>
        </w:rPr>
        <w:t>258</w:t>
      </w:r>
      <w:r w:rsidR="00794277" w:rsidRPr="000D6387">
        <w:rPr>
          <w:lang w:val="fr-FR"/>
        </w:rPr>
        <w:t xml:space="preserve"> (</w:t>
      </w:r>
      <w:r w:rsidR="00794277" w:rsidRPr="00280912">
        <w:rPr>
          <w:lang w:val="fr-FR"/>
        </w:rPr>
        <w:t>92</w:t>
      </w:r>
      <w:r w:rsidR="00794277" w:rsidRPr="000D6387">
        <w:rPr>
          <w:lang w:val="fr-FR"/>
        </w:rPr>
        <w:t>,</w:t>
      </w:r>
      <w:r w:rsidR="00794277" w:rsidRPr="00280912">
        <w:rPr>
          <w:lang w:val="fr-FR"/>
        </w:rPr>
        <w:t>0</w:t>
      </w:r>
      <w:r w:rsidR="005D4517" w:rsidRPr="000D6387">
        <w:rPr>
          <w:lang w:val="fr-FR"/>
        </w:rPr>
        <w:t> %</w:t>
      </w:r>
      <w:r w:rsidR="00794277" w:rsidRPr="000D6387">
        <w:rPr>
          <w:lang w:val="fr-FR"/>
        </w:rPr>
        <w:t>) des cas de violence physique</w:t>
      </w:r>
      <w:r w:rsidR="00BD12BA" w:rsidRPr="000D6387">
        <w:rPr>
          <w:lang w:val="fr-FR"/>
        </w:rPr>
        <w:t> ;</w:t>
      </w:r>
      <w:r w:rsidR="00794277" w:rsidRPr="000D6387">
        <w:rPr>
          <w:lang w:val="fr-FR"/>
        </w:rPr>
        <w:t xml:space="preserve"> </w:t>
      </w:r>
      <w:r w:rsidR="00794277" w:rsidRPr="00280912">
        <w:rPr>
          <w:lang w:val="fr-FR"/>
        </w:rPr>
        <w:t>356</w:t>
      </w:r>
      <w:r w:rsidR="00794277" w:rsidRPr="000D6387">
        <w:rPr>
          <w:lang w:val="fr-FR"/>
        </w:rPr>
        <w:t xml:space="preserve"> (</w:t>
      </w:r>
      <w:r w:rsidR="00794277" w:rsidRPr="00280912">
        <w:rPr>
          <w:lang w:val="fr-FR"/>
        </w:rPr>
        <w:t>7</w:t>
      </w:r>
      <w:r w:rsidR="00794277" w:rsidRPr="000D6387">
        <w:rPr>
          <w:lang w:val="fr-FR"/>
        </w:rPr>
        <w:t>,</w:t>
      </w:r>
      <w:r w:rsidR="00794277" w:rsidRPr="00280912">
        <w:rPr>
          <w:lang w:val="fr-FR"/>
        </w:rPr>
        <w:t>6</w:t>
      </w:r>
      <w:r w:rsidR="005D4517" w:rsidRPr="000D6387">
        <w:rPr>
          <w:lang w:val="fr-FR"/>
        </w:rPr>
        <w:t> %</w:t>
      </w:r>
      <w:r w:rsidR="00794277" w:rsidRPr="000D6387">
        <w:rPr>
          <w:lang w:val="fr-FR"/>
        </w:rPr>
        <w:t xml:space="preserve">) des cas de violence sexuelle. </w:t>
      </w:r>
    </w:p>
    <w:p w14:paraId="6600DA9A" w14:textId="48F90791" w:rsidR="00794277" w:rsidRPr="000D6387" w:rsidRDefault="007F1722" w:rsidP="00794277">
      <w:pPr>
        <w:pStyle w:val="SingleTxt"/>
        <w:rPr>
          <w:lang w:val="fr-FR"/>
        </w:rPr>
      </w:pPr>
      <w:r w:rsidRPr="000D6387">
        <w:rPr>
          <w:lang w:val="fr-FR"/>
        </w:rPr>
        <w:tab/>
      </w:r>
      <w:r w:rsidR="00794277" w:rsidRPr="000D6387">
        <w:rPr>
          <w:lang w:val="fr-FR"/>
        </w:rPr>
        <w:t>Les données obtenues, ainsi que d</w:t>
      </w:r>
      <w:r w:rsidR="00BD12BA" w:rsidRPr="000D6387">
        <w:rPr>
          <w:lang w:val="fr-FR"/>
        </w:rPr>
        <w:t>’</w:t>
      </w:r>
      <w:r w:rsidR="00794277" w:rsidRPr="000D6387">
        <w:rPr>
          <w:lang w:val="fr-FR"/>
        </w:rPr>
        <w:t>autres statistiques médicales, sont publiées dans un recueil, que le système de santé utilise dans le cadre de ses activités.</w:t>
      </w:r>
    </w:p>
    <w:p w14:paraId="2B5C242D" w14:textId="53BA5F06" w:rsidR="00794277" w:rsidRPr="000D6387" w:rsidRDefault="00794277" w:rsidP="007F1722">
      <w:pPr>
        <w:pStyle w:val="SingleTxt"/>
        <w:spacing w:after="0" w:line="120" w:lineRule="exact"/>
        <w:rPr>
          <w:sz w:val="10"/>
          <w:lang w:val="fr-FR"/>
        </w:rPr>
      </w:pPr>
    </w:p>
    <w:p w14:paraId="21483938" w14:textId="338D5FC0" w:rsidR="00794277" w:rsidRPr="000D6387" w:rsidRDefault="007F1722" w:rsidP="00A300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10</w:t>
      </w:r>
      <w:r w:rsidR="00794277" w:rsidRPr="000D6387">
        <w:rPr>
          <w:lang w:val="fr-FR"/>
        </w:rPr>
        <w:t>.</w:t>
      </w:r>
      <w:r w:rsidR="00794277" w:rsidRPr="000D6387">
        <w:rPr>
          <w:lang w:val="fr-FR"/>
        </w:rPr>
        <w:tab/>
        <w:t>Enlèvement de la fiancée</w:t>
      </w:r>
    </w:p>
    <w:p w14:paraId="61DC2291" w14:textId="77777777" w:rsidR="007F1722" w:rsidRPr="000D6387" w:rsidRDefault="007F1722" w:rsidP="00A300F0">
      <w:pPr>
        <w:pStyle w:val="SingleTxt"/>
        <w:keepNext/>
        <w:spacing w:after="0" w:line="120" w:lineRule="exact"/>
        <w:rPr>
          <w:sz w:val="10"/>
          <w:lang w:val="fr-FR"/>
        </w:rPr>
      </w:pPr>
    </w:p>
    <w:p w14:paraId="6AC7EEFC" w14:textId="44896ABA"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2017</w:t>
      </w:r>
      <w:r w:rsidR="00794277" w:rsidRPr="000D6387">
        <w:rPr>
          <w:lang w:val="fr-FR"/>
        </w:rPr>
        <w:t>, à des fins de prévention du mariage d</w:t>
      </w:r>
      <w:r w:rsidR="00BD12BA" w:rsidRPr="000D6387">
        <w:rPr>
          <w:lang w:val="fr-FR"/>
        </w:rPr>
        <w:t>’</w:t>
      </w:r>
      <w:r w:rsidR="00794277" w:rsidRPr="000D6387">
        <w:rPr>
          <w:lang w:val="fr-FR"/>
        </w:rPr>
        <w:t>enfants, une conférence sur les conséquences du mariage précoce a été organisée dans les établissements d</w:t>
      </w:r>
      <w:r w:rsidR="00BD12BA" w:rsidRPr="000D6387">
        <w:rPr>
          <w:lang w:val="fr-FR"/>
        </w:rPr>
        <w:t>’</w:t>
      </w:r>
      <w:r w:rsidR="00794277" w:rsidRPr="000D6387">
        <w:rPr>
          <w:lang w:val="fr-FR"/>
        </w:rPr>
        <w:t xml:space="preserve">enseignement général de Bichkek, durant laquelle une vidéo a été diffusée et une documentation distribuée. </w:t>
      </w:r>
    </w:p>
    <w:p w14:paraId="13282AFE" w14:textId="68DADA53" w:rsidR="00794277" w:rsidRPr="000D6387" w:rsidRDefault="007F1722" w:rsidP="00794277">
      <w:pPr>
        <w:pStyle w:val="SingleTxt"/>
        <w:rPr>
          <w:lang w:val="fr-FR"/>
        </w:rPr>
      </w:pPr>
      <w:r w:rsidRPr="000D6387">
        <w:rPr>
          <w:lang w:val="fr-FR"/>
        </w:rPr>
        <w:tab/>
      </w:r>
      <w:r w:rsidR="00794277" w:rsidRPr="000D6387">
        <w:rPr>
          <w:lang w:val="fr-FR"/>
        </w:rPr>
        <w:t>En coopération avec le Centre d</w:t>
      </w:r>
      <w:r w:rsidR="00BD12BA" w:rsidRPr="000D6387">
        <w:rPr>
          <w:lang w:val="fr-FR"/>
        </w:rPr>
        <w:t>’</w:t>
      </w:r>
      <w:r w:rsidR="00794277" w:rsidRPr="000D6387">
        <w:rPr>
          <w:lang w:val="fr-FR"/>
        </w:rPr>
        <w:t>aide aux femmes, une campagne contre le mariage d</w:t>
      </w:r>
      <w:r w:rsidR="00BD12BA" w:rsidRPr="000D6387">
        <w:rPr>
          <w:lang w:val="fr-FR"/>
        </w:rPr>
        <w:t>’</w:t>
      </w:r>
      <w:r w:rsidR="00794277" w:rsidRPr="000D6387">
        <w:rPr>
          <w:lang w:val="fr-FR"/>
        </w:rPr>
        <w:t>enfants a été organisée à l</w:t>
      </w:r>
      <w:r w:rsidR="00BD12BA" w:rsidRPr="000D6387">
        <w:rPr>
          <w:lang w:val="fr-FR"/>
        </w:rPr>
        <w:t>’</w:t>
      </w:r>
      <w:r w:rsidR="00794277" w:rsidRPr="000D6387">
        <w:rPr>
          <w:lang w:val="fr-FR"/>
        </w:rPr>
        <w:t>établissement d</w:t>
      </w:r>
      <w:r w:rsidR="00BD12BA" w:rsidRPr="000D6387">
        <w:rPr>
          <w:lang w:val="fr-FR"/>
        </w:rPr>
        <w:t>’</w:t>
      </w:r>
      <w:r w:rsidR="00794277" w:rsidRPr="000D6387">
        <w:rPr>
          <w:lang w:val="fr-FR"/>
        </w:rPr>
        <w:t>enseignement secondaire de Kara Jigatch (district d</w:t>
      </w:r>
      <w:r w:rsidR="00BD12BA" w:rsidRPr="000D6387">
        <w:rPr>
          <w:lang w:val="fr-FR"/>
        </w:rPr>
        <w:t>’</w:t>
      </w:r>
      <w:r w:rsidR="00794277" w:rsidRPr="000D6387">
        <w:rPr>
          <w:lang w:val="fr-FR"/>
        </w:rPr>
        <w:t>Alamoudoun, région de Tchou). Un manuel intitulé «</w:t>
      </w:r>
      <w:r w:rsidR="00132B08">
        <w:rPr>
          <w:lang w:val="fr-FR"/>
        </w:rPr>
        <w:t> </w:t>
      </w:r>
      <w:r w:rsidR="00794277" w:rsidRPr="000D6387">
        <w:rPr>
          <w:lang w:val="fr-FR"/>
        </w:rPr>
        <w:t>La violence sexuelle est inadmissible et constitue une infraction pénale</w:t>
      </w:r>
      <w:r w:rsidR="00132B08">
        <w:rPr>
          <w:lang w:val="fr-FR"/>
        </w:rPr>
        <w:t> </w:t>
      </w:r>
      <w:r w:rsidR="00794277" w:rsidRPr="000D6387">
        <w:rPr>
          <w:lang w:val="fr-FR"/>
        </w:rPr>
        <w:t>» et des recommandations à l</w:t>
      </w:r>
      <w:r w:rsidR="00BD12BA" w:rsidRPr="000D6387">
        <w:rPr>
          <w:lang w:val="fr-FR"/>
        </w:rPr>
        <w:t>’</w:t>
      </w:r>
      <w:r w:rsidR="00794277" w:rsidRPr="000D6387">
        <w:rPr>
          <w:lang w:val="fr-FR"/>
        </w:rPr>
        <w:t>intention des spécialistes de la prévention de la violence ont été élaborés dans le cadre d</w:t>
      </w:r>
      <w:r w:rsidR="00BD12BA" w:rsidRPr="000D6387">
        <w:rPr>
          <w:lang w:val="fr-FR"/>
        </w:rPr>
        <w:t>’</w:t>
      </w:r>
      <w:r w:rsidR="00794277" w:rsidRPr="000D6387">
        <w:rPr>
          <w:lang w:val="fr-FR"/>
        </w:rPr>
        <w:t>un projet visant à offrir des services complets aux victimes de violence sexuelle et de violence fondée sur le genre. Ces documents ont été envoyés aux services régionaux de l</w:t>
      </w:r>
      <w:r w:rsidR="00BD12BA" w:rsidRPr="000D6387">
        <w:rPr>
          <w:lang w:val="fr-FR"/>
        </w:rPr>
        <w:t>’</w:t>
      </w:r>
      <w:r w:rsidR="00794277" w:rsidRPr="000D6387">
        <w:rPr>
          <w:lang w:val="fr-FR"/>
        </w:rPr>
        <w:t>intérieur. Une vidéo sur le mariage d</w:t>
      </w:r>
      <w:r w:rsidR="00BD12BA" w:rsidRPr="000D6387">
        <w:rPr>
          <w:lang w:val="fr-FR"/>
        </w:rPr>
        <w:t>’</w:t>
      </w:r>
      <w:r w:rsidR="00794277" w:rsidRPr="000D6387">
        <w:rPr>
          <w:lang w:val="fr-FR"/>
        </w:rPr>
        <w:t>enfants a également été produite.</w:t>
      </w:r>
    </w:p>
    <w:p w14:paraId="0706060D" w14:textId="06818BDA"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2017</w:t>
      </w:r>
      <w:r w:rsidR="00794277" w:rsidRPr="000D6387">
        <w:rPr>
          <w:lang w:val="fr-FR"/>
        </w:rPr>
        <w:t xml:space="preserve"> et </w:t>
      </w:r>
      <w:r w:rsidR="00794277" w:rsidRPr="00280912">
        <w:rPr>
          <w:lang w:val="fr-FR"/>
        </w:rPr>
        <w:t>2018</w:t>
      </w:r>
      <w:r w:rsidR="00794277" w:rsidRPr="000D6387">
        <w:rPr>
          <w:lang w:val="fr-FR"/>
        </w:rPr>
        <w:t>, le Ministère de l</w:t>
      </w:r>
      <w:r w:rsidR="00BD12BA" w:rsidRPr="000D6387">
        <w:rPr>
          <w:lang w:val="fr-FR"/>
        </w:rPr>
        <w:t>’</w:t>
      </w:r>
      <w:r w:rsidR="00794277" w:rsidRPr="000D6387">
        <w:rPr>
          <w:lang w:val="fr-FR"/>
        </w:rPr>
        <w:t>intérieur, en collaboration avec le Fonds des Nations Unies pour la population et le Centre d</w:t>
      </w:r>
      <w:r w:rsidR="00BD12BA" w:rsidRPr="000D6387">
        <w:rPr>
          <w:lang w:val="fr-FR"/>
        </w:rPr>
        <w:t>’</w:t>
      </w:r>
      <w:r w:rsidR="00794277" w:rsidRPr="000D6387">
        <w:rPr>
          <w:lang w:val="fr-FR"/>
        </w:rPr>
        <w:t>étude des processus démocratiques, a organisé dans tout le pays des stages en vue d</w:t>
      </w:r>
      <w:r w:rsidR="00BD12BA" w:rsidRPr="000D6387">
        <w:rPr>
          <w:lang w:val="fr-FR"/>
        </w:rPr>
        <w:t>’</w:t>
      </w:r>
      <w:r w:rsidR="00794277" w:rsidRPr="000D6387">
        <w:rPr>
          <w:lang w:val="fr-FR"/>
        </w:rPr>
        <w:t xml:space="preserve">intensifier les efforts de répression de la violence fondée sur le genre et du rapt nuptial. Quelque </w:t>
      </w:r>
      <w:r w:rsidR="00794277" w:rsidRPr="00280912">
        <w:rPr>
          <w:lang w:val="fr-FR"/>
        </w:rPr>
        <w:t>600</w:t>
      </w:r>
      <w:r w:rsidR="00794277" w:rsidRPr="000D6387">
        <w:rPr>
          <w:lang w:val="fr-FR"/>
        </w:rPr>
        <w:t xml:space="preserve"> fonctionnaires de l</w:t>
      </w:r>
      <w:r w:rsidR="00BD12BA" w:rsidRPr="000D6387">
        <w:rPr>
          <w:lang w:val="fr-FR"/>
        </w:rPr>
        <w:t>’</w:t>
      </w:r>
      <w:r w:rsidR="00794277" w:rsidRPr="000D6387">
        <w:rPr>
          <w:lang w:val="fr-FR"/>
        </w:rPr>
        <w:t xml:space="preserve">intérieur y ont reçu une formation. </w:t>
      </w:r>
    </w:p>
    <w:p w14:paraId="0D22E7E8" w14:textId="4CAB517C"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2017</w:t>
      </w:r>
      <w:r w:rsidR="00794277" w:rsidRPr="000D6387">
        <w:rPr>
          <w:lang w:val="fr-FR"/>
        </w:rPr>
        <w:t>, un certain nombre de mesures préventives d</w:t>
      </w:r>
      <w:r w:rsidR="00BD12BA" w:rsidRPr="000D6387">
        <w:rPr>
          <w:lang w:val="fr-FR"/>
        </w:rPr>
        <w:t>’</w:t>
      </w:r>
      <w:r w:rsidR="00794277" w:rsidRPr="000D6387">
        <w:rPr>
          <w:lang w:val="fr-FR"/>
        </w:rPr>
        <w:t>ordre général ont été mises en œuvre dans le pays</w:t>
      </w:r>
      <w:r w:rsidR="00BD12BA" w:rsidRPr="000D6387">
        <w:rPr>
          <w:lang w:val="fr-FR"/>
        </w:rPr>
        <w:t> ;</w:t>
      </w:r>
      <w:r w:rsidR="00794277" w:rsidRPr="000D6387">
        <w:rPr>
          <w:lang w:val="fr-FR"/>
        </w:rPr>
        <w:t xml:space="preserve"> en parallèle, la coopération avec les autorités des secteurs de l</w:t>
      </w:r>
      <w:r w:rsidR="00BD12BA" w:rsidRPr="000D6387">
        <w:rPr>
          <w:lang w:val="fr-FR"/>
        </w:rPr>
        <w:t>’</w:t>
      </w:r>
      <w:r w:rsidR="00794277" w:rsidRPr="000D6387">
        <w:rPr>
          <w:lang w:val="fr-FR"/>
        </w:rPr>
        <w:t>éducation, du développement social, du travail des migrants et des jeunes, de la santé et de la défense a été organisée pour prévenir les infractions parmi les écoliers et les jeunes gens.</w:t>
      </w:r>
    </w:p>
    <w:p w14:paraId="0F277831" w14:textId="5C837FC2" w:rsidR="00794277" w:rsidRPr="000D6387" w:rsidRDefault="007F1722" w:rsidP="00794277">
      <w:pPr>
        <w:pStyle w:val="SingleTxt"/>
        <w:rPr>
          <w:lang w:val="fr-FR"/>
        </w:rPr>
      </w:pPr>
      <w:r w:rsidRPr="000D6387">
        <w:rPr>
          <w:lang w:val="fr-FR"/>
        </w:rPr>
        <w:tab/>
      </w:r>
      <w:r w:rsidR="00794277" w:rsidRPr="000D6387">
        <w:rPr>
          <w:lang w:val="fr-FR"/>
        </w:rPr>
        <w:t>En outre, afin de prévenir le mariage d</w:t>
      </w:r>
      <w:r w:rsidR="00BD12BA" w:rsidRPr="000D6387">
        <w:rPr>
          <w:lang w:val="fr-FR"/>
        </w:rPr>
        <w:t>’</w:t>
      </w:r>
      <w:r w:rsidR="00794277" w:rsidRPr="000D6387">
        <w:rPr>
          <w:lang w:val="fr-FR"/>
        </w:rPr>
        <w:t>enfants et de mettre un terme aux pratiques illégales concernant les cérémonies de mariage de mineur(e)s, la loi n</w:t>
      </w:r>
      <w:r w:rsidR="00794277" w:rsidRPr="000D6387">
        <w:rPr>
          <w:vertAlign w:val="superscript"/>
          <w:lang w:val="fr-FR"/>
        </w:rPr>
        <w:t>o</w:t>
      </w:r>
      <w:r w:rsidR="00794277" w:rsidRPr="000D6387">
        <w:rPr>
          <w:lang w:val="fr-FR"/>
        </w:rPr>
        <w:t xml:space="preserve"> </w:t>
      </w:r>
      <w:r w:rsidR="00794277" w:rsidRPr="00280912">
        <w:rPr>
          <w:lang w:val="fr-FR"/>
        </w:rPr>
        <w:t>179</w:t>
      </w:r>
      <w:r w:rsidR="00794277" w:rsidRPr="000D6387">
        <w:rPr>
          <w:lang w:val="fr-FR"/>
        </w:rPr>
        <w:t xml:space="preserve"> du </w:t>
      </w:r>
      <w:r w:rsidR="00794277" w:rsidRPr="00280912">
        <w:rPr>
          <w:lang w:val="fr-FR"/>
        </w:rPr>
        <w:t>17</w:t>
      </w:r>
      <w:r w:rsidR="00794277" w:rsidRPr="000D6387">
        <w:rPr>
          <w:lang w:val="fr-FR"/>
        </w:rPr>
        <w:t xml:space="preserve"> novembre </w:t>
      </w:r>
      <w:r w:rsidR="00794277" w:rsidRPr="00280912">
        <w:rPr>
          <w:lang w:val="fr-FR"/>
        </w:rPr>
        <w:t>2016</w:t>
      </w:r>
      <w:r w:rsidR="00794277" w:rsidRPr="000D6387">
        <w:rPr>
          <w:lang w:val="fr-FR"/>
        </w:rPr>
        <w:t xml:space="preserve"> a modifié certains instruments législatifs (Code de la famille et Code pénal). Dans le nouveau Code pénal, entré en vigueur en </w:t>
      </w:r>
      <w:r w:rsidR="00794277" w:rsidRPr="00280912">
        <w:rPr>
          <w:lang w:val="fr-FR"/>
        </w:rPr>
        <w:t>2019</w:t>
      </w:r>
      <w:r w:rsidR="00794277" w:rsidRPr="000D6387">
        <w:rPr>
          <w:lang w:val="fr-FR"/>
        </w:rPr>
        <w:t>, l</w:t>
      </w:r>
      <w:r w:rsidR="00BD12BA" w:rsidRPr="000D6387">
        <w:rPr>
          <w:lang w:val="fr-FR"/>
        </w:rPr>
        <w:t>’</w:t>
      </w:r>
      <w:r w:rsidR="00794277" w:rsidRPr="000D6387">
        <w:rPr>
          <w:lang w:val="fr-FR"/>
        </w:rPr>
        <w:t xml:space="preserve">article </w:t>
      </w:r>
      <w:r w:rsidR="00794277" w:rsidRPr="00280912">
        <w:rPr>
          <w:lang w:val="fr-FR"/>
        </w:rPr>
        <w:t>178</w:t>
      </w:r>
      <w:r w:rsidR="00794277" w:rsidRPr="000D6387">
        <w:rPr>
          <w:lang w:val="fr-FR"/>
        </w:rPr>
        <w:t xml:space="preserve"> prévoit de sanctionner les violations de la loi sur l</w:t>
      </w:r>
      <w:r w:rsidR="00BD12BA" w:rsidRPr="000D6387">
        <w:rPr>
          <w:lang w:val="fr-FR"/>
        </w:rPr>
        <w:t>’</w:t>
      </w:r>
      <w:r w:rsidR="00794277" w:rsidRPr="000D6387">
        <w:rPr>
          <w:lang w:val="fr-FR"/>
        </w:rPr>
        <w:t>âge minimum du mariage commises dans le cadre de cérémonies religieuses.</w:t>
      </w:r>
    </w:p>
    <w:p w14:paraId="783A9928" w14:textId="2FE0F41C"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2017</w:t>
      </w:r>
      <w:r w:rsidR="00794277" w:rsidRPr="000D6387">
        <w:rPr>
          <w:lang w:val="fr-FR"/>
        </w:rPr>
        <w:t>, un manuel portant sur la prévention du mariage d</w:t>
      </w:r>
      <w:r w:rsidR="00BD12BA" w:rsidRPr="000D6387">
        <w:rPr>
          <w:lang w:val="fr-FR"/>
        </w:rPr>
        <w:t>’</w:t>
      </w:r>
      <w:r w:rsidR="00794277" w:rsidRPr="000D6387">
        <w:rPr>
          <w:lang w:val="fr-FR"/>
        </w:rPr>
        <w:t xml:space="preserve">enfants a été publié. </w:t>
      </w:r>
    </w:p>
    <w:p w14:paraId="7B129DEC" w14:textId="2EAAC1B2" w:rsidR="00794277" w:rsidRPr="000D6387" w:rsidRDefault="007F1722" w:rsidP="00794277">
      <w:pPr>
        <w:pStyle w:val="SingleTxt"/>
        <w:rPr>
          <w:lang w:val="fr-FR"/>
        </w:rPr>
      </w:pPr>
      <w:r w:rsidRPr="000D6387">
        <w:rPr>
          <w:lang w:val="fr-FR"/>
        </w:rPr>
        <w:tab/>
      </w:r>
      <w:r w:rsidR="00794277" w:rsidRPr="000D6387">
        <w:rPr>
          <w:lang w:val="fr-FR"/>
        </w:rPr>
        <w:t xml:space="preserve">Le nouveau Code pénal, entré en vigueur le </w:t>
      </w:r>
      <w:r w:rsidR="00794277" w:rsidRPr="00280912">
        <w:rPr>
          <w:lang w:val="fr-FR"/>
        </w:rPr>
        <w:t>1</w:t>
      </w:r>
      <w:r w:rsidR="00794277" w:rsidRPr="000D6387">
        <w:rPr>
          <w:vertAlign w:val="superscript"/>
          <w:lang w:val="fr-FR"/>
        </w:rPr>
        <w:t>er</w:t>
      </w:r>
      <w:r w:rsidR="00794277" w:rsidRPr="000D6387">
        <w:rPr>
          <w:lang w:val="fr-FR"/>
        </w:rPr>
        <w:t xml:space="preserve"> janvier </w:t>
      </w:r>
      <w:r w:rsidR="00794277" w:rsidRPr="00280912">
        <w:rPr>
          <w:lang w:val="fr-FR"/>
        </w:rPr>
        <w:t>2019</w:t>
      </w:r>
      <w:r w:rsidR="00794277" w:rsidRPr="000D6387">
        <w:rPr>
          <w:lang w:val="fr-FR"/>
        </w:rPr>
        <w:t xml:space="preserve">, contient deux articles distincts pour le rapt nuptial (art. </w:t>
      </w:r>
      <w:r w:rsidR="00794277" w:rsidRPr="00280912">
        <w:rPr>
          <w:lang w:val="fr-FR"/>
        </w:rPr>
        <w:t>175</w:t>
      </w:r>
      <w:r w:rsidR="00794277" w:rsidRPr="000D6387">
        <w:rPr>
          <w:lang w:val="fr-FR"/>
        </w:rPr>
        <w:t xml:space="preserve">) et le mariage forcé (art. </w:t>
      </w:r>
      <w:r w:rsidR="00794277" w:rsidRPr="00280912">
        <w:rPr>
          <w:lang w:val="fr-FR"/>
        </w:rPr>
        <w:t>177</w:t>
      </w:r>
      <w:r w:rsidR="00794277" w:rsidRPr="000D6387">
        <w:rPr>
          <w:lang w:val="fr-FR"/>
        </w:rPr>
        <w:t xml:space="preserve">), contrairement à la précédente version de </w:t>
      </w:r>
      <w:r w:rsidR="00794277" w:rsidRPr="00280912">
        <w:rPr>
          <w:lang w:val="fr-FR"/>
        </w:rPr>
        <w:t>1997</w:t>
      </w:r>
      <w:r w:rsidR="00794277" w:rsidRPr="000D6387">
        <w:rPr>
          <w:lang w:val="fr-FR"/>
        </w:rPr>
        <w:t>, dans laquelle lesdites infractions étaient regroupées dans l</w:t>
      </w:r>
      <w:r w:rsidR="00BD12BA" w:rsidRPr="000D6387">
        <w:rPr>
          <w:lang w:val="fr-FR"/>
        </w:rPr>
        <w:t>’</w:t>
      </w:r>
      <w:r w:rsidR="00794277" w:rsidRPr="000D6387">
        <w:rPr>
          <w:lang w:val="fr-FR"/>
        </w:rPr>
        <w:t xml:space="preserve">article </w:t>
      </w:r>
      <w:r w:rsidR="00794277" w:rsidRPr="00280912">
        <w:rPr>
          <w:lang w:val="fr-FR"/>
        </w:rPr>
        <w:t>155</w:t>
      </w:r>
      <w:r w:rsidR="00794277" w:rsidRPr="000D6387">
        <w:rPr>
          <w:lang w:val="fr-FR"/>
        </w:rPr>
        <w:t xml:space="preserve"> (mariage forcé, enlèvement à des fins de mariage et entrave au mariage).</w:t>
      </w:r>
    </w:p>
    <w:p w14:paraId="14415375" w14:textId="1CAE4E19" w:rsidR="00794277" w:rsidRPr="000D6387" w:rsidRDefault="007F1722" w:rsidP="00794277">
      <w:pPr>
        <w:pStyle w:val="SingleTxt"/>
        <w:rPr>
          <w:iCs/>
          <w:lang w:val="fr-FR"/>
        </w:rPr>
      </w:pPr>
      <w:r w:rsidRPr="000D6387">
        <w:rPr>
          <w:lang w:val="fr-FR"/>
        </w:rPr>
        <w:tab/>
      </w:r>
      <w:r w:rsidR="00794277" w:rsidRPr="000D6387">
        <w:rPr>
          <w:lang w:val="fr-FR"/>
        </w:rPr>
        <w:t xml:space="preserve">En </w:t>
      </w:r>
      <w:r w:rsidR="00794277" w:rsidRPr="00280912">
        <w:rPr>
          <w:lang w:val="fr-FR"/>
        </w:rPr>
        <w:t>2019</w:t>
      </w:r>
      <w:r w:rsidR="00794277" w:rsidRPr="000D6387">
        <w:rPr>
          <w:lang w:val="fr-FR"/>
        </w:rPr>
        <w:t>, les services d</w:t>
      </w:r>
      <w:r w:rsidR="00BD12BA" w:rsidRPr="000D6387">
        <w:rPr>
          <w:lang w:val="fr-FR"/>
        </w:rPr>
        <w:t>’</w:t>
      </w:r>
      <w:r w:rsidR="00794277" w:rsidRPr="000D6387">
        <w:rPr>
          <w:lang w:val="fr-FR"/>
        </w:rPr>
        <w:t>enquête des organes de l</w:t>
      </w:r>
      <w:r w:rsidR="00BD12BA" w:rsidRPr="000D6387">
        <w:rPr>
          <w:lang w:val="fr-FR"/>
        </w:rPr>
        <w:t>’</w:t>
      </w:r>
      <w:r w:rsidR="00794277" w:rsidRPr="000D6387">
        <w:rPr>
          <w:lang w:val="fr-FR"/>
        </w:rPr>
        <w:t xml:space="preserve">intérieur ont signalé au Registre unique des infractions et délits </w:t>
      </w:r>
      <w:r w:rsidR="00794277" w:rsidRPr="00280912">
        <w:rPr>
          <w:lang w:val="fr-FR"/>
        </w:rPr>
        <w:t>218</w:t>
      </w:r>
      <w:r w:rsidR="00794277" w:rsidRPr="000D6387">
        <w:rPr>
          <w:lang w:val="fr-FR"/>
        </w:rPr>
        <w:t xml:space="preserve"> infractions au titre de l</w:t>
      </w:r>
      <w:r w:rsidR="00BD12BA" w:rsidRPr="000D6387">
        <w:rPr>
          <w:lang w:val="fr-FR"/>
        </w:rPr>
        <w:t>’</w:t>
      </w:r>
      <w:r w:rsidR="00794277" w:rsidRPr="000D6387">
        <w:rPr>
          <w:lang w:val="fr-FR"/>
        </w:rPr>
        <w:t xml:space="preserve">article </w:t>
      </w:r>
      <w:r w:rsidR="00794277" w:rsidRPr="00280912">
        <w:rPr>
          <w:lang w:val="fr-FR"/>
        </w:rPr>
        <w:t>175</w:t>
      </w:r>
      <w:r w:rsidR="00794277" w:rsidRPr="000D6387">
        <w:rPr>
          <w:lang w:val="fr-FR"/>
        </w:rPr>
        <w:t xml:space="preserve"> sur le rapt nuptial (</w:t>
      </w:r>
      <w:r w:rsidR="00794277" w:rsidRPr="00280912">
        <w:rPr>
          <w:lang w:val="fr-FR"/>
        </w:rPr>
        <w:t>11</w:t>
      </w:r>
      <w:r w:rsidR="00794277" w:rsidRPr="000D6387">
        <w:rPr>
          <w:lang w:val="fr-FR"/>
        </w:rPr>
        <w:t xml:space="preserve"> affaires ont été déférées aux tribunaux</w:t>
      </w:r>
      <w:r w:rsidR="00BD12BA" w:rsidRPr="000D6387">
        <w:rPr>
          <w:lang w:val="fr-FR"/>
        </w:rPr>
        <w:t> ;</w:t>
      </w:r>
      <w:r w:rsidR="00794277" w:rsidRPr="000D6387">
        <w:rPr>
          <w:lang w:val="fr-FR"/>
        </w:rPr>
        <w:t xml:space="preserve"> </w:t>
      </w:r>
      <w:r w:rsidR="00794277" w:rsidRPr="00280912">
        <w:rPr>
          <w:lang w:val="fr-FR"/>
        </w:rPr>
        <w:t>158</w:t>
      </w:r>
      <w:r w:rsidR="00794277" w:rsidRPr="000D6387">
        <w:rPr>
          <w:lang w:val="fr-FR"/>
        </w:rPr>
        <w:t xml:space="preserve"> affaires ont été classées</w:t>
      </w:r>
      <w:r w:rsidR="00BD12BA" w:rsidRPr="000D6387">
        <w:rPr>
          <w:lang w:val="fr-FR"/>
        </w:rPr>
        <w:t> ;</w:t>
      </w:r>
      <w:r w:rsidR="00794277" w:rsidRPr="000D6387">
        <w:rPr>
          <w:lang w:val="fr-FR"/>
        </w:rPr>
        <w:t xml:space="preserve"> des poursuites sont en cours dans </w:t>
      </w:r>
      <w:r w:rsidR="00794277" w:rsidRPr="00280912">
        <w:rPr>
          <w:lang w:val="fr-FR"/>
        </w:rPr>
        <w:t>49</w:t>
      </w:r>
      <w:r w:rsidR="00794277" w:rsidRPr="000D6387">
        <w:rPr>
          <w:lang w:val="fr-FR"/>
        </w:rPr>
        <w:t xml:space="preserve"> affaires criminelles).</w:t>
      </w:r>
    </w:p>
    <w:p w14:paraId="292B7890" w14:textId="0887A237" w:rsidR="00794277" w:rsidRPr="000D6387" w:rsidRDefault="007F1722" w:rsidP="00794277">
      <w:pPr>
        <w:pStyle w:val="SingleTxt"/>
        <w:rPr>
          <w:lang w:val="fr-FR"/>
        </w:rPr>
      </w:pPr>
      <w:r w:rsidRPr="000D6387">
        <w:rPr>
          <w:lang w:val="fr-FR"/>
        </w:rPr>
        <w:tab/>
      </w:r>
      <w:r w:rsidR="00794277" w:rsidRPr="000D6387">
        <w:rPr>
          <w:lang w:val="fr-FR"/>
        </w:rPr>
        <w:t>Afin de mettre en œuvre le décret interministériel n</w:t>
      </w:r>
      <w:r w:rsidR="00794277" w:rsidRPr="000D6387">
        <w:rPr>
          <w:vertAlign w:val="superscript"/>
          <w:lang w:val="fr-FR"/>
        </w:rPr>
        <w:t>o</w:t>
      </w:r>
      <w:r w:rsidR="00794277" w:rsidRPr="000D6387">
        <w:rPr>
          <w:lang w:val="fr-FR"/>
        </w:rPr>
        <w:t xml:space="preserve"> </w:t>
      </w:r>
      <w:r w:rsidR="00794277" w:rsidRPr="00280912">
        <w:rPr>
          <w:lang w:val="fr-FR"/>
        </w:rPr>
        <w:t>1125</w:t>
      </w:r>
      <w:r w:rsidR="00794277" w:rsidRPr="000D6387">
        <w:rPr>
          <w:lang w:val="fr-FR"/>
        </w:rPr>
        <w:t xml:space="preserve"> du </w:t>
      </w:r>
      <w:r w:rsidR="00794277" w:rsidRPr="00280912">
        <w:rPr>
          <w:lang w:val="fr-FR"/>
        </w:rPr>
        <w:t>11</w:t>
      </w:r>
      <w:r w:rsidR="00794277" w:rsidRPr="000D6387">
        <w:rPr>
          <w:lang w:val="fr-FR"/>
        </w:rPr>
        <w:t xml:space="preserve"> décembre </w:t>
      </w:r>
      <w:r w:rsidR="00794277" w:rsidRPr="00280912">
        <w:rPr>
          <w:lang w:val="fr-FR"/>
        </w:rPr>
        <w:t>2017</w:t>
      </w:r>
      <w:r w:rsidR="00794277" w:rsidRPr="000D6387">
        <w:rPr>
          <w:lang w:val="fr-FR"/>
        </w:rPr>
        <w:t>, portant approbation du plan d</w:t>
      </w:r>
      <w:r w:rsidR="00BD12BA" w:rsidRPr="000D6387">
        <w:rPr>
          <w:lang w:val="fr-FR"/>
        </w:rPr>
        <w:t>’</w:t>
      </w:r>
      <w:r w:rsidR="00794277" w:rsidRPr="000D6387">
        <w:rPr>
          <w:lang w:val="fr-FR"/>
        </w:rPr>
        <w:t>application de la loi n</w:t>
      </w:r>
      <w:r w:rsidR="00794277" w:rsidRPr="000D6387">
        <w:rPr>
          <w:vertAlign w:val="superscript"/>
          <w:lang w:val="fr-FR"/>
        </w:rPr>
        <w:t>o</w:t>
      </w:r>
      <w:r w:rsidR="00794277" w:rsidRPr="000D6387">
        <w:rPr>
          <w:lang w:val="fr-FR"/>
        </w:rPr>
        <w:t xml:space="preserve"> </w:t>
      </w:r>
      <w:r w:rsidR="00794277" w:rsidRPr="00280912">
        <w:rPr>
          <w:lang w:val="fr-FR"/>
        </w:rPr>
        <w:t>179</w:t>
      </w:r>
      <w:r w:rsidR="00794277" w:rsidRPr="000D6387">
        <w:rPr>
          <w:lang w:val="fr-FR"/>
        </w:rPr>
        <w:t xml:space="preserve"> du </w:t>
      </w:r>
      <w:r w:rsidR="00794277" w:rsidRPr="00280912">
        <w:rPr>
          <w:lang w:val="fr-FR"/>
        </w:rPr>
        <w:t>17</w:t>
      </w:r>
      <w:r w:rsidR="00794277" w:rsidRPr="000D6387">
        <w:rPr>
          <w:lang w:val="fr-FR"/>
        </w:rPr>
        <w:t xml:space="preserve"> novembre </w:t>
      </w:r>
      <w:r w:rsidR="00794277" w:rsidRPr="00280912">
        <w:rPr>
          <w:lang w:val="fr-FR"/>
        </w:rPr>
        <w:t>2016</w:t>
      </w:r>
      <w:r w:rsidR="00794277" w:rsidRPr="000D6387">
        <w:rPr>
          <w:lang w:val="fr-FR"/>
        </w:rPr>
        <w:t xml:space="preserve"> sur la modification de certaines dispositions de la législation kirghize (Code de la famille et Code pénal), le Ministère de la santé a adopté le décret n</w:t>
      </w:r>
      <w:r w:rsidR="00794277" w:rsidRPr="000D6387">
        <w:rPr>
          <w:vertAlign w:val="superscript"/>
          <w:lang w:val="fr-FR"/>
        </w:rPr>
        <w:t>o</w:t>
      </w:r>
      <w:r w:rsidR="00794277" w:rsidRPr="000D6387">
        <w:rPr>
          <w:lang w:val="fr-FR"/>
        </w:rPr>
        <w:t xml:space="preserve"> </w:t>
      </w:r>
      <w:r w:rsidR="00794277" w:rsidRPr="00280912">
        <w:rPr>
          <w:lang w:val="fr-FR"/>
        </w:rPr>
        <w:t>226</w:t>
      </w:r>
      <w:r w:rsidR="00794277" w:rsidRPr="000D6387">
        <w:rPr>
          <w:lang w:val="fr-FR"/>
        </w:rPr>
        <w:t xml:space="preserve"> du </w:t>
      </w:r>
      <w:r w:rsidR="00794277" w:rsidRPr="00280912">
        <w:rPr>
          <w:lang w:val="fr-FR"/>
        </w:rPr>
        <w:t>30</w:t>
      </w:r>
      <w:r w:rsidR="00794277" w:rsidRPr="000D6387">
        <w:rPr>
          <w:lang w:val="fr-FR"/>
        </w:rPr>
        <w:t xml:space="preserve"> mars </w:t>
      </w:r>
      <w:r w:rsidR="00794277" w:rsidRPr="00280912">
        <w:rPr>
          <w:lang w:val="fr-FR"/>
        </w:rPr>
        <w:t>2018</w:t>
      </w:r>
      <w:r w:rsidR="00794277" w:rsidRPr="000D6387">
        <w:rPr>
          <w:lang w:val="fr-FR"/>
        </w:rPr>
        <w:t xml:space="preserve"> sur la prévention du mariage d</w:t>
      </w:r>
      <w:r w:rsidR="00BD12BA" w:rsidRPr="000D6387">
        <w:rPr>
          <w:lang w:val="fr-FR"/>
        </w:rPr>
        <w:t>’</w:t>
      </w:r>
      <w:r w:rsidR="00794277" w:rsidRPr="000D6387">
        <w:rPr>
          <w:lang w:val="fr-FR"/>
        </w:rPr>
        <w:t>enfants dans la République kirghize et a approuvé le plan d</w:t>
      </w:r>
      <w:r w:rsidR="00BD12BA" w:rsidRPr="000D6387">
        <w:rPr>
          <w:lang w:val="fr-FR"/>
        </w:rPr>
        <w:t>’</w:t>
      </w:r>
      <w:r w:rsidR="00794277" w:rsidRPr="000D6387">
        <w:rPr>
          <w:lang w:val="fr-FR"/>
        </w:rPr>
        <w:t xml:space="preserve">application de la loi susmentionnée. </w:t>
      </w:r>
    </w:p>
    <w:p w14:paraId="03BCE39D" w14:textId="47F4820F" w:rsidR="00794277" w:rsidRPr="000D6387" w:rsidRDefault="007F1722" w:rsidP="00794277">
      <w:pPr>
        <w:pStyle w:val="SingleTxt"/>
        <w:rPr>
          <w:lang w:val="fr-FR"/>
        </w:rPr>
      </w:pPr>
      <w:r w:rsidRPr="000D6387">
        <w:rPr>
          <w:lang w:val="fr-FR"/>
        </w:rPr>
        <w:tab/>
      </w:r>
      <w:r w:rsidR="00794277" w:rsidRPr="000D6387">
        <w:rPr>
          <w:lang w:val="fr-FR"/>
        </w:rPr>
        <w:t>Les responsables des centres de santé et des universités de médecine sont chargés de l</w:t>
      </w:r>
      <w:r w:rsidR="00BD12BA" w:rsidRPr="000D6387">
        <w:rPr>
          <w:lang w:val="fr-FR"/>
        </w:rPr>
        <w:t>’</w:t>
      </w:r>
      <w:r w:rsidR="00794277" w:rsidRPr="000D6387">
        <w:rPr>
          <w:lang w:val="fr-FR"/>
        </w:rPr>
        <w:t>application de cette nouvelle loi et du décret interministériel y relatif</w:t>
      </w:r>
      <w:r w:rsidR="00BD12BA" w:rsidRPr="000D6387">
        <w:rPr>
          <w:lang w:val="fr-FR"/>
        </w:rPr>
        <w:t> ;</w:t>
      </w:r>
      <w:r w:rsidR="00794277" w:rsidRPr="000D6387">
        <w:rPr>
          <w:lang w:val="fr-FR"/>
        </w:rPr>
        <w:t xml:space="preserve"> en outre, des directives internes et un plan de mesures préventives ont été élaborés et validés en vue de garantir le respect des dispositions du Code de la famille relatives à l</w:t>
      </w:r>
      <w:r w:rsidR="00BD12BA" w:rsidRPr="000D6387">
        <w:rPr>
          <w:lang w:val="fr-FR"/>
        </w:rPr>
        <w:t>’</w:t>
      </w:r>
      <w:r w:rsidR="00794277" w:rsidRPr="000D6387">
        <w:rPr>
          <w:lang w:val="fr-FR"/>
        </w:rPr>
        <w:t>interdiction des infractions à la loi sur l</w:t>
      </w:r>
      <w:r w:rsidR="00BD12BA" w:rsidRPr="000D6387">
        <w:rPr>
          <w:lang w:val="fr-FR"/>
        </w:rPr>
        <w:t>’</w:t>
      </w:r>
      <w:r w:rsidR="00794277" w:rsidRPr="000D6387">
        <w:rPr>
          <w:lang w:val="fr-FR"/>
        </w:rPr>
        <w:t>âge minimum du mariage. Enfin, les questions de la grossesse et de la maternité précoces telles que définies par la législation sous l</w:t>
      </w:r>
      <w:r w:rsidR="00BD12BA" w:rsidRPr="000D6387">
        <w:rPr>
          <w:lang w:val="fr-FR"/>
        </w:rPr>
        <w:t>’</w:t>
      </w:r>
      <w:r w:rsidR="00794277" w:rsidRPr="000D6387">
        <w:rPr>
          <w:lang w:val="fr-FR"/>
        </w:rPr>
        <w:t>aspect clinique, psychique, médical, social et juridique ont été intégrées dans les programmes de cours de premier et de deuxième cycles, compte dûment tenu de l</w:t>
      </w:r>
      <w:r w:rsidR="00BD12BA" w:rsidRPr="000D6387">
        <w:rPr>
          <w:lang w:val="fr-FR"/>
        </w:rPr>
        <w:t>’</w:t>
      </w:r>
      <w:r w:rsidR="00794277" w:rsidRPr="000D6387">
        <w:rPr>
          <w:lang w:val="fr-FR"/>
        </w:rPr>
        <w:t>âge minimum du mariage.</w:t>
      </w:r>
    </w:p>
    <w:p w14:paraId="4A7BAC2D" w14:textId="77777777" w:rsidR="007F1722" w:rsidRPr="000D6387" w:rsidRDefault="007F1722" w:rsidP="007F1722">
      <w:pPr>
        <w:pStyle w:val="SingleTxt"/>
        <w:spacing w:after="0" w:line="120" w:lineRule="exact"/>
        <w:rPr>
          <w:b/>
          <w:bCs/>
          <w:sz w:val="10"/>
          <w:lang w:val="fr-FR"/>
        </w:rPr>
      </w:pPr>
    </w:p>
    <w:p w14:paraId="0074B377" w14:textId="05890EA5" w:rsidR="00794277" w:rsidRPr="000D6387" w:rsidRDefault="007F1722" w:rsidP="007F1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11</w:t>
      </w:r>
      <w:r w:rsidR="00794277" w:rsidRPr="000D6387">
        <w:rPr>
          <w:lang w:val="fr-FR"/>
        </w:rPr>
        <w:t>.</w:t>
      </w:r>
      <w:r w:rsidR="00794277" w:rsidRPr="000D6387">
        <w:rPr>
          <w:lang w:val="fr-FR"/>
        </w:rPr>
        <w:tab/>
        <w:t>Traite et exploitation de la prostitution</w:t>
      </w:r>
    </w:p>
    <w:p w14:paraId="01D23AA8" w14:textId="77777777" w:rsidR="007F1722" w:rsidRPr="000D6387" w:rsidRDefault="007F1722" w:rsidP="007F1722">
      <w:pPr>
        <w:pStyle w:val="SingleTxt"/>
        <w:spacing w:after="0" w:line="120" w:lineRule="exact"/>
        <w:rPr>
          <w:sz w:val="10"/>
          <w:lang w:val="fr-FR"/>
        </w:rPr>
      </w:pPr>
    </w:p>
    <w:p w14:paraId="18157CE7" w14:textId="6FD29757" w:rsidR="00794277" w:rsidRPr="000D6387" w:rsidRDefault="007F1722" w:rsidP="00794277">
      <w:pPr>
        <w:pStyle w:val="SingleTxt"/>
        <w:rPr>
          <w:lang w:val="fr-FR"/>
        </w:rPr>
      </w:pPr>
      <w:r w:rsidRPr="000D6387">
        <w:rPr>
          <w:lang w:val="fr-FR"/>
        </w:rPr>
        <w:tab/>
      </w:r>
      <w:r w:rsidR="00794277" w:rsidRPr="000D6387">
        <w:rPr>
          <w:lang w:val="fr-FR"/>
        </w:rPr>
        <w:t>Le Ministère de l</w:t>
      </w:r>
      <w:r w:rsidR="00BD12BA" w:rsidRPr="000D6387">
        <w:rPr>
          <w:lang w:val="fr-FR"/>
        </w:rPr>
        <w:t>’</w:t>
      </w:r>
      <w:r w:rsidR="00794277" w:rsidRPr="000D6387">
        <w:rPr>
          <w:lang w:val="fr-FR"/>
        </w:rPr>
        <w:t>intérieur prend des mesures pour exécuter le plan d</w:t>
      </w:r>
      <w:r w:rsidR="00BD12BA" w:rsidRPr="000D6387">
        <w:rPr>
          <w:lang w:val="fr-FR"/>
        </w:rPr>
        <w:t>’</w:t>
      </w:r>
      <w:r w:rsidR="00794277" w:rsidRPr="000D6387">
        <w:rPr>
          <w:lang w:val="fr-FR"/>
        </w:rPr>
        <w:t xml:space="preserve">action visant à la mise en œuvre du programme gouvernemental de lutte contre la traite des personnes pour la période </w:t>
      </w:r>
      <w:r w:rsidR="00794277" w:rsidRPr="00280912">
        <w:rPr>
          <w:lang w:val="fr-FR"/>
        </w:rPr>
        <w:t>2017</w:t>
      </w:r>
      <w:r w:rsidR="00794277" w:rsidRPr="000D6387">
        <w:rPr>
          <w:lang w:val="fr-FR"/>
        </w:rPr>
        <w:t>-</w:t>
      </w:r>
      <w:r w:rsidR="00794277" w:rsidRPr="00280912">
        <w:rPr>
          <w:lang w:val="fr-FR"/>
        </w:rPr>
        <w:t>2020</w:t>
      </w:r>
      <w:r w:rsidR="00794277" w:rsidRPr="000D6387">
        <w:rPr>
          <w:lang w:val="fr-FR"/>
        </w:rPr>
        <w:t>. Aux fins de l</w:t>
      </w:r>
      <w:r w:rsidR="00BD12BA" w:rsidRPr="000D6387">
        <w:rPr>
          <w:lang w:val="fr-FR"/>
        </w:rPr>
        <w:t>’</w:t>
      </w:r>
      <w:r w:rsidR="00794277" w:rsidRPr="000D6387">
        <w:rPr>
          <w:lang w:val="fr-FR"/>
        </w:rPr>
        <w:t>application de la loi de prévention et de lutte contre la traite des personnes a été adopté le décret gouvernemental n</w:t>
      </w:r>
      <w:r w:rsidR="00794277" w:rsidRPr="000D6387">
        <w:rPr>
          <w:vertAlign w:val="superscript"/>
          <w:lang w:val="fr-FR"/>
        </w:rPr>
        <w:t>o</w:t>
      </w:r>
      <w:r w:rsidR="00794277" w:rsidRPr="000D6387">
        <w:rPr>
          <w:lang w:val="fr-FR"/>
        </w:rPr>
        <w:t xml:space="preserve"> </w:t>
      </w:r>
      <w:r w:rsidR="00794277" w:rsidRPr="00280912">
        <w:rPr>
          <w:lang w:val="fr-FR"/>
        </w:rPr>
        <w:t>493</w:t>
      </w:r>
      <w:r w:rsidR="00794277" w:rsidRPr="000D6387">
        <w:rPr>
          <w:lang w:val="fr-FR"/>
        </w:rPr>
        <w:t xml:space="preserve"> du </w:t>
      </w:r>
      <w:r w:rsidR="00794277" w:rsidRPr="00280912">
        <w:rPr>
          <w:lang w:val="fr-FR"/>
        </w:rPr>
        <w:t>19</w:t>
      </w:r>
      <w:r w:rsidR="00794277" w:rsidRPr="000D6387">
        <w:rPr>
          <w:lang w:val="fr-FR"/>
        </w:rPr>
        <w:t xml:space="preserve"> septembre </w:t>
      </w:r>
      <w:r w:rsidR="00794277" w:rsidRPr="00280912">
        <w:rPr>
          <w:lang w:val="fr-FR"/>
        </w:rPr>
        <w:t>2019</w:t>
      </w:r>
      <w:r w:rsidR="00794277" w:rsidRPr="000D6387">
        <w:rPr>
          <w:lang w:val="fr-FR"/>
        </w:rPr>
        <w:t>, relatif au mécanisme national d</w:t>
      </w:r>
      <w:r w:rsidR="00BD12BA" w:rsidRPr="000D6387">
        <w:rPr>
          <w:lang w:val="fr-FR"/>
        </w:rPr>
        <w:t>’</w:t>
      </w:r>
      <w:r w:rsidR="00794277" w:rsidRPr="000D6387">
        <w:rPr>
          <w:lang w:val="fr-FR"/>
        </w:rPr>
        <w:t xml:space="preserve">orientation des victimes de la traite. En outre, par un décret daté du </w:t>
      </w:r>
      <w:r w:rsidR="00794277" w:rsidRPr="00280912">
        <w:rPr>
          <w:lang w:val="fr-FR"/>
        </w:rPr>
        <w:t>18</w:t>
      </w:r>
      <w:r w:rsidR="00794277" w:rsidRPr="000D6387">
        <w:rPr>
          <w:lang w:val="fr-FR"/>
        </w:rPr>
        <w:t xml:space="preserve"> octobre </w:t>
      </w:r>
      <w:r w:rsidR="00794277" w:rsidRPr="00280912">
        <w:rPr>
          <w:lang w:val="fr-FR"/>
        </w:rPr>
        <w:t>2019</w:t>
      </w:r>
      <w:r w:rsidR="00794277" w:rsidRPr="000D6387">
        <w:rPr>
          <w:lang w:val="fr-FR"/>
        </w:rPr>
        <w:t>, le Ministère a approuvé deux directives des organes de l</w:t>
      </w:r>
      <w:r w:rsidR="00BD12BA" w:rsidRPr="000D6387">
        <w:rPr>
          <w:lang w:val="fr-FR"/>
        </w:rPr>
        <w:t>’</w:t>
      </w:r>
      <w:r w:rsidR="00794277" w:rsidRPr="000D6387">
        <w:rPr>
          <w:lang w:val="fr-FR"/>
        </w:rPr>
        <w:t>intérieur, l</w:t>
      </w:r>
      <w:r w:rsidR="00BD12BA" w:rsidRPr="000D6387">
        <w:rPr>
          <w:lang w:val="fr-FR"/>
        </w:rPr>
        <w:t>’</w:t>
      </w:r>
      <w:r w:rsidR="00794277" w:rsidRPr="000D6387">
        <w:rPr>
          <w:lang w:val="fr-FR"/>
        </w:rPr>
        <w:t>une relative à la recherche, l</w:t>
      </w:r>
      <w:r w:rsidR="00BD12BA" w:rsidRPr="000D6387">
        <w:rPr>
          <w:lang w:val="fr-FR"/>
        </w:rPr>
        <w:t>’</w:t>
      </w:r>
      <w:r w:rsidR="00794277" w:rsidRPr="000D6387">
        <w:rPr>
          <w:lang w:val="fr-FR"/>
        </w:rPr>
        <w:t>identification et l</w:t>
      </w:r>
      <w:r w:rsidR="00BD12BA" w:rsidRPr="000D6387">
        <w:rPr>
          <w:lang w:val="fr-FR"/>
        </w:rPr>
        <w:t>’</w:t>
      </w:r>
      <w:r w:rsidR="00794277" w:rsidRPr="000D6387">
        <w:rPr>
          <w:lang w:val="fr-FR"/>
        </w:rPr>
        <w:t>orientation des victimes de la traite et l</w:t>
      </w:r>
      <w:r w:rsidR="00BD12BA" w:rsidRPr="000D6387">
        <w:rPr>
          <w:lang w:val="fr-FR"/>
        </w:rPr>
        <w:t>’</w:t>
      </w:r>
      <w:r w:rsidR="00794277" w:rsidRPr="000D6387">
        <w:rPr>
          <w:lang w:val="fr-FR"/>
        </w:rPr>
        <w:t>autre relative au caractère confidentiel des informations concernant ces personnes.</w:t>
      </w:r>
    </w:p>
    <w:p w14:paraId="0B6564E4" w14:textId="3EEFA9D1" w:rsidR="00794277" w:rsidRPr="000D6387" w:rsidRDefault="007F1722" w:rsidP="00794277">
      <w:pPr>
        <w:pStyle w:val="SingleTxt"/>
        <w:rPr>
          <w:lang w:val="fr-FR"/>
        </w:rPr>
      </w:pPr>
      <w:r w:rsidRPr="000D6387">
        <w:rPr>
          <w:lang w:val="fr-FR"/>
        </w:rPr>
        <w:tab/>
      </w:r>
      <w:r w:rsidR="00794277" w:rsidRPr="000D6387">
        <w:rPr>
          <w:lang w:val="fr-FR"/>
        </w:rPr>
        <w:t>Deux manuels portant sur la lutte contre la traite ont été publiés</w:t>
      </w:r>
      <w:r w:rsidR="00BD12BA" w:rsidRPr="000D6387">
        <w:rPr>
          <w:lang w:val="fr-FR"/>
        </w:rPr>
        <w:t> :</w:t>
      </w:r>
      <w:r w:rsidR="00794277" w:rsidRPr="000D6387">
        <w:rPr>
          <w:lang w:val="fr-FR"/>
        </w:rPr>
        <w:t xml:space="preserve"> l</w:t>
      </w:r>
      <w:r w:rsidR="00BD12BA" w:rsidRPr="000D6387">
        <w:rPr>
          <w:lang w:val="fr-FR"/>
        </w:rPr>
        <w:t>’</w:t>
      </w:r>
      <w:r w:rsidR="00794277" w:rsidRPr="000D6387">
        <w:rPr>
          <w:lang w:val="fr-FR"/>
        </w:rPr>
        <w:t>un à l</w:t>
      </w:r>
      <w:r w:rsidR="00BD12BA" w:rsidRPr="000D6387">
        <w:rPr>
          <w:lang w:val="fr-FR"/>
        </w:rPr>
        <w:t>’</w:t>
      </w:r>
      <w:r w:rsidR="00794277" w:rsidRPr="000D6387">
        <w:rPr>
          <w:lang w:val="fr-FR"/>
        </w:rPr>
        <w:t>usage des agent(e)s des services de répression, l</w:t>
      </w:r>
      <w:r w:rsidR="00BD12BA" w:rsidRPr="000D6387">
        <w:rPr>
          <w:lang w:val="fr-FR"/>
        </w:rPr>
        <w:t>’</w:t>
      </w:r>
      <w:r w:rsidR="00794277" w:rsidRPr="000D6387">
        <w:rPr>
          <w:lang w:val="fr-FR"/>
        </w:rPr>
        <w:t>autre s</w:t>
      </w:r>
      <w:r w:rsidR="00BD12BA" w:rsidRPr="000D6387">
        <w:rPr>
          <w:lang w:val="fr-FR"/>
        </w:rPr>
        <w:t>’</w:t>
      </w:r>
      <w:r w:rsidR="00794277" w:rsidRPr="000D6387">
        <w:rPr>
          <w:lang w:val="fr-FR"/>
        </w:rPr>
        <w:t xml:space="preserve">attachant à recenser les éléments constitutifs de cette infraction. </w:t>
      </w:r>
    </w:p>
    <w:p w14:paraId="4BDC3BEF" w14:textId="73B01869" w:rsidR="00794277" w:rsidRPr="000D6387" w:rsidRDefault="007F1722" w:rsidP="00794277">
      <w:pPr>
        <w:pStyle w:val="SingleTxt"/>
        <w:rPr>
          <w:lang w:val="fr-FR"/>
        </w:rPr>
      </w:pPr>
      <w:r w:rsidRPr="000D6387">
        <w:rPr>
          <w:lang w:val="fr-FR"/>
        </w:rPr>
        <w:tab/>
      </w:r>
      <w:r w:rsidR="00794277" w:rsidRPr="000D6387">
        <w:rPr>
          <w:lang w:val="fr-FR"/>
        </w:rPr>
        <w:t>Le Ministère de l</w:t>
      </w:r>
      <w:r w:rsidR="00BD12BA" w:rsidRPr="000D6387">
        <w:rPr>
          <w:lang w:val="fr-FR"/>
        </w:rPr>
        <w:t>’</w:t>
      </w:r>
      <w:r w:rsidR="00794277" w:rsidRPr="000D6387">
        <w:rPr>
          <w:lang w:val="fr-FR"/>
        </w:rPr>
        <w:t>intérieur, en association avec des organisations internationales et le Service national des migrations, a mis au point des modules destinés au perfectionnement du personnel des organes de l</w:t>
      </w:r>
      <w:r w:rsidR="00BD12BA" w:rsidRPr="000D6387">
        <w:rPr>
          <w:lang w:val="fr-FR"/>
        </w:rPr>
        <w:t>’</w:t>
      </w:r>
      <w:r w:rsidR="00794277" w:rsidRPr="000D6387">
        <w:rPr>
          <w:lang w:val="fr-FR"/>
        </w:rPr>
        <w:t>intérieur et des autres services de répression dans les domaines de la législation nationale et internationale relative à la traite des personnes, des bonnes pratiques et des méthodes d</w:t>
      </w:r>
      <w:r w:rsidR="00BD12BA" w:rsidRPr="000D6387">
        <w:rPr>
          <w:lang w:val="fr-FR"/>
        </w:rPr>
        <w:t>’</w:t>
      </w:r>
      <w:r w:rsidR="00794277" w:rsidRPr="000D6387">
        <w:rPr>
          <w:lang w:val="fr-FR"/>
        </w:rPr>
        <w:t>enquêtes et de recherche, ainsi qu</w:t>
      </w:r>
      <w:r w:rsidR="00BD12BA" w:rsidRPr="000D6387">
        <w:rPr>
          <w:lang w:val="fr-FR"/>
        </w:rPr>
        <w:t>’</w:t>
      </w:r>
      <w:r w:rsidR="00794277" w:rsidRPr="000D6387">
        <w:rPr>
          <w:lang w:val="fr-FR"/>
        </w:rPr>
        <w:t>en matière de procédures de coopération avec les autres services de l</w:t>
      </w:r>
      <w:r w:rsidR="00BD12BA" w:rsidRPr="000D6387">
        <w:rPr>
          <w:lang w:val="fr-FR"/>
        </w:rPr>
        <w:t>’</w:t>
      </w:r>
      <w:r w:rsidR="00794277" w:rsidRPr="000D6387">
        <w:rPr>
          <w:lang w:val="fr-FR"/>
        </w:rPr>
        <w:t>État et entités internationales, l</w:t>
      </w:r>
      <w:r w:rsidR="00BD12BA" w:rsidRPr="000D6387">
        <w:rPr>
          <w:lang w:val="fr-FR"/>
        </w:rPr>
        <w:t>’</w:t>
      </w:r>
      <w:r w:rsidR="00794277" w:rsidRPr="000D6387">
        <w:rPr>
          <w:lang w:val="fr-FR"/>
        </w:rPr>
        <w:t>objectif étant de faciliter la recherche de solutions aux problèmes sociaux découlant de la traite.</w:t>
      </w:r>
    </w:p>
    <w:p w14:paraId="5AF40B63" w14:textId="74C9EC71" w:rsidR="00794277" w:rsidRPr="000D6387" w:rsidRDefault="007F1722" w:rsidP="00794277">
      <w:pPr>
        <w:pStyle w:val="SingleTxt"/>
        <w:rPr>
          <w:lang w:val="fr-FR"/>
        </w:rPr>
      </w:pPr>
      <w:r w:rsidRPr="000D6387">
        <w:rPr>
          <w:lang w:val="fr-FR"/>
        </w:rPr>
        <w:tab/>
      </w:r>
      <w:r w:rsidR="00794277" w:rsidRPr="000D6387">
        <w:rPr>
          <w:lang w:val="fr-FR"/>
        </w:rPr>
        <w:t>En coopération avec l</w:t>
      </w:r>
      <w:r w:rsidR="00BD12BA" w:rsidRPr="000D6387">
        <w:rPr>
          <w:lang w:val="fr-FR"/>
        </w:rPr>
        <w:t>’</w:t>
      </w:r>
      <w:r w:rsidR="00794277" w:rsidRPr="000D6387">
        <w:rPr>
          <w:lang w:val="fr-FR"/>
        </w:rPr>
        <w:t>Organisation internationale pour les migrations, neuf sessions de formation ont été organisées pour rendre plus efficace la lutte contre la traite des personnes et les infractions connexes. Les chefs des divisions régionales et territoriales des organes de l</w:t>
      </w:r>
      <w:r w:rsidR="00BD12BA" w:rsidRPr="000D6387">
        <w:rPr>
          <w:lang w:val="fr-FR"/>
        </w:rPr>
        <w:t>’</w:t>
      </w:r>
      <w:r w:rsidR="00794277" w:rsidRPr="000D6387">
        <w:rPr>
          <w:lang w:val="fr-FR"/>
        </w:rPr>
        <w:t>intérieur ont été invité(e)s à participer à ces formations, qui ont été dispensées à Bichkek, dans la région de Batken et dans la ville d</w:t>
      </w:r>
      <w:r w:rsidR="00BD12BA" w:rsidRPr="000D6387">
        <w:rPr>
          <w:lang w:val="fr-FR"/>
        </w:rPr>
        <w:t>’</w:t>
      </w:r>
      <w:r w:rsidR="00794277" w:rsidRPr="000D6387">
        <w:rPr>
          <w:lang w:val="fr-FR"/>
        </w:rPr>
        <w:t xml:space="preserve">Och. </w:t>
      </w:r>
    </w:p>
    <w:p w14:paraId="5F65C91A" w14:textId="0FCBB2BB" w:rsidR="00794277" w:rsidRPr="000D6387" w:rsidRDefault="007F1722" w:rsidP="00794277">
      <w:pPr>
        <w:pStyle w:val="SingleTxt"/>
        <w:rPr>
          <w:lang w:val="fr-FR"/>
        </w:rPr>
      </w:pPr>
      <w:r w:rsidRPr="000D6387">
        <w:rPr>
          <w:lang w:val="fr-FR"/>
        </w:rPr>
        <w:tab/>
      </w:r>
      <w:r w:rsidR="00794277" w:rsidRPr="000D6387">
        <w:rPr>
          <w:lang w:val="fr-FR"/>
        </w:rPr>
        <w:t>Le public est informé des risques liés à la traite des personnes et des dangers associés à la migration illégale de main d</w:t>
      </w:r>
      <w:r w:rsidR="00BD12BA" w:rsidRPr="000D6387">
        <w:rPr>
          <w:lang w:val="fr-FR"/>
        </w:rPr>
        <w:t>’</w:t>
      </w:r>
      <w:r w:rsidR="00794277" w:rsidRPr="000D6387">
        <w:rPr>
          <w:lang w:val="fr-FR"/>
        </w:rPr>
        <w:t>œuvre dans le cadre de campagnes d</w:t>
      </w:r>
      <w:r w:rsidR="00BD12BA" w:rsidRPr="000D6387">
        <w:rPr>
          <w:lang w:val="fr-FR"/>
        </w:rPr>
        <w:t>’</w:t>
      </w:r>
      <w:r w:rsidR="00794277" w:rsidRPr="000D6387">
        <w:rPr>
          <w:lang w:val="fr-FR"/>
        </w:rPr>
        <w:t>information. Chaque affaire de traite découverte sur le territoire de la République et à l</w:t>
      </w:r>
      <w:r w:rsidR="00BD12BA" w:rsidRPr="000D6387">
        <w:rPr>
          <w:lang w:val="fr-FR"/>
        </w:rPr>
        <w:t>’</w:t>
      </w:r>
      <w:r w:rsidR="00794277" w:rsidRPr="000D6387">
        <w:rPr>
          <w:lang w:val="fr-FR"/>
        </w:rPr>
        <w:t>étranger fait l</w:t>
      </w:r>
      <w:r w:rsidR="00BD12BA" w:rsidRPr="000D6387">
        <w:rPr>
          <w:lang w:val="fr-FR"/>
        </w:rPr>
        <w:t>’</w:t>
      </w:r>
      <w:r w:rsidR="00794277" w:rsidRPr="000D6387">
        <w:rPr>
          <w:lang w:val="fr-FR"/>
        </w:rPr>
        <w:t>objet d</w:t>
      </w:r>
      <w:r w:rsidR="00BD12BA" w:rsidRPr="000D6387">
        <w:rPr>
          <w:lang w:val="fr-FR"/>
        </w:rPr>
        <w:t>’</w:t>
      </w:r>
      <w:r w:rsidR="00794277" w:rsidRPr="000D6387">
        <w:rPr>
          <w:lang w:val="fr-FR"/>
        </w:rPr>
        <w:t>un relevé criminel qui est mis en ligne.</w:t>
      </w:r>
    </w:p>
    <w:p w14:paraId="5EE0D91D" w14:textId="4BA61E57" w:rsidR="00794277" w:rsidRPr="000D6387" w:rsidRDefault="007F1722" w:rsidP="00794277">
      <w:pPr>
        <w:pStyle w:val="SingleTxt"/>
        <w:rPr>
          <w:lang w:val="fr-FR"/>
        </w:rPr>
      </w:pPr>
      <w:r w:rsidRPr="000D6387">
        <w:rPr>
          <w:lang w:val="fr-FR"/>
        </w:rPr>
        <w:tab/>
      </w:r>
      <w:r w:rsidR="00794277" w:rsidRPr="000D6387">
        <w:rPr>
          <w:lang w:val="fr-FR"/>
        </w:rPr>
        <w:t>Le Ministère de l</w:t>
      </w:r>
      <w:r w:rsidR="00BD12BA" w:rsidRPr="000D6387">
        <w:rPr>
          <w:lang w:val="fr-FR"/>
        </w:rPr>
        <w:t>’</w:t>
      </w:r>
      <w:r w:rsidR="00794277" w:rsidRPr="000D6387">
        <w:rPr>
          <w:lang w:val="fr-FR"/>
        </w:rPr>
        <w:t>intérieur s</w:t>
      </w:r>
      <w:r w:rsidR="00BD12BA" w:rsidRPr="000D6387">
        <w:rPr>
          <w:lang w:val="fr-FR"/>
        </w:rPr>
        <w:t>’</w:t>
      </w:r>
      <w:r w:rsidR="00794277" w:rsidRPr="000D6387">
        <w:rPr>
          <w:lang w:val="fr-FR"/>
        </w:rPr>
        <w:t>emploie à améliorer la coopération avec les autorités de police étrangères en établissant des relations de travail, l</w:t>
      </w:r>
      <w:r w:rsidR="00BD12BA" w:rsidRPr="000D6387">
        <w:rPr>
          <w:lang w:val="fr-FR"/>
        </w:rPr>
        <w:t>’</w:t>
      </w:r>
      <w:r w:rsidR="00794277" w:rsidRPr="000D6387">
        <w:rPr>
          <w:lang w:val="fr-FR"/>
        </w:rPr>
        <w:t>objectif étant d</w:t>
      </w:r>
      <w:r w:rsidR="00BD12BA" w:rsidRPr="000D6387">
        <w:rPr>
          <w:lang w:val="fr-FR"/>
        </w:rPr>
        <w:t>’</w:t>
      </w:r>
      <w:r w:rsidR="00794277" w:rsidRPr="000D6387">
        <w:rPr>
          <w:lang w:val="fr-FR"/>
        </w:rPr>
        <w:t>identifier les canaux servant à la traite des personnes et de les éliminer, ainsi que de partager des informations dans le cadre de la mise en œuvre de l</w:t>
      </w:r>
      <w:r w:rsidR="00BD12BA" w:rsidRPr="000D6387">
        <w:rPr>
          <w:lang w:val="fr-FR"/>
        </w:rPr>
        <w:t>’</w:t>
      </w:r>
      <w:r w:rsidR="00794277" w:rsidRPr="000D6387">
        <w:rPr>
          <w:lang w:val="fr-FR"/>
        </w:rPr>
        <w:t>accord signé par les ministères de l</w:t>
      </w:r>
      <w:r w:rsidR="00BD12BA" w:rsidRPr="000D6387">
        <w:rPr>
          <w:lang w:val="fr-FR"/>
        </w:rPr>
        <w:t>’</w:t>
      </w:r>
      <w:r w:rsidR="00794277" w:rsidRPr="000D6387">
        <w:rPr>
          <w:lang w:val="fr-FR"/>
        </w:rPr>
        <w:t>intérieur des pays d</w:t>
      </w:r>
      <w:r w:rsidR="00BD12BA" w:rsidRPr="000D6387">
        <w:rPr>
          <w:lang w:val="fr-FR"/>
        </w:rPr>
        <w:t>’</w:t>
      </w:r>
      <w:r w:rsidR="00794277" w:rsidRPr="000D6387">
        <w:rPr>
          <w:lang w:val="fr-FR"/>
        </w:rPr>
        <w:t>Asie centrale (République kirghize, République du Kazakhstan, République d</w:t>
      </w:r>
      <w:r w:rsidR="00BD12BA" w:rsidRPr="000D6387">
        <w:rPr>
          <w:lang w:val="fr-FR"/>
        </w:rPr>
        <w:t>’</w:t>
      </w:r>
      <w:r w:rsidR="00794277" w:rsidRPr="000D6387">
        <w:rPr>
          <w:lang w:val="fr-FR"/>
        </w:rPr>
        <w:t xml:space="preserve">Ouzbékistan et République du Tadjikistan) le </w:t>
      </w:r>
      <w:r w:rsidR="00794277" w:rsidRPr="00280912">
        <w:rPr>
          <w:lang w:val="fr-FR"/>
        </w:rPr>
        <w:t>6</w:t>
      </w:r>
      <w:r w:rsidR="00794277" w:rsidRPr="000D6387">
        <w:rPr>
          <w:lang w:val="fr-FR"/>
        </w:rPr>
        <w:t xml:space="preserve"> octobre </w:t>
      </w:r>
      <w:r w:rsidR="00794277" w:rsidRPr="00280912">
        <w:rPr>
          <w:lang w:val="fr-FR"/>
        </w:rPr>
        <w:t>2018</w:t>
      </w:r>
      <w:r w:rsidR="00794277" w:rsidRPr="000D6387">
        <w:rPr>
          <w:lang w:val="fr-FR"/>
        </w:rPr>
        <w:t xml:space="preserve"> à Tcholpon-Ata, et conformément au programme interétatique de mesures conjointes visant à lutter contre la criminalité pour la période </w:t>
      </w:r>
      <w:r w:rsidR="00794277" w:rsidRPr="00280912">
        <w:rPr>
          <w:lang w:val="fr-FR"/>
        </w:rPr>
        <w:t>2019</w:t>
      </w:r>
      <w:r w:rsidR="00794277" w:rsidRPr="000D6387">
        <w:rPr>
          <w:lang w:val="fr-FR"/>
        </w:rPr>
        <w:t>-</w:t>
      </w:r>
      <w:r w:rsidR="00794277" w:rsidRPr="00280912">
        <w:rPr>
          <w:lang w:val="fr-FR"/>
        </w:rPr>
        <w:t>2023</w:t>
      </w:r>
      <w:r w:rsidR="00794277" w:rsidRPr="000D6387">
        <w:rPr>
          <w:lang w:val="fr-FR"/>
        </w:rPr>
        <w:t>, qui a été adopté par une décision du Conseil des chefs d</w:t>
      </w:r>
      <w:r w:rsidR="00BD12BA" w:rsidRPr="000D6387">
        <w:rPr>
          <w:lang w:val="fr-FR"/>
        </w:rPr>
        <w:t>’</w:t>
      </w:r>
      <w:r w:rsidR="00794277" w:rsidRPr="000D6387">
        <w:rPr>
          <w:lang w:val="fr-FR"/>
        </w:rPr>
        <w:t>État de la Communauté d</w:t>
      </w:r>
      <w:r w:rsidR="00BD12BA" w:rsidRPr="000D6387">
        <w:rPr>
          <w:lang w:val="fr-FR"/>
        </w:rPr>
        <w:t>’</w:t>
      </w:r>
      <w:r w:rsidR="00794277" w:rsidRPr="000D6387">
        <w:rPr>
          <w:lang w:val="fr-FR"/>
        </w:rPr>
        <w:t>États indépendants (</w:t>
      </w:r>
      <w:r w:rsidR="00794277" w:rsidRPr="00280912">
        <w:rPr>
          <w:lang w:val="fr-FR"/>
        </w:rPr>
        <w:t>28</w:t>
      </w:r>
      <w:r w:rsidR="00794277" w:rsidRPr="000D6387">
        <w:rPr>
          <w:lang w:val="fr-FR"/>
        </w:rPr>
        <w:t xml:space="preserve"> septembre </w:t>
      </w:r>
      <w:r w:rsidR="00794277" w:rsidRPr="00280912">
        <w:rPr>
          <w:lang w:val="fr-FR"/>
        </w:rPr>
        <w:t>2018</w:t>
      </w:r>
      <w:r w:rsidR="00794277" w:rsidRPr="000D6387">
        <w:rPr>
          <w:lang w:val="fr-FR"/>
        </w:rPr>
        <w:t xml:space="preserve">, Douchanbé). </w:t>
      </w:r>
    </w:p>
    <w:p w14:paraId="72F6123C" w14:textId="38299C4F" w:rsidR="00794277" w:rsidRPr="000D6387" w:rsidRDefault="007F1722" w:rsidP="00794277">
      <w:pPr>
        <w:pStyle w:val="SingleTxt"/>
        <w:rPr>
          <w:lang w:val="fr-FR"/>
        </w:rPr>
      </w:pPr>
      <w:r w:rsidRPr="000D6387">
        <w:rPr>
          <w:lang w:val="fr-FR"/>
        </w:rPr>
        <w:tab/>
      </w:r>
      <w:r w:rsidR="00794277" w:rsidRPr="000D6387">
        <w:rPr>
          <w:lang w:val="fr-FR"/>
        </w:rPr>
        <w:t>À des fins de détection et de prévention de la migration clandestine, y compris dans le cadre de la traite des personnes, et en coopération avec le Service national des douanes, qui relève du Gouvernement, des mesures sont prises aux points de contrôle des zones frontalières pour aider à identifier d</w:t>
      </w:r>
      <w:r w:rsidR="00BD12BA" w:rsidRPr="000D6387">
        <w:rPr>
          <w:lang w:val="fr-FR"/>
        </w:rPr>
        <w:t>’</w:t>
      </w:r>
      <w:r w:rsidR="00794277" w:rsidRPr="000D6387">
        <w:rPr>
          <w:lang w:val="fr-FR"/>
        </w:rPr>
        <w:t>éventuelles victimes de la traite.</w:t>
      </w:r>
    </w:p>
    <w:p w14:paraId="65268CCB" w14:textId="7DDCED42" w:rsidR="00794277" w:rsidRPr="000D6387" w:rsidRDefault="007F1722" w:rsidP="00794277">
      <w:pPr>
        <w:pStyle w:val="SingleTxt"/>
        <w:rPr>
          <w:lang w:val="fr-FR"/>
        </w:rPr>
      </w:pPr>
      <w:r w:rsidRPr="000D6387">
        <w:rPr>
          <w:lang w:val="fr-FR"/>
        </w:rPr>
        <w:tab/>
      </w:r>
      <w:r w:rsidR="00794277" w:rsidRPr="000D6387">
        <w:rPr>
          <w:lang w:val="fr-FR"/>
        </w:rPr>
        <w:t>Une manifestation mensuelle à caractère préventif, la «</w:t>
      </w:r>
      <w:r w:rsidR="008F11B3" w:rsidRPr="000D6387">
        <w:rPr>
          <w:lang w:val="fr-FR"/>
        </w:rPr>
        <w:t> </w:t>
      </w:r>
      <w:r w:rsidR="00794277" w:rsidRPr="000D6387">
        <w:rPr>
          <w:lang w:val="fr-FR"/>
        </w:rPr>
        <w:t>Journée unique de la prévention</w:t>
      </w:r>
      <w:r w:rsidR="008F11B3" w:rsidRPr="000D6387">
        <w:rPr>
          <w:lang w:val="fr-FR"/>
        </w:rPr>
        <w:t> </w:t>
      </w:r>
      <w:r w:rsidR="00794277" w:rsidRPr="000D6387">
        <w:rPr>
          <w:lang w:val="fr-FR"/>
        </w:rPr>
        <w:t>», a lieu avec la participation de tous les services du Ministère de l</w:t>
      </w:r>
      <w:r w:rsidR="00BD12BA" w:rsidRPr="000D6387">
        <w:rPr>
          <w:lang w:val="fr-FR"/>
        </w:rPr>
        <w:t>’</w:t>
      </w:r>
      <w:r w:rsidR="00794277" w:rsidRPr="000D6387">
        <w:rPr>
          <w:lang w:val="fr-FR"/>
        </w:rPr>
        <w:t>intérieur, d</w:t>
      </w:r>
      <w:r w:rsidR="00BD12BA" w:rsidRPr="000D6387">
        <w:rPr>
          <w:lang w:val="fr-FR"/>
        </w:rPr>
        <w:t>’</w:t>
      </w:r>
      <w:r w:rsidR="00794277" w:rsidRPr="000D6387">
        <w:rPr>
          <w:lang w:val="fr-FR"/>
        </w:rPr>
        <w:t>organes étatiques et d</w:t>
      </w:r>
      <w:r w:rsidR="00BD12BA" w:rsidRPr="000D6387">
        <w:rPr>
          <w:lang w:val="fr-FR"/>
        </w:rPr>
        <w:t>’</w:t>
      </w:r>
      <w:r w:rsidR="00794277" w:rsidRPr="000D6387">
        <w:rPr>
          <w:lang w:val="fr-FR"/>
        </w:rPr>
        <w:t>associations, afin d</w:t>
      </w:r>
      <w:r w:rsidR="00BD12BA" w:rsidRPr="000D6387">
        <w:rPr>
          <w:lang w:val="fr-FR"/>
        </w:rPr>
        <w:t>’</w:t>
      </w:r>
      <w:r w:rsidR="00794277" w:rsidRPr="000D6387">
        <w:rPr>
          <w:lang w:val="fr-FR"/>
        </w:rPr>
        <w:t>instaurer un climat de sécurité. Elle rassemble le personnel des organes de l</w:t>
      </w:r>
      <w:r w:rsidR="00BD12BA" w:rsidRPr="000D6387">
        <w:rPr>
          <w:lang w:val="fr-FR"/>
        </w:rPr>
        <w:t>’</w:t>
      </w:r>
      <w:r w:rsidR="00794277" w:rsidRPr="000D6387">
        <w:rPr>
          <w:lang w:val="fr-FR"/>
        </w:rPr>
        <w:t>intérieur, des représentants de l</w:t>
      </w:r>
      <w:r w:rsidR="00BD12BA" w:rsidRPr="000D6387">
        <w:rPr>
          <w:lang w:val="fr-FR"/>
        </w:rPr>
        <w:t>’</w:t>
      </w:r>
      <w:r w:rsidR="00794277" w:rsidRPr="000D6387">
        <w:rPr>
          <w:lang w:val="fr-FR"/>
        </w:rPr>
        <w:t>État et des collectivités locales, des organismes chargés de l</w:t>
      </w:r>
      <w:r w:rsidR="00BD12BA" w:rsidRPr="000D6387">
        <w:rPr>
          <w:lang w:val="fr-FR"/>
        </w:rPr>
        <w:t>’</w:t>
      </w:r>
      <w:r w:rsidR="00794277" w:rsidRPr="000D6387">
        <w:rPr>
          <w:lang w:val="fr-FR"/>
        </w:rPr>
        <w:t>éducation et du développement social, des centres locaux de prévention, des tribunaux d</w:t>
      </w:r>
      <w:r w:rsidR="00BD12BA" w:rsidRPr="000D6387">
        <w:rPr>
          <w:lang w:val="fr-FR"/>
        </w:rPr>
        <w:t>’</w:t>
      </w:r>
      <w:r w:rsidR="00794277" w:rsidRPr="000D6387">
        <w:rPr>
          <w:lang w:val="fr-FR"/>
        </w:rPr>
        <w:t>anciens et des membres de groupes de patrouille volontaires.</w:t>
      </w:r>
    </w:p>
    <w:p w14:paraId="12F43179" w14:textId="709AE075" w:rsidR="00794277" w:rsidRPr="000D6387" w:rsidRDefault="007F1722" w:rsidP="00794277">
      <w:pPr>
        <w:pStyle w:val="SingleTxt"/>
        <w:rPr>
          <w:lang w:val="fr-FR"/>
        </w:rPr>
      </w:pPr>
      <w:r w:rsidRPr="000D6387">
        <w:rPr>
          <w:lang w:val="fr-FR"/>
        </w:rPr>
        <w:tab/>
      </w:r>
      <w:r w:rsidR="00794277" w:rsidRPr="000D6387">
        <w:rPr>
          <w:lang w:val="fr-FR"/>
        </w:rPr>
        <w:t>Ces manifestations donnent lieu à des opérations de contrôle dans les ensembles résidentiels, les hôtels et les stations-service. Les activités menées dans ce cadre ont permis d</w:t>
      </w:r>
      <w:r w:rsidR="00BD12BA" w:rsidRPr="000D6387">
        <w:rPr>
          <w:lang w:val="fr-FR"/>
        </w:rPr>
        <w:t>’</w:t>
      </w:r>
      <w:r w:rsidR="00794277" w:rsidRPr="000D6387">
        <w:rPr>
          <w:lang w:val="fr-FR"/>
        </w:rPr>
        <w:t xml:space="preserve">élaborer des protocoles applicables aux divers types de violation. </w:t>
      </w:r>
    </w:p>
    <w:p w14:paraId="3D1AADBF" w14:textId="305D571D" w:rsidR="00794277" w:rsidRPr="000D6387" w:rsidRDefault="007F1722" w:rsidP="00794277">
      <w:pPr>
        <w:pStyle w:val="SingleTxt"/>
        <w:rPr>
          <w:lang w:val="fr-FR"/>
        </w:rPr>
      </w:pPr>
      <w:r w:rsidRPr="000D6387">
        <w:rPr>
          <w:lang w:val="fr-FR"/>
        </w:rPr>
        <w:tab/>
      </w:r>
      <w:r w:rsidR="00794277" w:rsidRPr="000D6387">
        <w:rPr>
          <w:lang w:val="fr-FR"/>
        </w:rPr>
        <w:t>Des comptes rendus sont communiqués à la population, ce qui permet aux organes de l</w:t>
      </w:r>
      <w:r w:rsidR="00BD12BA" w:rsidRPr="000D6387">
        <w:rPr>
          <w:lang w:val="fr-FR"/>
        </w:rPr>
        <w:t>’</w:t>
      </w:r>
      <w:r w:rsidR="00794277" w:rsidRPr="000D6387">
        <w:rPr>
          <w:lang w:val="fr-FR"/>
        </w:rPr>
        <w:t xml:space="preserve">intérieur de mener leurs activités en plus grande interaction avec le public et de bénéficier de la confiance accrue de celui-ci. En </w:t>
      </w:r>
      <w:r w:rsidR="00794277" w:rsidRPr="00280912">
        <w:rPr>
          <w:lang w:val="fr-FR"/>
        </w:rPr>
        <w:t>2019</w:t>
      </w:r>
      <w:r w:rsidR="00794277" w:rsidRPr="000D6387">
        <w:rPr>
          <w:lang w:val="fr-FR"/>
        </w:rPr>
        <w:t xml:space="preserve">, </w:t>
      </w:r>
      <w:r w:rsidR="00794277" w:rsidRPr="00280912">
        <w:rPr>
          <w:lang w:val="fr-FR"/>
        </w:rPr>
        <w:t>9</w:t>
      </w:r>
      <w:r w:rsidR="00794277" w:rsidRPr="000D6387">
        <w:rPr>
          <w:lang w:val="fr-FR"/>
        </w:rPr>
        <w:t xml:space="preserve"> </w:t>
      </w:r>
      <w:r w:rsidR="00794277" w:rsidRPr="00280912">
        <w:rPr>
          <w:lang w:val="fr-FR"/>
        </w:rPr>
        <w:t>961</w:t>
      </w:r>
      <w:r w:rsidR="00794277" w:rsidRPr="000D6387">
        <w:rPr>
          <w:lang w:val="fr-FR"/>
        </w:rPr>
        <w:t xml:space="preserve"> comptes rendus ont été présentés au public à l</w:t>
      </w:r>
      <w:r w:rsidR="00BD12BA" w:rsidRPr="000D6387">
        <w:rPr>
          <w:lang w:val="fr-FR"/>
        </w:rPr>
        <w:t>’</w:t>
      </w:r>
      <w:r w:rsidR="00794277" w:rsidRPr="000D6387">
        <w:rPr>
          <w:lang w:val="fr-FR"/>
        </w:rPr>
        <w:t>occasion de manifestations auxquelles étaient présents des responsables de l</w:t>
      </w:r>
      <w:r w:rsidR="00BD12BA" w:rsidRPr="000D6387">
        <w:rPr>
          <w:lang w:val="fr-FR"/>
        </w:rPr>
        <w:t>’</w:t>
      </w:r>
      <w:r w:rsidR="00794277" w:rsidRPr="000D6387">
        <w:rPr>
          <w:lang w:val="fr-FR"/>
        </w:rPr>
        <w:t>administration locale et des organes gouvernementaux locaux, du bureau du procureur, d</w:t>
      </w:r>
      <w:r w:rsidR="00BD12BA" w:rsidRPr="000D6387">
        <w:rPr>
          <w:lang w:val="fr-FR"/>
        </w:rPr>
        <w:t>’</w:t>
      </w:r>
      <w:r w:rsidR="00794277" w:rsidRPr="000D6387">
        <w:rPr>
          <w:lang w:val="fr-FR"/>
        </w:rPr>
        <w:t>établissements d</w:t>
      </w:r>
      <w:r w:rsidR="00BD12BA" w:rsidRPr="000D6387">
        <w:rPr>
          <w:lang w:val="fr-FR"/>
        </w:rPr>
        <w:t>’</w:t>
      </w:r>
      <w:r w:rsidR="00794277" w:rsidRPr="000D6387">
        <w:rPr>
          <w:lang w:val="fr-FR"/>
        </w:rPr>
        <w:t>enseignement, de comités de quartier et de résidence, d</w:t>
      </w:r>
      <w:r w:rsidR="00BD12BA" w:rsidRPr="000D6387">
        <w:rPr>
          <w:lang w:val="fr-FR"/>
        </w:rPr>
        <w:t>’</w:t>
      </w:r>
      <w:r w:rsidR="00794277" w:rsidRPr="000D6387">
        <w:rPr>
          <w:lang w:val="fr-FR"/>
        </w:rPr>
        <w:t>organisations religieuses, de centres de prévention communautaires et de tribunaux d</w:t>
      </w:r>
      <w:r w:rsidR="00BD12BA" w:rsidRPr="000D6387">
        <w:rPr>
          <w:lang w:val="fr-FR"/>
        </w:rPr>
        <w:t>’</w:t>
      </w:r>
      <w:r w:rsidR="00794277" w:rsidRPr="000D6387">
        <w:rPr>
          <w:lang w:val="fr-FR"/>
        </w:rPr>
        <w:t>anciens</w:t>
      </w:r>
      <w:r w:rsidR="00BD12BA" w:rsidRPr="000D6387">
        <w:rPr>
          <w:lang w:val="fr-FR"/>
        </w:rPr>
        <w:t> ;</w:t>
      </w:r>
      <w:r w:rsidR="00794277" w:rsidRPr="000D6387">
        <w:rPr>
          <w:lang w:val="fr-FR"/>
        </w:rPr>
        <w:t xml:space="preserve"> la couverture médiatique de ces réunions a été assurée par la télévision, la radio, des sites Web et la presse.</w:t>
      </w:r>
    </w:p>
    <w:p w14:paraId="43885A78" w14:textId="477BE25E" w:rsidR="00794277" w:rsidRPr="000D6387" w:rsidRDefault="007F1722" w:rsidP="00794277">
      <w:pPr>
        <w:pStyle w:val="SingleTxt"/>
        <w:rPr>
          <w:lang w:val="fr-FR"/>
        </w:rPr>
      </w:pPr>
      <w:r w:rsidRPr="000D6387">
        <w:rPr>
          <w:lang w:val="fr-FR"/>
        </w:rPr>
        <w:tab/>
      </w:r>
      <w:r w:rsidR="00794277" w:rsidRPr="000D6387">
        <w:rPr>
          <w:lang w:val="fr-FR"/>
        </w:rPr>
        <w:t>Soucieux d</w:t>
      </w:r>
      <w:r w:rsidR="00BD12BA" w:rsidRPr="000D6387">
        <w:rPr>
          <w:lang w:val="fr-FR"/>
        </w:rPr>
        <w:t>’</w:t>
      </w:r>
      <w:r w:rsidR="00794277" w:rsidRPr="000D6387">
        <w:rPr>
          <w:lang w:val="fr-FR"/>
        </w:rPr>
        <w:t>ouverture, tous les organes de l</w:t>
      </w:r>
      <w:r w:rsidR="00BD12BA" w:rsidRPr="000D6387">
        <w:rPr>
          <w:lang w:val="fr-FR"/>
        </w:rPr>
        <w:t>’</w:t>
      </w:r>
      <w:r w:rsidR="00794277" w:rsidRPr="000D6387">
        <w:rPr>
          <w:lang w:val="fr-FR"/>
        </w:rPr>
        <w:t>intérieur et les établissements d</w:t>
      </w:r>
      <w:r w:rsidR="00BD12BA" w:rsidRPr="000D6387">
        <w:rPr>
          <w:lang w:val="fr-FR"/>
        </w:rPr>
        <w:t>’</w:t>
      </w:r>
      <w:r w:rsidR="00794277" w:rsidRPr="000D6387">
        <w:rPr>
          <w:lang w:val="fr-FR"/>
        </w:rPr>
        <w:t>enseignement relevant du Ministère de l</w:t>
      </w:r>
      <w:r w:rsidR="00BD12BA" w:rsidRPr="000D6387">
        <w:rPr>
          <w:lang w:val="fr-FR"/>
        </w:rPr>
        <w:t>’</w:t>
      </w:r>
      <w:r w:rsidR="00794277" w:rsidRPr="000D6387">
        <w:rPr>
          <w:lang w:val="fr-FR"/>
        </w:rPr>
        <w:t>intérieur reçoivent le public. Les villes et agglomérations comptent des commissariats de police et des bureaux de police dans les quartiers, ainsi qu</w:t>
      </w:r>
      <w:r w:rsidR="00BD12BA" w:rsidRPr="000D6387">
        <w:rPr>
          <w:lang w:val="fr-FR"/>
        </w:rPr>
        <w:t>’</w:t>
      </w:r>
      <w:r w:rsidR="00794277" w:rsidRPr="000D6387">
        <w:rPr>
          <w:lang w:val="fr-FR"/>
        </w:rPr>
        <w:t>un nombre croissant de chefs de la police et d</w:t>
      </w:r>
      <w:r w:rsidR="00BD12BA" w:rsidRPr="000D6387">
        <w:rPr>
          <w:lang w:val="fr-FR"/>
        </w:rPr>
        <w:t>’</w:t>
      </w:r>
      <w:r w:rsidR="00794277" w:rsidRPr="000D6387">
        <w:rPr>
          <w:lang w:val="fr-FR"/>
        </w:rPr>
        <w:t>inspecteurs (inspectrices) de la brigade des mineurs</w:t>
      </w:r>
      <w:r w:rsidR="00BD12BA" w:rsidRPr="000D6387">
        <w:rPr>
          <w:lang w:val="fr-FR"/>
        </w:rPr>
        <w:t> ;</w:t>
      </w:r>
      <w:r w:rsidR="00794277" w:rsidRPr="000D6387">
        <w:rPr>
          <w:lang w:val="fr-FR"/>
        </w:rPr>
        <w:t xml:space="preserve"> des forces de police sont opérationnelles dans les zones touristiques (Bichkek, région d</w:t>
      </w:r>
      <w:r w:rsidR="00BD12BA" w:rsidRPr="000D6387">
        <w:rPr>
          <w:lang w:val="fr-FR"/>
        </w:rPr>
        <w:t>’</w:t>
      </w:r>
      <w:r w:rsidR="00794277" w:rsidRPr="000D6387">
        <w:rPr>
          <w:lang w:val="fr-FR"/>
        </w:rPr>
        <w:t>Issyk-Koul, région et ville d</w:t>
      </w:r>
      <w:r w:rsidR="00BD12BA" w:rsidRPr="000D6387">
        <w:rPr>
          <w:lang w:val="fr-FR"/>
        </w:rPr>
        <w:t>’</w:t>
      </w:r>
      <w:r w:rsidR="00794277" w:rsidRPr="000D6387">
        <w:rPr>
          <w:lang w:val="fr-FR"/>
        </w:rPr>
        <w:t>Och), tandis que les zones reculées sont dotées d</w:t>
      </w:r>
      <w:r w:rsidR="00BD12BA" w:rsidRPr="000D6387">
        <w:rPr>
          <w:lang w:val="fr-FR"/>
        </w:rPr>
        <w:t>’</w:t>
      </w:r>
      <w:r w:rsidR="00794277" w:rsidRPr="000D6387">
        <w:rPr>
          <w:lang w:val="fr-FR"/>
        </w:rPr>
        <w:t>unités de police mobiles (</w:t>
      </w:r>
      <w:r w:rsidR="00794277" w:rsidRPr="00280912">
        <w:rPr>
          <w:lang w:val="fr-FR"/>
        </w:rPr>
        <w:t>30</w:t>
      </w:r>
      <w:r w:rsidR="00794277" w:rsidRPr="000D6387">
        <w:rPr>
          <w:lang w:val="fr-FR"/>
        </w:rPr>
        <w:t xml:space="preserve"> véhicules permettant à la population de faire des déclarations et de déposer des requêtes). Dans le cadre d</w:t>
      </w:r>
      <w:r w:rsidR="00BD12BA" w:rsidRPr="000D6387">
        <w:rPr>
          <w:lang w:val="fr-FR"/>
        </w:rPr>
        <w:t>’</w:t>
      </w:r>
      <w:r w:rsidR="00794277" w:rsidRPr="000D6387">
        <w:rPr>
          <w:lang w:val="fr-FR"/>
        </w:rPr>
        <w:t>un projet pilote, un service de patrouille de police a été mis en place à Bichkek.</w:t>
      </w:r>
    </w:p>
    <w:p w14:paraId="61037E84" w14:textId="01A5F10A"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2017</w:t>
      </w:r>
      <w:r w:rsidR="00794277" w:rsidRPr="000D6387">
        <w:rPr>
          <w:lang w:val="fr-FR"/>
        </w:rPr>
        <w:t xml:space="preserve">, </w:t>
      </w:r>
      <w:r w:rsidR="00794277" w:rsidRPr="00280912">
        <w:rPr>
          <w:lang w:val="fr-FR"/>
        </w:rPr>
        <w:t>81</w:t>
      </w:r>
      <w:r w:rsidR="00794277" w:rsidRPr="000D6387">
        <w:rPr>
          <w:lang w:val="fr-FR"/>
        </w:rPr>
        <w:t>,</w:t>
      </w:r>
      <w:r w:rsidR="00794277" w:rsidRPr="00280912">
        <w:rPr>
          <w:lang w:val="fr-FR"/>
        </w:rPr>
        <w:t>9</w:t>
      </w:r>
      <w:r w:rsidR="005D4517" w:rsidRPr="000D6387">
        <w:rPr>
          <w:lang w:val="fr-FR"/>
        </w:rPr>
        <w:t> %</w:t>
      </w:r>
      <w:r w:rsidR="00794277" w:rsidRPr="000D6387">
        <w:rPr>
          <w:lang w:val="fr-FR"/>
        </w:rPr>
        <w:t xml:space="preserve"> du personnel des organes de l</w:t>
      </w:r>
      <w:r w:rsidR="00BD12BA" w:rsidRPr="000D6387">
        <w:rPr>
          <w:lang w:val="fr-FR"/>
        </w:rPr>
        <w:t>’</w:t>
      </w:r>
      <w:r w:rsidR="00794277" w:rsidRPr="000D6387">
        <w:rPr>
          <w:lang w:val="fr-FR"/>
        </w:rPr>
        <w:t>intérieur a reçu une formation sur la directive relative aux efforts de prévention de l</w:t>
      </w:r>
      <w:r w:rsidR="00BD12BA" w:rsidRPr="000D6387">
        <w:rPr>
          <w:lang w:val="fr-FR"/>
        </w:rPr>
        <w:t>’</w:t>
      </w:r>
      <w:r w:rsidR="00794277" w:rsidRPr="000D6387">
        <w:rPr>
          <w:lang w:val="fr-FR"/>
        </w:rPr>
        <w:t>infection à VIH menés par les services compétents des affaires intérieures, sur le contrôle des drogues et sur l</w:t>
      </w:r>
      <w:r w:rsidR="00BD12BA" w:rsidRPr="000D6387">
        <w:rPr>
          <w:lang w:val="fr-FR"/>
        </w:rPr>
        <w:t>’</w:t>
      </w:r>
      <w:r w:rsidR="00794277" w:rsidRPr="000D6387">
        <w:rPr>
          <w:lang w:val="fr-FR"/>
        </w:rPr>
        <w:t>exécution des peines.</w:t>
      </w:r>
    </w:p>
    <w:p w14:paraId="5E196E62" w14:textId="7867C7F7" w:rsidR="00794277" w:rsidRPr="000D6387" w:rsidRDefault="007F1722" w:rsidP="00794277">
      <w:pPr>
        <w:pStyle w:val="SingleTxt"/>
        <w:rPr>
          <w:lang w:val="fr-FR"/>
        </w:rPr>
      </w:pPr>
      <w:r w:rsidRPr="000D6387">
        <w:rPr>
          <w:lang w:val="fr-FR"/>
        </w:rPr>
        <w:tab/>
      </w:r>
      <w:r w:rsidR="00794277" w:rsidRPr="000D6387">
        <w:rPr>
          <w:lang w:val="fr-FR"/>
        </w:rPr>
        <w:t>Un plan d</w:t>
      </w:r>
      <w:r w:rsidR="00BD12BA" w:rsidRPr="000D6387">
        <w:rPr>
          <w:lang w:val="fr-FR"/>
        </w:rPr>
        <w:t>’</w:t>
      </w:r>
      <w:r w:rsidR="00794277" w:rsidRPr="000D6387">
        <w:rPr>
          <w:lang w:val="fr-FR"/>
        </w:rPr>
        <w:t xml:space="preserve">action pour la période </w:t>
      </w:r>
      <w:r w:rsidR="00794277" w:rsidRPr="00280912">
        <w:rPr>
          <w:lang w:val="fr-FR"/>
        </w:rPr>
        <w:t>2017</w:t>
      </w:r>
      <w:r w:rsidR="00794277" w:rsidRPr="000D6387">
        <w:rPr>
          <w:lang w:val="fr-FR"/>
        </w:rPr>
        <w:t>-</w:t>
      </w:r>
      <w:r w:rsidR="00794277" w:rsidRPr="00280912">
        <w:rPr>
          <w:lang w:val="fr-FR"/>
        </w:rPr>
        <w:t>2021</w:t>
      </w:r>
      <w:r w:rsidR="00794277" w:rsidRPr="000D6387">
        <w:rPr>
          <w:lang w:val="fr-FR"/>
        </w:rPr>
        <w:t xml:space="preserve"> a été mis en place par le Ministère de l</w:t>
      </w:r>
      <w:r w:rsidR="00BD12BA" w:rsidRPr="000D6387">
        <w:rPr>
          <w:lang w:val="fr-FR"/>
        </w:rPr>
        <w:t>’</w:t>
      </w:r>
      <w:r w:rsidR="00794277" w:rsidRPr="000D6387">
        <w:rPr>
          <w:lang w:val="fr-FR"/>
        </w:rPr>
        <w:t>intérieur aux fins de l</w:t>
      </w:r>
      <w:r w:rsidR="00BD12BA" w:rsidRPr="000D6387">
        <w:rPr>
          <w:lang w:val="fr-FR"/>
        </w:rPr>
        <w:t>’</w:t>
      </w:r>
      <w:r w:rsidR="00794277" w:rsidRPr="000D6387">
        <w:rPr>
          <w:lang w:val="fr-FR"/>
        </w:rPr>
        <w:t>exécution de l</w:t>
      </w:r>
      <w:r w:rsidR="00BD12BA" w:rsidRPr="000D6387">
        <w:rPr>
          <w:lang w:val="fr-FR"/>
        </w:rPr>
        <w:t>’</w:t>
      </w:r>
      <w:r w:rsidR="00794277" w:rsidRPr="000D6387">
        <w:rPr>
          <w:lang w:val="fr-FR"/>
        </w:rPr>
        <w:t>arrêté n</w:t>
      </w:r>
      <w:r w:rsidR="00794277" w:rsidRPr="000D6387">
        <w:rPr>
          <w:vertAlign w:val="superscript"/>
          <w:lang w:val="fr-FR"/>
        </w:rPr>
        <w:t>o</w:t>
      </w:r>
      <w:r w:rsidR="00794277" w:rsidRPr="000D6387">
        <w:rPr>
          <w:lang w:val="fr-FR"/>
        </w:rPr>
        <w:t xml:space="preserve"> </w:t>
      </w:r>
      <w:r w:rsidR="00794277" w:rsidRPr="00280912">
        <w:rPr>
          <w:lang w:val="fr-FR"/>
        </w:rPr>
        <w:t>226</w:t>
      </w:r>
      <w:r w:rsidR="00794277" w:rsidRPr="000D6387">
        <w:rPr>
          <w:lang w:val="fr-FR"/>
        </w:rPr>
        <w:t xml:space="preserve"> du </w:t>
      </w:r>
      <w:r w:rsidR="00794277" w:rsidRPr="00280912">
        <w:rPr>
          <w:lang w:val="fr-FR"/>
        </w:rPr>
        <w:t>18</w:t>
      </w:r>
      <w:r w:rsidR="00794277" w:rsidRPr="000D6387">
        <w:rPr>
          <w:lang w:val="fr-FR"/>
        </w:rPr>
        <w:t xml:space="preserve"> mars </w:t>
      </w:r>
      <w:r w:rsidR="00794277" w:rsidRPr="00280912">
        <w:rPr>
          <w:lang w:val="fr-FR"/>
        </w:rPr>
        <w:t>2019</w:t>
      </w:r>
      <w:r w:rsidR="00794277" w:rsidRPr="000D6387">
        <w:rPr>
          <w:lang w:val="fr-FR"/>
        </w:rPr>
        <w:t>, qui porte approbation du plan d</w:t>
      </w:r>
      <w:r w:rsidR="00BD12BA" w:rsidRPr="000D6387">
        <w:rPr>
          <w:lang w:val="fr-FR"/>
        </w:rPr>
        <w:t>’</w:t>
      </w:r>
      <w:r w:rsidR="00794277" w:rsidRPr="000D6387">
        <w:rPr>
          <w:lang w:val="fr-FR"/>
        </w:rPr>
        <w:t>action du Ministère relatif à la mise en œuvre de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852</w:t>
      </w:r>
      <w:r w:rsidR="00794277" w:rsidRPr="000D6387">
        <w:rPr>
          <w:lang w:val="fr-FR"/>
        </w:rPr>
        <w:t xml:space="preserve"> du </w:t>
      </w:r>
      <w:r w:rsidR="00794277" w:rsidRPr="00280912">
        <w:rPr>
          <w:lang w:val="fr-FR"/>
        </w:rPr>
        <w:t>30</w:t>
      </w:r>
      <w:r w:rsidR="00794277" w:rsidRPr="000D6387">
        <w:rPr>
          <w:lang w:val="fr-FR"/>
        </w:rPr>
        <w:t xml:space="preserve"> décembre </w:t>
      </w:r>
      <w:r w:rsidR="00794277" w:rsidRPr="00280912">
        <w:rPr>
          <w:lang w:val="fr-FR"/>
        </w:rPr>
        <w:t>2017</w:t>
      </w:r>
      <w:r w:rsidR="00794277" w:rsidRPr="000D6387">
        <w:rPr>
          <w:lang w:val="fr-FR"/>
        </w:rPr>
        <w:t xml:space="preserve"> concernant l</w:t>
      </w:r>
      <w:r w:rsidR="00BD12BA" w:rsidRPr="000D6387">
        <w:rPr>
          <w:lang w:val="fr-FR"/>
        </w:rPr>
        <w:t>’</w:t>
      </w:r>
      <w:r w:rsidR="00794277" w:rsidRPr="000D6387">
        <w:rPr>
          <w:lang w:val="fr-FR"/>
        </w:rPr>
        <w:t>élimination de l</w:t>
      </w:r>
      <w:r w:rsidR="00BD12BA" w:rsidRPr="000D6387">
        <w:rPr>
          <w:lang w:val="fr-FR"/>
        </w:rPr>
        <w:t>’</w:t>
      </w:r>
      <w:r w:rsidR="00794277" w:rsidRPr="000D6387">
        <w:rPr>
          <w:lang w:val="fr-FR"/>
        </w:rPr>
        <w:t xml:space="preserve">infection à VIH. </w:t>
      </w:r>
    </w:p>
    <w:p w14:paraId="10AC9D0A" w14:textId="57500A9F" w:rsidR="00794277" w:rsidRPr="000D6387" w:rsidRDefault="007F1722" w:rsidP="00794277">
      <w:pPr>
        <w:pStyle w:val="SingleTxt"/>
        <w:rPr>
          <w:lang w:val="fr-FR"/>
        </w:rPr>
      </w:pPr>
      <w:r w:rsidRPr="000D6387">
        <w:rPr>
          <w:lang w:val="fr-FR"/>
        </w:rPr>
        <w:tab/>
      </w:r>
      <w:r w:rsidR="00794277" w:rsidRPr="000D6387">
        <w:rPr>
          <w:lang w:val="fr-FR"/>
        </w:rPr>
        <w:t>Ce plan prévoit notamment que le personnel de direction des organes de l</w:t>
      </w:r>
      <w:r w:rsidR="00BD12BA" w:rsidRPr="000D6387">
        <w:rPr>
          <w:lang w:val="fr-FR"/>
        </w:rPr>
        <w:t>’</w:t>
      </w:r>
      <w:r w:rsidR="00794277" w:rsidRPr="000D6387">
        <w:rPr>
          <w:lang w:val="fr-FR"/>
        </w:rPr>
        <w:t>intérieur suive des programmes de formation puis soit intégré dans un cursus d</w:t>
      </w:r>
      <w:r w:rsidR="00BD12BA" w:rsidRPr="000D6387">
        <w:rPr>
          <w:lang w:val="fr-FR"/>
        </w:rPr>
        <w:t>’</w:t>
      </w:r>
      <w:r w:rsidR="00794277" w:rsidRPr="000D6387">
        <w:rPr>
          <w:lang w:val="fr-FR"/>
        </w:rPr>
        <w:t>enseignement de l</w:t>
      </w:r>
      <w:r w:rsidR="00BD12BA" w:rsidRPr="000D6387">
        <w:rPr>
          <w:lang w:val="fr-FR"/>
        </w:rPr>
        <w:t>’</w:t>
      </w:r>
      <w:r w:rsidR="00794277" w:rsidRPr="000D6387">
        <w:rPr>
          <w:lang w:val="fr-FR"/>
        </w:rPr>
        <w:t>Académie du Ministère de l</w:t>
      </w:r>
      <w:r w:rsidR="00BD12BA" w:rsidRPr="000D6387">
        <w:rPr>
          <w:lang w:val="fr-FR"/>
        </w:rPr>
        <w:t>’</w:t>
      </w:r>
      <w:r w:rsidR="00794277" w:rsidRPr="000D6387">
        <w:rPr>
          <w:lang w:val="fr-FR"/>
        </w:rPr>
        <w:t xml:space="preserve">intérieur axé sur des thèmes tels que la prévention du VIH et de la violence fondée sur le genre, et que les activités de la police soient évaluées sur la base de nouveaux critères. </w:t>
      </w:r>
    </w:p>
    <w:p w14:paraId="491150A4" w14:textId="67D3C75A" w:rsidR="00794277" w:rsidRPr="000D6387" w:rsidRDefault="007F1722" w:rsidP="00794277">
      <w:pPr>
        <w:pStyle w:val="SingleTxt"/>
        <w:rPr>
          <w:lang w:val="fr-FR"/>
        </w:rPr>
      </w:pPr>
      <w:r w:rsidRPr="000D6387">
        <w:rPr>
          <w:lang w:val="fr-FR"/>
        </w:rPr>
        <w:tab/>
      </w:r>
      <w:r w:rsidR="00794277" w:rsidRPr="000D6387">
        <w:rPr>
          <w:lang w:val="fr-FR"/>
        </w:rPr>
        <w:t xml:space="preserve">Tout au long de </w:t>
      </w:r>
      <w:r w:rsidR="00794277" w:rsidRPr="00280912">
        <w:rPr>
          <w:lang w:val="fr-FR"/>
        </w:rPr>
        <w:t>2019</w:t>
      </w:r>
      <w:r w:rsidR="00794277" w:rsidRPr="000D6387">
        <w:rPr>
          <w:lang w:val="fr-FR"/>
        </w:rPr>
        <w:t xml:space="preserve">, dans le cadre de </w:t>
      </w:r>
      <w:r w:rsidR="00794277" w:rsidRPr="00280912">
        <w:rPr>
          <w:lang w:val="fr-FR"/>
        </w:rPr>
        <w:t>166</w:t>
      </w:r>
      <w:r w:rsidR="00794277" w:rsidRPr="000D6387">
        <w:rPr>
          <w:lang w:val="fr-FR"/>
        </w:rPr>
        <w:t xml:space="preserve"> activités relatives à la prévention du VIH/sida (</w:t>
      </w:r>
      <w:r w:rsidR="00794277" w:rsidRPr="00280912">
        <w:rPr>
          <w:lang w:val="fr-FR"/>
        </w:rPr>
        <w:t>175</w:t>
      </w:r>
      <w:r w:rsidR="00794277" w:rsidRPr="000D6387">
        <w:rPr>
          <w:lang w:val="fr-FR"/>
        </w:rPr>
        <w:t xml:space="preserve"> en </w:t>
      </w:r>
      <w:r w:rsidR="00794277" w:rsidRPr="00280912">
        <w:rPr>
          <w:lang w:val="fr-FR"/>
        </w:rPr>
        <w:t>2018</w:t>
      </w:r>
      <w:r w:rsidR="00794277" w:rsidRPr="000D6387">
        <w:rPr>
          <w:lang w:val="fr-FR"/>
        </w:rPr>
        <w:t xml:space="preserve">), </w:t>
      </w:r>
      <w:r w:rsidR="00794277" w:rsidRPr="00280912">
        <w:rPr>
          <w:lang w:val="fr-FR"/>
        </w:rPr>
        <w:t>292</w:t>
      </w:r>
      <w:r w:rsidR="00794277" w:rsidRPr="000D6387">
        <w:rPr>
          <w:lang w:val="fr-FR"/>
        </w:rPr>
        <w:t xml:space="preserve"> usagers de drogues et personnes dépendantes (</w:t>
      </w:r>
      <w:r w:rsidR="00794277" w:rsidRPr="00280912">
        <w:rPr>
          <w:lang w:val="fr-FR"/>
        </w:rPr>
        <w:t>162</w:t>
      </w:r>
      <w:r w:rsidR="00794277" w:rsidRPr="000D6387">
        <w:rPr>
          <w:lang w:val="fr-FR"/>
        </w:rPr>
        <w:t xml:space="preserve"> en </w:t>
      </w:r>
      <w:r w:rsidR="00794277" w:rsidRPr="00280912">
        <w:rPr>
          <w:lang w:val="fr-FR"/>
        </w:rPr>
        <w:t>2018</w:t>
      </w:r>
      <w:r w:rsidR="00794277" w:rsidRPr="000D6387">
        <w:rPr>
          <w:lang w:val="fr-FR"/>
        </w:rPr>
        <w:t>) ont été informés de l</w:t>
      </w:r>
      <w:r w:rsidR="00BD12BA" w:rsidRPr="000D6387">
        <w:rPr>
          <w:lang w:val="fr-FR"/>
        </w:rPr>
        <w:t>’</w:t>
      </w:r>
      <w:r w:rsidR="00794277" w:rsidRPr="000D6387">
        <w:rPr>
          <w:lang w:val="fr-FR"/>
        </w:rPr>
        <w:t>existence d</w:t>
      </w:r>
      <w:r w:rsidR="00BD12BA" w:rsidRPr="000D6387">
        <w:rPr>
          <w:lang w:val="fr-FR"/>
        </w:rPr>
        <w:t>’</w:t>
      </w:r>
      <w:r w:rsidR="00794277" w:rsidRPr="000D6387">
        <w:rPr>
          <w:lang w:val="fr-FR"/>
        </w:rPr>
        <w:t>établissements dispensant des soins sur la base de l</w:t>
      </w:r>
      <w:r w:rsidR="00BD12BA" w:rsidRPr="000D6387">
        <w:rPr>
          <w:lang w:val="fr-FR"/>
        </w:rPr>
        <w:t>’</w:t>
      </w:r>
      <w:r w:rsidR="00794277" w:rsidRPr="000D6387">
        <w:rPr>
          <w:lang w:val="fr-FR"/>
        </w:rPr>
        <w:t>anonymat des patients.</w:t>
      </w:r>
    </w:p>
    <w:p w14:paraId="384F6C69" w14:textId="393A75D7" w:rsidR="00794277" w:rsidRPr="000D6387" w:rsidRDefault="007F1722" w:rsidP="00794277">
      <w:pPr>
        <w:pStyle w:val="SingleTxt"/>
        <w:rPr>
          <w:lang w:val="fr-FR"/>
        </w:rPr>
      </w:pPr>
      <w:r w:rsidRPr="000D6387">
        <w:rPr>
          <w:lang w:val="fr-FR"/>
        </w:rPr>
        <w:tab/>
      </w:r>
      <w:r w:rsidR="00794277" w:rsidRPr="000D6387">
        <w:rPr>
          <w:lang w:val="fr-FR"/>
        </w:rPr>
        <w:t xml:space="preserve">En coopération avec des organisations non gouvernementales, </w:t>
      </w:r>
      <w:r w:rsidR="00794277" w:rsidRPr="00280912">
        <w:rPr>
          <w:lang w:val="fr-FR"/>
        </w:rPr>
        <w:t>81</w:t>
      </w:r>
      <w:r w:rsidR="00794277" w:rsidRPr="000D6387">
        <w:rPr>
          <w:lang w:val="fr-FR"/>
        </w:rPr>
        <w:t xml:space="preserve"> séminaires de formation (</w:t>
      </w:r>
      <w:r w:rsidR="00794277" w:rsidRPr="00280912">
        <w:rPr>
          <w:lang w:val="fr-FR"/>
        </w:rPr>
        <w:t>79</w:t>
      </w:r>
      <w:r w:rsidR="00794277" w:rsidRPr="000D6387">
        <w:rPr>
          <w:lang w:val="fr-FR"/>
        </w:rPr>
        <w:t xml:space="preserve"> en </w:t>
      </w:r>
      <w:r w:rsidR="00794277" w:rsidRPr="00280912">
        <w:rPr>
          <w:lang w:val="fr-FR"/>
        </w:rPr>
        <w:t>2018</w:t>
      </w:r>
      <w:r w:rsidR="00794277" w:rsidRPr="000D6387">
        <w:rPr>
          <w:lang w:val="fr-FR"/>
        </w:rPr>
        <w:t>) ont été organisés à l</w:t>
      </w:r>
      <w:r w:rsidR="00BD12BA" w:rsidRPr="000D6387">
        <w:rPr>
          <w:lang w:val="fr-FR"/>
        </w:rPr>
        <w:t>’</w:t>
      </w:r>
      <w:r w:rsidR="00794277" w:rsidRPr="000D6387">
        <w:rPr>
          <w:lang w:val="fr-FR"/>
        </w:rPr>
        <w:t>intention du personnel des organes de l</w:t>
      </w:r>
      <w:r w:rsidR="00BD12BA" w:rsidRPr="000D6387">
        <w:rPr>
          <w:lang w:val="fr-FR"/>
        </w:rPr>
        <w:t>’</w:t>
      </w:r>
      <w:r w:rsidR="00794277" w:rsidRPr="000D6387">
        <w:rPr>
          <w:lang w:val="fr-FR"/>
        </w:rPr>
        <w:t xml:space="preserve">intérieur, et </w:t>
      </w:r>
      <w:r w:rsidR="00794277" w:rsidRPr="00280912">
        <w:rPr>
          <w:lang w:val="fr-FR"/>
        </w:rPr>
        <w:t>668</w:t>
      </w:r>
      <w:r w:rsidR="00794277" w:rsidRPr="000D6387">
        <w:rPr>
          <w:lang w:val="fr-FR"/>
        </w:rPr>
        <w:t xml:space="preserve"> conférences ouvertes au public ont eu lieu (</w:t>
      </w:r>
      <w:r w:rsidR="00794277" w:rsidRPr="00280912">
        <w:rPr>
          <w:lang w:val="fr-FR"/>
        </w:rPr>
        <w:t>612</w:t>
      </w:r>
      <w:r w:rsidR="00794277" w:rsidRPr="000D6387">
        <w:rPr>
          <w:lang w:val="fr-FR"/>
        </w:rPr>
        <w:t xml:space="preserve"> en </w:t>
      </w:r>
      <w:r w:rsidR="00794277" w:rsidRPr="00280912">
        <w:rPr>
          <w:lang w:val="fr-FR"/>
        </w:rPr>
        <w:t>2018</w:t>
      </w:r>
      <w:r w:rsidR="00794277" w:rsidRPr="000D6387">
        <w:rPr>
          <w:lang w:val="fr-FR"/>
        </w:rPr>
        <w:t>).</w:t>
      </w:r>
    </w:p>
    <w:p w14:paraId="59FEC0E6" w14:textId="4A3A2F00" w:rsidR="00794277" w:rsidRPr="000D6387" w:rsidRDefault="007F1722" w:rsidP="00794277">
      <w:pPr>
        <w:pStyle w:val="SingleTxt"/>
        <w:rPr>
          <w:lang w:val="fr-FR"/>
        </w:rPr>
      </w:pPr>
      <w:r w:rsidRPr="000D6387">
        <w:rPr>
          <w:lang w:val="fr-FR"/>
        </w:rPr>
        <w:tab/>
      </w:r>
      <w:r w:rsidR="00794277" w:rsidRPr="000D6387">
        <w:rPr>
          <w:lang w:val="fr-FR"/>
        </w:rPr>
        <w:t>La Direction sanitaire du Ministère de l</w:t>
      </w:r>
      <w:r w:rsidR="00BD12BA" w:rsidRPr="000D6387">
        <w:rPr>
          <w:lang w:val="fr-FR"/>
        </w:rPr>
        <w:t>’</w:t>
      </w:r>
      <w:r w:rsidR="00794277" w:rsidRPr="000D6387">
        <w:rPr>
          <w:lang w:val="fr-FR"/>
        </w:rPr>
        <w:t>intérieur a procédé à un examen de détection de l</w:t>
      </w:r>
      <w:r w:rsidR="00BD12BA" w:rsidRPr="000D6387">
        <w:rPr>
          <w:lang w:val="fr-FR"/>
        </w:rPr>
        <w:t>’</w:t>
      </w:r>
      <w:r w:rsidR="00794277" w:rsidRPr="000D6387">
        <w:rPr>
          <w:lang w:val="fr-FR"/>
        </w:rPr>
        <w:t xml:space="preserve">infection à VIH chez </w:t>
      </w:r>
      <w:r w:rsidR="00794277" w:rsidRPr="00280912">
        <w:rPr>
          <w:lang w:val="fr-FR"/>
        </w:rPr>
        <w:t>109</w:t>
      </w:r>
      <w:r w:rsidR="00794277" w:rsidRPr="000D6387">
        <w:rPr>
          <w:lang w:val="fr-FR"/>
        </w:rPr>
        <w:t xml:space="preserve"> personnes d</w:t>
      </w:r>
      <w:r w:rsidR="00BD12BA" w:rsidRPr="000D6387">
        <w:rPr>
          <w:lang w:val="fr-FR"/>
        </w:rPr>
        <w:t>’</w:t>
      </w:r>
      <w:r w:rsidR="00794277" w:rsidRPr="000D6387">
        <w:rPr>
          <w:lang w:val="fr-FR"/>
        </w:rPr>
        <w:t>un groupe déterminé (travailleurs médicaux), pour lesquelles les résultats du test ont été négatifs.</w:t>
      </w:r>
    </w:p>
    <w:p w14:paraId="1D3B1FB5" w14:textId="22E5F77F" w:rsidR="00794277" w:rsidRPr="000D6387" w:rsidRDefault="007F1722" w:rsidP="00794277">
      <w:pPr>
        <w:pStyle w:val="SingleTxt"/>
        <w:rPr>
          <w:lang w:val="fr-FR"/>
        </w:rPr>
      </w:pPr>
      <w:r w:rsidRPr="000D6387">
        <w:rPr>
          <w:lang w:val="fr-FR"/>
        </w:rPr>
        <w:tab/>
      </w:r>
      <w:r w:rsidR="00794277" w:rsidRPr="000D6387">
        <w:rPr>
          <w:lang w:val="fr-FR"/>
        </w:rPr>
        <w:t xml:space="preserve">Les médecins attachés à la Direction sanitaire ont donné </w:t>
      </w:r>
      <w:r w:rsidR="00794277" w:rsidRPr="00280912">
        <w:rPr>
          <w:lang w:val="fr-FR"/>
        </w:rPr>
        <w:t>10</w:t>
      </w:r>
      <w:r w:rsidR="00794277" w:rsidRPr="000D6387">
        <w:rPr>
          <w:lang w:val="fr-FR"/>
        </w:rPr>
        <w:t xml:space="preserve"> conférences à l</w:t>
      </w:r>
      <w:r w:rsidR="00BD12BA" w:rsidRPr="000D6387">
        <w:rPr>
          <w:lang w:val="fr-FR"/>
        </w:rPr>
        <w:t>’</w:t>
      </w:r>
      <w:r w:rsidR="00794277" w:rsidRPr="000D6387">
        <w:rPr>
          <w:lang w:val="fr-FR"/>
        </w:rPr>
        <w:t xml:space="preserve">intention du personnel des différents groupes des services ministériels et ont dispensé une formation aux premiers secours à </w:t>
      </w:r>
      <w:r w:rsidR="00794277" w:rsidRPr="00280912">
        <w:rPr>
          <w:lang w:val="fr-FR"/>
        </w:rPr>
        <w:t>240</w:t>
      </w:r>
      <w:r w:rsidR="00794277" w:rsidRPr="000D6387">
        <w:rPr>
          <w:lang w:val="fr-FR"/>
        </w:rPr>
        <w:t xml:space="preserve"> fonctionnaires.</w:t>
      </w:r>
    </w:p>
    <w:p w14:paraId="003C28AB" w14:textId="31852DBD" w:rsidR="00794277" w:rsidRPr="000D6387" w:rsidRDefault="007F1722" w:rsidP="00794277">
      <w:pPr>
        <w:pStyle w:val="SingleTxt"/>
        <w:rPr>
          <w:lang w:val="fr-FR"/>
        </w:rPr>
      </w:pPr>
      <w:r w:rsidRPr="000D6387">
        <w:rPr>
          <w:lang w:val="fr-FR"/>
        </w:rPr>
        <w:tab/>
      </w:r>
      <w:r w:rsidR="00794277" w:rsidRPr="000D6387">
        <w:rPr>
          <w:lang w:val="fr-FR"/>
        </w:rPr>
        <w:t>Les services médicaux relevant de la Direction sanitaire s</w:t>
      </w:r>
      <w:r w:rsidR="00BD12BA" w:rsidRPr="000D6387">
        <w:rPr>
          <w:lang w:val="fr-FR"/>
        </w:rPr>
        <w:t>’</w:t>
      </w:r>
      <w:r w:rsidR="00794277" w:rsidRPr="000D6387">
        <w:rPr>
          <w:lang w:val="fr-FR"/>
        </w:rPr>
        <w:t>emploient à contrôler le respect des normes de stérilisation qui président à la collecte, au stockage et à l</w:t>
      </w:r>
      <w:r w:rsidR="00BD12BA" w:rsidRPr="000D6387">
        <w:rPr>
          <w:lang w:val="fr-FR"/>
        </w:rPr>
        <w:t>’</w:t>
      </w:r>
      <w:r w:rsidR="00794277" w:rsidRPr="000D6387">
        <w:rPr>
          <w:lang w:val="fr-FR"/>
        </w:rPr>
        <w:t>élimination des pièces de matériel médical à usage unique.</w:t>
      </w:r>
    </w:p>
    <w:p w14:paraId="1EF0C74B" w14:textId="29AF1094" w:rsidR="00794277" w:rsidRPr="000D6387" w:rsidRDefault="007F1722" w:rsidP="00794277">
      <w:pPr>
        <w:pStyle w:val="SingleTxt"/>
        <w:rPr>
          <w:lang w:val="fr-FR"/>
        </w:rPr>
      </w:pPr>
      <w:r w:rsidRPr="000D6387">
        <w:rPr>
          <w:lang w:val="fr-FR"/>
        </w:rPr>
        <w:tab/>
      </w:r>
      <w:r w:rsidR="00794277" w:rsidRPr="000D6387">
        <w:rPr>
          <w:lang w:val="fr-FR"/>
        </w:rPr>
        <w:t xml:space="preserve">Actuellement, </w:t>
      </w:r>
      <w:r w:rsidR="00794277" w:rsidRPr="00280912">
        <w:rPr>
          <w:lang w:val="fr-FR"/>
        </w:rPr>
        <w:t>71</w:t>
      </w:r>
      <w:r w:rsidR="00794277" w:rsidRPr="000D6387">
        <w:rPr>
          <w:lang w:val="fr-FR"/>
        </w:rPr>
        <w:t>,</w:t>
      </w:r>
      <w:r w:rsidR="00794277" w:rsidRPr="00280912">
        <w:rPr>
          <w:lang w:val="fr-FR"/>
        </w:rPr>
        <w:t>5</w:t>
      </w:r>
      <w:r w:rsidR="005D4517" w:rsidRPr="000D6387">
        <w:rPr>
          <w:lang w:val="fr-FR"/>
        </w:rPr>
        <w:t> %</w:t>
      </w:r>
      <w:r w:rsidR="00794277" w:rsidRPr="000D6387">
        <w:rPr>
          <w:lang w:val="fr-FR"/>
        </w:rPr>
        <w:t xml:space="preserve"> des unités administratives des services de l</w:t>
      </w:r>
      <w:r w:rsidR="00BD12BA" w:rsidRPr="000D6387">
        <w:rPr>
          <w:lang w:val="fr-FR"/>
        </w:rPr>
        <w:t>’</w:t>
      </w:r>
      <w:r w:rsidR="00794277" w:rsidRPr="000D6387">
        <w:rPr>
          <w:lang w:val="fr-FR"/>
        </w:rPr>
        <w:t>intérieur sont équipées de trousses de premiers soins leur permettant de parer à un contact accidentel avec une substance biologique ou des personnes vivant avec le VIH/sida.</w:t>
      </w:r>
    </w:p>
    <w:p w14:paraId="161A514E" w14:textId="0F095693" w:rsidR="00794277" w:rsidRPr="000D6387" w:rsidRDefault="007F1722" w:rsidP="00794277">
      <w:pPr>
        <w:pStyle w:val="SingleTxt"/>
        <w:rPr>
          <w:lang w:val="fr-FR"/>
        </w:rPr>
      </w:pPr>
      <w:r w:rsidRPr="000D6387">
        <w:rPr>
          <w:lang w:val="fr-FR"/>
        </w:rPr>
        <w:tab/>
      </w:r>
      <w:r w:rsidR="00794277" w:rsidRPr="000D6387">
        <w:rPr>
          <w:lang w:val="fr-FR"/>
        </w:rPr>
        <w:t>La formation sur la directive relative aux efforts de prévention de l</w:t>
      </w:r>
      <w:r w:rsidR="00BD12BA" w:rsidRPr="000D6387">
        <w:rPr>
          <w:lang w:val="fr-FR"/>
        </w:rPr>
        <w:t>’</w:t>
      </w:r>
      <w:r w:rsidR="00794277" w:rsidRPr="000D6387">
        <w:rPr>
          <w:lang w:val="fr-FR"/>
        </w:rPr>
        <w:t>infection à VIH menés par les services compétents des affaires intérieures, sur le contrôle des drogues et sur l</w:t>
      </w:r>
      <w:r w:rsidR="00BD12BA" w:rsidRPr="000D6387">
        <w:rPr>
          <w:lang w:val="fr-FR"/>
        </w:rPr>
        <w:t>’</w:t>
      </w:r>
      <w:r w:rsidR="00794277" w:rsidRPr="000D6387">
        <w:rPr>
          <w:lang w:val="fr-FR"/>
        </w:rPr>
        <w:t xml:space="preserve">exécution des peines a été dispensée à </w:t>
      </w:r>
      <w:r w:rsidR="00794277" w:rsidRPr="00280912">
        <w:rPr>
          <w:lang w:val="fr-FR"/>
        </w:rPr>
        <w:t>77</w:t>
      </w:r>
      <w:r w:rsidR="00794277" w:rsidRPr="000D6387">
        <w:rPr>
          <w:lang w:val="fr-FR"/>
        </w:rPr>
        <w:t>,</w:t>
      </w:r>
      <w:r w:rsidR="00794277" w:rsidRPr="00280912">
        <w:rPr>
          <w:lang w:val="fr-FR"/>
        </w:rPr>
        <w:t>6</w:t>
      </w:r>
      <w:r w:rsidR="005D4517" w:rsidRPr="000D6387">
        <w:rPr>
          <w:lang w:val="fr-FR"/>
        </w:rPr>
        <w:t> %</w:t>
      </w:r>
      <w:r w:rsidR="00794277" w:rsidRPr="000D6387">
        <w:rPr>
          <w:lang w:val="fr-FR"/>
        </w:rPr>
        <w:t xml:space="preserve"> du personnel des organes de l</w:t>
      </w:r>
      <w:r w:rsidR="00BD12BA" w:rsidRPr="000D6387">
        <w:rPr>
          <w:lang w:val="fr-FR"/>
        </w:rPr>
        <w:t>’</w:t>
      </w:r>
      <w:r w:rsidR="00794277" w:rsidRPr="000D6387">
        <w:rPr>
          <w:lang w:val="fr-FR"/>
        </w:rPr>
        <w:t>intérieur.</w:t>
      </w:r>
    </w:p>
    <w:p w14:paraId="0AADE306" w14:textId="01BA894B" w:rsidR="00794277" w:rsidRPr="000D6387" w:rsidRDefault="007F1722" w:rsidP="00794277">
      <w:pPr>
        <w:pStyle w:val="SingleTxt"/>
        <w:rPr>
          <w:lang w:val="fr-FR"/>
        </w:rPr>
      </w:pPr>
      <w:r w:rsidRPr="000D6387">
        <w:rPr>
          <w:lang w:val="fr-FR"/>
        </w:rPr>
        <w:tab/>
      </w:r>
      <w:r w:rsidR="00794277" w:rsidRPr="000D6387">
        <w:rPr>
          <w:lang w:val="fr-FR"/>
        </w:rPr>
        <w:t>L</w:t>
      </w:r>
      <w:r w:rsidR="00BD12BA" w:rsidRPr="000D6387">
        <w:rPr>
          <w:lang w:val="fr-FR"/>
        </w:rPr>
        <w:t>’</w:t>
      </w:r>
      <w:r w:rsidR="00794277" w:rsidRPr="000D6387">
        <w:rPr>
          <w:lang w:val="fr-FR"/>
        </w:rPr>
        <w:t>arrêté n</w:t>
      </w:r>
      <w:r w:rsidR="00794277" w:rsidRPr="000D6387">
        <w:rPr>
          <w:vertAlign w:val="superscript"/>
          <w:lang w:val="fr-FR"/>
        </w:rPr>
        <w:t>o</w:t>
      </w:r>
      <w:r w:rsidR="00794277" w:rsidRPr="000D6387">
        <w:rPr>
          <w:lang w:val="fr-FR"/>
        </w:rPr>
        <w:t xml:space="preserve"> </w:t>
      </w:r>
      <w:r w:rsidR="00794277" w:rsidRPr="00280912">
        <w:rPr>
          <w:lang w:val="fr-FR"/>
        </w:rPr>
        <w:t>602</w:t>
      </w:r>
      <w:r w:rsidR="00794277" w:rsidRPr="000D6387">
        <w:rPr>
          <w:lang w:val="fr-FR"/>
        </w:rPr>
        <w:t xml:space="preserve"> du Ministère de l</w:t>
      </w:r>
      <w:r w:rsidR="00BD12BA" w:rsidRPr="000D6387">
        <w:rPr>
          <w:lang w:val="fr-FR"/>
        </w:rPr>
        <w:t>’</w:t>
      </w:r>
      <w:r w:rsidR="00794277" w:rsidRPr="000D6387">
        <w:rPr>
          <w:lang w:val="fr-FR"/>
        </w:rPr>
        <w:t xml:space="preserve">intérieur, daté du </w:t>
      </w:r>
      <w:r w:rsidR="00794277" w:rsidRPr="00280912">
        <w:rPr>
          <w:lang w:val="fr-FR"/>
        </w:rPr>
        <w:t>11</w:t>
      </w:r>
      <w:r w:rsidR="00794277" w:rsidRPr="000D6387">
        <w:rPr>
          <w:lang w:val="fr-FR"/>
        </w:rPr>
        <w:t xml:space="preserve"> juillet </w:t>
      </w:r>
      <w:r w:rsidR="00794277" w:rsidRPr="00280912">
        <w:rPr>
          <w:lang w:val="fr-FR"/>
        </w:rPr>
        <w:t>2019</w:t>
      </w:r>
      <w:r w:rsidR="00794277" w:rsidRPr="000D6387">
        <w:rPr>
          <w:lang w:val="fr-FR"/>
        </w:rPr>
        <w:t>, pris pour assurer l</w:t>
      </w:r>
      <w:r w:rsidR="00BD12BA" w:rsidRPr="000D6387">
        <w:rPr>
          <w:lang w:val="fr-FR"/>
        </w:rPr>
        <w:t>’</w:t>
      </w:r>
      <w:r w:rsidR="00794277" w:rsidRPr="000D6387">
        <w:rPr>
          <w:lang w:val="fr-FR"/>
        </w:rPr>
        <w:t>application effective des instruments normatifs et des dispositions ministérielles susmentionnés, prévoit la tenue de stages de formation à l</w:t>
      </w:r>
      <w:r w:rsidR="00BD12BA" w:rsidRPr="000D6387">
        <w:rPr>
          <w:lang w:val="fr-FR"/>
        </w:rPr>
        <w:t>’</w:t>
      </w:r>
      <w:r w:rsidR="00794277" w:rsidRPr="000D6387">
        <w:rPr>
          <w:lang w:val="fr-FR"/>
        </w:rPr>
        <w:t xml:space="preserve">intention de </w:t>
      </w:r>
      <w:r w:rsidR="00794277" w:rsidRPr="00280912">
        <w:rPr>
          <w:lang w:val="fr-FR"/>
        </w:rPr>
        <w:t>104</w:t>
      </w:r>
      <w:r w:rsidR="00794277" w:rsidRPr="000D6387">
        <w:rPr>
          <w:lang w:val="fr-FR"/>
        </w:rPr>
        <w:t xml:space="preserve"> membres du personnel des divers services et organismes régionaux du Ministère de l</w:t>
      </w:r>
      <w:r w:rsidR="00BD12BA" w:rsidRPr="000D6387">
        <w:rPr>
          <w:lang w:val="fr-FR"/>
        </w:rPr>
        <w:t>’</w:t>
      </w:r>
      <w:r w:rsidR="00794277" w:rsidRPr="000D6387">
        <w:rPr>
          <w:lang w:val="fr-FR"/>
        </w:rPr>
        <w:t xml:space="preserve">intérieur. </w:t>
      </w:r>
    </w:p>
    <w:p w14:paraId="4BEB0DCF" w14:textId="0BD00BD9" w:rsidR="00794277" w:rsidRPr="000D6387" w:rsidRDefault="007F1722" w:rsidP="00794277">
      <w:pPr>
        <w:pStyle w:val="SingleTxt"/>
        <w:rPr>
          <w:lang w:val="fr-FR"/>
        </w:rPr>
      </w:pPr>
      <w:r w:rsidRPr="000D6387">
        <w:rPr>
          <w:lang w:val="fr-FR"/>
        </w:rPr>
        <w:tab/>
      </w:r>
      <w:r w:rsidR="00794277" w:rsidRPr="000D6387">
        <w:rPr>
          <w:lang w:val="fr-FR"/>
        </w:rPr>
        <w:t>Le Ministère de la santé a promulgué l</w:t>
      </w:r>
      <w:r w:rsidR="00BD12BA" w:rsidRPr="000D6387">
        <w:rPr>
          <w:lang w:val="fr-FR"/>
        </w:rPr>
        <w:t>’</w:t>
      </w:r>
      <w:r w:rsidR="00794277" w:rsidRPr="000D6387">
        <w:rPr>
          <w:lang w:val="fr-FR"/>
        </w:rPr>
        <w:t>ordonnance n</w:t>
      </w:r>
      <w:r w:rsidR="00794277" w:rsidRPr="000D6387">
        <w:rPr>
          <w:vertAlign w:val="superscript"/>
          <w:lang w:val="fr-FR"/>
        </w:rPr>
        <w:t>o</w:t>
      </w:r>
      <w:r w:rsidR="00794277" w:rsidRPr="000D6387">
        <w:rPr>
          <w:lang w:val="fr-FR"/>
        </w:rPr>
        <w:t xml:space="preserve"> </w:t>
      </w:r>
      <w:r w:rsidR="00794277" w:rsidRPr="00280912">
        <w:rPr>
          <w:lang w:val="fr-FR"/>
        </w:rPr>
        <w:t>945</w:t>
      </w:r>
      <w:r w:rsidR="00794277" w:rsidRPr="000D6387">
        <w:rPr>
          <w:lang w:val="fr-FR"/>
        </w:rPr>
        <w:t xml:space="preserve"> du </w:t>
      </w:r>
      <w:r w:rsidR="00794277" w:rsidRPr="00280912">
        <w:rPr>
          <w:lang w:val="fr-FR"/>
        </w:rPr>
        <w:t>4</w:t>
      </w:r>
      <w:r w:rsidR="00794277" w:rsidRPr="000D6387">
        <w:rPr>
          <w:lang w:val="fr-FR"/>
        </w:rPr>
        <w:t xml:space="preserve"> octobre </w:t>
      </w:r>
      <w:r w:rsidR="00794277" w:rsidRPr="00280912">
        <w:rPr>
          <w:lang w:val="fr-FR"/>
        </w:rPr>
        <w:t>2019</w:t>
      </w:r>
      <w:r w:rsidR="00794277" w:rsidRPr="000D6387">
        <w:rPr>
          <w:lang w:val="fr-FR"/>
        </w:rPr>
        <w:t>, qui fait suite à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493</w:t>
      </w:r>
      <w:r w:rsidR="00794277" w:rsidRPr="000D6387">
        <w:rPr>
          <w:lang w:val="fr-FR"/>
        </w:rPr>
        <w:t xml:space="preserve"> du </w:t>
      </w:r>
      <w:r w:rsidR="00794277" w:rsidRPr="00280912">
        <w:rPr>
          <w:lang w:val="fr-FR"/>
        </w:rPr>
        <w:t>19</w:t>
      </w:r>
      <w:r w:rsidR="00794277" w:rsidRPr="000D6387">
        <w:rPr>
          <w:lang w:val="fr-FR"/>
        </w:rPr>
        <w:t xml:space="preserve"> septembre </w:t>
      </w:r>
      <w:r w:rsidR="00794277" w:rsidRPr="00280912">
        <w:rPr>
          <w:lang w:val="fr-FR"/>
        </w:rPr>
        <w:t>2019</w:t>
      </w:r>
      <w:r w:rsidR="00794277" w:rsidRPr="000D6387">
        <w:rPr>
          <w:lang w:val="fr-FR"/>
        </w:rPr>
        <w:t xml:space="preserve"> relative au dispositif national d</w:t>
      </w:r>
      <w:r w:rsidR="00BD12BA" w:rsidRPr="000D6387">
        <w:rPr>
          <w:lang w:val="fr-FR"/>
        </w:rPr>
        <w:t>’</w:t>
      </w:r>
      <w:r w:rsidR="00794277" w:rsidRPr="000D6387">
        <w:rPr>
          <w:lang w:val="fr-FR"/>
        </w:rPr>
        <w:t>orientation des victimes de la traite des personnes. Cette ordonnance a été portée à l</w:t>
      </w:r>
      <w:r w:rsidR="00BD12BA" w:rsidRPr="000D6387">
        <w:rPr>
          <w:lang w:val="fr-FR"/>
        </w:rPr>
        <w:t>’</w:t>
      </w:r>
      <w:r w:rsidR="00794277" w:rsidRPr="000D6387">
        <w:rPr>
          <w:lang w:val="fr-FR"/>
        </w:rPr>
        <w:t>attention des responsables des établissements sanitaires à vocation préventive.</w:t>
      </w:r>
    </w:p>
    <w:p w14:paraId="137D939F" w14:textId="2934CDD5" w:rsidR="00794277" w:rsidRPr="000D6387" w:rsidRDefault="007F1722" w:rsidP="00794277">
      <w:pPr>
        <w:pStyle w:val="SingleTxt"/>
        <w:rPr>
          <w:lang w:val="fr-FR"/>
        </w:rPr>
      </w:pPr>
      <w:r w:rsidRPr="000D6387">
        <w:rPr>
          <w:lang w:val="fr-FR"/>
        </w:rPr>
        <w:tab/>
      </w:r>
      <w:r w:rsidR="00794277" w:rsidRPr="000D6387">
        <w:rPr>
          <w:lang w:val="fr-FR"/>
        </w:rPr>
        <w:t>Tous ces établissements sont dotés d</w:t>
      </w:r>
      <w:r w:rsidR="00BD12BA" w:rsidRPr="000D6387">
        <w:rPr>
          <w:lang w:val="fr-FR"/>
        </w:rPr>
        <w:t>’</w:t>
      </w:r>
      <w:r w:rsidR="00794277" w:rsidRPr="000D6387">
        <w:rPr>
          <w:lang w:val="fr-FR"/>
        </w:rPr>
        <w:t>un service d</w:t>
      </w:r>
      <w:r w:rsidR="00BD12BA" w:rsidRPr="000D6387">
        <w:rPr>
          <w:lang w:val="fr-FR"/>
        </w:rPr>
        <w:t>’</w:t>
      </w:r>
      <w:r w:rsidR="00794277" w:rsidRPr="000D6387">
        <w:rPr>
          <w:lang w:val="fr-FR"/>
        </w:rPr>
        <w:t>assistance téléphonique qui offre aux citoyens des prestations de conseil concernant les questions relatives à la traite des personnes</w:t>
      </w:r>
      <w:r w:rsidR="00BD12BA" w:rsidRPr="000D6387">
        <w:rPr>
          <w:lang w:val="fr-FR"/>
        </w:rPr>
        <w:t> ;</w:t>
      </w:r>
      <w:r w:rsidR="00794277" w:rsidRPr="000D6387">
        <w:rPr>
          <w:lang w:val="fr-FR"/>
        </w:rPr>
        <w:t xml:space="preserve"> ils organisent en outre des activités de sensibilisation pour prévenir ce phénomène et aider les personnes qui en ont été victimes.</w:t>
      </w:r>
    </w:p>
    <w:p w14:paraId="5394F0EF" w14:textId="22E33E38" w:rsidR="00794277" w:rsidRPr="000D6387" w:rsidRDefault="007F1722" w:rsidP="00794277">
      <w:pPr>
        <w:pStyle w:val="SingleTxt"/>
        <w:rPr>
          <w:lang w:val="fr-FR"/>
        </w:rPr>
      </w:pPr>
      <w:r w:rsidRPr="000D6387">
        <w:rPr>
          <w:lang w:val="fr-FR"/>
        </w:rPr>
        <w:tab/>
      </w:r>
      <w:r w:rsidR="00794277" w:rsidRPr="000D6387">
        <w:rPr>
          <w:lang w:val="fr-FR"/>
        </w:rPr>
        <w:t>Le programme étatique de garantie des prestations médicales et sanitaires prévoit la fourniture d</w:t>
      </w:r>
      <w:r w:rsidR="00BD12BA" w:rsidRPr="000D6387">
        <w:rPr>
          <w:lang w:val="fr-FR"/>
        </w:rPr>
        <w:t>’</w:t>
      </w:r>
      <w:r w:rsidR="00794277" w:rsidRPr="000D6387">
        <w:rPr>
          <w:lang w:val="fr-FR"/>
        </w:rPr>
        <w:t>une aide médicale aux personnes qui s</w:t>
      </w:r>
      <w:r w:rsidR="00BD12BA" w:rsidRPr="000D6387">
        <w:rPr>
          <w:lang w:val="fr-FR"/>
        </w:rPr>
        <w:t>’</w:t>
      </w:r>
      <w:r w:rsidR="00794277" w:rsidRPr="000D6387">
        <w:rPr>
          <w:lang w:val="fr-FR"/>
        </w:rPr>
        <w:t>adresseraient au personnel d</w:t>
      </w:r>
      <w:r w:rsidR="00BD12BA" w:rsidRPr="000D6387">
        <w:rPr>
          <w:lang w:val="fr-FR"/>
        </w:rPr>
        <w:t>’</w:t>
      </w:r>
      <w:r w:rsidR="00794277" w:rsidRPr="000D6387">
        <w:rPr>
          <w:lang w:val="fr-FR"/>
        </w:rPr>
        <w:t>un service de soins et la communication de l</w:t>
      </w:r>
      <w:r w:rsidR="00BD12BA" w:rsidRPr="000D6387">
        <w:rPr>
          <w:lang w:val="fr-FR"/>
        </w:rPr>
        <w:t>’</w:t>
      </w:r>
      <w:r w:rsidR="00794277" w:rsidRPr="000D6387">
        <w:rPr>
          <w:lang w:val="fr-FR"/>
        </w:rPr>
        <w:t xml:space="preserve">information aux autorités compétentes. </w:t>
      </w:r>
    </w:p>
    <w:p w14:paraId="13EBE72E" w14:textId="00AD593B" w:rsidR="00794277" w:rsidRPr="000D6387" w:rsidRDefault="007F1722" w:rsidP="00794277">
      <w:pPr>
        <w:pStyle w:val="SingleTxt"/>
        <w:rPr>
          <w:lang w:val="fr-FR"/>
        </w:rPr>
      </w:pPr>
      <w:r w:rsidRPr="000D6387">
        <w:rPr>
          <w:lang w:val="fr-FR"/>
        </w:rPr>
        <w:tab/>
      </w:r>
      <w:r w:rsidR="00794277" w:rsidRPr="000D6387">
        <w:rPr>
          <w:lang w:val="fr-FR"/>
        </w:rPr>
        <w:t xml:space="preserve">À la fin de </w:t>
      </w:r>
      <w:r w:rsidR="00794277" w:rsidRPr="00280912">
        <w:rPr>
          <w:lang w:val="fr-FR"/>
        </w:rPr>
        <w:t>2019</w:t>
      </w:r>
      <w:r w:rsidR="00794277" w:rsidRPr="000D6387">
        <w:rPr>
          <w:lang w:val="fr-FR"/>
        </w:rPr>
        <w:t>, aucun cas de traite n</w:t>
      </w:r>
      <w:r w:rsidR="00BD12BA" w:rsidRPr="000D6387">
        <w:rPr>
          <w:lang w:val="fr-FR"/>
        </w:rPr>
        <w:t>’</w:t>
      </w:r>
      <w:r w:rsidR="00794277" w:rsidRPr="000D6387">
        <w:rPr>
          <w:lang w:val="fr-FR"/>
        </w:rPr>
        <w:t>avait été signalé aux organisations sanitaires.</w:t>
      </w:r>
    </w:p>
    <w:p w14:paraId="5C1087D5" w14:textId="650662D0" w:rsidR="00794277" w:rsidRPr="000D6387" w:rsidRDefault="007F1722" w:rsidP="00794277">
      <w:pPr>
        <w:pStyle w:val="SingleTxt"/>
        <w:rPr>
          <w:lang w:val="fr-FR"/>
        </w:rPr>
      </w:pPr>
      <w:r w:rsidRPr="000D6387">
        <w:rPr>
          <w:lang w:val="fr-FR"/>
        </w:rPr>
        <w:tab/>
      </w:r>
      <w:r w:rsidR="00794277" w:rsidRPr="000D6387">
        <w:rPr>
          <w:lang w:val="fr-FR"/>
        </w:rPr>
        <w:t>Un protocole clinique élaboré à l</w:t>
      </w:r>
      <w:r w:rsidR="00BD12BA" w:rsidRPr="000D6387">
        <w:rPr>
          <w:lang w:val="fr-FR"/>
        </w:rPr>
        <w:t>’</w:t>
      </w:r>
      <w:r w:rsidR="00794277" w:rsidRPr="000D6387">
        <w:rPr>
          <w:lang w:val="fr-FR"/>
        </w:rPr>
        <w:t>usage du personnel de santé encadre l</w:t>
      </w:r>
      <w:r w:rsidR="00BD12BA" w:rsidRPr="000D6387">
        <w:rPr>
          <w:lang w:val="fr-FR"/>
        </w:rPr>
        <w:t>’</w:t>
      </w:r>
      <w:r w:rsidR="00794277" w:rsidRPr="000D6387">
        <w:rPr>
          <w:lang w:val="fr-FR"/>
        </w:rPr>
        <w:t>assistance médicale fournie aux victimes de violence sexuelle (arrêté n</w:t>
      </w:r>
      <w:r w:rsidR="00794277" w:rsidRPr="000D6387">
        <w:rPr>
          <w:vertAlign w:val="superscript"/>
          <w:lang w:val="fr-FR"/>
        </w:rPr>
        <w:t>o</w:t>
      </w:r>
      <w:r w:rsidR="00794277" w:rsidRPr="000D6387">
        <w:rPr>
          <w:lang w:val="fr-FR"/>
        </w:rPr>
        <w:t xml:space="preserve"> </w:t>
      </w:r>
      <w:r w:rsidR="00794277" w:rsidRPr="00280912">
        <w:rPr>
          <w:lang w:val="fr-FR"/>
        </w:rPr>
        <w:t>6</w:t>
      </w:r>
      <w:r w:rsidR="00794277" w:rsidRPr="000D6387">
        <w:rPr>
          <w:lang w:val="fr-FR"/>
        </w:rPr>
        <w:t xml:space="preserve"> du Ministère de la santé en date du </w:t>
      </w:r>
      <w:r w:rsidR="00794277" w:rsidRPr="00280912">
        <w:rPr>
          <w:lang w:val="fr-FR"/>
        </w:rPr>
        <w:t>10</w:t>
      </w:r>
      <w:r w:rsidR="00794277" w:rsidRPr="000D6387">
        <w:rPr>
          <w:lang w:val="fr-FR"/>
        </w:rPr>
        <w:t xml:space="preserve"> janvier </w:t>
      </w:r>
      <w:r w:rsidR="00794277" w:rsidRPr="00280912">
        <w:rPr>
          <w:lang w:val="fr-FR"/>
        </w:rPr>
        <w:t>2014</w:t>
      </w:r>
      <w:r w:rsidR="00BD12BA" w:rsidRPr="000D6387">
        <w:rPr>
          <w:lang w:val="fr-FR"/>
        </w:rPr>
        <w:t> ;</w:t>
      </w:r>
      <w:r w:rsidR="00794277" w:rsidRPr="000D6387">
        <w:rPr>
          <w:lang w:val="fr-FR"/>
        </w:rPr>
        <w:t xml:space="preserve"> y figurent des recommandations relatives à l</w:t>
      </w:r>
      <w:r w:rsidR="00BD12BA" w:rsidRPr="000D6387">
        <w:rPr>
          <w:lang w:val="fr-FR"/>
        </w:rPr>
        <w:t>’</w:t>
      </w:r>
      <w:r w:rsidR="00794277" w:rsidRPr="000D6387">
        <w:rPr>
          <w:lang w:val="fr-FR"/>
        </w:rPr>
        <w:t>examen médical, au nombre d</w:t>
      </w:r>
      <w:r w:rsidR="00BD12BA" w:rsidRPr="000D6387">
        <w:rPr>
          <w:lang w:val="fr-FR"/>
        </w:rPr>
        <w:t>’</w:t>
      </w:r>
      <w:r w:rsidR="00794277" w:rsidRPr="000D6387">
        <w:rPr>
          <w:lang w:val="fr-FR"/>
        </w:rPr>
        <w:t xml:space="preserve">interventions préconisé, à la prophylaxie des maladies sexuellement transmissibles (hépatite et VIH/sida), à la prévention des grossesses non désirées et au traitement à administrer aux victimes de violence sexuelle et, en particulier, de viol, après un conflit. </w:t>
      </w:r>
    </w:p>
    <w:p w14:paraId="0137D218" w14:textId="375F3040" w:rsidR="00794277" w:rsidRPr="000D6387" w:rsidRDefault="007F1722" w:rsidP="00794277">
      <w:pPr>
        <w:pStyle w:val="SingleTxt"/>
        <w:rPr>
          <w:lang w:val="fr-FR"/>
        </w:rPr>
      </w:pPr>
      <w:r w:rsidRPr="000D6387">
        <w:rPr>
          <w:lang w:val="fr-FR"/>
        </w:rPr>
        <w:tab/>
      </w:r>
      <w:r w:rsidR="00794277" w:rsidRPr="000D6387">
        <w:rPr>
          <w:lang w:val="fr-FR"/>
        </w:rPr>
        <w:t xml:space="preserve">Un guide clinique sur les grossesses et naissances précoces (traitant de la psychologie clinique et des aspects médico-sociaux et juridiques), élaboré en </w:t>
      </w:r>
      <w:r w:rsidR="00794277" w:rsidRPr="00280912">
        <w:rPr>
          <w:lang w:val="fr-FR"/>
        </w:rPr>
        <w:t>2018</w:t>
      </w:r>
      <w:r w:rsidR="00794277" w:rsidRPr="000D6387">
        <w:rPr>
          <w:lang w:val="fr-FR"/>
        </w:rPr>
        <w:t>, fixe les règles de protection de l</w:t>
      </w:r>
      <w:r w:rsidR="00BD12BA" w:rsidRPr="000D6387">
        <w:rPr>
          <w:lang w:val="fr-FR"/>
        </w:rPr>
        <w:t>’</w:t>
      </w:r>
      <w:r w:rsidR="00794277" w:rsidRPr="000D6387">
        <w:rPr>
          <w:lang w:val="fr-FR"/>
        </w:rPr>
        <w:t>enfance contre la violence, dont les mariages et grossesses précoces.</w:t>
      </w:r>
    </w:p>
    <w:p w14:paraId="5583A2C8" w14:textId="2AC518A8" w:rsidR="00794277" w:rsidRPr="000D6387" w:rsidRDefault="007F1722" w:rsidP="00794277">
      <w:pPr>
        <w:pStyle w:val="SingleTxt"/>
        <w:rPr>
          <w:lang w:val="fr-FR"/>
        </w:rPr>
      </w:pPr>
      <w:r w:rsidRPr="000D6387">
        <w:rPr>
          <w:lang w:val="fr-FR"/>
        </w:rPr>
        <w:tab/>
      </w:r>
      <w:r w:rsidR="00794277" w:rsidRPr="000D6387">
        <w:rPr>
          <w:lang w:val="fr-FR"/>
        </w:rPr>
        <w:t>La prévention de la traite des personnes et la lutte contre ce phénomène ont été inscrites à titre de priorités dans la politique migratoire du Kirghizistan.</w:t>
      </w:r>
    </w:p>
    <w:p w14:paraId="3608B81C" w14:textId="664FB1AE" w:rsidR="00794277" w:rsidRPr="000D6387" w:rsidRDefault="007F1722" w:rsidP="00794277">
      <w:pPr>
        <w:pStyle w:val="SingleTxt"/>
        <w:rPr>
          <w:lang w:val="fr-FR"/>
        </w:rPr>
      </w:pPr>
      <w:r w:rsidRPr="000D6387">
        <w:rPr>
          <w:lang w:val="fr-FR"/>
        </w:rPr>
        <w:tab/>
      </w:r>
      <w:r w:rsidR="00794277" w:rsidRPr="000D6387">
        <w:rPr>
          <w:lang w:val="fr-FR"/>
        </w:rPr>
        <w:t>Le Gouvernement poursuit ses efforts pour systématiser et coordonner les mesures étatiques prises en matière de lutte contre la traite.</w:t>
      </w:r>
    </w:p>
    <w:p w14:paraId="078BED3B" w14:textId="53AEE91E" w:rsidR="00794277" w:rsidRPr="000D6387" w:rsidRDefault="007F1722" w:rsidP="00794277">
      <w:pPr>
        <w:pStyle w:val="SingleTxt"/>
        <w:rPr>
          <w:lang w:val="fr-FR"/>
        </w:rPr>
      </w:pPr>
      <w:r w:rsidRPr="000D6387">
        <w:rPr>
          <w:lang w:val="fr-FR"/>
        </w:rPr>
        <w:tab/>
      </w:r>
      <w:r w:rsidR="00794277" w:rsidRPr="000D6387">
        <w:rPr>
          <w:lang w:val="fr-FR"/>
        </w:rPr>
        <w:t>Depuis l</w:t>
      </w:r>
      <w:r w:rsidR="00BD12BA" w:rsidRPr="000D6387">
        <w:rPr>
          <w:lang w:val="fr-FR"/>
        </w:rPr>
        <w:t>’</w:t>
      </w:r>
      <w:r w:rsidR="00794277" w:rsidRPr="000D6387">
        <w:rPr>
          <w:lang w:val="fr-FR"/>
        </w:rPr>
        <w:t xml:space="preserve">adoption en </w:t>
      </w:r>
      <w:r w:rsidR="00794277" w:rsidRPr="00280912">
        <w:rPr>
          <w:lang w:val="fr-FR"/>
        </w:rPr>
        <w:t>2005</w:t>
      </w:r>
      <w:r w:rsidR="00794277" w:rsidRPr="000D6387">
        <w:rPr>
          <w:lang w:val="fr-FR"/>
        </w:rPr>
        <w:t xml:space="preserve"> de la loi sur la prévention et la lutte contre la traite des personnes, trois programmes de mesures ad hoc ont été adoptés et mis en œuvre (</w:t>
      </w:r>
      <w:r w:rsidR="00794277" w:rsidRPr="00280912">
        <w:rPr>
          <w:lang w:val="fr-FR"/>
        </w:rPr>
        <w:t>2002</w:t>
      </w:r>
      <w:r w:rsidR="00794277" w:rsidRPr="000D6387">
        <w:rPr>
          <w:lang w:val="fr-FR"/>
        </w:rPr>
        <w:t>-</w:t>
      </w:r>
      <w:r w:rsidR="00794277" w:rsidRPr="00280912">
        <w:rPr>
          <w:lang w:val="fr-FR"/>
        </w:rPr>
        <w:t>2005</w:t>
      </w:r>
      <w:r w:rsidR="00794277" w:rsidRPr="000D6387">
        <w:rPr>
          <w:lang w:val="fr-FR"/>
        </w:rPr>
        <w:t xml:space="preserve">, </w:t>
      </w:r>
      <w:r w:rsidR="00794277" w:rsidRPr="00280912">
        <w:rPr>
          <w:lang w:val="fr-FR"/>
        </w:rPr>
        <w:t>2008</w:t>
      </w:r>
      <w:r w:rsidR="00794277" w:rsidRPr="000D6387">
        <w:rPr>
          <w:lang w:val="fr-FR"/>
        </w:rPr>
        <w:t>-</w:t>
      </w:r>
      <w:r w:rsidR="00794277" w:rsidRPr="00280912">
        <w:rPr>
          <w:lang w:val="fr-FR"/>
        </w:rPr>
        <w:t>2011</w:t>
      </w:r>
      <w:r w:rsidR="00794277" w:rsidRPr="000D6387">
        <w:rPr>
          <w:lang w:val="fr-FR"/>
        </w:rPr>
        <w:t xml:space="preserve"> et </w:t>
      </w:r>
      <w:r w:rsidR="00794277" w:rsidRPr="00280912">
        <w:rPr>
          <w:lang w:val="fr-FR"/>
        </w:rPr>
        <w:t>2013</w:t>
      </w:r>
      <w:r w:rsidR="00794277" w:rsidRPr="000D6387">
        <w:rPr>
          <w:lang w:val="fr-FR"/>
        </w:rPr>
        <w:t>-</w:t>
      </w:r>
      <w:r w:rsidR="00794277" w:rsidRPr="00280912">
        <w:rPr>
          <w:lang w:val="fr-FR"/>
        </w:rPr>
        <w:t>2016</w:t>
      </w:r>
      <w:r w:rsidR="00794277" w:rsidRPr="000D6387">
        <w:rPr>
          <w:lang w:val="fr-FR"/>
        </w:rPr>
        <w:t>).</w:t>
      </w:r>
    </w:p>
    <w:p w14:paraId="1E18A8DB" w14:textId="32897A31" w:rsidR="00794277" w:rsidRPr="000D6387" w:rsidRDefault="007F1722" w:rsidP="00794277">
      <w:pPr>
        <w:pStyle w:val="SingleTxt"/>
        <w:rPr>
          <w:lang w:val="fr-FR"/>
        </w:rPr>
      </w:pPr>
      <w:r w:rsidRPr="000D6387">
        <w:rPr>
          <w:lang w:val="fr-FR"/>
        </w:rPr>
        <w:tab/>
      </w:r>
      <w:r w:rsidR="00794277" w:rsidRPr="000D6387">
        <w:rPr>
          <w:lang w:val="fr-FR"/>
        </w:rPr>
        <w:t xml:space="preserve">Le programme de lutte contre la traite pour la période </w:t>
      </w:r>
      <w:r w:rsidR="00794277" w:rsidRPr="00280912">
        <w:rPr>
          <w:lang w:val="fr-FR"/>
        </w:rPr>
        <w:t>2017</w:t>
      </w:r>
      <w:r w:rsidR="00794277" w:rsidRPr="000D6387">
        <w:rPr>
          <w:lang w:val="fr-FR"/>
        </w:rPr>
        <w:t>-</w:t>
      </w:r>
      <w:r w:rsidR="00794277" w:rsidRPr="00280912">
        <w:rPr>
          <w:lang w:val="fr-FR"/>
        </w:rPr>
        <w:t>2020</w:t>
      </w:r>
      <w:r w:rsidR="00794277" w:rsidRPr="000D6387">
        <w:rPr>
          <w:lang w:val="fr-FR"/>
        </w:rPr>
        <w:t xml:space="preserve"> et son plan de mise en œuvre, adoptés par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743</w:t>
      </w:r>
      <w:r w:rsidR="00794277" w:rsidRPr="000D6387">
        <w:rPr>
          <w:lang w:val="fr-FR"/>
        </w:rPr>
        <w:t xml:space="preserve"> du </w:t>
      </w:r>
      <w:r w:rsidR="00794277" w:rsidRPr="00280912">
        <w:rPr>
          <w:lang w:val="fr-FR"/>
        </w:rPr>
        <w:t>15</w:t>
      </w:r>
      <w:r w:rsidR="00794277" w:rsidRPr="000D6387">
        <w:rPr>
          <w:lang w:val="fr-FR"/>
        </w:rPr>
        <w:t xml:space="preserve"> novembre </w:t>
      </w:r>
      <w:r w:rsidR="00794277" w:rsidRPr="00280912">
        <w:rPr>
          <w:lang w:val="fr-FR"/>
        </w:rPr>
        <w:t>2017</w:t>
      </w:r>
      <w:r w:rsidR="00794277" w:rsidRPr="000D6387">
        <w:rPr>
          <w:lang w:val="fr-FR"/>
        </w:rPr>
        <w:t>, sont en cours d</w:t>
      </w:r>
      <w:r w:rsidR="00BD12BA" w:rsidRPr="000D6387">
        <w:rPr>
          <w:lang w:val="fr-FR"/>
        </w:rPr>
        <w:t>’</w:t>
      </w:r>
      <w:r w:rsidR="00794277" w:rsidRPr="000D6387">
        <w:rPr>
          <w:lang w:val="fr-FR"/>
        </w:rPr>
        <w:t>application.</w:t>
      </w:r>
    </w:p>
    <w:p w14:paraId="3312AAC8" w14:textId="2F27F78A" w:rsidR="00794277" w:rsidRPr="000D6387" w:rsidRDefault="007F1722" w:rsidP="00794277">
      <w:pPr>
        <w:pStyle w:val="SingleTxt"/>
        <w:rPr>
          <w:lang w:val="fr-FR"/>
        </w:rPr>
      </w:pPr>
      <w:r w:rsidRPr="000D6387">
        <w:rPr>
          <w:lang w:val="fr-FR"/>
        </w:rPr>
        <w:tab/>
      </w:r>
      <w:r w:rsidR="00794277" w:rsidRPr="000D6387">
        <w:rPr>
          <w:lang w:val="fr-FR"/>
        </w:rPr>
        <w:t>Conformément à l</w:t>
      </w:r>
      <w:r w:rsidR="00BD12BA" w:rsidRPr="000D6387">
        <w:rPr>
          <w:lang w:val="fr-FR"/>
        </w:rPr>
        <w:t>’</w:t>
      </w:r>
      <w:r w:rsidR="00794277" w:rsidRPr="000D6387">
        <w:rPr>
          <w:lang w:val="fr-FR"/>
        </w:rPr>
        <w:t xml:space="preserve">article </w:t>
      </w:r>
      <w:r w:rsidR="00794277" w:rsidRPr="00280912">
        <w:rPr>
          <w:lang w:val="fr-FR"/>
        </w:rPr>
        <w:t>2</w:t>
      </w:r>
      <w:r w:rsidR="00794277" w:rsidRPr="000D6387">
        <w:rPr>
          <w:lang w:val="fr-FR"/>
        </w:rPr>
        <w:t xml:space="preserve"> de la loi n</w:t>
      </w:r>
      <w:r w:rsidR="00794277" w:rsidRPr="000D6387">
        <w:rPr>
          <w:vertAlign w:val="superscript"/>
          <w:lang w:val="fr-FR"/>
        </w:rPr>
        <w:t>o</w:t>
      </w:r>
      <w:r w:rsidR="00794277" w:rsidRPr="000D6387">
        <w:rPr>
          <w:lang w:val="fr-FR"/>
        </w:rPr>
        <w:t xml:space="preserve"> </w:t>
      </w:r>
      <w:r w:rsidR="00794277" w:rsidRPr="00280912">
        <w:rPr>
          <w:lang w:val="fr-FR"/>
        </w:rPr>
        <w:t>2</w:t>
      </w:r>
      <w:r w:rsidR="00794277" w:rsidRPr="000D6387">
        <w:rPr>
          <w:lang w:val="fr-FR"/>
        </w:rPr>
        <w:t xml:space="preserve"> du </w:t>
      </w:r>
      <w:r w:rsidR="00794277" w:rsidRPr="00280912">
        <w:rPr>
          <w:lang w:val="fr-FR"/>
        </w:rPr>
        <w:t>11</w:t>
      </w:r>
      <w:r w:rsidR="00794277" w:rsidRPr="000D6387">
        <w:rPr>
          <w:lang w:val="fr-FR"/>
        </w:rPr>
        <w:t xml:space="preserve"> janvier </w:t>
      </w:r>
      <w:r w:rsidR="00794277" w:rsidRPr="00280912">
        <w:rPr>
          <w:lang w:val="fr-FR"/>
        </w:rPr>
        <w:t>2018</w:t>
      </w:r>
      <w:r w:rsidR="00794277" w:rsidRPr="000D6387">
        <w:rPr>
          <w:lang w:val="fr-FR"/>
        </w:rPr>
        <w:t xml:space="preserve"> portant modification de la loi sur la prévention et la lutte contre la traite des personnes, le Service national des migrations, qui relève du Gouvernement, a été désigné comme l</w:t>
      </w:r>
      <w:r w:rsidR="00BD12BA" w:rsidRPr="000D6387">
        <w:rPr>
          <w:lang w:val="fr-FR"/>
        </w:rPr>
        <w:t>’</w:t>
      </w:r>
      <w:r w:rsidR="00794277" w:rsidRPr="000D6387">
        <w:rPr>
          <w:lang w:val="fr-FR"/>
        </w:rPr>
        <w:t>organe chargé de coordonner les activités de prévention et de lutte contre la traite, par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101</w:t>
      </w:r>
      <w:r w:rsidR="00794277" w:rsidRPr="000D6387">
        <w:rPr>
          <w:lang w:val="fr-FR"/>
        </w:rPr>
        <w:t xml:space="preserve"> du </w:t>
      </w:r>
      <w:r w:rsidR="00794277" w:rsidRPr="00280912">
        <w:rPr>
          <w:lang w:val="fr-FR"/>
        </w:rPr>
        <w:t>5</w:t>
      </w:r>
      <w:r w:rsidR="00794277" w:rsidRPr="000D6387">
        <w:rPr>
          <w:lang w:val="fr-FR"/>
        </w:rPr>
        <w:t xml:space="preserve"> mars </w:t>
      </w:r>
      <w:r w:rsidR="00794277" w:rsidRPr="00280912">
        <w:rPr>
          <w:lang w:val="fr-FR"/>
        </w:rPr>
        <w:t>2019</w:t>
      </w:r>
      <w:r w:rsidR="00794277" w:rsidRPr="000D6387">
        <w:rPr>
          <w:lang w:val="fr-FR"/>
        </w:rPr>
        <w:t>.</w:t>
      </w:r>
    </w:p>
    <w:p w14:paraId="6E2E9099" w14:textId="2840022B" w:rsidR="00794277" w:rsidRPr="000D6387" w:rsidRDefault="007F1722" w:rsidP="00794277">
      <w:pPr>
        <w:pStyle w:val="SingleTxt"/>
        <w:rPr>
          <w:lang w:val="fr-FR"/>
        </w:rPr>
      </w:pPr>
      <w:r w:rsidRPr="000D6387">
        <w:rPr>
          <w:lang w:val="fr-FR"/>
        </w:rPr>
        <w:tab/>
      </w:r>
      <w:r w:rsidR="00794277" w:rsidRPr="000D6387">
        <w:rPr>
          <w:lang w:val="fr-FR"/>
        </w:rPr>
        <w:t>Dans cette décision sont également approuvées les règles qui président à l</w:t>
      </w:r>
      <w:r w:rsidR="00BD12BA" w:rsidRPr="000D6387">
        <w:rPr>
          <w:lang w:val="fr-FR"/>
        </w:rPr>
        <w:t>’</w:t>
      </w:r>
      <w:r w:rsidR="00794277" w:rsidRPr="000D6387">
        <w:rPr>
          <w:lang w:val="fr-FR"/>
        </w:rPr>
        <w:t>organisation des centres d</w:t>
      </w:r>
      <w:r w:rsidR="00BD12BA" w:rsidRPr="000D6387">
        <w:rPr>
          <w:lang w:val="fr-FR"/>
        </w:rPr>
        <w:t>’</w:t>
      </w:r>
      <w:r w:rsidR="00794277" w:rsidRPr="000D6387">
        <w:rPr>
          <w:lang w:val="fr-FR"/>
        </w:rPr>
        <w:t>accueil, ainsi que les dispositions relatives à leur fonctionnement, à leur gestion, à leur financement et à leur contrôle.</w:t>
      </w:r>
    </w:p>
    <w:p w14:paraId="0B6E2489" w14:textId="7BAAA84D" w:rsidR="00794277" w:rsidRPr="000D6387" w:rsidRDefault="007F1722" w:rsidP="00794277">
      <w:pPr>
        <w:pStyle w:val="SingleTxt"/>
        <w:rPr>
          <w:lang w:val="fr-FR"/>
        </w:rPr>
      </w:pPr>
      <w:r w:rsidRPr="000D6387">
        <w:rPr>
          <w:lang w:val="fr-FR"/>
        </w:rPr>
        <w:tab/>
      </w:r>
      <w:r w:rsidR="00794277" w:rsidRPr="000D6387">
        <w:rPr>
          <w:lang w:val="fr-FR"/>
        </w:rPr>
        <w:t>La décision n</w:t>
      </w:r>
      <w:r w:rsidR="00794277" w:rsidRPr="000D6387">
        <w:rPr>
          <w:vertAlign w:val="superscript"/>
          <w:lang w:val="fr-FR"/>
        </w:rPr>
        <w:t>o</w:t>
      </w:r>
      <w:r w:rsidR="00794277" w:rsidRPr="000D6387">
        <w:rPr>
          <w:lang w:val="fr-FR"/>
        </w:rPr>
        <w:t xml:space="preserve"> </w:t>
      </w:r>
      <w:r w:rsidR="00794277" w:rsidRPr="00280912">
        <w:rPr>
          <w:lang w:val="fr-FR"/>
        </w:rPr>
        <w:t>493</w:t>
      </w:r>
      <w:r w:rsidR="00794277" w:rsidRPr="000D6387">
        <w:rPr>
          <w:lang w:val="fr-FR"/>
        </w:rPr>
        <w:t xml:space="preserve"> du </w:t>
      </w:r>
      <w:r w:rsidR="00794277" w:rsidRPr="00280912">
        <w:rPr>
          <w:lang w:val="fr-FR"/>
        </w:rPr>
        <w:t>19</w:t>
      </w:r>
      <w:r w:rsidR="00794277" w:rsidRPr="000D6387">
        <w:rPr>
          <w:lang w:val="fr-FR"/>
        </w:rPr>
        <w:t xml:space="preserve"> septembre </w:t>
      </w:r>
      <w:r w:rsidR="00794277" w:rsidRPr="00280912">
        <w:rPr>
          <w:lang w:val="fr-FR"/>
        </w:rPr>
        <w:t>2019</w:t>
      </w:r>
      <w:r w:rsidR="00794277" w:rsidRPr="000D6387">
        <w:rPr>
          <w:lang w:val="fr-FR"/>
        </w:rPr>
        <w:t>, relative à la création d</w:t>
      </w:r>
      <w:r w:rsidR="00BD12BA" w:rsidRPr="000D6387">
        <w:rPr>
          <w:lang w:val="fr-FR"/>
        </w:rPr>
        <w:t>’</w:t>
      </w:r>
      <w:r w:rsidR="00794277" w:rsidRPr="000D6387">
        <w:rPr>
          <w:lang w:val="fr-FR"/>
        </w:rPr>
        <w:t>un mécanisme national d</w:t>
      </w:r>
      <w:r w:rsidR="00BD12BA" w:rsidRPr="000D6387">
        <w:rPr>
          <w:lang w:val="fr-FR"/>
        </w:rPr>
        <w:t>’</w:t>
      </w:r>
      <w:r w:rsidR="00794277" w:rsidRPr="000D6387">
        <w:rPr>
          <w:lang w:val="fr-FR"/>
        </w:rPr>
        <w:t>orientation des victimes de la traite, approuvée par le Gouvernement, confirme les critères d</w:t>
      </w:r>
      <w:r w:rsidR="00BD12BA" w:rsidRPr="000D6387">
        <w:rPr>
          <w:lang w:val="fr-FR"/>
        </w:rPr>
        <w:t>’</w:t>
      </w:r>
      <w:r w:rsidR="00794277" w:rsidRPr="000D6387">
        <w:rPr>
          <w:lang w:val="fr-FR"/>
        </w:rPr>
        <w:t>identification desdites victimes. Les instruments ci-après ont également été approuvés</w:t>
      </w:r>
      <w:r w:rsidR="00BD12BA" w:rsidRPr="000D6387">
        <w:rPr>
          <w:lang w:val="fr-FR"/>
        </w:rPr>
        <w:t> :</w:t>
      </w:r>
    </w:p>
    <w:p w14:paraId="1B7C656D" w14:textId="2A7135DE" w:rsidR="00794277" w:rsidRPr="000D6387" w:rsidRDefault="007F1722" w:rsidP="007F1722">
      <w:pPr>
        <w:pStyle w:val="SingleTxt"/>
        <w:tabs>
          <w:tab w:val="right" w:pos="1685"/>
        </w:tabs>
        <w:ind w:left="1742" w:hanging="475"/>
        <w:rPr>
          <w:lang w:val="fr-FR"/>
        </w:rPr>
      </w:pPr>
      <w:r w:rsidRPr="000D6387">
        <w:rPr>
          <w:lang w:val="fr-FR"/>
        </w:rPr>
        <w:tab/>
        <w:t>–</w:t>
      </w:r>
      <w:r w:rsidRPr="000D6387">
        <w:rPr>
          <w:lang w:val="fr-FR"/>
        </w:rPr>
        <w:tab/>
      </w:r>
      <w:r w:rsidR="00794277" w:rsidRPr="000D6387">
        <w:rPr>
          <w:lang w:val="fr-FR"/>
        </w:rPr>
        <w:t>Directive de référence sur la recherche, l</w:t>
      </w:r>
      <w:r w:rsidR="00BD12BA" w:rsidRPr="000D6387">
        <w:rPr>
          <w:lang w:val="fr-FR"/>
        </w:rPr>
        <w:t>’</w:t>
      </w:r>
      <w:r w:rsidR="00794277" w:rsidRPr="000D6387">
        <w:rPr>
          <w:lang w:val="fr-FR"/>
        </w:rPr>
        <w:t>identification et l</w:t>
      </w:r>
      <w:r w:rsidR="00BD12BA" w:rsidRPr="000D6387">
        <w:rPr>
          <w:lang w:val="fr-FR"/>
        </w:rPr>
        <w:t>’</w:t>
      </w:r>
      <w:r w:rsidR="00794277" w:rsidRPr="000D6387">
        <w:rPr>
          <w:lang w:val="fr-FR"/>
        </w:rPr>
        <w:t>orientation des victimes de la traite</w:t>
      </w:r>
      <w:r w:rsidR="00BD12BA" w:rsidRPr="000D6387">
        <w:rPr>
          <w:lang w:val="fr-FR"/>
        </w:rPr>
        <w:t> ;</w:t>
      </w:r>
    </w:p>
    <w:p w14:paraId="0E4BCF48" w14:textId="409546EB" w:rsidR="00794277" w:rsidRPr="000D6387" w:rsidRDefault="007F1722" w:rsidP="007F1722">
      <w:pPr>
        <w:pStyle w:val="SingleTxt"/>
        <w:tabs>
          <w:tab w:val="right" w:pos="1685"/>
        </w:tabs>
        <w:ind w:left="1742" w:hanging="475"/>
        <w:rPr>
          <w:lang w:val="fr-FR"/>
        </w:rPr>
      </w:pPr>
      <w:r w:rsidRPr="000D6387">
        <w:rPr>
          <w:lang w:val="fr-FR"/>
        </w:rPr>
        <w:tab/>
        <w:t>–</w:t>
      </w:r>
      <w:r w:rsidRPr="000D6387">
        <w:rPr>
          <w:lang w:val="fr-FR"/>
        </w:rPr>
        <w:tab/>
      </w:r>
      <w:r w:rsidR="00794277" w:rsidRPr="000D6387">
        <w:rPr>
          <w:lang w:val="fr-FR"/>
        </w:rPr>
        <w:t>Directive de référence sur le caractère confidentiel des informations personnelles relatives aux victimes de la traite</w:t>
      </w:r>
      <w:r w:rsidR="00BD12BA" w:rsidRPr="000D6387">
        <w:rPr>
          <w:lang w:val="fr-FR"/>
        </w:rPr>
        <w:t> ;</w:t>
      </w:r>
    </w:p>
    <w:p w14:paraId="0D5BB7FA" w14:textId="3F46EB12" w:rsidR="00794277" w:rsidRPr="000D6387" w:rsidRDefault="007F1722" w:rsidP="007F1722">
      <w:pPr>
        <w:pStyle w:val="SingleTxt"/>
        <w:tabs>
          <w:tab w:val="right" w:pos="1685"/>
        </w:tabs>
        <w:ind w:left="1742" w:hanging="475"/>
        <w:rPr>
          <w:lang w:val="fr-FR"/>
        </w:rPr>
      </w:pPr>
      <w:r w:rsidRPr="000D6387">
        <w:rPr>
          <w:lang w:val="fr-FR"/>
        </w:rPr>
        <w:tab/>
        <w:t>–</w:t>
      </w:r>
      <w:r w:rsidRPr="000D6387">
        <w:rPr>
          <w:lang w:val="fr-FR"/>
        </w:rPr>
        <w:tab/>
      </w:r>
      <w:r w:rsidR="00794277" w:rsidRPr="000D6387">
        <w:rPr>
          <w:lang w:val="fr-FR"/>
        </w:rPr>
        <w:t>Directive relative à la prestation d</w:t>
      </w:r>
      <w:r w:rsidR="00BD12BA" w:rsidRPr="000D6387">
        <w:rPr>
          <w:lang w:val="fr-FR"/>
        </w:rPr>
        <w:t>’</w:t>
      </w:r>
      <w:r w:rsidR="00794277" w:rsidRPr="000D6387">
        <w:rPr>
          <w:lang w:val="fr-FR"/>
        </w:rPr>
        <w:t>aide aux victimes de la traite dans le cadre d</w:t>
      </w:r>
      <w:r w:rsidR="00BD12BA" w:rsidRPr="000D6387">
        <w:rPr>
          <w:lang w:val="fr-FR"/>
        </w:rPr>
        <w:t>’</w:t>
      </w:r>
      <w:r w:rsidR="00794277" w:rsidRPr="000D6387">
        <w:rPr>
          <w:lang w:val="fr-FR"/>
        </w:rPr>
        <w:t>une action de réadaptation sociale</w:t>
      </w:r>
      <w:r w:rsidR="00BD12BA" w:rsidRPr="000D6387">
        <w:rPr>
          <w:lang w:val="fr-FR"/>
        </w:rPr>
        <w:t> ;</w:t>
      </w:r>
    </w:p>
    <w:p w14:paraId="12ADBBDA" w14:textId="128ABFCA" w:rsidR="00794277" w:rsidRPr="000D6387" w:rsidRDefault="007F1722" w:rsidP="007F1722">
      <w:pPr>
        <w:pStyle w:val="SingleTxt"/>
        <w:tabs>
          <w:tab w:val="right" w:pos="1685"/>
        </w:tabs>
        <w:ind w:left="1742" w:hanging="475"/>
        <w:rPr>
          <w:lang w:val="fr-FR"/>
        </w:rPr>
      </w:pPr>
      <w:r w:rsidRPr="000D6387">
        <w:rPr>
          <w:lang w:val="fr-FR"/>
        </w:rPr>
        <w:tab/>
        <w:t>–</w:t>
      </w:r>
      <w:r w:rsidRPr="000D6387">
        <w:rPr>
          <w:lang w:val="fr-FR"/>
        </w:rPr>
        <w:tab/>
      </w:r>
      <w:r w:rsidR="00794277" w:rsidRPr="000D6387">
        <w:rPr>
          <w:lang w:val="fr-FR"/>
        </w:rPr>
        <w:t>Directive visant à l</w:t>
      </w:r>
      <w:r w:rsidR="00BD12BA" w:rsidRPr="000D6387">
        <w:rPr>
          <w:lang w:val="fr-FR"/>
        </w:rPr>
        <w:t>’</w:t>
      </w:r>
      <w:r w:rsidR="00794277" w:rsidRPr="000D6387">
        <w:rPr>
          <w:lang w:val="fr-FR"/>
        </w:rPr>
        <w:t>adoption par les forces de l</w:t>
      </w:r>
      <w:r w:rsidR="00BD12BA" w:rsidRPr="000D6387">
        <w:rPr>
          <w:lang w:val="fr-FR"/>
        </w:rPr>
        <w:t>’</w:t>
      </w:r>
      <w:r w:rsidR="00794277" w:rsidRPr="000D6387">
        <w:rPr>
          <w:lang w:val="fr-FR"/>
        </w:rPr>
        <w:t>ordre d</w:t>
      </w:r>
      <w:r w:rsidR="00BD12BA" w:rsidRPr="000D6387">
        <w:rPr>
          <w:lang w:val="fr-FR"/>
        </w:rPr>
        <w:t>’</w:t>
      </w:r>
      <w:r w:rsidR="00794277" w:rsidRPr="000D6387">
        <w:rPr>
          <w:lang w:val="fr-FR"/>
        </w:rPr>
        <w:t>une approche de la traite des personnes axée sur les victimes.</w:t>
      </w:r>
    </w:p>
    <w:p w14:paraId="2E0C5F5B" w14:textId="5C52E426" w:rsidR="00794277" w:rsidRPr="000D6387" w:rsidRDefault="007F1722" w:rsidP="00794277">
      <w:pPr>
        <w:pStyle w:val="SingleTxt"/>
        <w:rPr>
          <w:lang w:val="fr-FR"/>
        </w:rPr>
      </w:pPr>
      <w:r w:rsidRPr="000D6387">
        <w:rPr>
          <w:lang w:val="fr-FR"/>
        </w:rPr>
        <w:tab/>
      </w:r>
      <w:r w:rsidR="00794277" w:rsidRPr="000D6387">
        <w:rPr>
          <w:lang w:val="fr-FR"/>
        </w:rPr>
        <w:t>Ces directives offrent un cadre juridique unifié sur lequel doivent reposer la création et le fonctionnement du mécanisme d</w:t>
      </w:r>
      <w:r w:rsidR="00BD12BA" w:rsidRPr="000D6387">
        <w:rPr>
          <w:lang w:val="fr-FR"/>
        </w:rPr>
        <w:t>’</w:t>
      </w:r>
      <w:r w:rsidR="00794277" w:rsidRPr="000D6387">
        <w:rPr>
          <w:lang w:val="fr-FR"/>
        </w:rPr>
        <w:t>orientation destiné aux personnes ayant été victimes de la traite.</w:t>
      </w:r>
    </w:p>
    <w:p w14:paraId="2BB2F2A3" w14:textId="01C11702" w:rsidR="00794277" w:rsidRPr="000D6387" w:rsidRDefault="007F1722" w:rsidP="00794277">
      <w:pPr>
        <w:pStyle w:val="SingleTxt"/>
        <w:rPr>
          <w:lang w:val="fr-FR"/>
        </w:rPr>
      </w:pPr>
      <w:r w:rsidRPr="000D6387">
        <w:rPr>
          <w:lang w:val="fr-FR"/>
        </w:rPr>
        <w:tab/>
      </w:r>
      <w:r w:rsidR="00794277" w:rsidRPr="000D6387">
        <w:rPr>
          <w:lang w:val="fr-FR"/>
        </w:rPr>
        <w:t>Un centre d</w:t>
      </w:r>
      <w:r w:rsidR="00BD12BA" w:rsidRPr="000D6387">
        <w:rPr>
          <w:lang w:val="fr-FR"/>
        </w:rPr>
        <w:t>’</w:t>
      </w:r>
      <w:r w:rsidR="00794277" w:rsidRPr="000D6387">
        <w:rPr>
          <w:lang w:val="fr-FR"/>
        </w:rPr>
        <w:t>information et de conseil, qui relève du Service national des migrations, offre des services concernant les questions migratoires, qui incluent une action de prévention de la traite des personnes.</w:t>
      </w:r>
    </w:p>
    <w:p w14:paraId="0B13231F" w14:textId="0E4670BF" w:rsidR="00794277" w:rsidRPr="000D6387" w:rsidRDefault="007F1722" w:rsidP="00794277">
      <w:pPr>
        <w:pStyle w:val="SingleTxt"/>
        <w:rPr>
          <w:lang w:val="fr-FR"/>
        </w:rPr>
      </w:pPr>
      <w:r w:rsidRPr="000D6387">
        <w:rPr>
          <w:lang w:val="fr-FR"/>
        </w:rPr>
        <w:tab/>
      </w:r>
      <w:r w:rsidR="00794277" w:rsidRPr="000D6387">
        <w:rPr>
          <w:lang w:val="fr-FR"/>
        </w:rPr>
        <w:t xml:space="preserve">En </w:t>
      </w:r>
      <w:r w:rsidR="00794277" w:rsidRPr="00280912">
        <w:rPr>
          <w:lang w:val="fr-FR"/>
        </w:rPr>
        <w:t>2019</w:t>
      </w:r>
      <w:r w:rsidR="00794277" w:rsidRPr="000D6387">
        <w:rPr>
          <w:lang w:val="fr-FR"/>
        </w:rPr>
        <w:t xml:space="preserve">, le Centre a conseillé </w:t>
      </w:r>
      <w:r w:rsidR="00794277" w:rsidRPr="00280912">
        <w:rPr>
          <w:lang w:val="fr-FR"/>
        </w:rPr>
        <w:t>62</w:t>
      </w:r>
      <w:r w:rsidR="00D25794">
        <w:rPr>
          <w:lang w:val="fr-FR"/>
        </w:rPr>
        <w:t> </w:t>
      </w:r>
      <w:r w:rsidR="00794277" w:rsidRPr="00280912">
        <w:rPr>
          <w:lang w:val="fr-FR"/>
        </w:rPr>
        <w:t>830</w:t>
      </w:r>
      <w:r w:rsidR="00794277" w:rsidRPr="000D6387">
        <w:rPr>
          <w:lang w:val="fr-FR"/>
        </w:rPr>
        <w:t xml:space="preserve"> personnes au total, dont </w:t>
      </w:r>
      <w:r w:rsidR="00794277" w:rsidRPr="00280912">
        <w:rPr>
          <w:lang w:val="fr-FR"/>
        </w:rPr>
        <w:t>14</w:t>
      </w:r>
      <w:r w:rsidR="00D25794">
        <w:rPr>
          <w:lang w:val="fr-FR"/>
        </w:rPr>
        <w:t> </w:t>
      </w:r>
      <w:r w:rsidR="00794277" w:rsidRPr="00280912">
        <w:rPr>
          <w:lang w:val="fr-FR"/>
        </w:rPr>
        <w:t>146</w:t>
      </w:r>
      <w:r w:rsidR="00794277" w:rsidRPr="000D6387">
        <w:rPr>
          <w:lang w:val="fr-FR"/>
        </w:rPr>
        <w:t xml:space="preserve"> femmes</w:t>
      </w:r>
      <w:r w:rsidR="00BD12BA" w:rsidRPr="000D6387">
        <w:rPr>
          <w:lang w:val="fr-FR"/>
        </w:rPr>
        <w:t> ;</w:t>
      </w:r>
      <w:r w:rsidR="00794277" w:rsidRPr="000D6387">
        <w:rPr>
          <w:lang w:val="fr-FR"/>
        </w:rPr>
        <w:t xml:space="preserve"> </w:t>
      </w:r>
      <w:r w:rsidR="00794277" w:rsidRPr="00280912">
        <w:rPr>
          <w:lang w:val="fr-FR"/>
        </w:rPr>
        <w:t>7</w:t>
      </w:r>
      <w:r w:rsidR="00D25794">
        <w:rPr>
          <w:lang w:val="fr-FR"/>
        </w:rPr>
        <w:t> </w:t>
      </w:r>
      <w:r w:rsidR="00794277" w:rsidRPr="00280912">
        <w:rPr>
          <w:lang w:val="fr-FR"/>
        </w:rPr>
        <w:t>611</w:t>
      </w:r>
      <w:r w:rsidR="00794277" w:rsidRPr="000D6387">
        <w:rPr>
          <w:lang w:val="fr-FR"/>
        </w:rPr>
        <w:t xml:space="preserve"> personnes ont trouvé un emploi, dont </w:t>
      </w:r>
      <w:r w:rsidR="00794277" w:rsidRPr="00280912">
        <w:rPr>
          <w:lang w:val="fr-FR"/>
        </w:rPr>
        <w:t>3</w:t>
      </w:r>
      <w:r w:rsidR="00D25794">
        <w:rPr>
          <w:lang w:val="fr-FR"/>
        </w:rPr>
        <w:t> </w:t>
      </w:r>
      <w:r w:rsidR="00794277" w:rsidRPr="00280912">
        <w:rPr>
          <w:lang w:val="fr-FR"/>
        </w:rPr>
        <w:t>604</w:t>
      </w:r>
      <w:r w:rsidR="00794277" w:rsidRPr="000D6387">
        <w:rPr>
          <w:lang w:val="fr-FR"/>
        </w:rPr>
        <w:t xml:space="preserve"> femmes. Chaque personne a reçu une aide sous forme d</w:t>
      </w:r>
      <w:r w:rsidR="00BD12BA" w:rsidRPr="000D6387">
        <w:rPr>
          <w:lang w:val="fr-FR"/>
        </w:rPr>
        <w:t>’</w:t>
      </w:r>
      <w:r w:rsidR="00794277" w:rsidRPr="000D6387">
        <w:rPr>
          <w:lang w:val="fr-FR"/>
        </w:rPr>
        <w:t>informations, de conseils et d</w:t>
      </w:r>
      <w:r w:rsidR="00BD12BA" w:rsidRPr="000D6387">
        <w:rPr>
          <w:lang w:val="fr-FR"/>
        </w:rPr>
        <w:t>’</w:t>
      </w:r>
      <w:r w:rsidR="00794277" w:rsidRPr="000D6387">
        <w:rPr>
          <w:lang w:val="fr-FR"/>
        </w:rPr>
        <w:t>explications sur les règles du séjour dans le pays d</w:t>
      </w:r>
      <w:r w:rsidR="00BD12BA" w:rsidRPr="000D6387">
        <w:rPr>
          <w:lang w:val="fr-FR"/>
        </w:rPr>
        <w:t>’</w:t>
      </w:r>
      <w:r w:rsidR="00794277" w:rsidRPr="000D6387">
        <w:rPr>
          <w:lang w:val="fr-FR"/>
        </w:rPr>
        <w:t>exercice de l</w:t>
      </w:r>
      <w:r w:rsidR="00BD12BA" w:rsidRPr="000D6387">
        <w:rPr>
          <w:lang w:val="fr-FR"/>
        </w:rPr>
        <w:t>’</w:t>
      </w:r>
      <w:r w:rsidR="00794277" w:rsidRPr="000D6387">
        <w:rPr>
          <w:lang w:val="fr-FR"/>
        </w:rPr>
        <w:t>activité professionnelle</w:t>
      </w:r>
      <w:r w:rsidR="00BD12BA" w:rsidRPr="000D6387">
        <w:rPr>
          <w:lang w:val="fr-FR"/>
        </w:rPr>
        <w:t> ;</w:t>
      </w:r>
      <w:r w:rsidR="00794277" w:rsidRPr="000D6387">
        <w:rPr>
          <w:lang w:val="fr-FR"/>
        </w:rPr>
        <w:t xml:space="preserve"> à cet égard ont été distribuées des brochures présentant la procédure de séjour en Fédération de Russie, pays qui fait partie de l</w:t>
      </w:r>
      <w:r w:rsidR="00BD12BA" w:rsidRPr="000D6387">
        <w:rPr>
          <w:lang w:val="fr-FR"/>
        </w:rPr>
        <w:t>’</w:t>
      </w:r>
      <w:r w:rsidR="00794277" w:rsidRPr="000D6387">
        <w:rPr>
          <w:lang w:val="fr-FR"/>
        </w:rPr>
        <w:t>Union économique eurasiatique.</w:t>
      </w:r>
    </w:p>
    <w:p w14:paraId="78370FCF" w14:textId="67802231" w:rsidR="00794277" w:rsidRPr="000D6387" w:rsidRDefault="007F1722" w:rsidP="00794277">
      <w:pPr>
        <w:pStyle w:val="SingleTxt"/>
        <w:rPr>
          <w:lang w:val="fr-FR"/>
        </w:rPr>
      </w:pPr>
      <w:r w:rsidRPr="000D6387">
        <w:rPr>
          <w:lang w:val="fr-FR"/>
        </w:rPr>
        <w:tab/>
      </w:r>
      <w:r w:rsidR="00794277" w:rsidRPr="000D6387">
        <w:rPr>
          <w:lang w:val="fr-FR"/>
        </w:rPr>
        <w:t xml:space="preserve">Durant le premier semestre de </w:t>
      </w:r>
      <w:r w:rsidR="00794277" w:rsidRPr="00280912">
        <w:rPr>
          <w:lang w:val="fr-FR"/>
        </w:rPr>
        <w:t>2019</w:t>
      </w:r>
      <w:r w:rsidR="00794277" w:rsidRPr="000D6387">
        <w:rPr>
          <w:lang w:val="fr-FR"/>
        </w:rPr>
        <w:t>, le personnel du Service national des migrations, en collaboration avec le Centre de ressources pour les personnes âgées, une organisation non gouvernementale, a proposé des consultations itinérantes dans toutes les régions du pays, lesquelles ont consisté à préparer les candidat(e)s à la migration et leurs familles à entreprendre cette démarche dans de bonnes conditions de sécurité, notamment à faire face aux dangers de la traite des personnes et aux problèmes susceptibles de survenir tout au long du processus.</w:t>
      </w:r>
    </w:p>
    <w:p w14:paraId="2C7E585A" w14:textId="77777777" w:rsidR="007F1722" w:rsidRPr="000D6387" w:rsidRDefault="007F1722" w:rsidP="007F1722">
      <w:pPr>
        <w:pStyle w:val="SingleTxt"/>
        <w:spacing w:after="0" w:line="120" w:lineRule="exact"/>
        <w:rPr>
          <w:b/>
          <w:bCs/>
          <w:sz w:val="10"/>
          <w:lang w:val="fr-FR"/>
        </w:rPr>
      </w:pPr>
    </w:p>
    <w:p w14:paraId="73667733" w14:textId="06105296" w:rsidR="00794277" w:rsidRPr="000D6387" w:rsidRDefault="007F1722" w:rsidP="008F1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12</w:t>
      </w:r>
      <w:r w:rsidR="00794277" w:rsidRPr="000D6387">
        <w:rPr>
          <w:lang w:val="fr-FR"/>
        </w:rPr>
        <w:t>.</w:t>
      </w:r>
      <w:r w:rsidR="00794277" w:rsidRPr="000D6387">
        <w:rPr>
          <w:lang w:val="fr-FR"/>
        </w:rPr>
        <w:tab/>
        <w:t>Participation à la vie politique et à la vie publique</w:t>
      </w:r>
    </w:p>
    <w:p w14:paraId="2AAEB18A" w14:textId="77777777" w:rsidR="007F1722" w:rsidRPr="000D6387" w:rsidRDefault="007F1722" w:rsidP="008F11B3">
      <w:pPr>
        <w:pStyle w:val="SingleTxt"/>
        <w:keepNext/>
        <w:spacing w:after="0" w:line="120" w:lineRule="exact"/>
        <w:rPr>
          <w:sz w:val="10"/>
          <w:lang w:val="fr-FR"/>
        </w:rPr>
      </w:pPr>
    </w:p>
    <w:p w14:paraId="3CF7DB3C" w14:textId="0412B608" w:rsidR="00794277" w:rsidRPr="000D6387" w:rsidRDefault="007F1722" w:rsidP="00794277">
      <w:pPr>
        <w:pStyle w:val="SingleTxt"/>
        <w:rPr>
          <w:lang w:val="fr-FR"/>
        </w:rPr>
      </w:pPr>
      <w:r w:rsidRPr="000D6387">
        <w:rPr>
          <w:lang w:val="fr-FR"/>
        </w:rPr>
        <w:tab/>
      </w:r>
      <w:r w:rsidR="00794277" w:rsidRPr="000D6387">
        <w:rPr>
          <w:lang w:val="fr-FR"/>
        </w:rPr>
        <w:t>Conformément à l</w:t>
      </w:r>
      <w:r w:rsidR="00BD12BA" w:rsidRPr="000D6387">
        <w:rPr>
          <w:lang w:val="fr-FR"/>
        </w:rPr>
        <w:t>’</w:t>
      </w:r>
      <w:r w:rsidR="00794277" w:rsidRPr="000D6387">
        <w:rPr>
          <w:lang w:val="fr-FR"/>
        </w:rPr>
        <w:t xml:space="preserve">article </w:t>
      </w:r>
      <w:r w:rsidR="00794277" w:rsidRPr="00280912">
        <w:rPr>
          <w:lang w:val="fr-FR"/>
        </w:rPr>
        <w:t>4</w:t>
      </w:r>
      <w:r w:rsidR="00794277" w:rsidRPr="000D6387">
        <w:rPr>
          <w:lang w:val="fr-FR"/>
        </w:rPr>
        <w:t xml:space="preserve"> de la loi sur la fonction publique d</w:t>
      </w:r>
      <w:r w:rsidR="00BD12BA" w:rsidRPr="000D6387">
        <w:rPr>
          <w:lang w:val="fr-FR"/>
        </w:rPr>
        <w:t>’</w:t>
      </w:r>
      <w:r w:rsidR="00794277" w:rsidRPr="000D6387">
        <w:rPr>
          <w:lang w:val="fr-FR"/>
        </w:rPr>
        <w:t>État et la fonction publique municipale, ces deux entités reposent sur l</w:t>
      </w:r>
      <w:r w:rsidR="00BD12BA" w:rsidRPr="000D6387">
        <w:rPr>
          <w:lang w:val="fr-FR"/>
        </w:rPr>
        <w:t>’</w:t>
      </w:r>
      <w:r w:rsidR="00794277" w:rsidRPr="000D6387">
        <w:rPr>
          <w:lang w:val="fr-FR"/>
        </w:rPr>
        <w:t>unité et l</w:t>
      </w:r>
      <w:r w:rsidR="00BD12BA" w:rsidRPr="000D6387">
        <w:rPr>
          <w:lang w:val="fr-FR"/>
        </w:rPr>
        <w:t>’</w:t>
      </w:r>
      <w:r w:rsidR="00794277" w:rsidRPr="000D6387">
        <w:rPr>
          <w:lang w:val="fr-FR"/>
        </w:rPr>
        <w:t>intégrité du système d</w:t>
      </w:r>
      <w:r w:rsidR="00BD12BA" w:rsidRPr="000D6387">
        <w:rPr>
          <w:lang w:val="fr-FR"/>
        </w:rPr>
        <w:t>’</w:t>
      </w:r>
      <w:r w:rsidR="00794277" w:rsidRPr="000D6387">
        <w:rPr>
          <w:lang w:val="fr-FR"/>
        </w:rPr>
        <w:t>administration publique et fonctionnent selon les principes suivants</w:t>
      </w:r>
      <w:r w:rsidR="00BD12BA" w:rsidRPr="000D6387">
        <w:rPr>
          <w:lang w:val="fr-FR"/>
        </w:rPr>
        <w:t> :</w:t>
      </w:r>
    </w:p>
    <w:p w14:paraId="0BA26272" w14:textId="498F8323" w:rsidR="00794277" w:rsidRPr="000D6387" w:rsidRDefault="007F1722" w:rsidP="00794277">
      <w:pPr>
        <w:pStyle w:val="SingleTxt"/>
        <w:rPr>
          <w:lang w:val="fr-FR"/>
        </w:rPr>
      </w:pPr>
      <w:r w:rsidRPr="000D6387">
        <w:rPr>
          <w:lang w:val="fr-FR"/>
        </w:rPr>
        <w:tab/>
      </w:r>
      <w:r w:rsidR="00794277" w:rsidRPr="00280912">
        <w:rPr>
          <w:lang w:val="fr-FR"/>
        </w:rPr>
        <w:t>1</w:t>
      </w:r>
      <w:r w:rsidR="00794277" w:rsidRPr="000D6387">
        <w:rPr>
          <w:lang w:val="fr-FR"/>
        </w:rPr>
        <w:t>)</w:t>
      </w:r>
      <w:r w:rsidRPr="000D6387">
        <w:rPr>
          <w:lang w:val="fr-FR"/>
        </w:rPr>
        <w:tab/>
      </w:r>
      <w:r w:rsidR="00794277" w:rsidRPr="000D6387">
        <w:rPr>
          <w:lang w:val="fr-FR"/>
        </w:rPr>
        <w:t>Suprématie de la Constitution</w:t>
      </w:r>
      <w:r w:rsidR="00BD12BA" w:rsidRPr="000D6387">
        <w:rPr>
          <w:lang w:val="fr-FR"/>
        </w:rPr>
        <w:t> ;</w:t>
      </w:r>
    </w:p>
    <w:p w14:paraId="6FA75420" w14:textId="12F468E6" w:rsidR="00794277" w:rsidRPr="000D6387" w:rsidRDefault="007F1722" w:rsidP="00794277">
      <w:pPr>
        <w:pStyle w:val="SingleTxt"/>
        <w:rPr>
          <w:lang w:val="fr-FR"/>
        </w:rPr>
      </w:pPr>
      <w:r w:rsidRPr="000D6387">
        <w:rPr>
          <w:lang w:val="fr-FR"/>
        </w:rPr>
        <w:tab/>
      </w:r>
      <w:r w:rsidR="00794277" w:rsidRPr="00280912">
        <w:rPr>
          <w:lang w:val="fr-FR"/>
        </w:rPr>
        <w:t>2</w:t>
      </w:r>
      <w:r w:rsidR="00794277" w:rsidRPr="000D6387">
        <w:rPr>
          <w:lang w:val="fr-FR"/>
        </w:rPr>
        <w:t>)</w:t>
      </w:r>
      <w:r w:rsidRPr="000D6387">
        <w:rPr>
          <w:lang w:val="fr-FR"/>
        </w:rPr>
        <w:tab/>
      </w:r>
      <w:r w:rsidR="00794277" w:rsidRPr="000D6387">
        <w:rPr>
          <w:lang w:val="fr-FR"/>
        </w:rPr>
        <w:t>Stabilité et continuité</w:t>
      </w:r>
      <w:r w:rsidR="00BD12BA" w:rsidRPr="000D6387">
        <w:rPr>
          <w:lang w:val="fr-FR"/>
        </w:rPr>
        <w:t> ;</w:t>
      </w:r>
    </w:p>
    <w:p w14:paraId="01534FFB" w14:textId="675FBEA5" w:rsidR="00794277" w:rsidRPr="000D6387" w:rsidRDefault="007F1722" w:rsidP="00794277">
      <w:pPr>
        <w:pStyle w:val="SingleTxt"/>
        <w:rPr>
          <w:lang w:val="fr-FR"/>
        </w:rPr>
      </w:pPr>
      <w:r w:rsidRPr="000D6387">
        <w:rPr>
          <w:lang w:val="fr-FR"/>
        </w:rPr>
        <w:tab/>
      </w:r>
      <w:r w:rsidR="00794277" w:rsidRPr="00280912">
        <w:rPr>
          <w:lang w:val="fr-FR"/>
        </w:rPr>
        <w:t>3</w:t>
      </w:r>
      <w:r w:rsidR="00794277" w:rsidRPr="000D6387">
        <w:rPr>
          <w:lang w:val="fr-FR"/>
        </w:rPr>
        <w:t>)</w:t>
      </w:r>
      <w:r w:rsidRPr="000D6387">
        <w:rPr>
          <w:lang w:val="fr-FR"/>
        </w:rPr>
        <w:tab/>
      </w:r>
      <w:r w:rsidR="00794277" w:rsidRPr="000D6387">
        <w:rPr>
          <w:lang w:val="fr-FR"/>
        </w:rPr>
        <w:t>Professionnalisme, compétence et esprit d</w:t>
      </w:r>
      <w:r w:rsidR="00BD12BA" w:rsidRPr="000D6387">
        <w:rPr>
          <w:lang w:val="fr-FR"/>
        </w:rPr>
        <w:t>’</w:t>
      </w:r>
      <w:r w:rsidR="00794277" w:rsidRPr="000D6387">
        <w:rPr>
          <w:lang w:val="fr-FR"/>
        </w:rPr>
        <w:t>initiative</w:t>
      </w:r>
      <w:r w:rsidR="00BD12BA" w:rsidRPr="000D6387">
        <w:rPr>
          <w:lang w:val="fr-FR"/>
        </w:rPr>
        <w:t> ;</w:t>
      </w:r>
    </w:p>
    <w:p w14:paraId="74300980" w14:textId="5866FC55" w:rsidR="00794277" w:rsidRPr="000D6387" w:rsidRDefault="00A300F0" w:rsidP="008F11B3">
      <w:pPr>
        <w:pStyle w:val="SingleTxt"/>
        <w:rPr>
          <w:lang w:val="fr-FR"/>
        </w:rPr>
      </w:pPr>
      <w:r w:rsidRPr="000D6387">
        <w:rPr>
          <w:lang w:val="fr-FR"/>
        </w:rPr>
        <w:tab/>
      </w:r>
      <w:r w:rsidR="00794277" w:rsidRPr="00280912">
        <w:rPr>
          <w:lang w:val="fr-FR"/>
        </w:rPr>
        <w:t>4</w:t>
      </w:r>
      <w:r w:rsidR="00794277" w:rsidRPr="000D6387">
        <w:rPr>
          <w:lang w:val="fr-FR"/>
        </w:rPr>
        <w:t>)</w:t>
      </w:r>
      <w:r w:rsidR="007F1722" w:rsidRPr="000D6387">
        <w:rPr>
          <w:lang w:val="fr-FR"/>
        </w:rPr>
        <w:tab/>
      </w:r>
      <w:r w:rsidR="00794277" w:rsidRPr="000D6387">
        <w:rPr>
          <w:lang w:val="fr-FR"/>
        </w:rPr>
        <w:t>Égalité d</w:t>
      </w:r>
      <w:r w:rsidR="00BD12BA" w:rsidRPr="000D6387">
        <w:rPr>
          <w:lang w:val="fr-FR"/>
        </w:rPr>
        <w:t>’</w:t>
      </w:r>
      <w:r w:rsidR="00794277" w:rsidRPr="000D6387">
        <w:rPr>
          <w:lang w:val="fr-FR"/>
        </w:rPr>
        <w:t>accès des citoyens à l</w:t>
      </w:r>
      <w:r w:rsidR="00BD12BA" w:rsidRPr="000D6387">
        <w:rPr>
          <w:lang w:val="fr-FR"/>
        </w:rPr>
        <w:t>’</w:t>
      </w:r>
      <w:r w:rsidR="00794277" w:rsidRPr="000D6387">
        <w:rPr>
          <w:lang w:val="fr-FR"/>
        </w:rPr>
        <w:t>emploi, indépendamment du sexe, de la race, de la langue, de la présence d</w:t>
      </w:r>
      <w:r w:rsidR="00BD12BA" w:rsidRPr="000D6387">
        <w:rPr>
          <w:lang w:val="fr-FR"/>
        </w:rPr>
        <w:t>’</w:t>
      </w:r>
      <w:r w:rsidR="00794277" w:rsidRPr="000D6387">
        <w:rPr>
          <w:lang w:val="fr-FR"/>
        </w:rPr>
        <w:t>un handicap, de l</w:t>
      </w:r>
      <w:r w:rsidR="00BD12BA" w:rsidRPr="000D6387">
        <w:rPr>
          <w:lang w:val="fr-FR"/>
        </w:rPr>
        <w:t>’</w:t>
      </w:r>
      <w:r w:rsidR="00794277" w:rsidRPr="000D6387">
        <w:rPr>
          <w:lang w:val="fr-FR"/>
        </w:rPr>
        <w:t>appartenance ethnique, de la religion, des opinions politiques et autres convictions, de l</w:t>
      </w:r>
      <w:r w:rsidR="00BD12BA" w:rsidRPr="000D6387">
        <w:rPr>
          <w:lang w:val="fr-FR"/>
        </w:rPr>
        <w:t>’</w:t>
      </w:r>
      <w:r w:rsidR="00794277" w:rsidRPr="000D6387">
        <w:rPr>
          <w:lang w:val="fr-FR"/>
        </w:rPr>
        <w:t>origine, de la situation patrimoniale et de tout autre statut</w:t>
      </w:r>
      <w:r w:rsidR="00BD12BA" w:rsidRPr="000D6387">
        <w:rPr>
          <w:lang w:val="fr-FR"/>
        </w:rPr>
        <w:t> ;</w:t>
      </w:r>
    </w:p>
    <w:p w14:paraId="71E971FA" w14:textId="3160F60E" w:rsidR="00794277" w:rsidRPr="000D6387" w:rsidRDefault="007F1722" w:rsidP="00794277">
      <w:pPr>
        <w:pStyle w:val="SingleTxt"/>
        <w:rPr>
          <w:lang w:val="fr-FR"/>
        </w:rPr>
      </w:pPr>
      <w:r w:rsidRPr="000D6387">
        <w:rPr>
          <w:lang w:val="fr-FR"/>
        </w:rPr>
        <w:tab/>
      </w:r>
      <w:r w:rsidR="00794277" w:rsidRPr="00280912">
        <w:rPr>
          <w:lang w:val="fr-FR"/>
        </w:rPr>
        <w:t>5</w:t>
      </w:r>
      <w:r w:rsidR="00794277" w:rsidRPr="000D6387">
        <w:rPr>
          <w:lang w:val="fr-FR"/>
        </w:rPr>
        <w:t>)</w:t>
      </w:r>
      <w:r w:rsidRPr="000D6387">
        <w:rPr>
          <w:lang w:val="fr-FR"/>
        </w:rPr>
        <w:tab/>
      </w:r>
      <w:r w:rsidR="00794277" w:rsidRPr="000D6387">
        <w:rPr>
          <w:lang w:val="fr-FR"/>
        </w:rPr>
        <w:t>Promotion au mérite</w:t>
      </w:r>
      <w:r w:rsidR="00BD12BA" w:rsidRPr="000D6387">
        <w:rPr>
          <w:lang w:val="fr-FR"/>
        </w:rPr>
        <w:t> ;</w:t>
      </w:r>
    </w:p>
    <w:p w14:paraId="23C68094" w14:textId="01EB2C50" w:rsidR="00794277" w:rsidRPr="000D6387" w:rsidRDefault="00A300F0" w:rsidP="008F11B3">
      <w:pPr>
        <w:pStyle w:val="SingleTxt"/>
        <w:rPr>
          <w:lang w:val="fr-FR"/>
        </w:rPr>
      </w:pPr>
      <w:r w:rsidRPr="000D6387">
        <w:rPr>
          <w:lang w:val="fr-FR"/>
        </w:rPr>
        <w:tab/>
      </w:r>
      <w:r w:rsidR="00794277" w:rsidRPr="00280912">
        <w:rPr>
          <w:lang w:val="fr-FR"/>
        </w:rPr>
        <w:t>6</w:t>
      </w:r>
      <w:r w:rsidR="00794277" w:rsidRPr="000D6387">
        <w:rPr>
          <w:lang w:val="fr-FR"/>
        </w:rPr>
        <w:t>)</w:t>
      </w:r>
      <w:r w:rsidR="00BD12BA" w:rsidRPr="000D6387">
        <w:rPr>
          <w:lang w:val="fr-FR"/>
        </w:rPr>
        <w:tab/>
      </w:r>
      <w:r w:rsidR="00794277" w:rsidRPr="000D6387">
        <w:rPr>
          <w:lang w:val="fr-FR"/>
        </w:rPr>
        <w:t>Discipline et responsabilité personnelle dans l</w:t>
      </w:r>
      <w:r w:rsidR="00BD12BA" w:rsidRPr="000D6387">
        <w:rPr>
          <w:lang w:val="fr-FR"/>
        </w:rPr>
        <w:t>’</w:t>
      </w:r>
      <w:r w:rsidR="00794277" w:rsidRPr="000D6387">
        <w:rPr>
          <w:lang w:val="fr-FR"/>
        </w:rPr>
        <w:t>exécution des fonctions officielles</w:t>
      </w:r>
      <w:r w:rsidR="00BD12BA" w:rsidRPr="000D6387">
        <w:rPr>
          <w:lang w:val="fr-FR"/>
        </w:rPr>
        <w:t> ;</w:t>
      </w:r>
    </w:p>
    <w:p w14:paraId="113F71E1" w14:textId="360FADF6" w:rsidR="00794277" w:rsidRPr="000D6387" w:rsidRDefault="00A300F0" w:rsidP="008F11B3">
      <w:pPr>
        <w:pStyle w:val="SingleTxt"/>
        <w:rPr>
          <w:lang w:val="fr-FR"/>
        </w:rPr>
      </w:pPr>
      <w:r w:rsidRPr="000D6387">
        <w:rPr>
          <w:lang w:val="fr-FR"/>
        </w:rPr>
        <w:tab/>
      </w:r>
      <w:r w:rsidR="00794277" w:rsidRPr="00280912">
        <w:rPr>
          <w:lang w:val="fr-FR"/>
        </w:rPr>
        <w:t>7</w:t>
      </w:r>
      <w:r w:rsidR="00794277" w:rsidRPr="000D6387">
        <w:rPr>
          <w:lang w:val="fr-FR"/>
        </w:rPr>
        <w:t>)</w:t>
      </w:r>
      <w:r w:rsidR="007F1722" w:rsidRPr="000D6387">
        <w:rPr>
          <w:lang w:val="fr-FR"/>
        </w:rPr>
        <w:tab/>
      </w:r>
      <w:r w:rsidR="00794277" w:rsidRPr="000D6387">
        <w:rPr>
          <w:lang w:val="fr-FR"/>
        </w:rPr>
        <w:t>Protection juridique, économique et sociale des fonctionnaires auxquels un niveau de vie décent est garanti ainsi qu</w:t>
      </w:r>
      <w:r w:rsidR="00BD12BA" w:rsidRPr="000D6387">
        <w:rPr>
          <w:lang w:val="fr-FR"/>
        </w:rPr>
        <w:t>’</w:t>
      </w:r>
      <w:r w:rsidR="00794277" w:rsidRPr="000D6387">
        <w:rPr>
          <w:lang w:val="fr-FR"/>
        </w:rPr>
        <w:t>à leurs familles</w:t>
      </w:r>
      <w:r w:rsidR="00BD12BA" w:rsidRPr="000D6387">
        <w:rPr>
          <w:lang w:val="fr-FR"/>
        </w:rPr>
        <w:t> ;</w:t>
      </w:r>
      <w:r w:rsidR="00794277" w:rsidRPr="000D6387">
        <w:rPr>
          <w:lang w:val="fr-FR"/>
        </w:rPr>
        <w:t xml:space="preserve"> </w:t>
      </w:r>
    </w:p>
    <w:p w14:paraId="4A007C7C" w14:textId="1291995A" w:rsidR="00794277" w:rsidRPr="000D6387" w:rsidRDefault="007F1722" w:rsidP="008F11B3">
      <w:pPr>
        <w:pStyle w:val="SingleTxt"/>
        <w:rPr>
          <w:lang w:val="fr-FR"/>
        </w:rPr>
      </w:pPr>
      <w:r w:rsidRPr="000D6387">
        <w:rPr>
          <w:lang w:val="fr-FR"/>
        </w:rPr>
        <w:tab/>
      </w:r>
      <w:r w:rsidR="00794277" w:rsidRPr="00280912">
        <w:rPr>
          <w:lang w:val="fr-FR"/>
        </w:rPr>
        <w:t>8</w:t>
      </w:r>
      <w:r w:rsidR="00794277" w:rsidRPr="000D6387">
        <w:rPr>
          <w:lang w:val="fr-FR"/>
        </w:rPr>
        <w:t>)</w:t>
      </w:r>
      <w:r w:rsidRPr="000D6387">
        <w:rPr>
          <w:lang w:val="fr-FR"/>
        </w:rPr>
        <w:tab/>
      </w:r>
      <w:r w:rsidR="00794277" w:rsidRPr="000D6387">
        <w:rPr>
          <w:lang w:val="fr-FR"/>
        </w:rPr>
        <w:t>Interdiction de toute influence de nature politique ou religieuse et de toute ingérence abusive dans les activités du personnel.</w:t>
      </w:r>
    </w:p>
    <w:p w14:paraId="0FB48049" w14:textId="33EBBB3D" w:rsidR="00794277" w:rsidRPr="000D6387" w:rsidRDefault="007F1722" w:rsidP="00794277">
      <w:pPr>
        <w:pStyle w:val="SingleTxt"/>
        <w:rPr>
          <w:lang w:val="fr-FR"/>
        </w:rPr>
      </w:pPr>
      <w:r w:rsidRPr="000D6387">
        <w:rPr>
          <w:lang w:val="fr-FR"/>
        </w:rPr>
        <w:tab/>
      </w:r>
      <w:r w:rsidR="00794277" w:rsidRPr="000D6387">
        <w:rPr>
          <w:lang w:val="fr-FR"/>
        </w:rPr>
        <w:t>En outre, conformément au règlement relatif à la procédure de recrutement par concours et d</w:t>
      </w:r>
      <w:r w:rsidR="00BD12BA" w:rsidRPr="000D6387">
        <w:rPr>
          <w:lang w:val="fr-FR"/>
        </w:rPr>
        <w:t>’</w:t>
      </w:r>
      <w:r w:rsidR="00794277" w:rsidRPr="000D6387">
        <w:rPr>
          <w:lang w:val="fr-FR"/>
        </w:rPr>
        <w:t>organisation des carrières des fonctions publiques nationale et municipale, approuvées par le règlement n</w:t>
      </w:r>
      <w:r w:rsidR="00794277" w:rsidRPr="000D6387">
        <w:rPr>
          <w:vertAlign w:val="superscript"/>
          <w:lang w:val="fr-FR"/>
        </w:rPr>
        <w:t xml:space="preserve">o </w:t>
      </w:r>
      <w:r w:rsidR="00794277" w:rsidRPr="00280912">
        <w:rPr>
          <w:lang w:val="fr-FR"/>
        </w:rPr>
        <w:t>706</w:t>
      </w:r>
      <w:r w:rsidR="00794277" w:rsidRPr="000D6387">
        <w:rPr>
          <w:lang w:val="fr-FR"/>
        </w:rPr>
        <w:t xml:space="preserve"> du </w:t>
      </w:r>
      <w:r w:rsidR="00794277" w:rsidRPr="00280912">
        <w:rPr>
          <w:lang w:val="fr-FR"/>
        </w:rPr>
        <w:t>29</w:t>
      </w:r>
      <w:r w:rsidR="00794277" w:rsidRPr="000D6387">
        <w:rPr>
          <w:lang w:val="fr-FR"/>
        </w:rPr>
        <w:t xml:space="preserve"> décembre </w:t>
      </w:r>
      <w:r w:rsidR="00794277" w:rsidRPr="00280912">
        <w:rPr>
          <w:lang w:val="fr-FR"/>
        </w:rPr>
        <w:t>2016</w:t>
      </w:r>
      <w:r w:rsidR="00794277" w:rsidRPr="000D6387">
        <w:rPr>
          <w:lang w:val="fr-FR"/>
        </w:rPr>
        <w:t>, l</w:t>
      </w:r>
      <w:r w:rsidR="00BD12BA" w:rsidRPr="000D6387">
        <w:rPr>
          <w:lang w:val="fr-FR"/>
        </w:rPr>
        <w:t>’</w:t>
      </w:r>
      <w:r w:rsidR="00794277" w:rsidRPr="000D6387">
        <w:rPr>
          <w:lang w:val="fr-FR"/>
        </w:rPr>
        <w:t>avancement des fonctionnaires est soumis à des règles depuis l</w:t>
      </w:r>
      <w:r w:rsidR="00BD12BA" w:rsidRPr="000D6387">
        <w:rPr>
          <w:lang w:val="fr-FR"/>
        </w:rPr>
        <w:t>’</w:t>
      </w:r>
      <w:r w:rsidR="00794277" w:rsidRPr="000D6387">
        <w:rPr>
          <w:lang w:val="fr-FR"/>
        </w:rPr>
        <w:t>entrée en fonction jusqu</w:t>
      </w:r>
      <w:r w:rsidR="00BD12BA" w:rsidRPr="000D6387">
        <w:rPr>
          <w:lang w:val="fr-FR"/>
        </w:rPr>
        <w:t>’</w:t>
      </w:r>
      <w:r w:rsidR="00794277" w:rsidRPr="000D6387">
        <w:rPr>
          <w:lang w:val="fr-FR"/>
        </w:rPr>
        <w:t>à la fin du service. Ainsi, en se fondant sur les entretiens de sélection, la commission de recrutement recommande de retenir, parmi les candidats ayant obtenu le meilleur score à l</w:t>
      </w:r>
      <w:r w:rsidR="00BD12BA" w:rsidRPr="000D6387">
        <w:rPr>
          <w:lang w:val="fr-FR"/>
        </w:rPr>
        <w:t>’</w:t>
      </w:r>
      <w:r w:rsidR="00794277" w:rsidRPr="000D6387">
        <w:rPr>
          <w:lang w:val="fr-FR"/>
        </w:rPr>
        <w:t>issue de toutes les épreuves, ceux dont l</w:t>
      </w:r>
      <w:r w:rsidR="00BD12BA" w:rsidRPr="000D6387">
        <w:rPr>
          <w:lang w:val="fr-FR"/>
        </w:rPr>
        <w:t>’</w:t>
      </w:r>
      <w:r w:rsidR="00794277" w:rsidRPr="000D6387">
        <w:rPr>
          <w:lang w:val="fr-FR"/>
        </w:rPr>
        <w:t>appartenance ethnique ou le sexe ne sont que faiblement représentés dans l</w:t>
      </w:r>
      <w:r w:rsidR="00BD12BA" w:rsidRPr="000D6387">
        <w:rPr>
          <w:lang w:val="fr-FR"/>
        </w:rPr>
        <w:t>’</w:t>
      </w:r>
      <w:r w:rsidR="00794277" w:rsidRPr="000D6387">
        <w:rPr>
          <w:lang w:val="fr-FR"/>
        </w:rPr>
        <w:t>organe de l</w:t>
      </w:r>
      <w:r w:rsidR="00BD12BA" w:rsidRPr="000D6387">
        <w:rPr>
          <w:lang w:val="fr-FR"/>
        </w:rPr>
        <w:t>’</w:t>
      </w:r>
      <w:r w:rsidR="00794277" w:rsidRPr="000D6387">
        <w:rPr>
          <w:lang w:val="fr-FR"/>
        </w:rPr>
        <w:t>État ou de l</w:t>
      </w:r>
      <w:r w:rsidR="00BD12BA" w:rsidRPr="000D6387">
        <w:rPr>
          <w:lang w:val="fr-FR"/>
        </w:rPr>
        <w:t>’</w:t>
      </w:r>
      <w:r w:rsidR="00794277" w:rsidRPr="000D6387">
        <w:rPr>
          <w:lang w:val="fr-FR"/>
        </w:rPr>
        <w:t xml:space="preserve">administration locale concerné. </w:t>
      </w:r>
    </w:p>
    <w:p w14:paraId="1AAA1ED4" w14:textId="4BF05599" w:rsidR="00794277" w:rsidRPr="000D6387" w:rsidRDefault="007F1722" w:rsidP="00794277">
      <w:pPr>
        <w:pStyle w:val="SingleTxt"/>
        <w:rPr>
          <w:b/>
          <w:lang w:val="fr-FR"/>
        </w:rPr>
      </w:pPr>
      <w:r w:rsidRPr="000D6387">
        <w:rPr>
          <w:lang w:val="fr-FR"/>
        </w:rPr>
        <w:tab/>
      </w:r>
      <w:r w:rsidR="00794277" w:rsidRPr="000D6387">
        <w:rPr>
          <w:lang w:val="fr-FR"/>
        </w:rPr>
        <w:t>Le règlement relatif à la procédure d</w:t>
      </w:r>
      <w:r w:rsidR="00BD12BA" w:rsidRPr="000D6387">
        <w:rPr>
          <w:lang w:val="fr-FR"/>
        </w:rPr>
        <w:t>’</w:t>
      </w:r>
      <w:r w:rsidR="00794277" w:rsidRPr="000D6387">
        <w:rPr>
          <w:lang w:val="fr-FR"/>
        </w:rPr>
        <w:t>évaluation des fonctionnaires d</w:t>
      </w:r>
      <w:r w:rsidR="00BD12BA" w:rsidRPr="000D6387">
        <w:rPr>
          <w:lang w:val="fr-FR"/>
        </w:rPr>
        <w:t>’</w:t>
      </w:r>
      <w:r w:rsidR="00794277" w:rsidRPr="000D6387">
        <w:rPr>
          <w:lang w:val="fr-FR"/>
        </w:rPr>
        <w:t>État et des fonctionnaires municipaux, approuvé par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131</w:t>
      </w:r>
      <w:r w:rsidR="00794277" w:rsidRPr="000D6387">
        <w:rPr>
          <w:lang w:val="fr-FR"/>
        </w:rPr>
        <w:t xml:space="preserve"> du </w:t>
      </w:r>
      <w:r w:rsidR="00794277" w:rsidRPr="00280912">
        <w:rPr>
          <w:lang w:val="fr-FR"/>
        </w:rPr>
        <w:t>1</w:t>
      </w:r>
      <w:r w:rsidR="00794277" w:rsidRPr="000D6387">
        <w:rPr>
          <w:vertAlign w:val="superscript"/>
          <w:lang w:val="fr-FR"/>
        </w:rPr>
        <w:t>er</w:t>
      </w:r>
      <w:r w:rsidR="00BD12BA" w:rsidRPr="000D6387">
        <w:rPr>
          <w:lang w:val="fr-FR"/>
        </w:rPr>
        <w:t> </w:t>
      </w:r>
      <w:r w:rsidR="00794277" w:rsidRPr="000D6387">
        <w:rPr>
          <w:lang w:val="fr-FR"/>
        </w:rPr>
        <w:t xml:space="preserve">mars </w:t>
      </w:r>
      <w:r w:rsidR="00794277" w:rsidRPr="00280912">
        <w:rPr>
          <w:lang w:val="fr-FR"/>
        </w:rPr>
        <w:t>2017</w:t>
      </w:r>
      <w:r w:rsidR="00794277" w:rsidRPr="000D6387">
        <w:rPr>
          <w:lang w:val="fr-FR"/>
        </w:rPr>
        <w:t>, fixe deux principes, à savoir l</w:t>
      </w:r>
      <w:r w:rsidR="00BD12BA" w:rsidRPr="000D6387">
        <w:rPr>
          <w:lang w:val="fr-FR"/>
        </w:rPr>
        <w:t>’</w:t>
      </w:r>
      <w:r w:rsidR="00794277" w:rsidRPr="000D6387">
        <w:rPr>
          <w:lang w:val="fr-FR"/>
        </w:rPr>
        <w:t>objectivité, c</w:t>
      </w:r>
      <w:r w:rsidR="00BD12BA" w:rsidRPr="000D6387">
        <w:rPr>
          <w:lang w:val="fr-FR"/>
        </w:rPr>
        <w:t>’</w:t>
      </w:r>
      <w:r w:rsidR="00794277" w:rsidRPr="000D6387">
        <w:rPr>
          <w:lang w:val="fr-FR"/>
        </w:rPr>
        <w:t>est-à-dire l</w:t>
      </w:r>
      <w:r w:rsidR="00BD12BA" w:rsidRPr="000D6387">
        <w:rPr>
          <w:lang w:val="fr-FR"/>
        </w:rPr>
        <w:t>’</w:t>
      </w:r>
      <w:r w:rsidR="00794277" w:rsidRPr="000D6387">
        <w:rPr>
          <w:lang w:val="fr-FR"/>
        </w:rPr>
        <w:t>adoption d</w:t>
      </w:r>
      <w:r w:rsidR="00BD12BA" w:rsidRPr="000D6387">
        <w:rPr>
          <w:lang w:val="fr-FR"/>
        </w:rPr>
        <w:t>’</w:t>
      </w:r>
      <w:r w:rsidR="00794277" w:rsidRPr="000D6387">
        <w:rPr>
          <w:lang w:val="fr-FR"/>
        </w:rPr>
        <w:t>une attitude impartiale et sans parti pris à l</w:t>
      </w:r>
      <w:r w:rsidR="00BD12BA" w:rsidRPr="000D6387">
        <w:rPr>
          <w:lang w:val="fr-FR"/>
        </w:rPr>
        <w:t>’</w:t>
      </w:r>
      <w:r w:rsidR="00794277" w:rsidRPr="000D6387">
        <w:rPr>
          <w:lang w:val="fr-FR"/>
        </w:rPr>
        <w:t>égard du fonctionnaire et de son travail dans l</w:t>
      </w:r>
      <w:r w:rsidR="00BD12BA" w:rsidRPr="000D6387">
        <w:rPr>
          <w:lang w:val="fr-FR"/>
        </w:rPr>
        <w:t>’</w:t>
      </w:r>
      <w:r w:rsidR="00794277" w:rsidRPr="000D6387">
        <w:rPr>
          <w:lang w:val="fr-FR"/>
        </w:rPr>
        <w:t>organe de l</w:t>
      </w:r>
      <w:r w:rsidR="00BD12BA" w:rsidRPr="000D6387">
        <w:rPr>
          <w:lang w:val="fr-FR"/>
        </w:rPr>
        <w:t>’</w:t>
      </w:r>
      <w:r w:rsidR="00794277" w:rsidRPr="000D6387">
        <w:rPr>
          <w:lang w:val="fr-FR"/>
        </w:rPr>
        <w:t>État ou de l</w:t>
      </w:r>
      <w:r w:rsidR="00BD12BA" w:rsidRPr="000D6387">
        <w:rPr>
          <w:lang w:val="fr-FR"/>
        </w:rPr>
        <w:t>’</w:t>
      </w:r>
      <w:r w:rsidR="00794277" w:rsidRPr="000D6387">
        <w:rPr>
          <w:lang w:val="fr-FR"/>
        </w:rPr>
        <w:t>administration locale, excluant toute forme de discrimination, et la transparence, c</w:t>
      </w:r>
      <w:r w:rsidR="00BD12BA" w:rsidRPr="000D6387">
        <w:rPr>
          <w:lang w:val="fr-FR"/>
        </w:rPr>
        <w:t>’</w:t>
      </w:r>
      <w:r w:rsidR="00794277" w:rsidRPr="000D6387">
        <w:rPr>
          <w:lang w:val="fr-FR"/>
        </w:rPr>
        <w:t>est-à-dire la réalisation d</w:t>
      </w:r>
      <w:r w:rsidR="00BD12BA" w:rsidRPr="000D6387">
        <w:rPr>
          <w:lang w:val="fr-FR"/>
        </w:rPr>
        <w:t>’</w:t>
      </w:r>
      <w:r w:rsidR="00794277" w:rsidRPr="000D6387">
        <w:rPr>
          <w:lang w:val="fr-FR"/>
        </w:rPr>
        <w:t>une évaluation ouverte qui prévoit la communication au fonctionnaire des raisons et des motifs qui ont guidé la procédure. Les autorités constituent les commissions d</w:t>
      </w:r>
      <w:r w:rsidR="00BD12BA" w:rsidRPr="000D6387">
        <w:rPr>
          <w:lang w:val="fr-FR"/>
        </w:rPr>
        <w:t>’</w:t>
      </w:r>
      <w:r w:rsidR="00794277" w:rsidRPr="000D6387">
        <w:rPr>
          <w:lang w:val="fr-FR"/>
        </w:rPr>
        <w:t>évaluation en veillant à y inclure des fonctionnaires en poste et à tenir compte de la représentation des genres autant que faire se peut.</w:t>
      </w:r>
    </w:p>
    <w:p w14:paraId="0B6D683C" w14:textId="26145440" w:rsidR="00794277" w:rsidRPr="000D6387" w:rsidRDefault="007F1722" w:rsidP="00794277">
      <w:pPr>
        <w:pStyle w:val="SingleTxt"/>
        <w:rPr>
          <w:lang w:val="fr-FR"/>
        </w:rPr>
      </w:pPr>
      <w:r w:rsidRPr="000D6387">
        <w:rPr>
          <w:lang w:val="fr-FR"/>
        </w:rPr>
        <w:tab/>
      </w:r>
      <w:r w:rsidR="00794277" w:rsidRPr="000D6387">
        <w:rPr>
          <w:lang w:val="fr-FR"/>
        </w:rPr>
        <w:t xml:space="preserve">Un programme couvrant la période </w:t>
      </w:r>
      <w:r w:rsidR="00794277" w:rsidRPr="00280912">
        <w:rPr>
          <w:lang w:val="fr-FR"/>
        </w:rPr>
        <w:t>2018</w:t>
      </w:r>
      <w:r w:rsidR="00794277" w:rsidRPr="000D6387">
        <w:rPr>
          <w:lang w:val="fr-FR"/>
        </w:rPr>
        <w:t>-</w:t>
      </w:r>
      <w:r w:rsidR="00794277" w:rsidRPr="00280912">
        <w:rPr>
          <w:lang w:val="fr-FR"/>
        </w:rPr>
        <w:t>2023</w:t>
      </w:r>
      <w:r w:rsidR="00794277" w:rsidRPr="000D6387">
        <w:rPr>
          <w:lang w:val="fr-FR"/>
        </w:rPr>
        <w:t xml:space="preserve"> a été élaboré en vue d</w:t>
      </w:r>
      <w:r w:rsidR="00BD12BA" w:rsidRPr="000D6387">
        <w:rPr>
          <w:lang w:val="fr-FR"/>
        </w:rPr>
        <w:t>’</w:t>
      </w:r>
      <w:r w:rsidR="00794277" w:rsidRPr="000D6387">
        <w:rPr>
          <w:lang w:val="fr-FR"/>
        </w:rPr>
        <w:t>améliorer le dispositif de formation des fonctionnaires d</w:t>
      </w:r>
      <w:r w:rsidR="00BD12BA" w:rsidRPr="000D6387">
        <w:rPr>
          <w:lang w:val="fr-FR"/>
        </w:rPr>
        <w:t>’</w:t>
      </w:r>
      <w:r w:rsidR="00794277" w:rsidRPr="000D6387">
        <w:rPr>
          <w:lang w:val="fr-FR"/>
        </w:rPr>
        <w:t>État et des fonctionnaires municipaux.</w:t>
      </w:r>
    </w:p>
    <w:p w14:paraId="7F4488A1" w14:textId="73B3A502" w:rsidR="00794277" w:rsidRPr="000D6387" w:rsidRDefault="007F1722" w:rsidP="00794277">
      <w:pPr>
        <w:pStyle w:val="SingleTxt"/>
        <w:rPr>
          <w:lang w:val="fr-FR"/>
        </w:rPr>
      </w:pPr>
      <w:r w:rsidRPr="000D6387">
        <w:rPr>
          <w:lang w:val="fr-FR"/>
        </w:rPr>
        <w:tab/>
      </w:r>
      <w:r w:rsidR="00794277" w:rsidRPr="000D6387">
        <w:rPr>
          <w:lang w:val="fr-FR"/>
        </w:rPr>
        <w:t>Tous les ans, ce programme donne lieu à une ordonnance gouvernementale qui encadre les activités de formation des membres des fonctions publiques nationale et municipale. Dans l</w:t>
      </w:r>
      <w:r w:rsidR="00BD12BA" w:rsidRPr="000D6387">
        <w:rPr>
          <w:lang w:val="fr-FR"/>
        </w:rPr>
        <w:t>’</w:t>
      </w:r>
      <w:r w:rsidR="00794277" w:rsidRPr="000D6387">
        <w:rPr>
          <w:lang w:val="fr-FR"/>
        </w:rPr>
        <w:t xml:space="preserve">ordonnance prise en </w:t>
      </w:r>
      <w:r w:rsidR="00794277" w:rsidRPr="00280912">
        <w:rPr>
          <w:lang w:val="fr-FR"/>
        </w:rPr>
        <w:t>2019</w:t>
      </w:r>
      <w:r w:rsidR="00794277" w:rsidRPr="000D6387">
        <w:rPr>
          <w:lang w:val="fr-FR"/>
        </w:rPr>
        <w:t>, la formation sur les questions de genre a été intégrée dans la directive consacrée à l</w:t>
      </w:r>
      <w:r w:rsidR="00BD12BA" w:rsidRPr="000D6387">
        <w:rPr>
          <w:lang w:val="fr-FR"/>
        </w:rPr>
        <w:t>’</w:t>
      </w:r>
      <w:r w:rsidR="00794277" w:rsidRPr="000D6387">
        <w:rPr>
          <w:lang w:val="fr-FR"/>
        </w:rPr>
        <w:t xml:space="preserve">élaboration des programmes et projets publics. Dix sessions de formation ont eu lieu, auxquelles </w:t>
      </w:r>
      <w:r w:rsidR="00794277" w:rsidRPr="00280912">
        <w:rPr>
          <w:lang w:val="fr-FR"/>
        </w:rPr>
        <w:t>172</w:t>
      </w:r>
      <w:r w:rsidRPr="000D6387">
        <w:rPr>
          <w:lang w:val="fr-FR"/>
        </w:rPr>
        <w:t> </w:t>
      </w:r>
      <w:r w:rsidR="00794277" w:rsidRPr="000D6387">
        <w:rPr>
          <w:lang w:val="fr-FR"/>
        </w:rPr>
        <w:t>fonctionnaires ont participé.</w:t>
      </w:r>
    </w:p>
    <w:p w14:paraId="033A8998" w14:textId="779E6111" w:rsidR="00794277" w:rsidRPr="000D6387" w:rsidRDefault="007F1722" w:rsidP="00794277">
      <w:pPr>
        <w:pStyle w:val="SingleTxt"/>
        <w:rPr>
          <w:lang w:val="fr-FR"/>
        </w:rPr>
      </w:pPr>
      <w:r w:rsidRPr="000D6387">
        <w:rPr>
          <w:lang w:val="fr-FR"/>
        </w:rPr>
        <w:tab/>
      </w:r>
      <w:r w:rsidR="00794277" w:rsidRPr="000D6387">
        <w:rPr>
          <w:lang w:val="fr-FR"/>
        </w:rPr>
        <w:t>En outre, le Service du personnel de l</w:t>
      </w:r>
      <w:r w:rsidR="00BD12BA" w:rsidRPr="000D6387">
        <w:rPr>
          <w:lang w:val="fr-FR"/>
        </w:rPr>
        <w:t>’</w:t>
      </w:r>
      <w:r w:rsidR="00794277" w:rsidRPr="000D6387">
        <w:rPr>
          <w:lang w:val="fr-FR"/>
        </w:rPr>
        <w:t xml:space="preserve">État produit des données statistiques relatives aux effectifs et à la composition des fonctions publiques nationale et municipale, qui ont été ventilées par genre, appartenance ethnique et âge. Les données concernant </w:t>
      </w:r>
      <w:r w:rsidR="00794277" w:rsidRPr="00280912">
        <w:rPr>
          <w:lang w:val="fr-FR"/>
        </w:rPr>
        <w:t>2019</w:t>
      </w:r>
      <w:r w:rsidR="00794277" w:rsidRPr="000D6387">
        <w:rPr>
          <w:lang w:val="fr-FR"/>
        </w:rPr>
        <w:t>, disponibles d</w:t>
      </w:r>
      <w:r w:rsidR="00BD12BA" w:rsidRPr="000D6387">
        <w:rPr>
          <w:lang w:val="fr-FR"/>
        </w:rPr>
        <w:t>’</w:t>
      </w:r>
      <w:r w:rsidR="00794277" w:rsidRPr="000D6387">
        <w:rPr>
          <w:lang w:val="fr-FR"/>
        </w:rPr>
        <w:t xml:space="preserve">ici au </w:t>
      </w:r>
      <w:r w:rsidR="00794277" w:rsidRPr="00280912">
        <w:rPr>
          <w:lang w:val="fr-FR"/>
        </w:rPr>
        <w:t>10</w:t>
      </w:r>
      <w:r w:rsidR="00794277" w:rsidRPr="000D6387">
        <w:rPr>
          <w:lang w:val="fr-FR"/>
        </w:rPr>
        <w:t xml:space="preserve"> février </w:t>
      </w:r>
      <w:r w:rsidR="00794277" w:rsidRPr="00280912">
        <w:rPr>
          <w:lang w:val="fr-FR"/>
        </w:rPr>
        <w:t>2020</w:t>
      </w:r>
      <w:r w:rsidR="00794277" w:rsidRPr="000D6387">
        <w:rPr>
          <w:lang w:val="fr-FR"/>
        </w:rPr>
        <w:t>, seront mises en ligne sur le site Web du Service du personnel, où elles pourront être consultées à l</w:t>
      </w:r>
      <w:r w:rsidR="00BD12BA" w:rsidRPr="000D6387">
        <w:rPr>
          <w:lang w:val="fr-FR"/>
        </w:rPr>
        <w:t>’</w:t>
      </w:r>
      <w:r w:rsidR="00794277" w:rsidRPr="000D6387">
        <w:rPr>
          <w:lang w:val="fr-FR"/>
        </w:rPr>
        <w:t>adresse</w:t>
      </w:r>
      <w:r w:rsidR="00BD12BA" w:rsidRPr="000D6387">
        <w:rPr>
          <w:lang w:val="fr-FR"/>
        </w:rPr>
        <w:t> :</w:t>
      </w:r>
      <w:r w:rsidR="00794277" w:rsidRPr="000D6387">
        <w:rPr>
          <w:lang w:val="fr-FR"/>
        </w:rPr>
        <w:t xml:space="preserve"> </w:t>
      </w:r>
      <w:hyperlink r:id="rId23" w:history="1">
        <w:r w:rsidRPr="00280912">
          <w:rPr>
            <w:rStyle w:val="Hyperlink"/>
            <w:lang w:val="fr-FR"/>
          </w:rPr>
          <w:t>www.mkk.gov.kg</w:t>
        </w:r>
      </w:hyperlink>
      <w:r w:rsidR="00794277" w:rsidRPr="000D6387">
        <w:rPr>
          <w:lang w:val="fr-FR"/>
        </w:rPr>
        <w:t xml:space="preserve">. </w:t>
      </w:r>
    </w:p>
    <w:p w14:paraId="59DFFAB1" w14:textId="77777777" w:rsidR="007F1722" w:rsidRPr="000D6387" w:rsidRDefault="007F1722" w:rsidP="007F1722">
      <w:pPr>
        <w:pStyle w:val="SingleTxt"/>
        <w:spacing w:after="0" w:line="120" w:lineRule="exact"/>
        <w:rPr>
          <w:b/>
          <w:bCs/>
          <w:sz w:val="10"/>
          <w:lang w:val="fr-FR"/>
        </w:rPr>
      </w:pPr>
    </w:p>
    <w:p w14:paraId="77BD3E7E" w14:textId="00A14E18" w:rsidR="00794277" w:rsidRPr="0090528E" w:rsidRDefault="007F1722" w:rsidP="007F1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0528E">
        <w:rPr>
          <w:lang w:val="fr-FR"/>
        </w:rPr>
        <w:tab/>
      </w:r>
      <w:r w:rsidR="00794277" w:rsidRPr="00462EE0">
        <w:rPr>
          <w:lang w:val="fr-FR"/>
        </w:rPr>
        <w:t>13</w:t>
      </w:r>
      <w:r w:rsidR="00794277" w:rsidRPr="0090528E">
        <w:rPr>
          <w:lang w:val="fr-FR"/>
        </w:rPr>
        <w:t>.</w:t>
      </w:r>
      <w:r w:rsidR="00794277" w:rsidRPr="0090528E">
        <w:rPr>
          <w:lang w:val="fr-FR"/>
        </w:rPr>
        <w:tab/>
        <w:t>Les femmes et la paix et la sécurité</w:t>
      </w:r>
    </w:p>
    <w:p w14:paraId="1FDDC85C" w14:textId="77777777" w:rsidR="007F1722" w:rsidRPr="0090528E" w:rsidRDefault="007F1722" w:rsidP="007F1722">
      <w:pPr>
        <w:pStyle w:val="SingleTxt"/>
        <w:spacing w:after="0" w:line="120" w:lineRule="exact"/>
        <w:rPr>
          <w:sz w:val="10"/>
          <w:lang w:val="fr-FR"/>
        </w:rPr>
      </w:pPr>
    </w:p>
    <w:p w14:paraId="32136369" w14:textId="11FEBD9E" w:rsidR="00794277" w:rsidRPr="0090528E" w:rsidRDefault="007F1722" w:rsidP="00794277">
      <w:pPr>
        <w:pStyle w:val="SingleTxt"/>
        <w:rPr>
          <w:lang w:val="fr-FR"/>
        </w:rPr>
      </w:pPr>
      <w:r w:rsidRPr="0090528E">
        <w:rPr>
          <w:lang w:val="fr-FR"/>
        </w:rPr>
        <w:tab/>
      </w:r>
      <w:r w:rsidR="00794277" w:rsidRPr="0090528E">
        <w:rPr>
          <w:lang w:val="fr-FR"/>
        </w:rPr>
        <w:t>Par sa décision n</w:t>
      </w:r>
      <w:r w:rsidR="00794277" w:rsidRPr="0090528E">
        <w:rPr>
          <w:vertAlign w:val="superscript"/>
          <w:lang w:val="fr-FR"/>
        </w:rPr>
        <w:t>o</w:t>
      </w:r>
      <w:r w:rsidR="00794277" w:rsidRPr="0090528E">
        <w:rPr>
          <w:lang w:val="fr-FR"/>
        </w:rPr>
        <w:t xml:space="preserve"> </w:t>
      </w:r>
      <w:r w:rsidR="00794277" w:rsidRPr="00462EE0">
        <w:rPr>
          <w:lang w:val="fr-FR"/>
        </w:rPr>
        <w:t>334</w:t>
      </w:r>
      <w:r w:rsidR="00794277" w:rsidRPr="0090528E">
        <w:rPr>
          <w:lang w:val="fr-FR"/>
        </w:rPr>
        <w:t xml:space="preserve"> du </w:t>
      </w:r>
      <w:r w:rsidR="00794277" w:rsidRPr="00462EE0">
        <w:rPr>
          <w:lang w:val="fr-FR"/>
        </w:rPr>
        <w:t>21</w:t>
      </w:r>
      <w:r w:rsidR="00794277" w:rsidRPr="0090528E">
        <w:rPr>
          <w:lang w:val="fr-FR"/>
        </w:rPr>
        <w:t xml:space="preserve"> septembre </w:t>
      </w:r>
      <w:r w:rsidR="00794277" w:rsidRPr="00462EE0">
        <w:rPr>
          <w:lang w:val="fr-FR"/>
        </w:rPr>
        <w:t>2018</w:t>
      </w:r>
      <w:r w:rsidR="00794277" w:rsidRPr="0090528E">
        <w:rPr>
          <w:lang w:val="fr-FR"/>
        </w:rPr>
        <w:t>, le Gouvernement a approuvé le plan d</w:t>
      </w:r>
      <w:r w:rsidR="00BD12BA" w:rsidRPr="0090528E">
        <w:rPr>
          <w:lang w:val="fr-FR"/>
        </w:rPr>
        <w:t>’</w:t>
      </w:r>
      <w:r w:rsidR="00794277" w:rsidRPr="0090528E">
        <w:rPr>
          <w:lang w:val="fr-FR"/>
        </w:rPr>
        <w:t xml:space="preserve">action pour la mise en œuvre de la résolution </w:t>
      </w:r>
      <w:hyperlink r:id="rId24" w:history="1">
        <w:r w:rsidR="00794277" w:rsidRPr="00462EE0">
          <w:rPr>
            <w:rStyle w:val="Hyperlink"/>
            <w:lang w:val="fr-FR"/>
          </w:rPr>
          <w:t>1325</w:t>
        </w:r>
        <w:r w:rsidR="00794277" w:rsidRPr="00280912">
          <w:rPr>
            <w:rStyle w:val="Hyperlink"/>
            <w:lang w:val="fr-FR"/>
          </w:rPr>
          <w:t xml:space="preserve"> (</w:t>
        </w:r>
        <w:r w:rsidR="00794277" w:rsidRPr="00462EE0">
          <w:rPr>
            <w:rStyle w:val="Hyperlink"/>
            <w:lang w:val="fr-FR"/>
          </w:rPr>
          <w:t>2000</w:t>
        </w:r>
        <w:r w:rsidR="00794277" w:rsidRPr="00280912">
          <w:rPr>
            <w:rStyle w:val="Hyperlink"/>
            <w:lang w:val="fr-FR"/>
          </w:rPr>
          <w:t>)</w:t>
        </w:r>
      </w:hyperlink>
      <w:r w:rsidR="00794277" w:rsidRPr="0090528E">
        <w:rPr>
          <w:lang w:val="fr-FR"/>
        </w:rPr>
        <w:t xml:space="preserve"> du Conseil de sécurité de l</w:t>
      </w:r>
      <w:r w:rsidR="00BD12BA" w:rsidRPr="0090528E">
        <w:rPr>
          <w:lang w:val="fr-FR"/>
        </w:rPr>
        <w:t>’</w:t>
      </w:r>
      <w:r w:rsidR="00794277" w:rsidRPr="0090528E">
        <w:rPr>
          <w:lang w:val="fr-FR"/>
        </w:rPr>
        <w:t>ONU sur le rôle des femmes dans la paix et la sécurité.</w:t>
      </w:r>
    </w:p>
    <w:p w14:paraId="2CD97276" w14:textId="4436F4D0" w:rsidR="00794277" w:rsidRPr="0090528E" w:rsidRDefault="007F1722" w:rsidP="00794277">
      <w:pPr>
        <w:pStyle w:val="SingleTxt"/>
        <w:rPr>
          <w:lang w:val="fr-FR"/>
        </w:rPr>
      </w:pPr>
      <w:r w:rsidRPr="0090528E">
        <w:rPr>
          <w:lang w:val="fr-FR"/>
        </w:rPr>
        <w:tab/>
      </w:r>
      <w:r w:rsidR="00794277" w:rsidRPr="0090528E">
        <w:rPr>
          <w:lang w:val="fr-FR"/>
        </w:rPr>
        <w:t xml:space="preserve">Conformément au paragraphe </w:t>
      </w:r>
      <w:r w:rsidR="00794277" w:rsidRPr="00462EE0">
        <w:rPr>
          <w:lang w:val="fr-FR"/>
        </w:rPr>
        <w:t>2</w:t>
      </w:r>
      <w:r w:rsidR="00794277" w:rsidRPr="0090528E">
        <w:rPr>
          <w:lang w:val="fr-FR"/>
        </w:rPr>
        <w:t xml:space="preserve"> de la décision susmentionnée, il est prévu que les ministères, les comités d</w:t>
      </w:r>
      <w:r w:rsidR="00BD12BA" w:rsidRPr="0090528E">
        <w:rPr>
          <w:lang w:val="fr-FR"/>
        </w:rPr>
        <w:t>’</w:t>
      </w:r>
      <w:r w:rsidR="00794277" w:rsidRPr="0090528E">
        <w:rPr>
          <w:lang w:val="fr-FR"/>
        </w:rPr>
        <w:t>État, les départements administratifs, les administrations locales et les collectivités locales financent les activités menées dans le cadre du plan d</w:t>
      </w:r>
      <w:r w:rsidR="00BD12BA" w:rsidRPr="0090528E">
        <w:rPr>
          <w:lang w:val="fr-FR"/>
        </w:rPr>
        <w:t>’</w:t>
      </w:r>
      <w:r w:rsidR="00794277" w:rsidRPr="0090528E">
        <w:rPr>
          <w:lang w:val="fr-FR"/>
        </w:rPr>
        <w:t>action au moyen de fonds alloués par les services de l</w:t>
      </w:r>
      <w:r w:rsidR="00BD12BA" w:rsidRPr="0090528E">
        <w:rPr>
          <w:lang w:val="fr-FR"/>
        </w:rPr>
        <w:t>’</w:t>
      </w:r>
      <w:r w:rsidR="00794277" w:rsidRPr="0090528E">
        <w:rPr>
          <w:lang w:val="fr-FR"/>
        </w:rPr>
        <w:t xml:space="preserve">administration centrale et locale impliqués dans sa mise en œuvre, suivant les prescriptions de la loi budgétaire pour </w:t>
      </w:r>
      <w:r w:rsidR="00794277" w:rsidRPr="00462EE0">
        <w:rPr>
          <w:lang w:val="fr-FR"/>
        </w:rPr>
        <w:t>2018</w:t>
      </w:r>
      <w:r w:rsidR="00794277" w:rsidRPr="0090528E">
        <w:rPr>
          <w:lang w:val="fr-FR"/>
        </w:rPr>
        <w:t xml:space="preserve"> et des prévisions budgétaires pour l</w:t>
      </w:r>
      <w:r w:rsidR="00BD12BA" w:rsidRPr="0090528E">
        <w:rPr>
          <w:lang w:val="fr-FR"/>
        </w:rPr>
        <w:t>’</w:t>
      </w:r>
      <w:r w:rsidR="00794277" w:rsidRPr="0090528E">
        <w:rPr>
          <w:lang w:val="fr-FR"/>
        </w:rPr>
        <w:t xml:space="preserve">exercice </w:t>
      </w:r>
      <w:r w:rsidR="00794277" w:rsidRPr="00462EE0">
        <w:rPr>
          <w:lang w:val="fr-FR"/>
        </w:rPr>
        <w:t>2019</w:t>
      </w:r>
      <w:r w:rsidR="00794277" w:rsidRPr="0090528E">
        <w:rPr>
          <w:lang w:val="fr-FR"/>
        </w:rPr>
        <w:t>/</w:t>
      </w:r>
      <w:r w:rsidR="00794277" w:rsidRPr="00462EE0">
        <w:rPr>
          <w:lang w:val="fr-FR"/>
        </w:rPr>
        <w:t>20</w:t>
      </w:r>
      <w:r w:rsidR="00794277" w:rsidRPr="0090528E">
        <w:rPr>
          <w:lang w:val="fr-FR"/>
        </w:rPr>
        <w:t>, ainsi qu</w:t>
      </w:r>
      <w:r w:rsidR="00BD12BA" w:rsidRPr="0090528E">
        <w:rPr>
          <w:lang w:val="fr-FR"/>
        </w:rPr>
        <w:t>’</w:t>
      </w:r>
      <w:r w:rsidR="00794277" w:rsidRPr="0090528E">
        <w:rPr>
          <w:lang w:val="fr-FR"/>
        </w:rPr>
        <w:t>au moyen d</w:t>
      </w:r>
      <w:r w:rsidR="00BD12BA" w:rsidRPr="0090528E">
        <w:rPr>
          <w:lang w:val="fr-FR"/>
        </w:rPr>
        <w:t>’</w:t>
      </w:r>
      <w:r w:rsidR="00794277" w:rsidRPr="0090528E">
        <w:rPr>
          <w:lang w:val="fr-FR"/>
        </w:rPr>
        <w:t>autres sources légales de financement.</w:t>
      </w:r>
    </w:p>
    <w:p w14:paraId="2D08DF00" w14:textId="6910408A" w:rsidR="00794277" w:rsidRPr="00462EE0" w:rsidRDefault="007F1722" w:rsidP="00794277">
      <w:pPr>
        <w:pStyle w:val="SingleTxt"/>
        <w:rPr>
          <w:i/>
          <w:lang w:val="fr-FR"/>
        </w:rPr>
      </w:pPr>
      <w:r w:rsidRPr="0090528E">
        <w:rPr>
          <w:lang w:val="fr-FR"/>
        </w:rPr>
        <w:tab/>
      </w:r>
      <w:r w:rsidR="009F5523" w:rsidRPr="00462EE0">
        <w:t>En 2019, les services de l’État ont progressé dans l’exécution du plan d’action. Par une décision datée du 22 août, le Gouvernement a approuvé le règlement relatif à l’exercice de la coopération intersectorielle visant à prévenir et à combattre la violence fondée sur le genre, et à y apporter des solutions dans les situations d’urgence.</w:t>
      </w:r>
    </w:p>
    <w:p w14:paraId="485FDD70" w14:textId="74BD145C" w:rsidR="00794277" w:rsidRPr="0090528E" w:rsidRDefault="007F1722" w:rsidP="00794277">
      <w:pPr>
        <w:pStyle w:val="SingleTxt"/>
        <w:rPr>
          <w:lang w:val="fr-FR"/>
        </w:rPr>
      </w:pPr>
      <w:r w:rsidRPr="0090528E">
        <w:rPr>
          <w:lang w:val="fr-FR"/>
        </w:rPr>
        <w:tab/>
      </w:r>
      <w:r w:rsidR="00794277" w:rsidRPr="0090528E">
        <w:rPr>
          <w:lang w:val="fr-FR"/>
        </w:rPr>
        <w:t>L</w:t>
      </w:r>
      <w:r w:rsidR="00BD12BA" w:rsidRPr="0090528E">
        <w:rPr>
          <w:lang w:val="fr-FR"/>
        </w:rPr>
        <w:t>’</w:t>
      </w:r>
      <w:r w:rsidR="00794277" w:rsidRPr="0090528E">
        <w:rPr>
          <w:lang w:val="fr-FR"/>
        </w:rPr>
        <w:t>Organisme public chargé des affaires de l</w:t>
      </w:r>
      <w:r w:rsidR="00BD12BA" w:rsidRPr="0090528E">
        <w:rPr>
          <w:lang w:val="fr-FR"/>
        </w:rPr>
        <w:t>’</w:t>
      </w:r>
      <w:r w:rsidR="00794277" w:rsidRPr="0090528E">
        <w:rPr>
          <w:lang w:val="fr-FR"/>
        </w:rPr>
        <w:t>administration autonome locale et des relations interethniques a élaboré et approuvé un plan commun d</w:t>
      </w:r>
      <w:r w:rsidR="00BD12BA" w:rsidRPr="0090528E">
        <w:rPr>
          <w:lang w:val="fr-FR"/>
        </w:rPr>
        <w:t>’</w:t>
      </w:r>
      <w:r w:rsidR="00794277" w:rsidRPr="0090528E">
        <w:rPr>
          <w:lang w:val="fr-FR"/>
        </w:rPr>
        <w:t>action quadripartite (en collaboration avec le Ministère de l</w:t>
      </w:r>
      <w:r w:rsidR="00BD12BA" w:rsidRPr="0090528E">
        <w:rPr>
          <w:lang w:val="fr-FR"/>
        </w:rPr>
        <w:t>’</w:t>
      </w:r>
      <w:r w:rsidR="00794277" w:rsidRPr="0090528E">
        <w:rPr>
          <w:lang w:val="fr-FR"/>
        </w:rPr>
        <w:t>intérieur, le Ministère de l</w:t>
      </w:r>
      <w:r w:rsidR="00BD12BA" w:rsidRPr="0090528E">
        <w:rPr>
          <w:lang w:val="fr-FR"/>
        </w:rPr>
        <w:t>’</w:t>
      </w:r>
      <w:r w:rsidR="00794277" w:rsidRPr="0090528E">
        <w:rPr>
          <w:lang w:val="fr-FR"/>
        </w:rPr>
        <w:t>Éducation et la Commission d</w:t>
      </w:r>
      <w:r w:rsidR="00BD12BA" w:rsidRPr="0090528E">
        <w:rPr>
          <w:lang w:val="fr-FR"/>
        </w:rPr>
        <w:t>’</w:t>
      </w:r>
      <w:r w:rsidR="00794277" w:rsidRPr="0090528E">
        <w:rPr>
          <w:lang w:val="fr-FR"/>
        </w:rPr>
        <w:t>État chargée des questions religieuses) visant à l</w:t>
      </w:r>
      <w:r w:rsidR="00BD12BA" w:rsidRPr="0090528E">
        <w:rPr>
          <w:lang w:val="fr-FR"/>
        </w:rPr>
        <w:t>’</w:t>
      </w:r>
      <w:r w:rsidR="00794277" w:rsidRPr="0090528E">
        <w:rPr>
          <w:lang w:val="fr-FR"/>
        </w:rPr>
        <w:t xml:space="preserve">application du paragraphe </w:t>
      </w:r>
      <w:r w:rsidR="00794277" w:rsidRPr="00462EE0">
        <w:rPr>
          <w:lang w:val="fr-FR"/>
        </w:rPr>
        <w:t>2</w:t>
      </w:r>
      <w:r w:rsidR="00794277" w:rsidRPr="0090528E">
        <w:rPr>
          <w:lang w:val="fr-FR"/>
        </w:rPr>
        <w:t>.</w:t>
      </w:r>
      <w:r w:rsidR="00794277" w:rsidRPr="00462EE0">
        <w:rPr>
          <w:lang w:val="fr-FR"/>
        </w:rPr>
        <w:t>2</w:t>
      </w:r>
      <w:r w:rsidR="00794277" w:rsidRPr="0090528E">
        <w:rPr>
          <w:lang w:val="fr-FR"/>
        </w:rPr>
        <w:t xml:space="preserve"> de la résolution </w:t>
      </w:r>
      <w:hyperlink r:id="rId25" w:history="1">
        <w:r w:rsidR="00794277" w:rsidRPr="00462EE0">
          <w:rPr>
            <w:rStyle w:val="Hyperlink"/>
            <w:lang w:val="fr-FR"/>
          </w:rPr>
          <w:t>1325</w:t>
        </w:r>
        <w:r w:rsidR="00794277" w:rsidRPr="00280912">
          <w:rPr>
            <w:rStyle w:val="Hyperlink"/>
            <w:lang w:val="fr-FR"/>
          </w:rPr>
          <w:t xml:space="preserve"> (</w:t>
        </w:r>
        <w:r w:rsidR="00794277" w:rsidRPr="00462EE0">
          <w:rPr>
            <w:rStyle w:val="Hyperlink"/>
            <w:lang w:val="fr-FR"/>
          </w:rPr>
          <w:t>2000</w:t>
        </w:r>
        <w:r w:rsidR="00794277" w:rsidRPr="00280912">
          <w:rPr>
            <w:rStyle w:val="Hyperlink"/>
            <w:lang w:val="fr-FR"/>
          </w:rPr>
          <w:t>)</w:t>
        </w:r>
      </w:hyperlink>
      <w:r w:rsidR="00794277" w:rsidRPr="0090528E">
        <w:rPr>
          <w:lang w:val="fr-FR"/>
        </w:rPr>
        <w:t xml:space="preserve"> du Conseil de sécurité, qui permettra le maintien d</w:t>
      </w:r>
      <w:r w:rsidR="00BD12BA" w:rsidRPr="0090528E">
        <w:rPr>
          <w:lang w:val="fr-FR"/>
        </w:rPr>
        <w:t>’</w:t>
      </w:r>
      <w:r w:rsidR="00794277" w:rsidRPr="0090528E">
        <w:rPr>
          <w:lang w:val="fr-FR"/>
        </w:rPr>
        <w:t>une situation pacifique et exempte de conflits dans les régions d</w:t>
      </w:r>
      <w:r w:rsidR="00BD12BA" w:rsidRPr="0090528E">
        <w:rPr>
          <w:lang w:val="fr-FR"/>
        </w:rPr>
        <w:t>’</w:t>
      </w:r>
      <w:r w:rsidR="00794277" w:rsidRPr="0090528E">
        <w:rPr>
          <w:lang w:val="fr-FR"/>
        </w:rPr>
        <w:t>Issyk-Ata et d</w:t>
      </w:r>
      <w:r w:rsidR="00BD12BA" w:rsidRPr="0090528E">
        <w:rPr>
          <w:lang w:val="fr-FR"/>
        </w:rPr>
        <w:t>’</w:t>
      </w:r>
      <w:r w:rsidR="00794277" w:rsidRPr="0090528E">
        <w:rPr>
          <w:lang w:val="fr-FR"/>
        </w:rPr>
        <w:t xml:space="preserve">Ouzgen durant la période </w:t>
      </w:r>
      <w:r w:rsidR="00794277" w:rsidRPr="00462EE0">
        <w:rPr>
          <w:lang w:val="fr-FR"/>
        </w:rPr>
        <w:t>2019</w:t>
      </w:r>
      <w:r w:rsidR="00794277" w:rsidRPr="0090528E">
        <w:rPr>
          <w:lang w:val="fr-FR"/>
        </w:rPr>
        <w:t>-</w:t>
      </w:r>
      <w:r w:rsidR="00794277" w:rsidRPr="00462EE0">
        <w:rPr>
          <w:lang w:val="fr-FR"/>
        </w:rPr>
        <w:t>2020</w:t>
      </w:r>
      <w:r w:rsidR="00794277" w:rsidRPr="0090528E">
        <w:rPr>
          <w:lang w:val="fr-FR"/>
        </w:rPr>
        <w:t>. Aux fins de l</w:t>
      </w:r>
      <w:r w:rsidR="00BD12BA" w:rsidRPr="0090528E">
        <w:rPr>
          <w:lang w:val="fr-FR"/>
        </w:rPr>
        <w:t>’</w:t>
      </w:r>
      <w:r w:rsidR="00794277" w:rsidRPr="0090528E">
        <w:rPr>
          <w:lang w:val="fr-FR"/>
        </w:rPr>
        <w:t xml:space="preserve">exécution dudit plan dans deux régions pilotes, une équipe spéciale qui comprend </w:t>
      </w:r>
      <w:r w:rsidR="00794277" w:rsidRPr="00462EE0">
        <w:rPr>
          <w:lang w:val="fr-FR"/>
        </w:rPr>
        <w:t>16</w:t>
      </w:r>
      <w:r w:rsidR="004D6DB7" w:rsidRPr="0090528E">
        <w:rPr>
          <w:lang w:val="fr-FR"/>
        </w:rPr>
        <w:t> </w:t>
      </w:r>
      <w:r w:rsidR="00794277" w:rsidRPr="0090528E">
        <w:rPr>
          <w:lang w:val="fr-FR"/>
        </w:rPr>
        <w:t>représentantes a été constituée.</w:t>
      </w:r>
    </w:p>
    <w:p w14:paraId="20BEF4BF" w14:textId="7640EB3B" w:rsidR="00794277" w:rsidRPr="0090528E" w:rsidRDefault="007F1722" w:rsidP="00794277">
      <w:pPr>
        <w:pStyle w:val="SingleTxt"/>
        <w:rPr>
          <w:lang w:val="fr-FR"/>
        </w:rPr>
      </w:pPr>
      <w:r w:rsidRPr="0090528E">
        <w:rPr>
          <w:lang w:val="fr-FR"/>
        </w:rPr>
        <w:tab/>
      </w:r>
      <w:r w:rsidR="00794277" w:rsidRPr="0090528E">
        <w:rPr>
          <w:lang w:val="fr-FR"/>
        </w:rPr>
        <w:t>Le Ministère de la santé a élaboré et approuvé des directives relatives à la prise en charge clinique des enfants ayant subi une maltraitance</w:t>
      </w:r>
      <w:r w:rsidR="00BD12BA" w:rsidRPr="0090528E">
        <w:rPr>
          <w:lang w:val="fr-FR"/>
        </w:rPr>
        <w:t> ;</w:t>
      </w:r>
      <w:r w:rsidR="00794277" w:rsidRPr="0090528E">
        <w:rPr>
          <w:lang w:val="fr-FR"/>
        </w:rPr>
        <w:t xml:space="preserve"> au diagnostic et au traitement des troubles occasionnés par un stress traumatique</w:t>
      </w:r>
      <w:r w:rsidR="00BD12BA" w:rsidRPr="0090528E">
        <w:rPr>
          <w:lang w:val="fr-FR"/>
        </w:rPr>
        <w:t> ;</w:t>
      </w:r>
      <w:r w:rsidR="00794277" w:rsidRPr="0090528E">
        <w:rPr>
          <w:lang w:val="fr-FR"/>
        </w:rPr>
        <w:t xml:space="preserve"> à la prestation de soutien psychologique aux femmes victimes de violence fondée sur le genre dans les situations d</w:t>
      </w:r>
      <w:r w:rsidR="00BD12BA" w:rsidRPr="0090528E">
        <w:rPr>
          <w:lang w:val="fr-FR"/>
        </w:rPr>
        <w:t>’</w:t>
      </w:r>
      <w:r w:rsidR="00794277" w:rsidRPr="0090528E">
        <w:rPr>
          <w:lang w:val="fr-FR"/>
        </w:rPr>
        <w:t>urgence. Ces directives s</w:t>
      </w:r>
      <w:r w:rsidR="00BD12BA" w:rsidRPr="0090528E">
        <w:rPr>
          <w:lang w:val="fr-FR"/>
        </w:rPr>
        <w:t>’</w:t>
      </w:r>
      <w:r w:rsidR="00794277" w:rsidRPr="0090528E">
        <w:rPr>
          <w:lang w:val="fr-FR"/>
        </w:rPr>
        <w:t xml:space="preserve">appliquent à toutes les catégories de personnes concernées par cette violence, bénéficiaires comme prestataires. </w:t>
      </w:r>
    </w:p>
    <w:p w14:paraId="58BFFBCE" w14:textId="75F0AA59" w:rsidR="00794277" w:rsidRPr="0090528E" w:rsidRDefault="007F1722" w:rsidP="00794277">
      <w:pPr>
        <w:pStyle w:val="SingleTxt"/>
        <w:rPr>
          <w:lang w:val="fr-FR"/>
        </w:rPr>
      </w:pPr>
      <w:r w:rsidRPr="0090528E">
        <w:rPr>
          <w:lang w:val="fr-FR"/>
        </w:rPr>
        <w:tab/>
      </w:r>
      <w:r w:rsidR="00794277" w:rsidRPr="0090528E">
        <w:rPr>
          <w:lang w:val="fr-FR"/>
        </w:rPr>
        <w:t xml:space="preserve">Le </w:t>
      </w:r>
      <w:r w:rsidR="00794277" w:rsidRPr="00462EE0">
        <w:rPr>
          <w:lang w:val="fr-FR"/>
        </w:rPr>
        <w:t>5</w:t>
      </w:r>
      <w:r w:rsidR="00794277" w:rsidRPr="0090528E">
        <w:rPr>
          <w:lang w:val="fr-FR"/>
        </w:rPr>
        <w:t xml:space="preserve"> novembre </w:t>
      </w:r>
      <w:r w:rsidR="00794277" w:rsidRPr="00462EE0">
        <w:rPr>
          <w:lang w:val="fr-FR"/>
        </w:rPr>
        <w:t>2019</w:t>
      </w:r>
      <w:r w:rsidR="00794277" w:rsidRPr="0090528E">
        <w:rPr>
          <w:lang w:val="fr-FR"/>
        </w:rPr>
        <w:t>, le Centre de gestion des crises du Ministère des situations d</w:t>
      </w:r>
      <w:r w:rsidR="00BD12BA" w:rsidRPr="0090528E">
        <w:rPr>
          <w:lang w:val="fr-FR"/>
        </w:rPr>
        <w:t>’</w:t>
      </w:r>
      <w:r w:rsidR="00794277" w:rsidRPr="0090528E">
        <w:rPr>
          <w:lang w:val="fr-FR"/>
        </w:rPr>
        <w:t>urgence a organisé une réunion interministérielle à laquelle ont participé des représentant(e)s dudit Ministère mais aussi du Ministère de l</w:t>
      </w:r>
      <w:r w:rsidR="00BD12BA" w:rsidRPr="0090528E">
        <w:rPr>
          <w:lang w:val="fr-FR"/>
        </w:rPr>
        <w:t>’</w:t>
      </w:r>
      <w:r w:rsidR="00794277" w:rsidRPr="0090528E">
        <w:rPr>
          <w:lang w:val="fr-FR"/>
        </w:rPr>
        <w:t>intérieur, du Ministère du travail et du développement social, du Ministère de la santé, de l</w:t>
      </w:r>
      <w:r w:rsidR="00BD12BA" w:rsidRPr="0090528E">
        <w:rPr>
          <w:lang w:val="fr-FR"/>
        </w:rPr>
        <w:t>’</w:t>
      </w:r>
      <w:r w:rsidR="00794277" w:rsidRPr="0090528E">
        <w:rPr>
          <w:lang w:val="fr-FR"/>
        </w:rPr>
        <w:t>État-Major et du Conseil suprême, ainsi que d</w:t>
      </w:r>
      <w:r w:rsidR="00BD12BA" w:rsidRPr="0090528E">
        <w:rPr>
          <w:lang w:val="fr-FR"/>
        </w:rPr>
        <w:t>’</w:t>
      </w:r>
      <w:r w:rsidR="00794277" w:rsidRPr="0090528E">
        <w:rPr>
          <w:lang w:val="fr-FR"/>
        </w:rPr>
        <w:t xml:space="preserve">organisations internationales. Dans le cadre de cette </w:t>
      </w:r>
      <w:r w:rsidR="00794277" w:rsidRPr="00B0167E">
        <w:rPr>
          <w:lang w:val="fr-FR"/>
        </w:rPr>
        <w:t>réunion, le plan de mise en œuvre de la décision gouvernementale n</w:t>
      </w:r>
      <w:r w:rsidR="00794277" w:rsidRPr="00462EE0">
        <w:rPr>
          <w:vertAlign w:val="superscript"/>
          <w:lang w:val="fr-FR"/>
        </w:rPr>
        <w:t>o</w:t>
      </w:r>
      <w:r w:rsidR="00794277" w:rsidRPr="00462EE0">
        <w:rPr>
          <w:lang w:val="fr-FR"/>
        </w:rPr>
        <w:t xml:space="preserve"> 418</w:t>
      </w:r>
      <w:r w:rsidR="00794277" w:rsidRPr="00B0167E">
        <w:rPr>
          <w:lang w:val="fr-FR"/>
        </w:rPr>
        <w:t xml:space="preserve"> du </w:t>
      </w:r>
      <w:r w:rsidR="00794277" w:rsidRPr="00462EE0">
        <w:rPr>
          <w:lang w:val="fr-FR"/>
        </w:rPr>
        <w:t>22</w:t>
      </w:r>
      <w:r w:rsidR="00794277" w:rsidRPr="00B0167E">
        <w:rPr>
          <w:lang w:val="fr-FR"/>
        </w:rPr>
        <w:t xml:space="preserve"> août </w:t>
      </w:r>
      <w:r w:rsidR="00794277" w:rsidRPr="00462EE0">
        <w:rPr>
          <w:lang w:val="fr-FR"/>
        </w:rPr>
        <w:t>2019</w:t>
      </w:r>
      <w:r w:rsidR="00794277" w:rsidRPr="00B0167E">
        <w:rPr>
          <w:lang w:val="fr-FR"/>
        </w:rPr>
        <w:t xml:space="preserve"> a été adopté.</w:t>
      </w:r>
    </w:p>
    <w:p w14:paraId="582C056C" w14:textId="5A344524" w:rsidR="00794277" w:rsidRPr="000D6387" w:rsidRDefault="007F1722" w:rsidP="00794277">
      <w:pPr>
        <w:pStyle w:val="SingleTxt"/>
        <w:rPr>
          <w:lang w:val="fr-FR"/>
        </w:rPr>
      </w:pPr>
      <w:r w:rsidRPr="000D6387">
        <w:rPr>
          <w:lang w:val="fr-FR"/>
        </w:rPr>
        <w:tab/>
      </w:r>
      <w:r w:rsidR="00794277" w:rsidRPr="000D6387">
        <w:rPr>
          <w:lang w:val="fr-FR"/>
        </w:rPr>
        <w:t>Ce plan prévoit l</w:t>
      </w:r>
      <w:r w:rsidR="00BD12BA" w:rsidRPr="000D6387">
        <w:rPr>
          <w:lang w:val="fr-FR"/>
        </w:rPr>
        <w:t>’</w:t>
      </w:r>
      <w:r w:rsidR="00794277" w:rsidRPr="000D6387">
        <w:rPr>
          <w:lang w:val="fr-FR"/>
        </w:rPr>
        <w:t>élaboration d</w:t>
      </w:r>
      <w:r w:rsidR="00BD12BA" w:rsidRPr="000D6387">
        <w:rPr>
          <w:lang w:val="fr-FR"/>
        </w:rPr>
        <w:t>’</w:t>
      </w:r>
      <w:r w:rsidR="00794277" w:rsidRPr="000D6387">
        <w:rPr>
          <w:lang w:val="fr-FR"/>
        </w:rPr>
        <w:t>un projet de directive interministérielle unique sur les mesures que les forces et autorités de la protection civile seront appelées à prendre en réponse à la violence fondée sur le genre dans des situations de crise ou d</w:t>
      </w:r>
      <w:r w:rsidR="00BD12BA" w:rsidRPr="000D6387">
        <w:rPr>
          <w:lang w:val="fr-FR"/>
        </w:rPr>
        <w:t>’</w:t>
      </w:r>
      <w:r w:rsidR="00794277" w:rsidRPr="000D6387">
        <w:rPr>
          <w:lang w:val="fr-FR"/>
        </w:rPr>
        <w:t xml:space="preserve">urgence. </w:t>
      </w:r>
    </w:p>
    <w:p w14:paraId="2BD8D62E" w14:textId="0B97B849" w:rsidR="00794277" w:rsidRPr="000D6387" w:rsidRDefault="007F1722" w:rsidP="00794277">
      <w:pPr>
        <w:pStyle w:val="SingleTxt"/>
        <w:rPr>
          <w:lang w:val="fr-FR"/>
        </w:rPr>
      </w:pPr>
      <w:r w:rsidRPr="000D6387">
        <w:rPr>
          <w:lang w:val="fr-FR"/>
        </w:rPr>
        <w:tab/>
      </w:r>
      <w:r w:rsidR="00794277" w:rsidRPr="000D6387">
        <w:rPr>
          <w:lang w:val="fr-FR"/>
        </w:rPr>
        <w:t xml:space="preserve">Le </w:t>
      </w:r>
      <w:r w:rsidR="00794277" w:rsidRPr="00280912">
        <w:rPr>
          <w:lang w:val="fr-FR"/>
        </w:rPr>
        <w:t>4</w:t>
      </w:r>
      <w:r w:rsidR="00794277" w:rsidRPr="000D6387">
        <w:rPr>
          <w:lang w:val="fr-FR"/>
        </w:rPr>
        <w:t xml:space="preserve"> mars </w:t>
      </w:r>
      <w:r w:rsidR="00794277" w:rsidRPr="00280912">
        <w:rPr>
          <w:lang w:val="fr-FR"/>
        </w:rPr>
        <w:t>2019</w:t>
      </w:r>
      <w:r w:rsidR="00794277" w:rsidRPr="000D6387">
        <w:rPr>
          <w:lang w:val="fr-FR"/>
        </w:rPr>
        <w:t>, le Ministère de l</w:t>
      </w:r>
      <w:r w:rsidR="00BD12BA" w:rsidRPr="000D6387">
        <w:rPr>
          <w:lang w:val="fr-FR"/>
        </w:rPr>
        <w:t>’</w:t>
      </w:r>
      <w:r w:rsidR="00794277" w:rsidRPr="000D6387">
        <w:rPr>
          <w:lang w:val="fr-FR"/>
        </w:rPr>
        <w:t>intérieur a organisé à Bichkek (Hôtel Hyatt Regency) un forum national sur le thème «</w:t>
      </w:r>
      <w:r w:rsidR="004D6DB7" w:rsidRPr="000D6387">
        <w:rPr>
          <w:lang w:val="fr-FR"/>
        </w:rPr>
        <w:t> </w:t>
      </w:r>
      <w:r w:rsidR="00794277" w:rsidRPr="000D6387">
        <w:rPr>
          <w:lang w:val="fr-FR"/>
        </w:rPr>
        <w:t>Les femmes kirghizes pour la paix, la sécurité et le développement</w:t>
      </w:r>
      <w:r w:rsidR="004D6DB7" w:rsidRPr="000D6387">
        <w:rPr>
          <w:lang w:val="fr-FR"/>
        </w:rPr>
        <w:t> </w:t>
      </w:r>
      <w:r w:rsidR="00794277" w:rsidRPr="000D6387">
        <w:rPr>
          <w:lang w:val="fr-FR"/>
        </w:rPr>
        <w:t>», auquel était conviée l</w:t>
      </w:r>
      <w:r w:rsidR="00BD12BA" w:rsidRPr="000D6387">
        <w:rPr>
          <w:lang w:val="fr-FR"/>
        </w:rPr>
        <w:t>’</w:t>
      </w:r>
      <w:r w:rsidR="00794277" w:rsidRPr="000D6387">
        <w:rPr>
          <w:lang w:val="fr-FR"/>
        </w:rPr>
        <w:t>Association des femmes actives dans les secteurs de la sécurité, de la justice et du maintien de l</w:t>
      </w:r>
      <w:r w:rsidR="00BD12BA" w:rsidRPr="000D6387">
        <w:rPr>
          <w:lang w:val="fr-FR"/>
        </w:rPr>
        <w:t>’</w:t>
      </w:r>
      <w:r w:rsidR="00794277" w:rsidRPr="000D6387">
        <w:rPr>
          <w:lang w:val="fr-FR"/>
        </w:rPr>
        <w:t xml:space="preserve">ordre. </w:t>
      </w:r>
    </w:p>
    <w:p w14:paraId="389D634D" w14:textId="2C8C48FE" w:rsidR="00794277" w:rsidRPr="000D6387" w:rsidRDefault="007F1722" w:rsidP="00794277">
      <w:pPr>
        <w:pStyle w:val="SingleTxt"/>
        <w:rPr>
          <w:lang w:val="fr-FR"/>
        </w:rPr>
      </w:pPr>
      <w:r w:rsidRPr="000D6387">
        <w:rPr>
          <w:lang w:val="fr-FR"/>
        </w:rPr>
        <w:tab/>
      </w:r>
      <w:r w:rsidR="00794277" w:rsidRPr="000D6387">
        <w:rPr>
          <w:lang w:val="fr-FR"/>
        </w:rPr>
        <w:t xml:space="preserve">Du </w:t>
      </w:r>
      <w:r w:rsidR="00794277" w:rsidRPr="00280912">
        <w:rPr>
          <w:lang w:val="fr-FR"/>
        </w:rPr>
        <w:t>1</w:t>
      </w:r>
      <w:r w:rsidR="00794277" w:rsidRPr="000D6387">
        <w:rPr>
          <w:vertAlign w:val="superscript"/>
          <w:lang w:val="fr-FR"/>
        </w:rPr>
        <w:t>er</w:t>
      </w:r>
      <w:r w:rsidR="00794277" w:rsidRPr="000D6387">
        <w:rPr>
          <w:lang w:val="fr-FR"/>
        </w:rPr>
        <w:t xml:space="preserve"> janvier au </w:t>
      </w:r>
      <w:r w:rsidR="00794277" w:rsidRPr="00280912">
        <w:rPr>
          <w:lang w:val="fr-FR"/>
        </w:rPr>
        <w:t>20</w:t>
      </w:r>
      <w:r w:rsidR="00794277" w:rsidRPr="000D6387">
        <w:rPr>
          <w:lang w:val="fr-FR"/>
        </w:rPr>
        <w:t xml:space="preserve"> décembre </w:t>
      </w:r>
      <w:r w:rsidR="00794277" w:rsidRPr="00280912">
        <w:rPr>
          <w:lang w:val="fr-FR"/>
        </w:rPr>
        <w:t>2019</w:t>
      </w:r>
      <w:r w:rsidR="00794277" w:rsidRPr="000D6387">
        <w:rPr>
          <w:lang w:val="fr-FR"/>
        </w:rPr>
        <w:t>, l</w:t>
      </w:r>
      <w:r w:rsidR="00BD12BA" w:rsidRPr="000D6387">
        <w:rPr>
          <w:lang w:val="fr-FR"/>
        </w:rPr>
        <w:t>’</w:t>
      </w:r>
      <w:r w:rsidR="00794277" w:rsidRPr="000D6387">
        <w:rPr>
          <w:lang w:val="fr-FR"/>
        </w:rPr>
        <w:t>Académie du Ministère de l</w:t>
      </w:r>
      <w:r w:rsidR="00BD12BA" w:rsidRPr="000D6387">
        <w:rPr>
          <w:lang w:val="fr-FR"/>
        </w:rPr>
        <w:t>’</w:t>
      </w:r>
      <w:r w:rsidR="00794277" w:rsidRPr="000D6387">
        <w:rPr>
          <w:lang w:val="fr-FR"/>
        </w:rPr>
        <w:t xml:space="preserve">intérieur a dispensé une formation à </w:t>
      </w:r>
      <w:r w:rsidR="00794277" w:rsidRPr="00280912">
        <w:rPr>
          <w:lang w:val="fr-FR"/>
        </w:rPr>
        <w:t>402</w:t>
      </w:r>
      <w:r w:rsidR="00794277" w:rsidRPr="000D6387">
        <w:rPr>
          <w:lang w:val="fr-FR"/>
        </w:rPr>
        <w:t xml:space="preserve"> fonctionnaires dans le cadre de programmes spéciaux axés notamment sur la prévention des conflits et des risques de violence contre les femmes et les filles.</w:t>
      </w:r>
    </w:p>
    <w:p w14:paraId="08F74A7B" w14:textId="795B00EA" w:rsidR="00794277" w:rsidRPr="000D6387" w:rsidRDefault="007F1722" w:rsidP="00794277">
      <w:pPr>
        <w:pStyle w:val="SingleTxt"/>
        <w:rPr>
          <w:lang w:val="fr-FR"/>
        </w:rPr>
      </w:pPr>
      <w:r w:rsidRPr="000D6387">
        <w:rPr>
          <w:lang w:val="fr-FR"/>
        </w:rPr>
        <w:tab/>
      </w:r>
      <w:r w:rsidR="00794277" w:rsidRPr="000D6387">
        <w:rPr>
          <w:lang w:val="fr-FR"/>
        </w:rPr>
        <w:t xml:space="preserve">En novembre </w:t>
      </w:r>
      <w:r w:rsidR="00794277" w:rsidRPr="00280912">
        <w:rPr>
          <w:lang w:val="fr-FR"/>
        </w:rPr>
        <w:t>2019</w:t>
      </w:r>
      <w:r w:rsidR="00794277" w:rsidRPr="000D6387">
        <w:rPr>
          <w:lang w:val="fr-FR"/>
        </w:rPr>
        <w:t>, le Commissaire gouvernemental de la région d</w:t>
      </w:r>
      <w:r w:rsidR="00BD12BA" w:rsidRPr="000D6387">
        <w:rPr>
          <w:lang w:val="fr-FR"/>
        </w:rPr>
        <w:t>’</w:t>
      </w:r>
      <w:r w:rsidR="00794277" w:rsidRPr="000D6387">
        <w:rPr>
          <w:lang w:val="fr-FR"/>
        </w:rPr>
        <w:t>Och a mené des campagnes d</w:t>
      </w:r>
      <w:r w:rsidR="00BD12BA" w:rsidRPr="000D6387">
        <w:rPr>
          <w:lang w:val="fr-FR"/>
        </w:rPr>
        <w:t>’</w:t>
      </w:r>
      <w:r w:rsidR="00794277" w:rsidRPr="000D6387">
        <w:rPr>
          <w:lang w:val="fr-FR"/>
        </w:rPr>
        <w:t>information visant à prévenir la radicalisation des femmes, dans les districts d</w:t>
      </w:r>
      <w:r w:rsidR="00BD12BA" w:rsidRPr="000D6387">
        <w:rPr>
          <w:lang w:val="fr-FR"/>
        </w:rPr>
        <w:t>’</w:t>
      </w:r>
      <w:r w:rsidR="00794277" w:rsidRPr="000D6387">
        <w:rPr>
          <w:lang w:val="fr-FR"/>
        </w:rPr>
        <w:t>Aravan et de Kara-Souou. En outre, des sessions de formation sur le thème de la lutte contre l</w:t>
      </w:r>
      <w:r w:rsidR="00BD12BA" w:rsidRPr="000D6387">
        <w:rPr>
          <w:lang w:val="fr-FR"/>
        </w:rPr>
        <w:t>’</w:t>
      </w:r>
      <w:r w:rsidR="00794277" w:rsidRPr="000D6387">
        <w:rPr>
          <w:lang w:val="fr-FR"/>
        </w:rPr>
        <w:t>extrémisme et le terrorisme, auxquelles ont participé des femmes dirigeantes, ont eu lieu dans tous les districts.</w:t>
      </w:r>
    </w:p>
    <w:p w14:paraId="11F10B6E" w14:textId="709E155B" w:rsidR="00794277" w:rsidRPr="000D6387" w:rsidRDefault="007F1722" w:rsidP="00794277">
      <w:pPr>
        <w:pStyle w:val="SingleTxt"/>
        <w:rPr>
          <w:lang w:val="fr-FR"/>
        </w:rPr>
      </w:pPr>
      <w:r w:rsidRPr="000D6387">
        <w:rPr>
          <w:lang w:val="fr-FR"/>
        </w:rPr>
        <w:tab/>
      </w:r>
      <w:r w:rsidR="00794277" w:rsidRPr="000D6387">
        <w:rPr>
          <w:lang w:val="fr-FR"/>
        </w:rPr>
        <w:t>Le Ministère de l</w:t>
      </w:r>
      <w:r w:rsidR="00BD12BA" w:rsidRPr="000D6387">
        <w:rPr>
          <w:lang w:val="fr-FR"/>
        </w:rPr>
        <w:t>’</w:t>
      </w:r>
      <w:r w:rsidR="00794277" w:rsidRPr="000D6387">
        <w:rPr>
          <w:lang w:val="fr-FR"/>
        </w:rPr>
        <w:t>intérieur a organisé des ateliers traitant des fondements institutionnels et juridiques de la coopération entre les organes de l</w:t>
      </w:r>
      <w:r w:rsidR="00BD12BA" w:rsidRPr="000D6387">
        <w:rPr>
          <w:lang w:val="fr-FR"/>
        </w:rPr>
        <w:t>’</w:t>
      </w:r>
      <w:r w:rsidR="00794277" w:rsidRPr="000D6387">
        <w:rPr>
          <w:lang w:val="fr-FR"/>
        </w:rPr>
        <w:t>État et les organisations religieuses aux fins de la prévention de l</w:t>
      </w:r>
      <w:r w:rsidR="00BD12BA" w:rsidRPr="000D6387">
        <w:rPr>
          <w:lang w:val="fr-FR"/>
        </w:rPr>
        <w:t>’</w:t>
      </w:r>
      <w:r w:rsidR="00794277" w:rsidRPr="000D6387">
        <w:rPr>
          <w:lang w:val="fr-FR"/>
        </w:rPr>
        <w:t>extrémisme et du terrorisme.</w:t>
      </w:r>
    </w:p>
    <w:p w14:paraId="67503E05" w14:textId="4E4FD8E8" w:rsidR="00794277" w:rsidRPr="000D6387" w:rsidRDefault="007F1722" w:rsidP="00794277">
      <w:pPr>
        <w:pStyle w:val="SingleTxt"/>
        <w:rPr>
          <w:lang w:val="fr-FR"/>
        </w:rPr>
      </w:pPr>
      <w:r w:rsidRPr="000D6387">
        <w:rPr>
          <w:lang w:val="fr-FR"/>
        </w:rPr>
        <w:tab/>
      </w:r>
      <w:r w:rsidR="00794277" w:rsidRPr="000D6387">
        <w:rPr>
          <w:lang w:val="fr-FR"/>
        </w:rPr>
        <w:t>La Commission d</w:t>
      </w:r>
      <w:r w:rsidR="00BD12BA" w:rsidRPr="000D6387">
        <w:rPr>
          <w:lang w:val="fr-FR"/>
        </w:rPr>
        <w:t>’</w:t>
      </w:r>
      <w:r w:rsidR="00794277" w:rsidRPr="000D6387">
        <w:rPr>
          <w:lang w:val="fr-FR"/>
        </w:rPr>
        <w:t>État chargée des affaires religieuses, dans le cadre d</w:t>
      </w:r>
      <w:r w:rsidR="00BD12BA" w:rsidRPr="000D6387">
        <w:rPr>
          <w:lang w:val="fr-FR"/>
        </w:rPr>
        <w:t>’</w:t>
      </w:r>
      <w:r w:rsidR="00794277" w:rsidRPr="000D6387">
        <w:rPr>
          <w:lang w:val="fr-FR"/>
        </w:rPr>
        <w:t>une collaboration avec l</w:t>
      </w:r>
      <w:r w:rsidR="00BD12BA" w:rsidRPr="000D6387">
        <w:rPr>
          <w:lang w:val="fr-FR"/>
        </w:rPr>
        <w:t>’</w:t>
      </w:r>
      <w:r w:rsidR="00794277" w:rsidRPr="000D6387">
        <w:rPr>
          <w:lang w:val="fr-FR"/>
        </w:rPr>
        <w:t>association de défense des femmes Moutakalim, a élaboré à l</w:t>
      </w:r>
      <w:r w:rsidR="00BD12BA" w:rsidRPr="000D6387">
        <w:rPr>
          <w:lang w:val="fr-FR"/>
        </w:rPr>
        <w:t>’</w:t>
      </w:r>
      <w:r w:rsidR="00794277" w:rsidRPr="000D6387">
        <w:rPr>
          <w:lang w:val="fr-FR"/>
        </w:rPr>
        <w:t>intention des femmes et des filles un guide qui présente celles-ci comme des agentes de paix et de stabilité. Des sessions de formation à l</w:t>
      </w:r>
      <w:r w:rsidR="00BD12BA" w:rsidRPr="000D6387">
        <w:rPr>
          <w:lang w:val="fr-FR"/>
        </w:rPr>
        <w:t>’</w:t>
      </w:r>
      <w:r w:rsidR="00794277" w:rsidRPr="000D6387">
        <w:rPr>
          <w:lang w:val="fr-FR"/>
        </w:rPr>
        <w:t>intention de de femmes dirigeantes ont été organisées sur le thème de la lutte contre l</w:t>
      </w:r>
      <w:r w:rsidR="00BD12BA" w:rsidRPr="000D6387">
        <w:rPr>
          <w:lang w:val="fr-FR"/>
        </w:rPr>
        <w:t>’</w:t>
      </w:r>
      <w:r w:rsidR="00794277" w:rsidRPr="000D6387">
        <w:rPr>
          <w:lang w:val="fr-FR"/>
        </w:rPr>
        <w:t>extrémisme et le terrorisme.</w:t>
      </w:r>
    </w:p>
    <w:p w14:paraId="4898E6C5" w14:textId="77777777" w:rsidR="007F1722" w:rsidRPr="000D6387" w:rsidRDefault="007F1722" w:rsidP="007F1722">
      <w:pPr>
        <w:pStyle w:val="SingleTxt"/>
        <w:spacing w:after="0" w:line="120" w:lineRule="exact"/>
        <w:rPr>
          <w:b/>
          <w:bCs/>
          <w:sz w:val="10"/>
          <w:lang w:val="fr-FR"/>
        </w:rPr>
      </w:pPr>
    </w:p>
    <w:p w14:paraId="0C683577" w14:textId="2CD9F473" w:rsidR="00794277" w:rsidRPr="000D6387" w:rsidRDefault="007F1722" w:rsidP="007F1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14</w:t>
      </w:r>
      <w:r w:rsidR="00794277" w:rsidRPr="000D6387">
        <w:rPr>
          <w:lang w:val="fr-FR"/>
        </w:rPr>
        <w:t>.</w:t>
      </w:r>
      <w:r w:rsidR="00794277" w:rsidRPr="000D6387">
        <w:rPr>
          <w:lang w:val="fr-FR"/>
        </w:rPr>
        <w:tab/>
        <w:t>Nationalité</w:t>
      </w:r>
    </w:p>
    <w:p w14:paraId="17A89D41" w14:textId="77777777" w:rsidR="007F1722" w:rsidRPr="000D6387" w:rsidRDefault="007F1722" w:rsidP="007F1722">
      <w:pPr>
        <w:pStyle w:val="SingleTxt"/>
        <w:spacing w:after="0" w:line="120" w:lineRule="exact"/>
        <w:rPr>
          <w:sz w:val="10"/>
          <w:lang w:val="fr-FR"/>
        </w:rPr>
      </w:pPr>
    </w:p>
    <w:p w14:paraId="14D7BC12" w14:textId="4837CE57" w:rsidR="00794277" w:rsidRPr="000D6387" w:rsidRDefault="007F1722" w:rsidP="00794277">
      <w:pPr>
        <w:pStyle w:val="SingleTxt"/>
        <w:rPr>
          <w:bCs/>
          <w:lang w:val="fr-FR"/>
        </w:rPr>
      </w:pPr>
      <w:r w:rsidRPr="000D6387">
        <w:rPr>
          <w:lang w:val="fr-FR"/>
        </w:rPr>
        <w:tab/>
      </w:r>
      <w:r w:rsidR="00794277" w:rsidRPr="000D6387">
        <w:rPr>
          <w:lang w:val="fr-FR"/>
        </w:rPr>
        <w:t>Un projet de loi relatif aux actes de l</w:t>
      </w:r>
      <w:r w:rsidR="00BD12BA" w:rsidRPr="000D6387">
        <w:rPr>
          <w:lang w:val="fr-FR"/>
        </w:rPr>
        <w:t>’</w:t>
      </w:r>
      <w:r w:rsidR="00794277" w:rsidRPr="000D6387">
        <w:rPr>
          <w:lang w:val="fr-FR"/>
        </w:rPr>
        <w:t>état civil vise à simplifier la procédure de déclaration de naissance en permettant au(x) parent(s) de faire cette démarche dans les bureaux de l</w:t>
      </w:r>
      <w:r w:rsidR="00BD12BA" w:rsidRPr="000D6387">
        <w:rPr>
          <w:lang w:val="fr-FR"/>
        </w:rPr>
        <w:t>’</w:t>
      </w:r>
      <w:r w:rsidR="00794277" w:rsidRPr="000D6387">
        <w:rPr>
          <w:lang w:val="fr-FR"/>
        </w:rPr>
        <w:t>état civil, dans le cas où il(s) serai(en)t dépourvu(s) de papiers d</w:t>
      </w:r>
      <w:r w:rsidR="00BD12BA" w:rsidRPr="000D6387">
        <w:rPr>
          <w:lang w:val="fr-FR"/>
        </w:rPr>
        <w:t>’</w:t>
      </w:r>
      <w:r w:rsidR="00794277" w:rsidRPr="000D6387">
        <w:rPr>
          <w:lang w:val="fr-FR"/>
        </w:rPr>
        <w:t>identité ou ne pourrai(en)t pas les présenter au moment de l</w:t>
      </w:r>
      <w:r w:rsidR="00BD12BA" w:rsidRPr="000D6387">
        <w:rPr>
          <w:lang w:val="fr-FR"/>
        </w:rPr>
        <w:t>’</w:t>
      </w:r>
      <w:r w:rsidR="00794277" w:rsidRPr="000D6387">
        <w:rPr>
          <w:lang w:val="fr-FR"/>
        </w:rPr>
        <w:t>enregistrement. Le texte est actuellement examiné par le Gouvernement.</w:t>
      </w:r>
    </w:p>
    <w:p w14:paraId="3356CDF7" w14:textId="435023EB" w:rsidR="00794277" w:rsidRPr="000D6387" w:rsidRDefault="007F1722" w:rsidP="00794277">
      <w:pPr>
        <w:pStyle w:val="SingleTxt"/>
        <w:rPr>
          <w:bCs/>
          <w:lang w:val="fr-FR"/>
        </w:rPr>
      </w:pPr>
      <w:r w:rsidRPr="000D6387">
        <w:rPr>
          <w:lang w:val="fr-FR"/>
        </w:rPr>
        <w:tab/>
      </w:r>
      <w:r w:rsidR="00794277" w:rsidRPr="000D6387">
        <w:rPr>
          <w:lang w:val="fr-FR"/>
        </w:rPr>
        <w:t xml:space="preserve">Conformément au paragraphe </w:t>
      </w:r>
      <w:r w:rsidR="00794277" w:rsidRPr="00280912">
        <w:rPr>
          <w:lang w:val="fr-FR"/>
        </w:rPr>
        <w:t>51</w:t>
      </w:r>
      <w:r w:rsidR="00794277" w:rsidRPr="000D6387">
        <w:rPr>
          <w:lang w:val="fr-FR"/>
        </w:rPr>
        <w:t xml:space="preserve"> du règlement relatif à la procédure d</w:t>
      </w:r>
      <w:r w:rsidR="00BD12BA" w:rsidRPr="000D6387">
        <w:rPr>
          <w:lang w:val="fr-FR"/>
        </w:rPr>
        <w:t>’</w:t>
      </w:r>
      <w:r w:rsidR="00794277" w:rsidRPr="000D6387">
        <w:rPr>
          <w:lang w:val="fr-FR"/>
        </w:rPr>
        <w:t>examen des questions liées à la citoyenneté, approuvé par le décret présidentiel n</w:t>
      </w:r>
      <w:r w:rsidR="00794277" w:rsidRPr="000D6387">
        <w:rPr>
          <w:vertAlign w:val="superscript"/>
          <w:lang w:val="fr-FR"/>
        </w:rPr>
        <w:t>o</w:t>
      </w:r>
      <w:r w:rsidR="00794277" w:rsidRPr="000D6387">
        <w:rPr>
          <w:lang w:val="fr-FR"/>
        </w:rPr>
        <w:t xml:space="preserve"> </w:t>
      </w:r>
      <w:r w:rsidR="00794277" w:rsidRPr="00280912">
        <w:rPr>
          <w:lang w:val="fr-FR"/>
        </w:rPr>
        <w:t>174</w:t>
      </w:r>
      <w:r w:rsidR="00794277" w:rsidRPr="000D6387">
        <w:rPr>
          <w:lang w:val="fr-FR"/>
        </w:rPr>
        <w:t xml:space="preserve"> du </w:t>
      </w:r>
      <w:r w:rsidR="00794277" w:rsidRPr="00280912">
        <w:rPr>
          <w:lang w:val="fr-FR"/>
        </w:rPr>
        <w:t>10</w:t>
      </w:r>
      <w:r w:rsidR="00BD12BA" w:rsidRPr="000D6387">
        <w:rPr>
          <w:lang w:val="fr-FR"/>
        </w:rPr>
        <w:t> </w:t>
      </w:r>
      <w:r w:rsidR="00794277" w:rsidRPr="000D6387">
        <w:rPr>
          <w:lang w:val="fr-FR"/>
        </w:rPr>
        <w:t xml:space="preserve">août </w:t>
      </w:r>
      <w:r w:rsidR="00794277" w:rsidRPr="00280912">
        <w:rPr>
          <w:lang w:val="fr-FR"/>
        </w:rPr>
        <w:t>2013</w:t>
      </w:r>
      <w:r w:rsidR="00794277" w:rsidRPr="000D6387">
        <w:rPr>
          <w:lang w:val="fr-FR"/>
        </w:rPr>
        <w:t>, il incombe à la Commission compétente en matière de citoyenneté d</w:t>
      </w:r>
      <w:r w:rsidR="00BD12BA" w:rsidRPr="000D6387">
        <w:rPr>
          <w:lang w:val="fr-FR"/>
        </w:rPr>
        <w:t>’</w:t>
      </w:r>
      <w:r w:rsidR="00794277" w:rsidRPr="000D6387">
        <w:rPr>
          <w:lang w:val="fr-FR"/>
        </w:rPr>
        <w:t xml:space="preserve">examiner les demandes émanant des personnes résidant de manière permanente sur le territoire du pays, de déterminer si elles sont ou non citoyennes de la République kirghize ou de les considérer comme apatrides, et de rendre un avis sur la question. </w:t>
      </w:r>
    </w:p>
    <w:p w14:paraId="242844E3" w14:textId="47B1AF7E" w:rsidR="00794277" w:rsidRPr="000D6387" w:rsidRDefault="007F1722" w:rsidP="00794277">
      <w:pPr>
        <w:pStyle w:val="SingleTxt"/>
        <w:rPr>
          <w:bCs/>
          <w:lang w:val="fr-FR"/>
        </w:rPr>
      </w:pPr>
      <w:r w:rsidRPr="000D6387">
        <w:rPr>
          <w:lang w:val="fr-FR"/>
        </w:rPr>
        <w:tab/>
      </w:r>
      <w:r w:rsidR="00794277" w:rsidRPr="000D6387">
        <w:rPr>
          <w:lang w:val="fr-FR"/>
        </w:rPr>
        <w:t xml:space="preserve">En </w:t>
      </w:r>
      <w:r w:rsidR="00794277" w:rsidRPr="00280912">
        <w:rPr>
          <w:lang w:val="fr-FR"/>
        </w:rPr>
        <w:t>2019</w:t>
      </w:r>
      <w:r w:rsidR="00794277" w:rsidRPr="000D6387">
        <w:rPr>
          <w:lang w:val="fr-FR"/>
        </w:rPr>
        <w:t xml:space="preserve">, </w:t>
      </w:r>
      <w:r w:rsidR="00794277" w:rsidRPr="00280912">
        <w:rPr>
          <w:lang w:val="fr-FR"/>
        </w:rPr>
        <w:t>3</w:t>
      </w:r>
      <w:r w:rsidR="00794277" w:rsidRPr="000D6387">
        <w:rPr>
          <w:lang w:val="fr-FR"/>
        </w:rPr>
        <w:t xml:space="preserve"> </w:t>
      </w:r>
      <w:r w:rsidR="00794277" w:rsidRPr="00280912">
        <w:rPr>
          <w:lang w:val="fr-FR"/>
        </w:rPr>
        <w:t>438</w:t>
      </w:r>
      <w:r w:rsidR="00794277" w:rsidRPr="000D6387">
        <w:rPr>
          <w:lang w:val="fr-FR"/>
        </w:rPr>
        <w:t xml:space="preserve"> personnes au total, dont </w:t>
      </w:r>
      <w:r w:rsidR="00794277" w:rsidRPr="00280912">
        <w:rPr>
          <w:lang w:val="fr-FR"/>
        </w:rPr>
        <w:t>453</w:t>
      </w:r>
      <w:r w:rsidR="00794277" w:rsidRPr="000D6387">
        <w:rPr>
          <w:lang w:val="fr-FR"/>
        </w:rPr>
        <w:t xml:space="preserve"> femmes, ont obtenu la nationalité kirghize en vertu de ce décret présidentiel. </w:t>
      </w:r>
    </w:p>
    <w:p w14:paraId="37E78F3C" w14:textId="641DB7E1" w:rsidR="00794277" w:rsidRPr="000D6387" w:rsidRDefault="007F1722" w:rsidP="00794277">
      <w:pPr>
        <w:pStyle w:val="SingleTxt"/>
        <w:rPr>
          <w:bCs/>
          <w:lang w:val="fr-FR"/>
        </w:rPr>
      </w:pPr>
      <w:r w:rsidRPr="000D6387">
        <w:rPr>
          <w:lang w:val="fr-FR"/>
        </w:rPr>
        <w:tab/>
      </w:r>
      <w:r w:rsidR="00794277" w:rsidRPr="000D6387">
        <w:rPr>
          <w:lang w:val="fr-FR"/>
        </w:rPr>
        <w:t>Le Service d</w:t>
      </w:r>
      <w:r w:rsidR="00BD12BA" w:rsidRPr="000D6387">
        <w:rPr>
          <w:lang w:val="fr-FR"/>
        </w:rPr>
        <w:t>’</w:t>
      </w:r>
      <w:r w:rsidR="00794277" w:rsidRPr="000D6387">
        <w:rPr>
          <w:lang w:val="fr-FR"/>
        </w:rPr>
        <w:t>enregistrement à l</w:t>
      </w:r>
      <w:r w:rsidR="00BD12BA" w:rsidRPr="000D6387">
        <w:rPr>
          <w:lang w:val="fr-FR"/>
        </w:rPr>
        <w:t>’</w:t>
      </w:r>
      <w:r w:rsidR="00794277" w:rsidRPr="000D6387">
        <w:rPr>
          <w:lang w:val="fr-FR"/>
        </w:rPr>
        <w:t>état civil, qui relève du Gouvernement, exerce ses fonctions en appliquant d</w:t>
      </w:r>
      <w:r w:rsidR="00BD12BA" w:rsidRPr="000D6387">
        <w:rPr>
          <w:lang w:val="fr-FR"/>
        </w:rPr>
        <w:t>’</w:t>
      </w:r>
      <w:r w:rsidR="00794277" w:rsidRPr="000D6387">
        <w:rPr>
          <w:lang w:val="fr-FR"/>
        </w:rPr>
        <w:t xml:space="preserve">autorité les dispositions prévues à cet égard dans un règlement ad hoc. </w:t>
      </w:r>
    </w:p>
    <w:p w14:paraId="496EB14F" w14:textId="64AA6FA2" w:rsidR="00794277" w:rsidRPr="000D6387" w:rsidRDefault="007F1722" w:rsidP="00794277">
      <w:pPr>
        <w:pStyle w:val="SingleTxt"/>
        <w:rPr>
          <w:bCs/>
          <w:lang w:val="fr-FR"/>
        </w:rPr>
      </w:pPr>
      <w:r w:rsidRPr="000D6387">
        <w:rPr>
          <w:lang w:val="fr-FR"/>
        </w:rPr>
        <w:tab/>
      </w:r>
      <w:r w:rsidR="00794277" w:rsidRPr="000D6387">
        <w:rPr>
          <w:lang w:val="fr-FR"/>
        </w:rPr>
        <w:t>Conformément à l</w:t>
      </w:r>
      <w:r w:rsidR="00BD12BA" w:rsidRPr="000D6387">
        <w:rPr>
          <w:lang w:val="fr-FR"/>
        </w:rPr>
        <w:t>’</w:t>
      </w:r>
      <w:r w:rsidR="00794277" w:rsidRPr="000D6387">
        <w:rPr>
          <w:lang w:val="fr-FR"/>
        </w:rPr>
        <w:t xml:space="preserve">article </w:t>
      </w:r>
      <w:r w:rsidR="00794277" w:rsidRPr="00280912">
        <w:rPr>
          <w:lang w:val="fr-FR"/>
        </w:rPr>
        <w:t>7</w:t>
      </w:r>
      <w:r w:rsidR="00794277" w:rsidRPr="000D6387">
        <w:rPr>
          <w:lang w:val="fr-FR"/>
        </w:rPr>
        <w:t xml:space="preserve"> de la Constitution, la religion et l</w:t>
      </w:r>
      <w:r w:rsidR="00BD12BA" w:rsidRPr="000D6387">
        <w:rPr>
          <w:lang w:val="fr-FR"/>
        </w:rPr>
        <w:t>’</w:t>
      </w:r>
      <w:r w:rsidR="00794277" w:rsidRPr="000D6387">
        <w:rPr>
          <w:lang w:val="fr-FR"/>
        </w:rPr>
        <w:t>exercice du culte sont séparés de l</w:t>
      </w:r>
      <w:r w:rsidR="00BD12BA" w:rsidRPr="000D6387">
        <w:rPr>
          <w:lang w:val="fr-FR"/>
        </w:rPr>
        <w:t>’</w:t>
      </w:r>
      <w:r w:rsidR="00794277" w:rsidRPr="000D6387">
        <w:rPr>
          <w:lang w:val="fr-FR"/>
        </w:rPr>
        <w:t>État. L</w:t>
      </w:r>
      <w:r w:rsidR="00BD12BA" w:rsidRPr="000D6387">
        <w:rPr>
          <w:lang w:val="fr-FR"/>
        </w:rPr>
        <w:t>’</w:t>
      </w:r>
      <w:r w:rsidR="00794277" w:rsidRPr="000D6387">
        <w:rPr>
          <w:lang w:val="fr-FR"/>
        </w:rPr>
        <w:t>enregistrement du mariage à l</w:t>
      </w:r>
      <w:r w:rsidR="00BD12BA" w:rsidRPr="000D6387">
        <w:rPr>
          <w:lang w:val="fr-FR"/>
        </w:rPr>
        <w:t>’</w:t>
      </w:r>
      <w:r w:rsidR="00794277" w:rsidRPr="000D6387">
        <w:rPr>
          <w:lang w:val="fr-FR"/>
        </w:rPr>
        <w:t xml:space="preserve">état civil est effectué sur la déclaration conjointe des époux. </w:t>
      </w:r>
    </w:p>
    <w:p w14:paraId="0DAA1526" w14:textId="77777777" w:rsidR="007F1722" w:rsidRPr="000D6387" w:rsidRDefault="007F1722" w:rsidP="007F1722">
      <w:pPr>
        <w:pStyle w:val="SingleTxt"/>
        <w:spacing w:after="0" w:line="120" w:lineRule="exact"/>
        <w:rPr>
          <w:b/>
          <w:bCs/>
          <w:sz w:val="10"/>
          <w:lang w:val="fr-FR"/>
        </w:rPr>
      </w:pPr>
    </w:p>
    <w:p w14:paraId="36950C9A" w14:textId="50FA1112" w:rsidR="00794277" w:rsidRPr="000D6387" w:rsidRDefault="007F1722" w:rsidP="007F1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15</w:t>
      </w:r>
      <w:r w:rsidR="00794277" w:rsidRPr="000D6387">
        <w:rPr>
          <w:lang w:val="fr-FR"/>
        </w:rPr>
        <w:t>.</w:t>
      </w:r>
      <w:r w:rsidR="00794277" w:rsidRPr="000D6387">
        <w:rPr>
          <w:lang w:val="fr-FR"/>
        </w:rPr>
        <w:tab/>
        <w:t>Éducation</w:t>
      </w:r>
    </w:p>
    <w:p w14:paraId="201A33AA" w14:textId="77777777" w:rsidR="007F1722" w:rsidRPr="000D6387" w:rsidRDefault="007F1722" w:rsidP="007F1722">
      <w:pPr>
        <w:pStyle w:val="SingleTxt"/>
        <w:spacing w:after="0" w:line="120" w:lineRule="exact"/>
        <w:rPr>
          <w:sz w:val="10"/>
          <w:lang w:val="fr-FR"/>
        </w:rPr>
      </w:pPr>
    </w:p>
    <w:p w14:paraId="0F112ED0" w14:textId="0EB13F9F" w:rsidR="00794277" w:rsidRPr="000D6387" w:rsidRDefault="007F1722" w:rsidP="00794277">
      <w:pPr>
        <w:pStyle w:val="SingleTxt"/>
        <w:rPr>
          <w:lang w:val="fr-FR"/>
        </w:rPr>
      </w:pPr>
      <w:r w:rsidRPr="000D6387">
        <w:rPr>
          <w:lang w:val="fr-FR"/>
        </w:rPr>
        <w:tab/>
      </w:r>
      <w:r w:rsidR="00794277" w:rsidRPr="000D6387">
        <w:rPr>
          <w:lang w:val="fr-FR"/>
        </w:rPr>
        <w:t>La loi sur l</w:t>
      </w:r>
      <w:r w:rsidR="00BD12BA" w:rsidRPr="000D6387">
        <w:rPr>
          <w:lang w:val="fr-FR"/>
        </w:rPr>
        <w:t>’</w:t>
      </w:r>
      <w:r w:rsidR="00794277" w:rsidRPr="000D6387">
        <w:rPr>
          <w:lang w:val="fr-FR"/>
        </w:rPr>
        <w:t>éducation établit l</w:t>
      </w:r>
      <w:r w:rsidR="00BD12BA" w:rsidRPr="000D6387">
        <w:rPr>
          <w:lang w:val="fr-FR"/>
        </w:rPr>
        <w:t>’</w:t>
      </w:r>
      <w:r w:rsidR="00794277" w:rsidRPr="000D6387">
        <w:rPr>
          <w:lang w:val="fr-FR"/>
        </w:rPr>
        <w:t>égalité d</w:t>
      </w:r>
      <w:r w:rsidR="00BD12BA" w:rsidRPr="000D6387">
        <w:rPr>
          <w:lang w:val="fr-FR"/>
        </w:rPr>
        <w:t>’</w:t>
      </w:r>
      <w:r w:rsidR="00794277" w:rsidRPr="000D6387">
        <w:rPr>
          <w:lang w:val="fr-FR"/>
        </w:rPr>
        <w:t>accès de tous les citoyens, à titre gratuit, à une éducation de base, à l</w:t>
      </w:r>
      <w:r w:rsidR="00BD12BA" w:rsidRPr="000D6387">
        <w:rPr>
          <w:lang w:val="fr-FR"/>
        </w:rPr>
        <w:t>’</w:t>
      </w:r>
      <w:r w:rsidR="00794277" w:rsidRPr="000D6387">
        <w:rPr>
          <w:lang w:val="fr-FR"/>
        </w:rPr>
        <w:t>enseignement secondaire général et à l</w:t>
      </w:r>
      <w:r w:rsidR="00BD12BA" w:rsidRPr="000D6387">
        <w:rPr>
          <w:lang w:val="fr-FR"/>
        </w:rPr>
        <w:t>’</w:t>
      </w:r>
      <w:r w:rsidR="00794277" w:rsidRPr="000D6387">
        <w:rPr>
          <w:lang w:val="fr-FR"/>
        </w:rPr>
        <w:t>enseignement professionnel supérieur. La législation nationale prévoit des conditions identiques pour les deux sexes en ce qui concerne le choix de carrière et l</w:t>
      </w:r>
      <w:r w:rsidR="00BD12BA" w:rsidRPr="000D6387">
        <w:rPr>
          <w:lang w:val="fr-FR"/>
        </w:rPr>
        <w:t>’</w:t>
      </w:r>
      <w:r w:rsidR="00794277" w:rsidRPr="000D6387">
        <w:rPr>
          <w:lang w:val="fr-FR"/>
        </w:rPr>
        <w:t>accès à l</w:t>
      </w:r>
      <w:r w:rsidR="00BD12BA" w:rsidRPr="000D6387">
        <w:rPr>
          <w:lang w:val="fr-FR"/>
        </w:rPr>
        <w:t>’</w:t>
      </w:r>
      <w:r w:rsidR="00794277" w:rsidRPr="000D6387">
        <w:rPr>
          <w:lang w:val="fr-FR"/>
        </w:rPr>
        <w:t>enseignement dans les établissements de toutes les catégories.</w:t>
      </w:r>
    </w:p>
    <w:p w14:paraId="37E64830" w14:textId="77777777" w:rsidR="007F1722" w:rsidRPr="000D6387" w:rsidRDefault="007F1722" w:rsidP="007F1722">
      <w:pPr>
        <w:pStyle w:val="SingleTxt"/>
        <w:spacing w:after="0" w:line="120" w:lineRule="exact"/>
        <w:rPr>
          <w:b/>
          <w:bCs/>
          <w:sz w:val="10"/>
          <w:lang w:val="fr-FR"/>
        </w:rPr>
      </w:pPr>
    </w:p>
    <w:p w14:paraId="213DA440" w14:textId="1B1EFD90" w:rsidR="00794277" w:rsidRPr="000D6387" w:rsidRDefault="007F1722" w:rsidP="008F1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Pr="000D6387">
        <w:rPr>
          <w:lang w:val="fr-FR"/>
        </w:rPr>
        <w:tab/>
      </w:r>
      <w:r w:rsidR="00794277" w:rsidRPr="000D6387">
        <w:rPr>
          <w:lang w:val="fr-FR"/>
        </w:rPr>
        <w:t>Nombre d</w:t>
      </w:r>
      <w:r w:rsidR="00BD12BA" w:rsidRPr="000D6387">
        <w:rPr>
          <w:lang w:val="fr-FR"/>
        </w:rPr>
        <w:t>’</w:t>
      </w:r>
      <w:r w:rsidR="00794277" w:rsidRPr="000D6387">
        <w:rPr>
          <w:lang w:val="fr-FR"/>
        </w:rPr>
        <w:t>élèves et d</w:t>
      </w:r>
      <w:r w:rsidR="00BD12BA" w:rsidRPr="000D6387">
        <w:rPr>
          <w:lang w:val="fr-FR"/>
        </w:rPr>
        <w:t>’</w:t>
      </w:r>
      <w:r w:rsidR="00794277" w:rsidRPr="000D6387">
        <w:rPr>
          <w:lang w:val="fr-FR"/>
        </w:rPr>
        <w:t>étudiant(e)s ayant terminé un cycle d</w:t>
      </w:r>
      <w:r w:rsidR="00BD12BA" w:rsidRPr="000D6387">
        <w:rPr>
          <w:lang w:val="fr-FR"/>
        </w:rPr>
        <w:t>’</w:t>
      </w:r>
      <w:r w:rsidR="00794277" w:rsidRPr="000D6387">
        <w:rPr>
          <w:lang w:val="fr-FR"/>
        </w:rPr>
        <w:t xml:space="preserve">études au cours </w:t>
      </w:r>
      <w:r w:rsidRPr="000D6387">
        <w:rPr>
          <w:lang w:val="fr-FR"/>
        </w:rPr>
        <w:br/>
      </w:r>
      <w:r w:rsidR="00794277" w:rsidRPr="000D6387">
        <w:rPr>
          <w:lang w:val="fr-FR"/>
        </w:rPr>
        <w:t>de l</w:t>
      </w:r>
      <w:r w:rsidR="00BD12BA" w:rsidRPr="000D6387">
        <w:rPr>
          <w:lang w:val="fr-FR"/>
        </w:rPr>
        <w:t>’</w:t>
      </w:r>
      <w:r w:rsidR="00794277" w:rsidRPr="000D6387">
        <w:rPr>
          <w:lang w:val="fr-FR"/>
        </w:rPr>
        <w:t xml:space="preserve">année scolaire et universitaire </w:t>
      </w:r>
      <w:r w:rsidR="00794277" w:rsidRPr="00280912">
        <w:rPr>
          <w:lang w:val="fr-FR"/>
        </w:rPr>
        <w:t>2019</w:t>
      </w:r>
      <w:r w:rsidR="00794277" w:rsidRPr="000D6387">
        <w:rPr>
          <w:lang w:val="fr-FR"/>
        </w:rPr>
        <w:t>/</w:t>
      </w:r>
      <w:r w:rsidR="00794277" w:rsidRPr="00280912">
        <w:rPr>
          <w:lang w:val="fr-FR"/>
        </w:rPr>
        <w:t>2020</w:t>
      </w:r>
      <w:r w:rsidR="00794277" w:rsidRPr="000D6387">
        <w:rPr>
          <w:lang w:val="fr-FR"/>
        </w:rPr>
        <w:t>, par sexe</w:t>
      </w:r>
    </w:p>
    <w:p w14:paraId="427E7ADC" w14:textId="6BDEBA97" w:rsidR="00794277" w:rsidRPr="000D6387" w:rsidRDefault="00794277" w:rsidP="008F11B3">
      <w:pPr>
        <w:pStyle w:val="SingleTxt"/>
        <w:keepNext/>
        <w:spacing w:after="0" w:line="120" w:lineRule="exact"/>
        <w:rPr>
          <w:sz w:val="10"/>
          <w:lang w:val="fr-FR"/>
        </w:rPr>
      </w:pPr>
    </w:p>
    <w:p w14:paraId="5AA92A4A" w14:textId="26C84767" w:rsidR="007F1722" w:rsidRPr="000D6387" w:rsidRDefault="007F1722" w:rsidP="008F11B3">
      <w:pPr>
        <w:pStyle w:val="SingleTxt"/>
        <w:keepNe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30"/>
        <w:gridCol w:w="978"/>
        <w:gridCol w:w="978"/>
        <w:gridCol w:w="978"/>
        <w:gridCol w:w="126"/>
        <w:gridCol w:w="852"/>
        <w:gridCol w:w="978"/>
      </w:tblGrid>
      <w:tr w:rsidR="00A300F0" w:rsidRPr="000D6387" w14:paraId="7C5D03B8" w14:textId="77777777" w:rsidTr="00A300F0">
        <w:trPr>
          <w:tblHeader/>
        </w:trPr>
        <w:tc>
          <w:tcPr>
            <w:tcW w:w="2430" w:type="dxa"/>
            <w:tcBorders>
              <w:top w:val="single" w:sz="4" w:space="0" w:color="auto"/>
            </w:tcBorders>
            <w:shd w:val="clear" w:color="auto" w:fill="auto"/>
            <w:noWrap/>
            <w:vAlign w:val="bottom"/>
          </w:tcPr>
          <w:p w14:paraId="1B504FA8" w14:textId="77777777" w:rsidR="00A300F0" w:rsidRPr="000D6387" w:rsidRDefault="00A300F0" w:rsidP="00A300F0">
            <w:pPr>
              <w:suppressAutoHyphens/>
              <w:spacing w:before="81" w:after="81" w:line="160" w:lineRule="exact"/>
              <w:ind w:right="40"/>
              <w:rPr>
                <w:i/>
                <w:sz w:val="14"/>
                <w:lang w:val="fr-FR"/>
              </w:rPr>
            </w:pPr>
          </w:p>
        </w:tc>
        <w:tc>
          <w:tcPr>
            <w:tcW w:w="978" w:type="dxa"/>
            <w:tcBorders>
              <w:top w:val="single" w:sz="4" w:space="0" w:color="auto"/>
            </w:tcBorders>
            <w:shd w:val="clear" w:color="auto" w:fill="auto"/>
            <w:vAlign w:val="bottom"/>
          </w:tcPr>
          <w:p w14:paraId="730C9694" w14:textId="77777777" w:rsidR="00A300F0" w:rsidRPr="000D6387" w:rsidRDefault="00A300F0" w:rsidP="00A300F0">
            <w:pPr>
              <w:suppressAutoHyphens/>
              <w:spacing w:before="81" w:after="81" w:line="160" w:lineRule="exact"/>
              <w:ind w:right="43"/>
              <w:jc w:val="right"/>
              <w:rPr>
                <w:i/>
                <w:sz w:val="14"/>
                <w:lang w:val="fr-FR"/>
              </w:rPr>
            </w:pPr>
          </w:p>
        </w:tc>
        <w:tc>
          <w:tcPr>
            <w:tcW w:w="1956" w:type="dxa"/>
            <w:gridSpan w:val="2"/>
            <w:tcBorders>
              <w:top w:val="single" w:sz="4" w:space="0" w:color="auto"/>
              <w:bottom w:val="single" w:sz="4" w:space="0" w:color="auto"/>
            </w:tcBorders>
            <w:shd w:val="clear" w:color="auto" w:fill="auto"/>
            <w:tcMar>
              <w:left w:w="28" w:type="dxa"/>
              <w:right w:w="28" w:type="dxa"/>
            </w:tcMar>
            <w:vAlign w:val="bottom"/>
          </w:tcPr>
          <w:p w14:paraId="34E04D8A" w14:textId="7FC605A7" w:rsidR="00A300F0" w:rsidRPr="000D6387" w:rsidRDefault="00A300F0" w:rsidP="00A300F0">
            <w:pPr>
              <w:suppressAutoHyphens/>
              <w:spacing w:before="81" w:after="81" w:line="160" w:lineRule="exact"/>
              <w:ind w:right="43"/>
              <w:jc w:val="center"/>
              <w:rPr>
                <w:i/>
                <w:sz w:val="14"/>
                <w:lang w:val="fr-FR"/>
              </w:rPr>
            </w:pPr>
            <w:r w:rsidRPr="00280912">
              <w:rPr>
                <w:i/>
                <w:sz w:val="14"/>
                <w:lang w:val="fr-FR"/>
              </w:rPr>
              <w:t>Dont :</w:t>
            </w:r>
          </w:p>
        </w:tc>
        <w:tc>
          <w:tcPr>
            <w:tcW w:w="126" w:type="dxa"/>
            <w:tcBorders>
              <w:top w:val="single" w:sz="4" w:space="0" w:color="auto"/>
            </w:tcBorders>
            <w:shd w:val="clear" w:color="auto" w:fill="auto"/>
            <w:tcMar>
              <w:left w:w="28" w:type="dxa"/>
              <w:right w:w="28" w:type="dxa"/>
            </w:tcMar>
            <w:vAlign w:val="bottom"/>
          </w:tcPr>
          <w:p w14:paraId="1C0B6553" w14:textId="291F503B" w:rsidR="00A300F0" w:rsidRPr="000D6387" w:rsidRDefault="00A300F0" w:rsidP="00A300F0">
            <w:pPr>
              <w:suppressAutoHyphens/>
              <w:spacing w:before="81" w:after="81" w:line="160" w:lineRule="exact"/>
              <w:ind w:right="43"/>
              <w:jc w:val="right"/>
              <w:rPr>
                <w:i/>
                <w:sz w:val="14"/>
                <w:lang w:val="fr-FR"/>
              </w:rPr>
            </w:pPr>
          </w:p>
        </w:tc>
        <w:tc>
          <w:tcPr>
            <w:tcW w:w="1830" w:type="dxa"/>
            <w:gridSpan w:val="2"/>
            <w:tcBorders>
              <w:top w:val="single" w:sz="4" w:space="0" w:color="auto"/>
              <w:bottom w:val="single" w:sz="4" w:space="0" w:color="auto"/>
            </w:tcBorders>
            <w:shd w:val="clear" w:color="auto" w:fill="auto"/>
            <w:tcMar>
              <w:left w:w="28" w:type="dxa"/>
              <w:right w:w="28" w:type="dxa"/>
            </w:tcMar>
            <w:vAlign w:val="bottom"/>
          </w:tcPr>
          <w:p w14:paraId="7C3AF1D9" w14:textId="7E373F02" w:rsidR="00A300F0" w:rsidRPr="00280912" w:rsidRDefault="00A300F0" w:rsidP="00A300F0">
            <w:pPr>
              <w:suppressAutoHyphens/>
              <w:spacing w:before="81" w:after="81" w:line="160" w:lineRule="exact"/>
              <w:ind w:right="43"/>
              <w:jc w:val="center"/>
              <w:rPr>
                <w:i/>
                <w:sz w:val="14"/>
                <w:lang w:val="fr-FR"/>
              </w:rPr>
            </w:pPr>
            <w:r w:rsidRPr="00280912">
              <w:rPr>
                <w:i/>
                <w:sz w:val="14"/>
                <w:lang w:val="fr-FR"/>
              </w:rPr>
              <w:t>Proportion de chaque sexe dans l’effectif total (en</w:t>
            </w:r>
            <w:r w:rsidR="005D4517" w:rsidRPr="00280912">
              <w:rPr>
                <w:i/>
                <w:sz w:val="14"/>
                <w:lang w:val="fr-FR"/>
              </w:rPr>
              <w:t> %</w:t>
            </w:r>
            <w:r w:rsidRPr="00280912">
              <w:rPr>
                <w:i/>
                <w:sz w:val="14"/>
                <w:lang w:val="fr-FR"/>
              </w:rPr>
              <w:t>)</w:t>
            </w:r>
          </w:p>
        </w:tc>
      </w:tr>
      <w:tr w:rsidR="00A300F0" w:rsidRPr="000D6387" w14:paraId="595D481D" w14:textId="77777777" w:rsidTr="00A300F0">
        <w:trPr>
          <w:tblHeader/>
        </w:trPr>
        <w:tc>
          <w:tcPr>
            <w:tcW w:w="2430" w:type="dxa"/>
            <w:tcBorders>
              <w:bottom w:val="single" w:sz="12" w:space="0" w:color="auto"/>
            </w:tcBorders>
            <w:shd w:val="clear" w:color="auto" w:fill="auto"/>
            <w:noWrap/>
            <w:vAlign w:val="bottom"/>
          </w:tcPr>
          <w:p w14:paraId="65FFBC54" w14:textId="77777777" w:rsidR="00A300F0" w:rsidRPr="000D6387" w:rsidRDefault="00A300F0" w:rsidP="00A300F0">
            <w:pPr>
              <w:suppressAutoHyphens/>
              <w:spacing w:before="81" w:after="81" w:line="160" w:lineRule="exact"/>
              <w:ind w:right="40"/>
              <w:rPr>
                <w:i/>
                <w:sz w:val="14"/>
                <w:lang w:val="fr-FR"/>
              </w:rPr>
            </w:pPr>
          </w:p>
        </w:tc>
        <w:tc>
          <w:tcPr>
            <w:tcW w:w="978" w:type="dxa"/>
            <w:tcBorders>
              <w:bottom w:val="single" w:sz="12" w:space="0" w:color="auto"/>
            </w:tcBorders>
            <w:shd w:val="clear" w:color="auto" w:fill="auto"/>
            <w:vAlign w:val="bottom"/>
          </w:tcPr>
          <w:p w14:paraId="1EE8DC80" w14:textId="3B080B7C" w:rsidR="00A300F0" w:rsidRPr="000D6387" w:rsidRDefault="00A300F0" w:rsidP="00A300F0">
            <w:pPr>
              <w:suppressAutoHyphens/>
              <w:spacing w:before="81" w:after="81" w:line="160" w:lineRule="exact"/>
              <w:ind w:right="43"/>
              <w:jc w:val="right"/>
              <w:rPr>
                <w:i/>
                <w:sz w:val="14"/>
                <w:lang w:val="fr-FR"/>
              </w:rPr>
            </w:pPr>
            <w:r w:rsidRPr="00280912">
              <w:rPr>
                <w:i/>
                <w:sz w:val="14"/>
                <w:lang w:val="fr-FR"/>
              </w:rPr>
              <w:t>Effectif total</w:t>
            </w:r>
          </w:p>
        </w:tc>
        <w:tc>
          <w:tcPr>
            <w:tcW w:w="978" w:type="dxa"/>
            <w:tcBorders>
              <w:top w:val="single" w:sz="4" w:space="0" w:color="auto"/>
              <w:bottom w:val="single" w:sz="12" w:space="0" w:color="auto"/>
            </w:tcBorders>
            <w:shd w:val="clear" w:color="auto" w:fill="auto"/>
            <w:tcMar>
              <w:left w:w="28" w:type="dxa"/>
              <w:right w:w="28" w:type="dxa"/>
            </w:tcMar>
            <w:vAlign w:val="bottom"/>
          </w:tcPr>
          <w:p w14:paraId="665FE93F" w14:textId="105FA249" w:rsidR="00A300F0" w:rsidRPr="000D6387" w:rsidRDefault="00A300F0" w:rsidP="00A300F0">
            <w:pPr>
              <w:suppressAutoHyphens/>
              <w:spacing w:before="81" w:after="81" w:line="160" w:lineRule="exact"/>
              <w:ind w:right="43"/>
              <w:jc w:val="right"/>
              <w:rPr>
                <w:i/>
                <w:sz w:val="14"/>
                <w:lang w:val="fr-FR"/>
              </w:rPr>
            </w:pPr>
            <w:r w:rsidRPr="00280912">
              <w:rPr>
                <w:i/>
                <w:sz w:val="14"/>
                <w:lang w:val="fr-FR"/>
              </w:rPr>
              <w:t>Filles</w:t>
            </w:r>
          </w:p>
        </w:tc>
        <w:tc>
          <w:tcPr>
            <w:tcW w:w="978" w:type="dxa"/>
            <w:tcBorders>
              <w:top w:val="single" w:sz="4" w:space="0" w:color="auto"/>
              <w:bottom w:val="single" w:sz="12" w:space="0" w:color="auto"/>
            </w:tcBorders>
            <w:shd w:val="clear" w:color="auto" w:fill="auto"/>
            <w:tcMar>
              <w:left w:w="28" w:type="dxa"/>
              <w:right w:w="28" w:type="dxa"/>
            </w:tcMar>
            <w:vAlign w:val="bottom"/>
          </w:tcPr>
          <w:p w14:paraId="0884126C" w14:textId="21B20A10" w:rsidR="00A300F0" w:rsidRPr="000D6387" w:rsidRDefault="00A300F0" w:rsidP="00A300F0">
            <w:pPr>
              <w:suppressAutoHyphens/>
              <w:spacing w:before="81" w:after="81" w:line="160" w:lineRule="exact"/>
              <w:ind w:right="43"/>
              <w:jc w:val="right"/>
              <w:rPr>
                <w:i/>
                <w:sz w:val="14"/>
                <w:lang w:val="fr-FR"/>
              </w:rPr>
            </w:pPr>
            <w:r w:rsidRPr="00280912">
              <w:rPr>
                <w:i/>
                <w:sz w:val="14"/>
                <w:lang w:val="fr-FR"/>
              </w:rPr>
              <w:t>Garçons</w:t>
            </w:r>
          </w:p>
        </w:tc>
        <w:tc>
          <w:tcPr>
            <w:tcW w:w="978" w:type="dxa"/>
            <w:gridSpan w:val="2"/>
            <w:tcBorders>
              <w:bottom w:val="single" w:sz="12" w:space="0" w:color="auto"/>
            </w:tcBorders>
            <w:shd w:val="clear" w:color="auto" w:fill="auto"/>
            <w:tcMar>
              <w:left w:w="28" w:type="dxa"/>
              <w:right w:w="28" w:type="dxa"/>
            </w:tcMar>
            <w:vAlign w:val="bottom"/>
          </w:tcPr>
          <w:p w14:paraId="4DC3685D" w14:textId="790A7F05" w:rsidR="00A300F0" w:rsidRPr="000D6387" w:rsidRDefault="00A300F0" w:rsidP="00A300F0">
            <w:pPr>
              <w:suppressAutoHyphens/>
              <w:spacing w:before="81" w:after="81" w:line="160" w:lineRule="exact"/>
              <w:ind w:right="43"/>
              <w:jc w:val="right"/>
              <w:rPr>
                <w:i/>
                <w:sz w:val="14"/>
                <w:lang w:val="fr-FR"/>
              </w:rPr>
            </w:pPr>
            <w:r w:rsidRPr="00280912">
              <w:rPr>
                <w:i/>
                <w:sz w:val="14"/>
                <w:lang w:val="fr-FR"/>
              </w:rPr>
              <w:t>Filles</w:t>
            </w:r>
          </w:p>
        </w:tc>
        <w:tc>
          <w:tcPr>
            <w:tcW w:w="978" w:type="dxa"/>
            <w:tcBorders>
              <w:bottom w:val="single" w:sz="12" w:space="0" w:color="auto"/>
            </w:tcBorders>
            <w:shd w:val="clear" w:color="auto" w:fill="auto"/>
            <w:tcMar>
              <w:left w:w="28" w:type="dxa"/>
              <w:right w:w="28" w:type="dxa"/>
            </w:tcMar>
            <w:vAlign w:val="bottom"/>
          </w:tcPr>
          <w:p w14:paraId="5C879B4A" w14:textId="357DBBD3" w:rsidR="00A300F0" w:rsidRPr="00280912" w:rsidRDefault="00A300F0" w:rsidP="00A300F0">
            <w:pPr>
              <w:suppressAutoHyphens/>
              <w:spacing w:before="81" w:after="81" w:line="160" w:lineRule="exact"/>
              <w:ind w:right="43"/>
              <w:jc w:val="right"/>
              <w:rPr>
                <w:i/>
                <w:sz w:val="14"/>
                <w:lang w:val="fr-FR"/>
              </w:rPr>
            </w:pPr>
            <w:r w:rsidRPr="00280912">
              <w:rPr>
                <w:i/>
                <w:sz w:val="14"/>
                <w:lang w:val="fr-FR"/>
              </w:rPr>
              <w:t>Garçons</w:t>
            </w:r>
          </w:p>
        </w:tc>
      </w:tr>
      <w:tr w:rsidR="00A300F0" w:rsidRPr="000D6387" w14:paraId="51111329" w14:textId="77777777" w:rsidTr="00A300F0">
        <w:trPr>
          <w:trHeight w:hRule="exact" w:val="115"/>
          <w:tblHeader/>
        </w:trPr>
        <w:tc>
          <w:tcPr>
            <w:tcW w:w="2430" w:type="dxa"/>
            <w:tcBorders>
              <w:top w:val="single" w:sz="12" w:space="0" w:color="auto"/>
            </w:tcBorders>
            <w:shd w:val="clear" w:color="auto" w:fill="auto"/>
            <w:noWrap/>
            <w:vAlign w:val="bottom"/>
          </w:tcPr>
          <w:p w14:paraId="38333BB7" w14:textId="77777777" w:rsidR="00A300F0" w:rsidRPr="000D6387" w:rsidRDefault="00A300F0" w:rsidP="00A300F0">
            <w:pPr>
              <w:suppressAutoHyphens/>
              <w:spacing w:before="40" w:after="40" w:line="210" w:lineRule="exact"/>
              <w:ind w:right="40"/>
              <w:rPr>
                <w:sz w:val="17"/>
                <w:lang w:val="fr-FR"/>
              </w:rPr>
            </w:pPr>
          </w:p>
        </w:tc>
        <w:tc>
          <w:tcPr>
            <w:tcW w:w="978" w:type="dxa"/>
            <w:tcBorders>
              <w:top w:val="single" w:sz="12" w:space="0" w:color="auto"/>
            </w:tcBorders>
            <w:shd w:val="clear" w:color="auto" w:fill="auto"/>
            <w:noWrap/>
            <w:tcMar>
              <w:left w:w="57" w:type="dxa"/>
              <w:right w:w="57" w:type="dxa"/>
            </w:tcMar>
            <w:vAlign w:val="bottom"/>
          </w:tcPr>
          <w:p w14:paraId="2086A6B6" w14:textId="77777777" w:rsidR="00A300F0" w:rsidRPr="000D6387" w:rsidRDefault="00A300F0" w:rsidP="00A300F0">
            <w:pPr>
              <w:suppressAutoHyphens/>
              <w:spacing w:before="40" w:after="40" w:line="210" w:lineRule="exact"/>
              <w:ind w:right="43"/>
              <w:jc w:val="right"/>
              <w:rPr>
                <w:sz w:val="17"/>
                <w:lang w:val="fr-FR"/>
              </w:rPr>
            </w:pPr>
          </w:p>
        </w:tc>
        <w:tc>
          <w:tcPr>
            <w:tcW w:w="978" w:type="dxa"/>
            <w:tcBorders>
              <w:top w:val="single" w:sz="12" w:space="0" w:color="auto"/>
            </w:tcBorders>
            <w:shd w:val="clear" w:color="auto" w:fill="auto"/>
            <w:noWrap/>
            <w:tcMar>
              <w:left w:w="57" w:type="dxa"/>
              <w:right w:w="57" w:type="dxa"/>
            </w:tcMar>
            <w:vAlign w:val="bottom"/>
          </w:tcPr>
          <w:p w14:paraId="68B655AD" w14:textId="77777777" w:rsidR="00A300F0" w:rsidRPr="000D6387" w:rsidRDefault="00A300F0" w:rsidP="00A300F0">
            <w:pPr>
              <w:suppressAutoHyphens/>
              <w:spacing w:before="40" w:after="40" w:line="210" w:lineRule="exact"/>
              <w:ind w:right="43"/>
              <w:jc w:val="right"/>
              <w:rPr>
                <w:sz w:val="17"/>
                <w:lang w:val="fr-FR"/>
              </w:rPr>
            </w:pPr>
          </w:p>
        </w:tc>
        <w:tc>
          <w:tcPr>
            <w:tcW w:w="978" w:type="dxa"/>
            <w:tcBorders>
              <w:top w:val="single" w:sz="12" w:space="0" w:color="auto"/>
            </w:tcBorders>
            <w:shd w:val="clear" w:color="auto" w:fill="auto"/>
            <w:noWrap/>
            <w:tcMar>
              <w:left w:w="57" w:type="dxa"/>
              <w:right w:w="57" w:type="dxa"/>
            </w:tcMar>
            <w:vAlign w:val="bottom"/>
          </w:tcPr>
          <w:p w14:paraId="3601CB94" w14:textId="77777777" w:rsidR="00A300F0" w:rsidRPr="000D6387" w:rsidRDefault="00A300F0" w:rsidP="00A300F0">
            <w:pPr>
              <w:suppressAutoHyphens/>
              <w:spacing w:before="40" w:after="40" w:line="210" w:lineRule="exact"/>
              <w:ind w:right="43"/>
              <w:jc w:val="right"/>
              <w:rPr>
                <w:sz w:val="17"/>
                <w:lang w:val="fr-FR"/>
              </w:rPr>
            </w:pPr>
          </w:p>
        </w:tc>
        <w:tc>
          <w:tcPr>
            <w:tcW w:w="978" w:type="dxa"/>
            <w:gridSpan w:val="2"/>
            <w:tcBorders>
              <w:top w:val="single" w:sz="12" w:space="0" w:color="auto"/>
            </w:tcBorders>
            <w:shd w:val="clear" w:color="auto" w:fill="auto"/>
            <w:noWrap/>
            <w:tcMar>
              <w:left w:w="57" w:type="dxa"/>
              <w:right w:w="57" w:type="dxa"/>
            </w:tcMar>
            <w:vAlign w:val="bottom"/>
          </w:tcPr>
          <w:p w14:paraId="7DEBBEA9" w14:textId="77777777" w:rsidR="00A300F0" w:rsidRPr="000D6387" w:rsidRDefault="00A300F0" w:rsidP="00A300F0">
            <w:pPr>
              <w:suppressAutoHyphens/>
              <w:spacing w:before="40" w:after="40" w:line="210" w:lineRule="exact"/>
              <w:ind w:right="43"/>
              <w:jc w:val="right"/>
              <w:rPr>
                <w:sz w:val="17"/>
                <w:lang w:val="fr-FR"/>
              </w:rPr>
            </w:pPr>
          </w:p>
        </w:tc>
        <w:tc>
          <w:tcPr>
            <w:tcW w:w="978" w:type="dxa"/>
            <w:tcBorders>
              <w:top w:val="single" w:sz="12" w:space="0" w:color="auto"/>
            </w:tcBorders>
            <w:shd w:val="clear" w:color="auto" w:fill="auto"/>
            <w:noWrap/>
            <w:tcMar>
              <w:left w:w="57" w:type="dxa"/>
              <w:right w:w="57" w:type="dxa"/>
            </w:tcMar>
            <w:vAlign w:val="bottom"/>
          </w:tcPr>
          <w:p w14:paraId="57FE47B0" w14:textId="77777777" w:rsidR="00A300F0" w:rsidRPr="000D6387" w:rsidRDefault="00A300F0" w:rsidP="00A300F0">
            <w:pPr>
              <w:suppressAutoHyphens/>
              <w:spacing w:before="40" w:after="40" w:line="210" w:lineRule="exact"/>
              <w:ind w:right="43"/>
              <w:jc w:val="right"/>
              <w:rPr>
                <w:sz w:val="17"/>
                <w:lang w:val="fr-FR"/>
              </w:rPr>
            </w:pPr>
          </w:p>
        </w:tc>
      </w:tr>
      <w:tr w:rsidR="00794277" w:rsidRPr="000D6387" w14:paraId="5CF9C9E0" w14:textId="77777777" w:rsidTr="00A300F0">
        <w:tc>
          <w:tcPr>
            <w:tcW w:w="2430" w:type="dxa"/>
            <w:shd w:val="clear" w:color="auto" w:fill="auto"/>
            <w:noWrap/>
            <w:vAlign w:val="bottom"/>
          </w:tcPr>
          <w:p w14:paraId="44361F9A" w14:textId="77777777" w:rsidR="00794277" w:rsidRPr="000D6387" w:rsidRDefault="00794277" w:rsidP="00A300F0">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Cycle élémentaire (</w:t>
            </w:r>
            <w:r w:rsidRPr="00280912">
              <w:rPr>
                <w:sz w:val="17"/>
                <w:lang w:val="fr-FR"/>
              </w:rPr>
              <w:t>9</w:t>
            </w:r>
            <w:r w:rsidRPr="000D6387">
              <w:rPr>
                <w:sz w:val="17"/>
                <w:lang w:val="fr-FR"/>
              </w:rPr>
              <w:t xml:space="preserve"> niveaux)</w:t>
            </w:r>
          </w:p>
        </w:tc>
        <w:tc>
          <w:tcPr>
            <w:tcW w:w="978" w:type="dxa"/>
            <w:shd w:val="clear" w:color="auto" w:fill="auto"/>
            <w:noWrap/>
            <w:tcMar>
              <w:left w:w="57" w:type="dxa"/>
              <w:right w:w="57" w:type="dxa"/>
            </w:tcMar>
            <w:vAlign w:val="bottom"/>
          </w:tcPr>
          <w:p w14:paraId="6B67276A"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96</w:t>
            </w:r>
            <w:r w:rsidRPr="000D6387">
              <w:rPr>
                <w:sz w:val="17"/>
                <w:lang w:val="fr-FR"/>
              </w:rPr>
              <w:t xml:space="preserve"> </w:t>
            </w:r>
            <w:r w:rsidRPr="00280912">
              <w:rPr>
                <w:sz w:val="17"/>
                <w:lang w:val="fr-FR"/>
              </w:rPr>
              <w:t>671</w:t>
            </w:r>
          </w:p>
        </w:tc>
        <w:tc>
          <w:tcPr>
            <w:tcW w:w="978" w:type="dxa"/>
            <w:shd w:val="clear" w:color="auto" w:fill="auto"/>
            <w:noWrap/>
            <w:tcMar>
              <w:left w:w="57" w:type="dxa"/>
              <w:right w:w="57" w:type="dxa"/>
            </w:tcMar>
            <w:vAlign w:val="bottom"/>
          </w:tcPr>
          <w:p w14:paraId="6F6010DB"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47</w:t>
            </w:r>
            <w:r w:rsidRPr="000D6387">
              <w:rPr>
                <w:sz w:val="17"/>
                <w:lang w:val="fr-FR"/>
              </w:rPr>
              <w:t xml:space="preserve"> </w:t>
            </w:r>
            <w:r w:rsidRPr="00280912">
              <w:rPr>
                <w:sz w:val="17"/>
                <w:lang w:val="fr-FR"/>
              </w:rPr>
              <w:t>424</w:t>
            </w:r>
          </w:p>
        </w:tc>
        <w:tc>
          <w:tcPr>
            <w:tcW w:w="978" w:type="dxa"/>
            <w:shd w:val="clear" w:color="auto" w:fill="auto"/>
            <w:noWrap/>
            <w:tcMar>
              <w:left w:w="57" w:type="dxa"/>
              <w:right w:w="57" w:type="dxa"/>
            </w:tcMar>
            <w:vAlign w:val="bottom"/>
          </w:tcPr>
          <w:p w14:paraId="53738B6E"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49</w:t>
            </w:r>
            <w:r w:rsidRPr="000D6387">
              <w:rPr>
                <w:sz w:val="17"/>
                <w:lang w:val="fr-FR"/>
              </w:rPr>
              <w:t xml:space="preserve"> </w:t>
            </w:r>
            <w:r w:rsidRPr="00280912">
              <w:rPr>
                <w:sz w:val="17"/>
                <w:lang w:val="fr-FR"/>
              </w:rPr>
              <w:t>247</w:t>
            </w:r>
          </w:p>
        </w:tc>
        <w:tc>
          <w:tcPr>
            <w:tcW w:w="978" w:type="dxa"/>
            <w:gridSpan w:val="2"/>
            <w:shd w:val="clear" w:color="auto" w:fill="auto"/>
            <w:noWrap/>
            <w:tcMar>
              <w:left w:w="57" w:type="dxa"/>
              <w:right w:w="57" w:type="dxa"/>
            </w:tcMar>
            <w:vAlign w:val="bottom"/>
          </w:tcPr>
          <w:p w14:paraId="12B8EE21"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49</w:t>
            </w:r>
            <w:r w:rsidRPr="000D6387">
              <w:rPr>
                <w:sz w:val="17"/>
                <w:lang w:val="fr-FR"/>
              </w:rPr>
              <w:t>,</w:t>
            </w:r>
            <w:r w:rsidRPr="00280912">
              <w:rPr>
                <w:sz w:val="17"/>
                <w:lang w:val="fr-FR"/>
              </w:rPr>
              <w:t>1</w:t>
            </w:r>
          </w:p>
        </w:tc>
        <w:tc>
          <w:tcPr>
            <w:tcW w:w="978" w:type="dxa"/>
            <w:shd w:val="clear" w:color="auto" w:fill="auto"/>
            <w:noWrap/>
            <w:tcMar>
              <w:left w:w="57" w:type="dxa"/>
              <w:right w:w="57" w:type="dxa"/>
            </w:tcMar>
            <w:vAlign w:val="bottom"/>
          </w:tcPr>
          <w:p w14:paraId="5B94226E"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50</w:t>
            </w:r>
            <w:r w:rsidRPr="000D6387">
              <w:rPr>
                <w:sz w:val="17"/>
                <w:lang w:val="fr-FR"/>
              </w:rPr>
              <w:t>,</w:t>
            </w:r>
            <w:r w:rsidRPr="00280912">
              <w:rPr>
                <w:sz w:val="17"/>
                <w:lang w:val="fr-FR"/>
              </w:rPr>
              <w:t>9</w:t>
            </w:r>
          </w:p>
        </w:tc>
      </w:tr>
      <w:tr w:rsidR="00794277" w:rsidRPr="000D6387" w14:paraId="531BC4D5" w14:textId="77777777" w:rsidTr="00A300F0">
        <w:tc>
          <w:tcPr>
            <w:tcW w:w="2430" w:type="dxa"/>
            <w:shd w:val="clear" w:color="auto" w:fill="auto"/>
            <w:noWrap/>
            <w:vAlign w:val="bottom"/>
          </w:tcPr>
          <w:p w14:paraId="75C27023" w14:textId="77777777" w:rsidR="00794277" w:rsidRPr="000D6387" w:rsidRDefault="00794277" w:rsidP="00A300F0">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Cycle secondaire (</w:t>
            </w:r>
            <w:r w:rsidRPr="00280912">
              <w:rPr>
                <w:sz w:val="17"/>
                <w:lang w:val="fr-FR"/>
              </w:rPr>
              <w:t>11</w:t>
            </w:r>
            <w:r w:rsidRPr="000D6387">
              <w:rPr>
                <w:sz w:val="17"/>
                <w:lang w:val="fr-FR"/>
              </w:rPr>
              <w:t xml:space="preserve"> niveaux)</w:t>
            </w:r>
          </w:p>
        </w:tc>
        <w:tc>
          <w:tcPr>
            <w:tcW w:w="978" w:type="dxa"/>
            <w:shd w:val="clear" w:color="auto" w:fill="auto"/>
            <w:noWrap/>
            <w:tcMar>
              <w:left w:w="57" w:type="dxa"/>
              <w:right w:w="57" w:type="dxa"/>
            </w:tcMar>
            <w:vAlign w:val="bottom"/>
          </w:tcPr>
          <w:p w14:paraId="3F54DFC8"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49</w:t>
            </w:r>
            <w:r w:rsidRPr="000D6387">
              <w:rPr>
                <w:sz w:val="17"/>
                <w:lang w:val="fr-FR"/>
              </w:rPr>
              <w:t xml:space="preserve"> </w:t>
            </w:r>
            <w:r w:rsidRPr="00280912">
              <w:rPr>
                <w:sz w:val="17"/>
                <w:lang w:val="fr-FR"/>
              </w:rPr>
              <w:t>582</w:t>
            </w:r>
          </w:p>
        </w:tc>
        <w:tc>
          <w:tcPr>
            <w:tcW w:w="978" w:type="dxa"/>
            <w:shd w:val="clear" w:color="auto" w:fill="auto"/>
            <w:noWrap/>
            <w:tcMar>
              <w:left w:w="57" w:type="dxa"/>
              <w:right w:w="57" w:type="dxa"/>
            </w:tcMar>
            <w:vAlign w:val="bottom"/>
          </w:tcPr>
          <w:p w14:paraId="3619D93E"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27</w:t>
            </w:r>
            <w:r w:rsidRPr="000D6387">
              <w:rPr>
                <w:sz w:val="17"/>
                <w:lang w:val="fr-FR"/>
              </w:rPr>
              <w:t xml:space="preserve"> </w:t>
            </w:r>
            <w:r w:rsidRPr="00280912">
              <w:rPr>
                <w:sz w:val="17"/>
                <w:lang w:val="fr-FR"/>
              </w:rPr>
              <w:t>115</w:t>
            </w:r>
          </w:p>
        </w:tc>
        <w:tc>
          <w:tcPr>
            <w:tcW w:w="978" w:type="dxa"/>
            <w:shd w:val="clear" w:color="auto" w:fill="auto"/>
            <w:noWrap/>
            <w:tcMar>
              <w:left w:w="57" w:type="dxa"/>
              <w:right w:w="57" w:type="dxa"/>
            </w:tcMar>
            <w:vAlign w:val="bottom"/>
          </w:tcPr>
          <w:p w14:paraId="18AFF458"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22</w:t>
            </w:r>
            <w:r w:rsidRPr="000D6387">
              <w:rPr>
                <w:sz w:val="17"/>
                <w:lang w:val="fr-FR"/>
              </w:rPr>
              <w:t xml:space="preserve"> </w:t>
            </w:r>
            <w:r w:rsidRPr="00280912">
              <w:rPr>
                <w:sz w:val="17"/>
                <w:lang w:val="fr-FR"/>
              </w:rPr>
              <w:t>467</w:t>
            </w:r>
          </w:p>
        </w:tc>
        <w:tc>
          <w:tcPr>
            <w:tcW w:w="978" w:type="dxa"/>
            <w:gridSpan w:val="2"/>
            <w:shd w:val="clear" w:color="auto" w:fill="auto"/>
            <w:noWrap/>
            <w:tcMar>
              <w:left w:w="57" w:type="dxa"/>
              <w:right w:w="57" w:type="dxa"/>
            </w:tcMar>
            <w:vAlign w:val="bottom"/>
          </w:tcPr>
          <w:p w14:paraId="313D9F20"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54</w:t>
            </w:r>
            <w:r w:rsidRPr="000D6387">
              <w:rPr>
                <w:sz w:val="17"/>
                <w:lang w:val="fr-FR"/>
              </w:rPr>
              <w:t>,</w:t>
            </w:r>
            <w:r w:rsidRPr="00280912">
              <w:rPr>
                <w:sz w:val="17"/>
                <w:lang w:val="fr-FR"/>
              </w:rPr>
              <w:t>7</w:t>
            </w:r>
          </w:p>
        </w:tc>
        <w:tc>
          <w:tcPr>
            <w:tcW w:w="978" w:type="dxa"/>
            <w:shd w:val="clear" w:color="auto" w:fill="auto"/>
            <w:noWrap/>
            <w:tcMar>
              <w:left w:w="57" w:type="dxa"/>
              <w:right w:w="57" w:type="dxa"/>
            </w:tcMar>
            <w:vAlign w:val="bottom"/>
          </w:tcPr>
          <w:p w14:paraId="240E4939"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45</w:t>
            </w:r>
            <w:r w:rsidRPr="000D6387">
              <w:rPr>
                <w:sz w:val="17"/>
                <w:lang w:val="fr-FR"/>
              </w:rPr>
              <w:t>,</w:t>
            </w:r>
            <w:r w:rsidRPr="00280912">
              <w:rPr>
                <w:sz w:val="17"/>
                <w:lang w:val="fr-FR"/>
              </w:rPr>
              <w:t>3</w:t>
            </w:r>
          </w:p>
        </w:tc>
      </w:tr>
      <w:tr w:rsidR="00794277" w:rsidRPr="000D6387" w14:paraId="585EDD4F" w14:textId="77777777" w:rsidTr="00A300F0">
        <w:tc>
          <w:tcPr>
            <w:tcW w:w="2430" w:type="dxa"/>
            <w:shd w:val="clear" w:color="auto" w:fill="auto"/>
            <w:noWrap/>
            <w:vAlign w:val="bottom"/>
          </w:tcPr>
          <w:p w14:paraId="6B5AF0E6" w14:textId="77777777" w:rsidR="00794277" w:rsidRPr="000D6387" w:rsidRDefault="00794277" w:rsidP="00A300F0">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Cycle secondaire professionnel</w:t>
            </w:r>
          </w:p>
        </w:tc>
        <w:tc>
          <w:tcPr>
            <w:tcW w:w="978" w:type="dxa"/>
            <w:shd w:val="clear" w:color="auto" w:fill="auto"/>
            <w:noWrap/>
            <w:tcMar>
              <w:left w:w="57" w:type="dxa"/>
              <w:right w:w="57" w:type="dxa"/>
            </w:tcMar>
            <w:vAlign w:val="bottom"/>
          </w:tcPr>
          <w:p w14:paraId="1AD89960"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26</w:t>
            </w:r>
            <w:r w:rsidRPr="000D6387">
              <w:rPr>
                <w:sz w:val="17"/>
                <w:lang w:val="fr-FR"/>
              </w:rPr>
              <w:t xml:space="preserve"> </w:t>
            </w:r>
            <w:r w:rsidRPr="00280912">
              <w:rPr>
                <w:sz w:val="17"/>
                <w:lang w:val="fr-FR"/>
              </w:rPr>
              <w:t>727</w:t>
            </w:r>
          </w:p>
        </w:tc>
        <w:tc>
          <w:tcPr>
            <w:tcW w:w="978" w:type="dxa"/>
            <w:shd w:val="clear" w:color="auto" w:fill="auto"/>
            <w:noWrap/>
            <w:tcMar>
              <w:left w:w="57" w:type="dxa"/>
              <w:right w:w="57" w:type="dxa"/>
            </w:tcMar>
            <w:vAlign w:val="bottom"/>
          </w:tcPr>
          <w:p w14:paraId="0280A80F"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15</w:t>
            </w:r>
            <w:r w:rsidRPr="000D6387">
              <w:rPr>
                <w:sz w:val="17"/>
                <w:lang w:val="fr-FR"/>
              </w:rPr>
              <w:t xml:space="preserve"> </w:t>
            </w:r>
            <w:r w:rsidRPr="00280912">
              <w:rPr>
                <w:sz w:val="17"/>
                <w:lang w:val="fr-FR"/>
              </w:rPr>
              <w:t>977</w:t>
            </w:r>
          </w:p>
        </w:tc>
        <w:tc>
          <w:tcPr>
            <w:tcW w:w="978" w:type="dxa"/>
            <w:shd w:val="clear" w:color="auto" w:fill="auto"/>
            <w:noWrap/>
            <w:tcMar>
              <w:left w:w="57" w:type="dxa"/>
              <w:right w:w="57" w:type="dxa"/>
            </w:tcMar>
            <w:vAlign w:val="bottom"/>
          </w:tcPr>
          <w:p w14:paraId="1CBBF30F"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10</w:t>
            </w:r>
            <w:r w:rsidRPr="000D6387">
              <w:rPr>
                <w:sz w:val="17"/>
                <w:lang w:val="fr-FR"/>
              </w:rPr>
              <w:t xml:space="preserve"> </w:t>
            </w:r>
            <w:r w:rsidRPr="00280912">
              <w:rPr>
                <w:sz w:val="17"/>
                <w:lang w:val="fr-FR"/>
              </w:rPr>
              <w:t>750</w:t>
            </w:r>
          </w:p>
        </w:tc>
        <w:tc>
          <w:tcPr>
            <w:tcW w:w="978" w:type="dxa"/>
            <w:gridSpan w:val="2"/>
            <w:shd w:val="clear" w:color="auto" w:fill="auto"/>
            <w:noWrap/>
            <w:tcMar>
              <w:left w:w="57" w:type="dxa"/>
              <w:right w:w="57" w:type="dxa"/>
            </w:tcMar>
            <w:vAlign w:val="bottom"/>
          </w:tcPr>
          <w:p w14:paraId="71685559"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59</w:t>
            </w:r>
            <w:r w:rsidRPr="000D6387">
              <w:rPr>
                <w:sz w:val="17"/>
                <w:lang w:val="fr-FR"/>
              </w:rPr>
              <w:t>,</w:t>
            </w:r>
            <w:r w:rsidRPr="00280912">
              <w:rPr>
                <w:sz w:val="17"/>
                <w:lang w:val="fr-FR"/>
              </w:rPr>
              <w:t>8</w:t>
            </w:r>
          </w:p>
        </w:tc>
        <w:tc>
          <w:tcPr>
            <w:tcW w:w="978" w:type="dxa"/>
            <w:shd w:val="clear" w:color="auto" w:fill="auto"/>
            <w:noWrap/>
            <w:tcMar>
              <w:left w:w="57" w:type="dxa"/>
              <w:right w:w="57" w:type="dxa"/>
            </w:tcMar>
            <w:vAlign w:val="bottom"/>
          </w:tcPr>
          <w:p w14:paraId="4A9F3270"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40</w:t>
            </w:r>
            <w:r w:rsidRPr="000D6387">
              <w:rPr>
                <w:sz w:val="17"/>
                <w:lang w:val="fr-FR"/>
              </w:rPr>
              <w:t>,</w:t>
            </w:r>
            <w:r w:rsidRPr="00280912">
              <w:rPr>
                <w:sz w:val="17"/>
                <w:lang w:val="fr-FR"/>
              </w:rPr>
              <w:t>2</w:t>
            </w:r>
          </w:p>
        </w:tc>
      </w:tr>
      <w:tr w:rsidR="00794277" w:rsidRPr="000D6387" w14:paraId="6B0BEC54" w14:textId="77777777" w:rsidTr="00A300F0">
        <w:tc>
          <w:tcPr>
            <w:tcW w:w="2430" w:type="dxa"/>
            <w:tcBorders>
              <w:bottom w:val="single" w:sz="12" w:space="0" w:color="auto"/>
            </w:tcBorders>
            <w:shd w:val="clear" w:color="auto" w:fill="auto"/>
            <w:noWrap/>
            <w:vAlign w:val="bottom"/>
          </w:tcPr>
          <w:p w14:paraId="4A5D0BBF" w14:textId="77777777" w:rsidR="00794277" w:rsidRPr="000D6387" w:rsidRDefault="00794277" w:rsidP="00A300F0">
            <w:pPr>
              <w:tabs>
                <w:tab w:val="left" w:pos="288"/>
                <w:tab w:val="left" w:pos="576"/>
                <w:tab w:val="left" w:pos="864"/>
                <w:tab w:val="left" w:pos="1152"/>
              </w:tabs>
              <w:suppressAutoHyphens/>
              <w:spacing w:before="40" w:after="40" w:line="210" w:lineRule="exact"/>
              <w:ind w:right="40"/>
              <w:rPr>
                <w:sz w:val="17"/>
                <w:lang w:val="fr-FR"/>
              </w:rPr>
            </w:pPr>
            <w:r w:rsidRPr="000D6387">
              <w:rPr>
                <w:sz w:val="17"/>
                <w:lang w:val="fr-FR"/>
              </w:rPr>
              <w:t>Cycle supérieur professionnel</w:t>
            </w:r>
          </w:p>
        </w:tc>
        <w:tc>
          <w:tcPr>
            <w:tcW w:w="978" w:type="dxa"/>
            <w:tcBorders>
              <w:bottom w:val="single" w:sz="12" w:space="0" w:color="auto"/>
            </w:tcBorders>
            <w:shd w:val="clear" w:color="auto" w:fill="auto"/>
            <w:noWrap/>
            <w:tcMar>
              <w:left w:w="57" w:type="dxa"/>
              <w:right w:w="57" w:type="dxa"/>
            </w:tcMar>
            <w:vAlign w:val="bottom"/>
          </w:tcPr>
          <w:p w14:paraId="6E987560"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33</w:t>
            </w:r>
            <w:r w:rsidRPr="000D6387">
              <w:rPr>
                <w:sz w:val="17"/>
                <w:lang w:val="fr-FR"/>
              </w:rPr>
              <w:t xml:space="preserve"> </w:t>
            </w:r>
            <w:r w:rsidRPr="00280912">
              <w:rPr>
                <w:sz w:val="17"/>
                <w:lang w:val="fr-FR"/>
              </w:rPr>
              <w:t>571</w:t>
            </w:r>
          </w:p>
        </w:tc>
        <w:tc>
          <w:tcPr>
            <w:tcW w:w="978" w:type="dxa"/>
            <w:tcBorders>
              <w:bottom w:val="single" w:sz="12" w:space="0" w:color="auto"/>
            </w:tcBorders>
            <w:shd w:val="clear" w:color="auto" w:fill="auto"/>
            <w:noWrap/>
            <w:tcMar>
              <w:left w:w="57" w:type="dxa"/>
              <w:right w:w="57" w:type="dxa"/>
            </w:tcMar>
            <w:vAlign w:val="bottom"/>
          </w:tcPr>
          <w:p w14:paraId="69DBDFA8"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18</w:t>
            </w:r>
            <w:r w:rsidRPr="000D6387">
              <w:rPr>
                <w:sz w:val="17"/>
                <w:lang w:val="fr-FR"/>
              </w:rPr>
              <w:t xml:space="preserve"> </w:t>
            </w:r>
            <w:r w:rsidRPr="00280912">
              <w:rPr>
                <w:sz w:val="17"/>
                <w:lang w:val="fr-FR"/>
              </w:rPr>
              <w:t>517</w:t>
            </w:r>
          </w:p>
        </w:tc>
        <w:tc>
          <w:tcPr>
            <w:tcW w:w="978" w:type="dxa"/>
            <w:tcBorders>
              <w:bottom w:val="single" w:sz="12" w:space="0" w:color="auto"/>
            </w:tcBorders>
            <w:shd w:val="clear" w:color="auto" w:fill="auto"/>
            <w:noWrap/>
            <w:tcMar>
              <w:left w:w="57" w:type="dxa"/>
              <w:right w:w="57" w:type="dxa"/>
            </w:tcMar>
            <w:vAlign w:val="bottom"/>
          </w:tcPr>
          <w:p w14:paraId="33200C92"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15</w:t>
            </w:r>
            <w:r w:rsidRPr="000D6387">
              <w:rPr>
                <w:sz w:val="17"/>
                <w:lang w:val="fr-FR"/>
              </w:rPr>
              <w:t xml:space="preserve"> </w:t>
            </w:r>
            <w:r w:rsidRPr="00280912">
              <w:rPr>
                <w:sz w:val="17"/>
                <w:lang w:val="fr-FR"/>
              </w:rPr>
              <w:t>054</w:t>
            </w:r>
          </w:p>
        </w:tc>
        <w:tc>
          <w:tcPr>
            <w:tcW w:w="978" w:type="dxa"/>
            <w:gridSpan w:val="2"/>
            <w:tcBorders>
              <w:bottom w:val="single" w:sz="12" w:space="0" w:color="auto"/>
            </w:tcBorders>
            <w:shd w:val="clear" w:color="auto" w:fill="auto"/>
            <w:noWrap/>
            <w:tcMar>
              <w:left w:w="57" w:type="dxa"/>
              <w:right w:w="57" w:type="dxa"/>
            </w:tcMar>
            <w:vAlign w:val="bottom"/>
          </w:tcPr>
          <w:p w14:paraId="6F8EFD06"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55</w:t>
            </w:r>
            <w:r w:rsidRPr="000D6387">
              <w:rPr>
                <w:sz w:val="17"/>
                <w:lang w:val="fr-FR"/>
              </w:rPr>
              <w:t>,</w:t>
            </w:r>
            <w:r w:rsidRPr="00280912">
              <w:rPr>
                <w:sz w:val="17"/>
                <w:lang w:val="fr-FR"/>
              </w:rPr>
              <w:t>2</w:t>
            </w:r>
          </w:p>
        </w:tc>
        <w:tc>
          <w:tcPr>
            <w:tcW w:w="978" w:type="dxa"/>
            <w:tcBorders>
              <w:bottom w:val="single" w:sz="12" w:space="0" w:color="auto"/>
            </w:tcBorders>
            <w:shd w:val="clear" w:color="auto" w:fill="auto"/>
            <w:noWrap/>
            <w:tcMar>
              <w:left w:w="57" w:type="dxa"/>
              <w:right w:w="57" w:type="dxa"/>
            </w:tcMar>
            <w:vAlign w:val="bottom"/>
          </w:tcPr>
          <w:p w14:paraId="5B8DD407" w14:textId="77777777" w:rsidR="00794277" w:rsidRPr="000D6387" w:rsidRDefault="00794277" w:rsidP="00A300F0">
            <w:pPr>
              <w:tabs>
                <w:tab w:val="left" w:pos="288"/>
                <w:tab w:val="left" w:pos="576"/>
                <w:tab w:val="left" w:pos="864"/>
                <w:tab w:val="left" w:pos="1152"/>
              </w:tabs>
              <w:suppressAutoHyphens/>
              <w:spacing w:before="40" w:after="40" w:line="210" w:lineRule="exact"/>
              <w:ind w:right="43"/>
              <w:jc w:val="right"/>
              <w:rPr>
                <w:sz w:val="17"/>
                <w:lang w:val="fr-FR"/>
              </w:rPr>
            </w:pPr>
            <w:r w:rsidRPr="00280912">
              <w:rPr>
                <w:sz w:val="17"/>
                <w:lang w:val="fr-FR"/>
              </w:rPr>
              <w:t>44</w:t>
            </w:r>
            <w:r w:rsidRPr="000D6387">
              <w:rPr>
                <w:sz w:val="17"/>
                <w:lang w:val="fr-FR"/>
              </w:rPr>
              <w:t>,</w:t>
            </w:r>
            <w:r w:rsidRPr="00280912">
              <w:rPr>
                <w:sz w:val="17"/>
                <w:lang w:val="fr-FR"/>
              </w:rPr>
              <w:t>8</w:t>
            </w:r>
          </w:p>
        </w:tc>
      </w:tr>
    </w:tbl>
    <w:p w14:paraId="3EDE61A2" w14:textId="445703EE" w:rsidR="00794277" w:rsidRPr="000D6387" w:rsidRDefault="00794277" w:rsidP="007F1722">
      <w:pPr>
        <w:pStyle w:val="SingleTxt"/>
        <w:spacing w:after="0" w:line="120" w:lineRule="exact"/>
        <w:rPr>
          <w:sz w:val="10"/>
          <w:lang w:val="fr-FR"/>
        </w:rPr>
      </w:pPr>
    </w:p>
    <w:p w14:paraId="593E9D3F" w14:textId="44504D91" w:rsidR="007F1722" w:rsidRPr="00DE4289" w:rsidRDefault="007F1722" w:rsidP="00DE4289">
      <w:pPr>
        <w:pStyle w:val="SingleTxt"/>
        <w:spacing w:after="0" w:line="120" w:lineRule="exact"/>
        <w:rPr>
          <w:sz w:val="10"/>
          <w:lang w:val="fr-FR"/>
        </w:rPr>
      </w:pPr>
    </w:p>
    <w:p w14:paraId="57BC9635" w14:textId="77777777" w:rsidR="00DE4289" w:rsidRPr="000D6387" w:rsidRDefault="00DE4289" w:rsidP="007F1722">
      <w:pPr>
        <w:pStyle w:val="SingleTxt"/>
        <w:spacing w:after="0" w:line="120" w:lineRule="exact"/>
        <w:rPr>
          <w:sz w:val="10"/>
          <w:lang w:val="fr-FR"/>
        </w:rPr>
      </w:pPr>
    </w:p>
    <w:p w14:paraId="799DEB38" w14:textId="6FF19160" w:rsidR="00794277" w:rsidRPr="000D6387" w:rsidRDefault="007F1722" w:rsidP="007F1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794277" w:rsidRPr="00280912">
        <w:rPr>
          <w:lang w:val="fr-FR"/>
        </w:rPr>
        <w:t>16</w:t>
      </w:r>
      <w:r w:rsidR="00794277" w:rsidRPr="000D6387">
        <w:rPr>
          <w:lang w:val="fr-FR"/>
        </w:rPr>
        <w:t>.</w:t>
      </w:r>
      <w:r w:rsidR="00794277" w:rsidRPr="000D6387">
        <w:rPr>
          <w:lang w:val="fr-FR"/>
        </w:rPr>
        <w:tab/>
        <w:t>Emploi</w:t>
      </w:r>
    </w:p>
    <w:p w14:paraId="6C1712EE" w14:textId="77777777" w:rsidR="007F1722" w:rsidRPr="000D6387" w:rsidRDefault="007F1722" w:rsidP="007F1722">
      <w:pPr>
        <w:pStyle w:val="SingleTxt"/>
        <w:spacing w:after="0" w:line="120" w:lineRule="exact"/>
        <w:rPr>
          <w:sz w:val="10"/>
          <w:lang w:val="fr-FR"/>
        </w:rPr>
      </w:pPr>
    </w:p>
    <w:p w14:paraId="3A55B0ED" w14:textId="42A46A40" w:rsidR="00794277" w:rsidRPr="000D6387" w:rsidRDefault="007F1722" w:rsidP="00794277">
      <w:pPr>
        <w:pStyle w:val="SingleTxt"/>
        <w:rPr>
          <w:lang w:val="fr-FR"/>
        </w:rPr>
      </w:pPr>
      <w:r w:rsidRPr="000D6387">
        <w:rPr>
          <w:lang w:val="fr-FR"/>
        </w:rPr>
        <w:tab/>
      </w:r>
      <w:r w:rsidR="00794277" w:rsidRPr="000D6387">
        <w:rPr>
          <w:lang w:val="fr-FR"/>
        </w:rPr>
        <w:t>L</w:t>
      </w:r>
      <w:r w:rsidR="00BD12BA" w:rsidRPr="000D6387">
        <w:rPr>
          <w:lang w:val="fr-FR"/>
        </w:rPr>
        <w:t>’</w:t>
      </w:r>
      <w:r w:rsidR="00794277" w:rsidRPr="000D6387">
        <w:rPr>
          <w:lang w:val="fr-FR"/>
        </w:rPr>
        <w:t xml:space="preserve">article </w:t>
      </w:r>
      <w:r w:rsidR="00794277" w:rsidRPr="00280912">
        <w:rPr>
          <w:lang w:val="fr-FR"/>
        </w:rPr>
        <w:t>9</w:t>
      </w:r>
      <w:r w:rsidR="00794277" w:rsidRPr="000D6387">
        <w:rPr>
          <w:lang w:val="fr-FR"/>
        </w:rPr>
        <w:t xml:space="preserve"> du Code du travail dispose qu</w:t>
      </w:r>
      <w:r w:rsidR="00BD12BA" w:rsidRPr="000D6387">
        <w:rPr>
          <w:lang w:val="fr-FR"/>
        </w:rPr>
        <w:t>’</w:t>
      </w:r>
      <w:r w:rsidR="00794277" w:rsidRPr="000D6387">
        <w:rPr>
          <w:lang w:val="fr-FR"/>
        </w:rPr>
        <w:t>il est interdit d</w:t>
      </w:r>
      <w:r w:rsidR="00BD12BA" w:rsidRPr="000D6387">
        <w:rPr>
          <w:lang w:val="fr-FR"/>
        </w:rPr>
        <w:t>’</w:t>
      </w:r>
      <w:r w:rsidR="00794277" w:rsidRPr="000D6387">
        <w:rPr>
          <w:lang w:val="fr-FR"/>
        </w:rPr>
        <w:t>établir des discriminations en matière d</w:t>
      </w:r>
      <w:r w:rsidR="00BD12BA" w:rsidRPr="000D6387">
        <w:rPr>
          <w:lang w:val="fr-FR"/>
        </w:rPr>
        <w:t>’</w:t>
      </w:r>
      <w:r w:rsidR="00794277" w:rsidRPr="000D6387">
        <w:rPr>
          <w:lang w:val="fr-FR"/>
        </w:rPr>
        <w:t xml:space="preserve">emploi, notamment pour des motifs liés au genre. Le chapitre </w:t>
      </w:r>
      <w:r w:rsidR="00794277" w:rsidRPr="00280912">
        <w:rPr>
          <w:lang w:val="fr-FR"/>
        </w:rPr>
        <w:t>24</w:t>
      </w:r>
      <w:r w:rsidR="00794277" w:rsidRPr="000D6387">
        <w:rPr>
          <w:lang w:val="fr-FR"/>
        </w:rPr>
        <w:t xml:space="preserve"> du Code du travail contient également des dispositions particulières sur la réglementation du travail des femmes et d</w:t>
      </w:r>
      <w:r w:rsidR="00BD12BA" w:rsidRPr="000D6387">
        <w:rPr>
          <w:lang w:val="fr-FR"/>
        </w:rPr>
        <w:t>’</w:t>
      </w:r>
      <w:r w:rsidR="00794277" w:rsidRPr="000D6387">
        <w:rPr>
          <w:lang w:val="fr-FR"/>
        </w:rPr>
        <w:t>autres personnes assumant des responsabilités familiales. Cette section du Code instaure un certain nombre de garanties et de droits pour les femmes actives, notamment des garanties supplémentaires pour les femmes enceintes et les mères, ainsi que des garanties relatives à la résiliation des contrats de travail et au respect de la réglementation sur les déplacements professionnels, les heures supplémentaires, le travail de nuit, les week-ends et jours fériés, etc.</w:t>
      </w:r>
    </w:p>
    <w:p w14:paraId="047153C9" w14:textId="6707885D" w:rsidR="00794277" w:rsidRPr="000D6387" w:rsidRDefault="007F1722" w:rsidP="00794277">
      <w:pPr>
        <w:pStyle w:val="SingleTxt"/>
        <w:rPr>
          <w:lang w:val="fr-FR"/>
        </w:rPr>
      </w:pPr>
      <w:r w:rsidRPr="000D6387">
        <w:rPr>
          <w:lang w:val="fr-FR"/>
        </w:rPr>
        <w:tab/>
      </w:r>
      <w:r w:rsidR="00794277" w:rsidRPr="000D6387">
        <w:rPr>
          <w:lang w:val="fr-FR"/>
        </w:rPr>
        <w:t>Particulièrement soucieux de la santé des femmes, l</w:t>
      </w:r>
      <w:r w:rsidR="00BD12BA" w:rsidRPr="000D6387">
        <w:rPr>
          <w:lang w:val="fr-FR"/>
        </w:rPr>
        <w:t>’</w:t>
      </w:r>
      <w:r w:rsidR="00794277" w:rsidRPr="000D6387">
        <w:rPr>
          <w:lang w:val="fr-FR"/>
        </w:rPr>
        <w:t>État interdit d</w:t>
      </w:r>
      <w:r w:rsidR="00BD12BA" w:rsidRPr="000D6387">
        <w:rPr>
          <w:lang w:val="fr-FR"/>
        </w:rPr>
        <w:t>’</w:t>
      </w:r>
      <w:r w:rsidR="00794277" w:rsidRPr="000D6387">
        <w:rPr>
          <w:lang w:val="fr-FR"/>
        </w:rPr>
        <w:t>employer celles-ci pour l</w:t>
      </w:r>
      <w:r w:rsidR="00BD12BA" w:rsidRPr="000D6387">
        <w:rPr>
          <w:lang w:val="fr-FR"/>
        </w:rPr>
        <w:t>’</w:t>
      </w:r>
      <w:r w:rsidR="00794277" w:rsidRPr="000D6387">
        <w:rPr>
          <w:lang w:val="fr-FR"/>
        </w:rPr>
        <w:t>accomplissement de tâches pénibles dans des conditions nocives ou dangereuses, telles que les travaux souterrains, à l</w:t>
      </w:r>
      <w:r w:rsidR="00BD12BA" w:rsidRPr="000D6387">
        <w:rPr>
          <w:lang w:val="fr-FR"/>
        </w:rPr>
        <w:t>’</w:t>
      </w:r>
      <w:r w:rsidR="00794277" w:rsidRPr="000D6387">
        <w:rPr>
          <w:lang w:val="fr-FR"/>
        </w:rPr>
        <w:t>exception des travaux non physiques et des travaux liés à des services sanitaires ou courants, ainsi qu</w:t>
      </w:r>
      <w:r w:rsidR="00BD12BA" w:rsidRPr="000D6387">
        <w:rPr>
          <w:lang w:val="fr-FR"/>
        </w:rPr>
        <w:t>’</w:t>
      </w:r>
      <w:r w:rsidR="00794277" w:rsidRPr="000D6387">
        <w:rPr>
          <w:lang w:val="fr-FR"/>
        </w:rPr>
        <w:t xml:space="preserve">à des travaux nécessitant de soulever et de transporter manuellement des charges supérieures aux normes applicables (art. </w:t>
      </w:r>
      <w:r w:rsidR="00794277" w:rsidRPr="00280912">
        <w:rPr>
          <w:lang w:val="fr-FR"/>
        </w:rPr>
        <w:t>303</w:t>
      </w:r>
      <w:r w:rsidR="00794277" w:rsidRPr="000D6387">
        <w:rPr>
          <w:lang w:val="fr-FR"/>
        </w:rPr>
        <w:t xml:space="preserve"> du Code du travail).</w:t>
      </w:r>
    </w:p>
    <w:p w14:paraId="0AA7F7C7" w14:textId="361A6A3F" w:rsidR="00794277" w:rsidRPr="000D6387" w:rsidRDefault="007F1722" w:rsidP="00794277">
      <w:pPr>
        <w:pStyle w:val="SingleTxt"/>
        <w:rPr>
          <w:lang w:val="fr-FR"/>
        </w:rPr>
      </w:pPr>
      <w:r w:rsidRPr="000D6387">
        <w:rPr>
          <w:lang w:val="fr-FR"/>
        </w:rPr>
        <w:tab/>
      </w:r>
      <w:r w:rsidR="00794277" w:rsidRPr="000D6387">
        <w:rPr>
          <w:lang w:val="fr-FR"/>
        </w:rPr>
        <w:t>Le Ministère du travail et du développement social, en s</w:t>
      </w:r>
      <w:r w:rsidR="00BD12BA" w:rsidRPr="000D6387">
        <w:rPr>
          <w:lang w:val="fr-FR"/>
        </w:rPr>
        <w:t>’</w:t>
      </w:r>
      <w:r w:rsidR="00794277" w:rsidRPr="000D6387">
        <w:rPr>
          <w:lang w:val="fr-FR"/>
        </w:rPr>
        <w:t>appuyant sur les compétences techniques d</w:t>
      </w:r>
      <w:r w:rsidR="00BD12BA" w:rsidRPr="000D6387">
        <w:rPr>
          <w:lang w:val="fr-FR"/>
        </w:rPr>
        <w:t>’</w:t>
      </w:r>
      <w:r w:rsidR="00794277" w:rsidRPr="000D6387">
        <w:rPr>
          <w:lang w:val="fr-FR"/>
        </w:rPr>
        <w:t>un expert de l</w:t>
      </w:r>
      <w:r w:rsidR="00BD12BA" w:rsidRPr="000D6387">
        <w:rPr>
          <w:lang w:val="fr-FR"/>
        </w:rPr>
        <w:t>’</w:t>
      </w:r>
      <w:r w:rsidR="00794277" w:rsidRPr="000D6387">
        <w:rPr>
          <w:lang w:val="fr-FR"/>
        </w:rPr>
        <w:t>Organisation internationale du Travail, s</w:t>
      </w:r>
      <w:r w:rsidR="00BD12BA" w:rsidRPr="000D6387">
        <w:rPr>
          <w:lang w:val="fr-FR"/>
        </w:rPr>
        <w:t>’</w:t>
      </w:r>
      <w:r w:rsidR="00794277" w:rsidRPr="000D6387">
        <w:rPr>
          <w:lang w:val="fr-FR"/>
        </w:rPr>
        <w:t>emploie à réviser la liste des secteurs, des emplois, des professions et des postes associés à des conditions de travail nocives et dangereuses, où le travail des femmes est proscrit, tel que stipulé dans la décision gouvernementale n</w:t>
      </w:r>
      <w:r w:rsidR="00794277" w:rsidRPr="000D6387">
        <w:rPr>
          <w:vertAlign w:val="superscript"/>
          <w:lang w:val="fr-FR"/>
        </w:rPr>
        <w:t>o</w:t>
      </w:r>
      <w:r w:rsidR="00794277" w:rsidRPr="000D6387">
        <w:rPr>
          <w:lang w:val="fr-FR"/>
        </w:rPr>
        <w:t xml:space="preserve"> </w:t>
      </w:r>
      <w:r w:rsidR="00794277" w:rsidRPr="00280912">
        <w:rPr>
          <w:lang w:val="fr-FR"/>
        </w:rPr>
        <w:t>158</w:t>
      </w:r>
      <w:r w:rsidR="00794277" w:rsidRPr="000D6387">
        <w:rPr>
          <w:lang w:val="fr-FR"/>
        </w:rPr>
        <w:t xml:space="preserve"> du </w:t>
      </w:r>
      <w:r w:rsidR="00794277" w:rsidRPr="00280912">
        <w:rPr>
          <w:lang w:val="fr-FR"/>
        </w:rPr>
        <w:t>24</w:t>
      </w:r>
      <w:r w:rsidR="00794277" w:rsidRPr="000D6387">
        <w:rPr>
          <w:lang w:val="fr-FR"/>
        </w:rPr>
        <w:t xml:space="preserve"> mars </w:t>
      </w:r>
      <w:r w:rsidR="00794277" w:rsidRPr="00280912">
        <w:rPr>
          <w:lang w:val="fr-FR"/>
        </w:rPr>
        <w:t>2000</w:t>
      </w:r>
      <w:r w:rsidR="00794277" w:rsidRPr="000D6387">
        <w:rPr>
          <w:lang w:val="fr-FR"/>
        </w:rPr>
        <w:t>.</w:t>
      </w:r>
    </w:p>
    <w:p w14:paraId="68D931C8" w14:textId="7B5EB7F5" w:rsidR="00794277" w:rsidRPr="000D6387" w:rsidRDefault="007F1722" w:rsidP="00794277">
      <w:pPr>
        <w:pStyle w:val="SingleTxt"/>
        <w:rPr>
          <w:lang w:val="fr-FR"/>
        </w:rPr>
      </w:pPr>
      <w:r w:rsidRPr="000D6387">
        <w:rPr>
          <w:lang w:val="fr-FR"/>
        </w:rPr>
        <w:tab/>
      </w:r>
      <w:r w:rsidR="00794277" w:rsidRPr="000D6387">
        <w:rPr>
          <w:lang w:val="fr-FR"/>
        </w:rPr>
        <w:t xml:space="preserve">Durant la période </w:t>
      </w:r>
      <w:r w:rsidR="00794277" w:rsidRPr="00280912">
        <w:rPr>
          <w:lang w:val="fr-FR"/>
        </w:rPr>
        <w:t>2013</w:t>
      </w:r>
      <w:r w:rsidR="00794277" w:rsidRPr="000D6387">
        <w:rPr>
          <w:lang w:val="fr-FR"/>
        </w:rPr>
        <w:t>-</w:t>
      </w:r>
      <w:r w:rsidR="00794277" w:rsidRPr="00280912">
        <w:rPr>
          <w:lang w:val="fr-FR"/>
        </w:rPr>
        <w:t>2018</w:t>
      </w:r>
      <w:r w:rsidR="00794277" w:rsidRPr="000D6387">
        <w:rPr>
          <w:lang w:val="fr-FR"/>
        </w:rPr>
        <w:t>, aucun cas de discrimination touchant les droits relatifs au travail des femmes n</w:t>
      </w:r>
      <w:r w:rsidR="00BD12BA" w:rsidRPr="000D6387">
        <w:rPr>
          <w:lang w:val="fr-FR"/>
        </w:rPr>
        <w:t>’</w:t>
      </w:r>
      <w:r w:rsidR="00794277" w:rsidRPr="000D6387">
        <w:rPr>
          <w:lang w:val="fr-FR"/>
        </w:rPr>
        <w:t>a été signalé, et l</w:t>
      </w:r>
      <w:r w:rsidR="00BD12BA" w:rsidRPr="000D6387">
        <w:rPr>
          <w:lang w:val="fr-FR"/>
        </w:rPr>
        <w:t>’</w:t>
      </w:r>
      <w:r w:rsidR="00794277" w:rsidRPr="000D6387">
        <w:rPr>
          <w:lang w:val="fr-FR"/>
        </w:rPr>
        <w:t>Inspection nationale de la sécurité environnementale et technique, qui relève du Gouvernement, n</w:t>
      </w:r>
      <w:r w:rsidR="00BD12BA" w:rsidRPr="000D6387">
        <w:rPr>
          <w:lang w:val="fr-FR"/>
        </w:rPr>
        <w:t>’</w:t>
      </w:r>
      <w:r w:rsidR="00794277" w:rsidRPr="000D6387">
        <w:rPr>
          <w:lang w:val="fr-FR"/>
        </w:rPr>
        <w:t>a reçu aucune plainte.</w:t>
      </w:r>
    </w:p>
    <w:p w14:paraId="6F57B11A" w14:textId="49AEBFE1" w:rsidR="00794277" w:rsidRPr="000D6387" w:rsidRDefault="007F1722" w:rsidP="00794277">
      <w:pPr>
        <w:pStyle w:val="SingleTxt"/>
        <w:rPr>
          <w:lang w:val="fr-FR"/>
        </w:rPr>
      </w:pPr>
      <w:r w:rsidRPr="000D6387">
        <w:rPr>
          <w:lang w:val="fr-FR"/>
        </w:rPr>
        <w:tab/>
      </w:r>
      <w:r w:rsidR="00794277" w:rsidRPr="000D6387">
        <w:rPr>
          <w:lang w:val="fr-FR"/>
        </w:rPr>
        <w:t>Un certain nombre de lois en vigueur dans le pays réglementent les relations sociales et professionnelles. L</w:t>
      </w:r>
      <w:r w:rsidR="00BD12BA" w:rsidRPr="000D6387">
        <w:rPr>
          <w:lang w:val="fr-FR"/>
        </w:rPr>
        <w:t>’</w:t>
      </w:r>
      <w:r w:rsidR="00794277" w:rsidRPr="000D6387">
        <w:rPr>
          <w:lang w:val="fr-FR"/>
        </w:rPr>
        <w:t>un des objectifs du Code du travail est d</w:t>
      </w:r>
      <w:r w:rsidR="00BD12BA" w:rsidRPr="000D6387">
        <w:rPr>
          <w:lang w:val="fr-FR"/>
        </w:rPr>
        <w:t>’</w:t>
      </w:r>
      <w:r w:rsidR="00794277" w:rsidRPr="000D6387">
        <w:rPr>
          <w:lang w:val="fr-FR"/>
        </w:rPr>
        <w:t>instituer des garanties concernant les libertés et droits relatifs au travail du citoyen.</w:t>
      </w:r>
    </w:p>
    <w:p w14:paraId="12321E6C" w14:textId="16EF4B0C" w:rsidR="00794277" w:rsidRPr="000D6387" w:rsidRDefault="007F1722" w:rsidP="00794277">
      <w:pPr>
        <w:pStyle w:val="SingleTxt"/>
        <w:rPr>
          <w:lang w:val="fr-FR"/>
        </w:rPr>
      </w:pPr>
      <w:r w:rsidRPr="000D6387">
        <w:rPr>
          <w:lang w:val="fr-FR"/>
        </w:rPr>
        <w:tab/>
      </w:r>
      <w:r w:rsidR="00794277" w:rsidRPr="000D6387">
        <w:rPr>
          <w:lang w:val="fr-FR"/>
        </w:rPr>
        <w:t>L</w:t>
      </w:r>
      <w:r w:rsidR="00BD12BA" w:rsidRPr="000D6387">
        <w:rPr>
          <w:lang w:val="fr-FR"/>
        </w:rPr>
        <w:t>’</w:t>
      </w:r>
      <w:r w:rsidR="00794277" w:rsidRPr="000D6387">
        <w:rPr>
          <w:lang w:val="fr-FR"/>
        </w:rPr>
        <w:t xml:space="preserve">article </w:t>
      </w:r>
      <w:r w:rsidR="00794277" w:rsidRPr="00280912">
        <w:rPr>
          <w:lang w:val="fr-FR"/>
        </w:rPr>
        <w:t>9</w:t>
      </w:r>
      <w:r w:rsidR="00794277" w:rsidRPr="000D6387">
        <w:rPr>
          <w:lang w:val="fr-FR"/>
        </w:rPr>
        <w:t xml:space="preserve"> du Code du travail dispose que l</w:t>
      </w:r>
      <w:r w:rsidR="00BD12BA" w:rsidRPr="000D6387">
        <w:rPr>
          <w:lang w:val="fr-FR"/>
        </w:rPr>
        <w:t>’</w:t>
      </w:r>
      <w:r w:rsidR="00794277" w:rsidRPr="000D6387">
        <w:rPr>
          <w:lang w:val="fr-FR"/>
        </w:rPr>
        <w:t>inégalité de rémunération pour un travail de valeur égale est interdite.</w:t>
      </w:r>
    </w:p>
    <w:p w14:paraId="27C5BEF9" w14:textId="08F1006F" w:rsidR="00794277" w:rsidRPr="000D6387" w:rsidRDefault="007F1722" w:rsidP="00794277">
      <w:pPr>
        <w:pStyle w:val="SingleTxt"/>
        <w:rPr>
          <w:lang w:val="fr-FR"/>
        </w:rPr>
      </w:pPr>
      <w:r w:rsidRPr="000D6387">
        <w:rPr>
          <w:lang w:val="fr-FR"/>
        </w:rPr>
        <w:tab/>
      </w:r>
      <w:r w:rsidR="00794277" w:rsidRPr="000D6387">
        <w:rPr>
          <w:lang w:val="fr-FR"/>
        </w:rPr>
        <w:t>La législation du travail, dont l</w:t>
      </w:r>
      <w:r w:rsidR="00BD12BA" w:rsidRPr="000D6387">
        <w:rPr>
          <w:lang w:val="fr-FR"/>
        </w:rPr>
        <w:t>’</w:t>
      </w:r>
      <w:r w:rsidR="00794277" w:rsidRPr="000D6387">
        <w:rPr>
          <w:lang w:val="fr-FR"/>
        </w:rPr>
        <w:t>une des priorités est d</w:t>
      </w:r>
      <w:r w:rsidR="00BD12BA" w:rsidRPr="000D6387">
        <w:rPr>
          <w:lang w:val="fr-FR"/>
        </w:rPr>
        <w:t>’</w:t>
      </w:r>
      <w:r w:rsidR="00794277" w:rsidRPr="000D6387">
        <w:rPr>
          <w:lang w:val="fr-FR"/>
        </w:rPr>
        <w:t>assurer le respect et la protection des droits des femmes dans ce domaine, a établi un système de garanties visant à empêcher la discrimination à leur égard en matière d</w:t>
      </w:r>
      <w:r w:rsidR="00BD12BA" w:rsidRPr="000D6387">
        <w:rPr>
          <w:lang w:val="fr-FR"/>
        </w:rPr>
        <w:t>’</w:t>
      </w:r>
      <w:r w:rsidR="00794277" w:rsidRPr="000D6387">
        <w:rPr>
          <w:lang w:val="fr-FR"/>
        </w:rPr>
        <w:t xml:space="preserve">emploi. Ces garanties sont définies au chapitre </w:t>
      </w:r>
      <w:r w:rsidR="00794277" w:rsidRPr="00280912">
        <w:rPr>
          <w:lang w:val="fr-FR"/>
        </w:rPr>
        <w:t>24</w:t>
      </w:r>
      <w:r w:rsidR="00794277" w:rsidRPr="000D6387">
        <w:rPr>
          <w:lang w:val="fr-FR"/>
        </w:rPr>
        <w:t xml:space="preserve"> du Code du travail. </w:t>
      </w:r>
    </w:p>
    <w:p w14:paraId="683C1099" w14:textId="3348710F" w:rsidR="00794277" w:rsidRPr="000D6387" w:rsidRDefault="007F1722" w:rsidP="00794277">
      <w:pPr>
        <w:pStyle w:val="SingleTxt"/>
        <w:rPr>
          <w:lang w:val="fr-FR"/>
        </w:rPr>
      </w:pPr>
      <w:r w:rsidRPr="000D6387">
        <w:rPr>
          <w:lang w:val="fr-FR"/>
        </w:rPr>
        <w:tab/>
      </w:r>
      <w:r w:rsidR="00794277" w:rsidRPr="000D6387">
        <w:rPr>
          <w:lang w:val="fr-FR"/>
        </w:rPr>
        <w:t>Les garanties en matière d</w:t>
      </w:r>
      <w:r w:rsidR="00BD12BA" w:rsidRPr="000D6387">
        <w:rPr>
          <w:lang w:val="fr-FR"/>
        </w:rPr>
        <w:t>’</w:t>
      </w:r>
      <w:r w:rsidR="00794277" w:rsidRPr="000D6387">
        <w:rPr>
          <w:lang w:val="fr-FR"/>
        </w:rPr>
        <w:t>égalité des droits et des chances dans les domaines politique, social, économique, culturel et autres, fournies par l</w:t>
      </w:r>
      <w:r w:rsidR="00BD12BA" w:rsidRPr="000D6387">
        <w:rPr>
          <w:lang w:val="fr-FR"/>
        </w:rPr>
        <w:t>’</w:t>
      </w:r>
      <w:r w:rsidR="00794277" w:rsidRPr="000D6387">
        <w:rPr>
          <w:lang w:val="fr-FR"/>
        </w:rPr>
        <w:t>État aux personnes de sexe différent, sont régies par la loi sur l</w:t>
      </w:r>
      <w:r w:rsidR="00BD12BA" w:rsidRPr="000D6387">
        <w:rPr>
          <w:lang w:val="fr-FR"/>
        </w:rPr>
        <w:t>’</w:t>
      </w:r>
      <w:r w:rsidR="00794277" w:rsidRPr="000D6387">
        <w:rPr>
          <w:lang w:val="fr-FR"/>
        </w:rPr>
        <w:t>égalité des droits et des chances des femmes et des hommes. Ainsi, l</w:t>
      </w:r>
      <w:r w:rsidR="00BD12BA" w:rsidRPr="000D6387">
        <w:rPr>
          <w:lang w:val="fr-FR"/>
        </w:rPr>
        <w:t>’</w:t>
      </w:r>
      <w:r w:rsidR="00794277" w:rsidRPr="000D6387">
        <w:rPr>
          <w:lang w:val="fr-FR"/>
        </w:rPr>
        <w:t xml:space="preserve">article </w:t>
      </w:r>
      <w:r w:rsidR="00794277" w:rsidRPr="00280912">
        <w:rPr>
          <w:lang w:val="fr-FR"/>
        </w:rPr>
        <w:t>5</w:t>
      </w:r>
      <w:r w:rsidR="00794277" w:rsidRPr="000D6387">
        <w:rPr>
          <w:lang w:val="fr-FR"/>
        </w:rPr>
        <w:t xml:space="preserve"> de ladite loi interdit la discrimination fondée sur le genre, directe ou indirecte, à l</w:t>
      </w:r>
      <w:r w:rsidR="00BD12BA" w:rsidRPr="000D6387">
        <w:rPr>
          <w:lang w:val="fr-FR"/>
        </w:rPr>
        <w:t>’</w:t>
      </w:r>
      <w:r w:rsidR="00794277" w:rsidRPr="000D6387">
        <w:rPr>
          <w:lang w:val="fr-FR"/>
        </w:rPr>
        <w:t>égard des femmes et des hommes dans tout domaine d</w:t>
      </w:r>
      <w:r w:rsidR="00BD12BA" w:rsidRPr="000D6387">
        <w:rPr>
          <w:lang w:val="fr-FR"/>
        </w:rPr>
        <w:t>’</w:t>
      </w:r>
      <w:r w:rsidR="00794277" w:rsidRPr="000D6387">
        <w:rPr>
          <w:lang w:val="fr-FR"/>
        </w:rPr>
        <w:t>activité, de même que l</w:t>
      </w:r>
      <w:r w:rsidR="00BD12BA" w:rsidRPr="000D6387">
        <w:rPr>
          <w:lang w:val="fr-FR"/>
        </w:rPr>
        <w:t>’</w:t>
      </w:r>
      <w:r w:rsidR="00794277" w:rsidRPr="000D6387">
        <w:rPr>
          <w:lang w:val="fr-FR"/>
        </w:rPr>
        <w:t>inégalité de rémunération pour un travail égal et à qualifications égales.</w:t>
      </w:r>
    </w:p>
    <w:p w14:paraId="6355BBFC" w14:textId="3F318BCB" w:rsidR="00794277" w:rsidRPr="000D6387" w:rsidRDefault="007F1722" w:rsidP="00794277">
      <w:pPr>
        <w:pStyle w:val="SingleTxt"/>
        <w:rPr>
          <w:lang w:val="fr-FR"/>
        </w:rPr>
      </w:pPr>
      <w:r w:rsidRPr="000D6387">
        <w:rPr>
          <w:lang w:val="fr-FR"/>
        </w:rPr>
        <w:tab/>
      </w:r>
      <w:r w:rsidR="00794277" w:rsidRPr="000D6387">
        <w:rPr>
          <w:lang w:val="fr-FR"/>
        </w:rPr>
        <w:t xml:space="preserve">Au paragraphe </w:t>
      </w:r>
      <w:r w:rsidR="00794277" w:rsidRPr="00280912">
        <w:rPr>
          <w:lang w:val="fr-FR"/>
        </w:rPr>
        <w:t>2</w:t>
      </w:r>
      <w:r w:rsidR="00794277" w:rsidRPr="000D6387">
        <w:rPr>
          <w:lang w:val="fr-FR"/>
        </w:rPr>
        <w:t xml:space="preserve"> de l</w:t>
      </w:r>
      <w:r w:rsidR="00BD12BA" w:rsidRPr="000D6387">
        <w:rPr>
          <w:lang w:val="fr-FR"/>
        </w:rPr>
        <w:t>’</w:t>
      </w:r>
      <w:r w:rsidR="00794277" w:rsidRPr="000D6387">
        <w:rPr>
          <w:lang w:val="fr-FR"/>
        </w:rPr>
        <w:t xml:space="preserve">article </w:t>
      </w:r>
      <w:r w:rsidR="00794277" w:rsidRPr="00280912">
        <w:rPr>
          <w:lang w:val="fr-FR"/>
        </w:rPr>
        <w:t>16</w:t>
      </w:r>
      <w:r w:rsidR="00794277" w:rsidRPr="000D6387">
        <w:rPr>
          <w:lang w:val="fr-FR"/>
        </w:rPr>
        <w:t>, la Constitution kirghize dispose que nul ne peut faire l</w:t>
      </w:r>
      <w:r w:rsidR="00BD12BA" w:rsidRPr="000D6387">
        <w:rPr>
          <w:lang w:val="fr-FR"/>
        </w:rPr>
        <w:t>’</w:t>
      </w:r>
      <w:r w:rsidR="00794277" w:rsidRPr="000D6387">
        <w:rPr>
          <w:lang w:val="fr-FR"/>
        </w:rPr>
        <w:t>objet de discrimination fondée sur le sexe, la race, la langue, le handicap, l</w:t>
      </w:r>
      <w:r w:rsidR="00BD12BA" w:rsidRPr="000D6387">
        <w:rPr>
          <w:lang w:val="fr-FR"/>
        </w:rPr>
        <w:t>’</w:t>
      </w:r>
      <w:r w:rsidR="00794277" w:rsidRPr="000D6387">
        <w:rPr>
          <w:lang w:val="fr-FR"/>
        </w:rPr>
        <w:t>appartenance ethnique, la religion, l</w:t>
      </w:r>
      <w:r w:rsidR="00BD12BA" w:rsidRPr="000D6387">
        <w:rPr>
          <w:lang w:val="fr-FR"/>
        </w:rPr>
        <w:t>’</w:t>
      </w:r>
      <w:r w:rsidR="00794277" w:rsidRPr="000D6387">
        <w:rPr>
          <w:lang w:val="fr-FR"/>
        </w:rPr>
        <w:t>âge, les convictions politiques ou autres, le niveau d</w:t>
      </w:r>
      <w:r w:rsidR="00BD12BA" w:rsidRPr="000D6387">
        <w:rPr>
          <w:lang w:val="fr-FR"/>
        </w:rPr>
        <w:t>’</w:t>
      </w:r>
      <w:r w:rsidR="00794277" w:rsidRPr="000D6387">
        <w:rPr>
          <w:lang w:val="fr-FR"/>
        </w:rPr>
        <w:t>éducation, l</w:t>
      </w:r>
      <w:r w:rsidR="00BD12BA" w:rsidRPr="000D6387">
        <w:rPr>
          <w:lang w:val="fr-FR"/>
        </w:rPr>
        <w:t>’</w:t>
      </w:r>
      <w:r w:rsidR="00794277" w:rsidRPr="000D6387">
        <w:rPr>
          <w:lang w:val="fr-FR"/>
        </w:rPr>
        <w:t>origine, la situation patrimoniale ou tout autre statut et toute autre condition.</w:t>
      </w:r>
    </w:p>
    <w:p w14:paraId="6B199CCB" w14:textId="0C2DEDEA" w:rsidR="00794277" w:rsidRPr="000D6387" w:rsidRDefault="007F1722" w:rsidP="00794277">
      <w:pPr>
        <w:pStyle w:val="SingleTxt"/>
        <w:rPr>
          <w:lang w:val="fr-FR"/>
        </w:rPr>
      </w:pPr>
      <w:r w:rsidRPr="000D6387">
        <w:rPr>
          <w:lang w:val="fr-FR"/>
        </w:rPr>
        <w:tab/>
      </w:r>
      <w:r w:rsidR="00794277" w:rsidRPr="000D6387">
        <w:rPr>
          <w:lang w:val="fr-FR"/>
        </w:rPr>
        <w:t>L</w:t>
      </w:r>
      <w:r w:rsidR="00BD12BA" w:rsidRPr="000D6387">
        <w:rPr>
          <w:lang w:val="fr-FR"/>
        </w:rPr>
        <w:t>’</w:t>
      </w:r>
      <w:r w:rsidR="00794277" w:rsidRPr="000D6387">
        <w:rPr>
          <w:lang w:val="fr-FR"/>
        </w:rPr>
        <w:t xml:space="preserve">article </w:t>
      </w:r>
      <w:r w:rsidR="00794277" w:rsidRPr="00280912">
        <w:rPr>
          <w:lang w:val="fr-FR"/>
        </w:rPr>
        <w:t>9</w:t>
      </w:r>
      <w:r w:rsidR="00794277" w:rsidRPr="000D6387">
        <w:rPr>
          <w:lang w:val="fr-FR"/>
        </w:rPr>
        <w:t xml:space="preserve"> du Code du travail dispose que chacun dispose d</w:t>
      </w:r>
      <w:r w:rsidR="00BD12BA" w:rsidRPr="000D6387">
        <w:rPr>
          <w:lang w:val="fr-FR"/>
        </w:rPr>
        <w:t>’</w:t>
      </w:r>
      <w:r w:rsidR="00794277" w:rsidRPr="000D6387">
        <w:rPr>
          <w:lang w:val="fr-FR"/>
        </w:rPr>
        <w:t>une faculté égale d</w:t>
      </w:r>
      <w:r w:rsidR="00BD12BA" w:rsidRPr="000D6387">
        <w:rPr>
          <w:lang w:val="fr-FR"/>
        </w:rPr>
        <w:t>’</w:t>
      </w:r>
      <w:r w:rsidR="00794277" w:rsidRPr="000D6387">
        <w:rPr>
          <w:lang w:val="fr-FR"/>
        </w:rPr>
        <w:t>exercer ses droits et libertés dans le domaine du travail. Nul ne peut faire l</w:t>
      </w:r>
      <w:r w:rsidR="00BD12BA" w:rsidRPr="000D6387">
        <w:rPr>
          <w:lang w:val="fr-FR"/>
        </w:rPr>
        <w:t>’</w:t>
      </w:r>
      <w:r w:rsidR="00794277" w:rsidRPr="000D6387">
        <w:rPr>
          <w:lang w:val="fr-FR"/>
        </w:rPr>
        <w:t>objet de restrictions dans l</w:t>
      </w:r>
      <w:r w:rsidR="00BD12BA" w:rsidRPr="000D6387">
        <w:rPr>
          <w:lang w:val="fr-FR"/>
        </w:rPr>
        <w:t>’</w:t>
      </w:r>
      <w:r w:rsidR="00794277" w:rsidRPr="000D6387">
        <w:rPr>
          <w:lang w:val="fr-FR"/>
        </w:rPr>
        <w:t>exercice de ses droits professionnels ni recevoir des avantages quelconques pour des raisons liées au sexe, à la race ou autres. Toute personne qui estime avoir été victime de discrimination dans le domaine du travail a le droit de saisir la justice pour être rétablie dans ses droits et obtenir réparation du préjudice matériel et moral subi.</w:t>
      </w:r>
    </w:p>
    <w:p w14:paraId="50A10750" w14:textId="6AE6BE88" w:rsidR="00794277" w:rsidRPr="000D6387" w:rsidRDefault="007F1722" w:rsidP="00794277">
      <w:pPr>
        <w:pStyle w:val="SingleTxt"/>
        <w:rPr>
          <w:lang w:val="fr-FR"/>
        </w:rPr>
      </w:pPr>
      <w:r w:rsidRPr="000D6387">
        <w:rPr>
          <w:lang w:val="fr-FR"/>
        </w:rPr>
        <w:tab/>
      </w:r>
      <w:r w:rsidR="00794277" w:rsidRPr="000D6387">
        <w:rPr>
          <w:lang w:val="fr-FR"/>
        </w:rPr>
        <w:t>L</w:t>
      </w:r>
      <w:r w:rsidR="00BD12BA" w:rsidRPr="000D6387">
        <w:rPr>
          <w:lang w:val="fr-FR"/>
        </w:rPr>
        <w:t>’</w:t>
      </w:r>
      <w:r w:rsidR="00794277" w:rsidRPr="000D6387">
        <w:rPr>
          <w:lang w:val="fr-FR"/>
        </w:rPr>
        <w:t xml:space="preserve">article </w:t>
      </w:r>
      <w:r w:rsidR="00794277" w:rsidRPr="00280912">
        <w:rPr>
          <w:lang w:val="fr-FR"/>
        </w:rPr>
        <w:t>398</w:t>
      </w:r>
      <w:r w:rsidR="00794277" w:rsidRPr="000D6387">
        <w:rPr>
          <w:lang w:val="fr-FR"/>
        </w:rPr>
        <w:t xml:space="preserve"> du Code du travail dispose que la protection des droits et intérêts légitimes des travailleurs (travailleuses) repose pour l</w:t>
      </w:r>
      <w:r w:rsidR="00BD12BA" w:rsidRPr="000D6387">
        <w:rPr>
          <w:lang w:val="fr-FR"/>
        </w:rPr>
        <w:t>’</w:t>
      </w:r>
      <w:r w:rsidR="00794277" w:rsidRPr="000D6387">
        <w:rPr>
          <w:lang w:val="fr-FR"/>
        </w:rPr>
        <w:t>essentiel sur le pouvoir de supervision de l</w:t>
      </w:r>
      <w:r w:rsidR="00BD12BA" w:rsidRPr="000D6387">
        <w:rPr>
          <w:lang w:val="fr-FR"/>
        </w:rPr>
        <w:t>’</w:t>
      </w:r>
      <w:r w:rsidR="00794277" w:rsidRPr="000D6387">
        <w:rPr>
          <w:lang w:val="fr-FR"/>
        </w:rPr>
        <w:t>État et son contrôle du respect de la législation du travail, sur l</w:t>
      </w:r>
      <w:r w:rsidR="00BD12BA" w:rsidRPr="000D6387">
        <w:rPr>
          <w:lang w:val="fr-FR"/>
        </w:rPr>
        <w:t>’</w:t>
      </w:r>
      <w:r w:rsidR="00794277" w:rsidRPr="000D6387">
        <w:rPr>
          <w:lang w:val="fr-FR"/>
        </w:rPr>
        <w:t>activité des syndicats et d</w:t>
      </w:r>
      <w:r w:rsidR="00BD12BA" w:rsidRPr="000D6387">
        <w:rPr>
          <w:lang w:val="fr-FR"/>
        </w:rPr>
        <w:t>’</w:t>
      </w:r>
      <w:r w:rsidR="00794277" w:rsidRPr="000D6387">
        <w:rPr>
          <w:lang w:val="fr-FR"/>
        </w:rPr>
        <w:t>autres organes représentatifs, ainsi que sur la vigilance des travailleurs eux-mêmes à cet égard.</w:t>
      </w:r>
    </w:p>
    <w:p w14:paraId="4CA273BC" w14:textId="74978ECD" w:rsidR="00794277" w:rsidRPr="000D6387" w:rsidRDefault="007F1722" w:rsidP="00794277">
      <w:pPr>
        <w:pStyle w:val="SingleTxt"/>
        <w:rPr>
          <w:lang w:val="fr-FR"/>
        </w:rPr>
      </w:pPr>
      <w:r w:rsidRPr="000D6387">
        <w:rPr>
          <w:lang w:val="fr-FR"/>
        </w:rPr>
        <w:tab/>
      </w:r>
      <w:r w:rsidR="00794277" w:rsidRPr="000D6387">
        <w:rPr>
          <w:lang w:val="fr-FR"/>
        </w:rPr>
        <w:t>La fonction de supervision et de contrôle de l</w:t>
      </w:r>
      <w:r w:rsidR="00BD12BA" w:rsidRPr="000D6387">
        <w:rPr>
          <w:lang w:val="fr-FR"/>
        </w:rPr>
        <w:t>’</w:t>
      </w:r>
      <w:r w:rsidR="00794277" w:rsidRPr="000D6387">
        <w:rPr>
          <w:lang w:val="fr-FR"/>
        </w:rPr>
        <w:t xml:space="preserve">État est déléguée aux inspecteurs (inspectrices) du travail, qui ont la charge de vérifier dans tout le pays que les entreprises, quelle que soit leur organisation et leur statut juridique, se conforment à la législation et autres règlements en vigueur. </w:t>
      </w:r>
    </w:p>
    <w:p w14:paraId="0F3ECDD0" w14:textId="553ED66C" w:rsidR="00794277" w:rsidRPr="000D6387" w:rsidRDefault="007F1722" w:rsidP="00794277">
      <w:pPr>
        <w:pStyle w:val="SingleTxt"/>
        <w:rPr>
          <w:lang w:val="fr-FR"/>
        </w:rPr>
      </w:pPr>
      <w:r w:rsidRPr="000D6387">
        <w:rPr>
          <w:lang w:val="fr-FR"/>
        </w:rPr>
        <w:tab/>
      </w:r>
      <w:r w:rsidR="00794277" w:rsidRPr="000D6387">
        <w:rPr>
          <w:lang w:val="fr-FR"/>
        </w:rPr>
        <w:t>En cas de violation d</w:t>
      </w:r>
      <w:r w:rsidR="00BD12BA" w:rsidRPr="000D6387">
        <w:rPr>
          <w:lang w:val="fr-FR"/>
        </w:rPr>
        <w:t>’</w:t>
      </w:r>
      <w:r w:rsidR="00794277" w:rsidRPr="000D6387">
        <w:rPr>
          <w:lang w:val="fr-FR"/>
        </w:rPr>
        <w:t>une loi ou de tout autre réglementation relative aux normes édictées en matière de travail, l</w:t>
      </w:r>
      <w:r w:rsidR="00BD12BA" w:rsidRPr="000D6387">
        <w:rPr>
          <w:lang w:val="fr-FR"/>
        </w:rPr>
        <w:t>’</w:t>
      </w:r>
      <w:r w:rsidR="00794277" w:rsidRPr="000D6387">
        <w:rPr>
          <w:lang w:val="fr-FR"/>
        </w:rPr>
        <w:t>inspecteur (l</w:t>
      </w:r>
      <w:r w:rsidR="00BD12BA" w:rsidRPr="000D6387">
        <w:rPr>
          <w:lang w:val="fr-FR"/>
        </w:rPr>
        <w:t>’</w:t>
      </w:r>
      <w:r w:rsidR="00794277" w:rsidRPr="000D6387">
        <w:rPr>
          <w:lang w:val="fr-FR"/>
        </w:rPr>
        <w:t>inspectrice) est habilité(e) à émettre une injonction à laquelle l</w:t>
      </w:r>
      <w:r w:rsidR="00BD12BA" w:rsidRPr="000D6387">
        <w:rPr>
          <w:lang w:val="fr-FR"/>
        </w:rPr>
        <w:t>’</w:t>
      </w:r>
      <w:r w:rsidR="00794277" w:rsidRPr="000D6387">
        <w:rPr>
          <w:lang w:val="fr-FR"/>
        </w:rPr>
        <w:t>employeur est tenu de se soumettre. Les directives données par les inspecteurs du travail ont force obligatoire et peuvent faire l</w:t>
      </w:r>
      <w:r w:rsidR="00BD12BA" w:rsidRPr="000D6387">
        <w:rPr>
          <w:lang w:val="fr-FR"/>
        </w:rPr>
        <w:t>’</w:t>
      </w:r>
      <w:r w:rsidR="00794277" w:rsidRPr="000D6387">
        <w:rPr>
          <w:lang w:val="fr-FR"/>
        </w:rPr>
        <w:t>objet de recours, comme prévu à l</w:t>
      </w:r>
      <w:r w:rsidR="00BD12BA" w:rsidRPr="000D6387">
        <w:rPr>
          <w:lang w:val="fr-FR"/>
        </w:rPr>
        <w:t>’</w:t>
      </w:r>
      <w:r w:rsidR="00794277" w:rsidRPr="000D6387">
        <w:rPr>
          <w:lang w:val="fr-FR"/>
        </w:rPr>
        <w:t xml:space="preserve">article </w:t>
      </w:r>
      <w:r w:rsidR="00794277" w:rsidRPr="00280912">
        <w:rPr>
          <w:lang w:val="fr-FR"/>
        </w:rPr>
        <w:t>405</w:t>
      </w:r>
      <w:r w:rsidR="00794277" w:rsidRPr="000D6387">
        <w:rPr>
          <w:lang w:val="fr-FR"/>
        </w:rPr>
        <w:t xml:space="preserve"> du Code du travail.</w:t>
      </w:r>
    </w:p>
    <w:p w14:paraId="776A6838" w14:textId="27EC0585" w:rsidR="00794277" w:rsidRPr="000D6387" w:rsidRDefault="007F1722" w:rsidP="00794277">
      <w:pPr>
        <w:pStyle w:val="SingleTxt"/>
        <w:rPr>
          <w:b/>
          <w:lang w:val="fr-FR"/>
        </w:rPr>
      </w:pPr>
      <w:r w:rsidRPr="000D6387">
        <w:rPr>
          <w:lang w:val="fr-FR"/>
        </w:rPr>
        <w:tab/>
      </w:r>
      <w:r w:rsidR="00794277" w:rsidRPr="000D6387">
        <w:rPr>
          <w:lang w:val="fr-FR"/>
        </w:rPr>
        <w:t>Le Centre de coordination de l</w:t>
      </w:r>
      <w:r w:rsidR="00BD12BA" w:rsidRPr="000D6387">
        <w:rPr>
          <w:lang w:val="fr-FR"/>
        </w:rPr>
        <w:t>’</w:t>
      </w:r>
      <w:r w:rsidR="00794277" w:rsidRPr="000D6387">
        <w:rPr>
          <w:lang w:val="fr-FR"/>
        </w:rPr>
        <w:t>aide juridictionnelle a publié des guides pratiques sur le droit de la famille, les droits de succession et le droit foncier, ainsi qu</w:t>
      </w:r>
      <w:r w:rsidR="00BD12BA" w:rsidRPr="000D6387">
        <w:rPr>
          <w:lang w:val="fr-FR"/>
        </w:rPr>
        <w:t>’</w:t>
      </w:r>
      <w:r w:rsidR="00794277" w:rsidRPr="000D6387">
        <w:rPr>
          <w:lang w:val="fr-FR"/>
        </w:rPr>
        <w:t>un guide traitant du droit à la protection sociale, qui sont destinés aux avocat(e)s fournissant une aide juridictionnelle gratuite et au grand public.</w:t>
      </w:r>
    </w:p>
    <w:p w14:paraId="482D2D5F" w14:textId="15B1063A" w:rsidR="00794277" w:rsidRPr="000D6387" w:rsidRDefault="007F1722" w:rsidP="00794277">
      <w:pPr>
        <w:pStyle w:val="SingleTxt"/>
        <w:rPr>
          <w:lang w:val="fr-FR"/>
        </w:rPr>
      </w:pPr>
      <w:r w:rsidRPr="000D6387">
        <w:rPr>
          <w:lang w:val="fr-FR"/>
        </w:rPr>
        <w:tab/>
      </w:r>
      <w:r w:rsidR="00794277" w:rsidRPr="000D6387">
        <w:rPr>
          <w:lang w:val="fr-FR"/>
        </w:rPr>
        <w:t>Dans le guide traitant du droit à la protection sociale, une section aborde spécifiquement les prestations offertes aux citoyens dans les cas de handicap temporaire, de grossesse et à la naissance d</w:t>
      </w:r>
      <w:r w:rsidR="00BD12BA" w:rsidRPr="000D6387">
        <w:rPr>
          <w:lang w:val="fr-FR"/>
        </w:rPr>
        <w:t>’</w:t>
      </w:r>
      <w:r w:rsidR="00794277" w:rsidRPr="000D6387">
        <w:rPr>
          <w:lang w:val="fr-FR"/>
        </w:rPr>
        <w:t>un enfant.</w:t>
      </w:r>
    </w:p>
    <w:p w14:paraId="08326743" w14:textId="7452C254" w:rsidR="00794277" w:rsidRPr="000D6387" w:rsidRDefault="007F1722" w:rsidP="00794277">
      <w:pPr>
        <w:pStyle w:val="SingleTxt"/>
        <w:rPr>
          <w:lang w:val="fr-FR"/>
        </w:rPr>
      </w:pPr>
      <w:r w:rsidRPr="000D6387">
        <w:rPr>
          <w:lang w:val="fr-FR"/>
        </w:rPr>
        <w:tab/>
      </w:r>
      <w:r w:rsidR="00794277" w:rsidRPr="000D6387">
        <w:rPr>
          <w:lang w:val="fr-FR"/>
        </w:rPr>
        <w:t>Des cours vidéo ont été élaborés sur la base de ces guides</w:t>
      </w:r>
      <w:r w:rsidR="00BD12BA" w:rsidRPr="000D6387">
        <w:rPr>
          <w:lang w:val="fr-FR"/>
        </w:rPr>
        <w:t> ;</w:t>
      </w:r>
      <w:r w:rsidR="00794277" w:rsidRPr="000D6387">
        <w:rPr>
          <w:lang w:val="fr-FR"/>
        </w:rPr>
        <w:t xml:space="preserve"> conçus à l</w:t>
      </w:r>
      <w:r w:rsidR="00BD12BA" w:rsidRPr="000D6387">
        <w:rPr>
          <w:lang w:val="fr-FR"/>
        </w:rPr>
        <w:t>’</w:t>
      </w:r>
      <w:r w:rsidR="00794277" w:rsidRPr="000D6387">
        <w:rPr>
          <w:lang w:val="fr-FR"/>
        </w:rPr>
        <w:t>intention d</w:t>
      </w:r>
      <w:r w:rsidR="00BD12BA" w:rsidRPr="000D6387">
        <w:rPr>
          <w:lang w:val="fr-FR"/>
        </w:rPr>
        <w:t>’</w:t>
      </w:r>
      <w:r w:rsidR="00794277" w:rsidRPr="000D6387">
        <w:rPr>
          <w:lang w:val="fr-FR"/>
        </w:rPr>
        <w:t>un large public, ils contiennent des infographies et de brèves descriptions des procédures juridiques. Ils seront publiés sur les sites Web du Ministère de la justice et du Centre de coordination de l</w:t>
      </w:r>
      <w:r w:rsidR="00BD12BA" w:rsidRPr="000D6387">
        <w:rPr>
          <w:lang w:val="fr-FR"/>
        </w:rPr>
        <w:t>’</w:t>
      </w:r>
      <w:r w:rsidR="00794277" w:rsidRPr="000D6387">
        <w:rPr>
          <w:lang w:val="fr-FR"/>
        </w:rPr>
        <w:t>aide juridictionnelle et seront ainsi accessibles à l</w:t>
      </w:r>
      <w:r w:rsidR="00BD12BA" w:rsidRPr="000D6387">
        <w:rPr>
          <w:lang w:val="fr-FR"/>
        </w:rPr>
        <w:t>’</w:t>
      </w:r>
      <w:r w:rsidR="00794277" w:rsidRPr="000D6387">
        <w:rPr>
          <w:lang w:val="fr-FR"/>
        </w:rPr>
        <w:t>ensemble de la population.</w:t>
      </w:r>
    </w:p>
    <w:p w14:paraId="2ED46866" w14:textId="77777777" w:rsidR="004D6DB7" w:rsidRPr="000D6387" w:rsidRDefault="004D6DB7" w:rsidP="004D6DB7">
      <w:pPr>
        <w:pStyle w:val="SingleTxt"/>
        <w:spacing w:after="0" w:line="120" w:lineRule="exact"/>
        <w:rPr>
          <w:b/>
          <w:sz w:val="10"/>
          <w:lang w:val="fr-FR"/>
        </w:rPr>
      </w:pPr>
    </w:p>
    <w:p w14:paraId="2E7B73D8" w14:textId="25B5E919" w:rsidR="004D6DB7" w:rsidRPr="00EF4E6A" w:rsidRDefault="004D6DB7" w:rsidP="004D6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Pr="00280912">
        <w:rPr>
          <w:lang w:val="fr-FR"/>
        </w:rPr>
        <w:t>18</w:t>
      </w:r>
      <w:r w:rsidRPr="00EF4E6A">
        <w:rPr>
          <w:lang w:val="fr-FR"/>
        </w:rPr>
        <w:t>.</w:t>
      </w:r>
      <w:r w:rsidRPr="00EF4E6A">
        <w:rPr>
          <w:lang w:val="fr-FR"/>
        </w:rPr>
        <w:tab/>
        <w:t>Santé</w:t>
      </w:r>
    </w:p>
    <w:p w14:paraId="23561E4D" w14:textId="77777777" w:rsidR="004D6DB7" w:rsidRPr="00EF4E6A" w:rsidRDefault="004D6DB7" w:rsidP="004D6DB7">
      <w:pPr>
        <w:pStyle w:val="SingleTxt"/>
        <w:spacing w:after="0" w:line="120" w:lineRule="exact"/>
        <w:rPr>
          <w:sz w:val="10"/>
          <w:lang w:val="fr-FR"/>
        </w:rPr>
      </w:pPr>
    </w:p>
    <w:p w14:paraId="5117DFD6" w14:textId="39D53535" w:rsidR="004D6DB7" w:rsidRPr="000D6387" w:rsidRDefault="004D6DB7" w:rsidP="004D6DB7">
      <w:pPr>
        <w:pStyle w:val="SingleTxt"/>
        <w:rPr>
          <w:b/>
          <w:lang w:val="fr-FR"/>
        </w:rPr>
      </w:pPr>
      <w:r w:rsidRPr="00EF4E6A">
        <w:rPr>
          <w:lang w:val="fr-FR"/>
        </w:rPr>
        <w:tab/>
        <w:t>Les établissements de santé sont équipés de systèmes fonctionnels de vidéosurveillance et dotés de boîtes aux lettres destinées à recueillir en toute confidentialité les réclamations et les suggestions. Ces boîtes sont fermées à clé et leur ouverture est confiée à une commission spécialement constituée. Les numéros des lignes d’assistance téléphonique des administrations publiques compétentes sont affichés.</w:t>
      </w:r>
      <w:r w:rsidRPr="000D6387">
        <w:rPr>
          <w:lang w:val="fr-FR"/>
        </w:rPr>
        <w:t xml:space="preserve"> </w:t>
      </w:r>
    </w:p>
    <w:p w14:paraId="1BF301B1" w14:textId="436705CD" w:rsidR="004D6DB7" w:rsidRPr="000D6387" w:rsidRDefault="004D6DB7" w:rsidP="004D6DB7">
      <w:pPr>
        <w:pStyle w:val="SingleTxt"/>
        <w:rPr>
          <w:lang w:val="fr-FR"/>
        </w:rPr>
      </w:pPr>
      <w:r w:rsidRPr="000D6387">
        <w:rPr>
          <w:lang w:val="fr-FR"/>
        </w:rPr>
        <w:tab/>
        <w:t>Le Fonds d’assurance médicale publique obligatoire examine les dossiers médicaux des patients pour s’assurer du respect des normes et protocoles cliniques ; en outre, la qualité de service est évaluée grâce à des questionnaires d’évaluation administrés aussi bien aux patients en hospitalisation complète qu’aux patients en ambulatoire.</w:t>
      </w:r>
    </w:p>
    <w:p w14:paraId="54949AD2" w14:textId="62565141" w:rsidR="004D6DB7" w:rsidRPr="000D6387" w:rsidRDefault="004D6DB7" w:rsidP="004D6DB7">
      <w:pPr>
        <w:pStyle w:val="SingleTxt"/>
        <w:rPr>
          <w:lang w:val="fr-FR"/>
        </w:rPr>
      </w:pPr>
      <w:r w:rsidRPr="000D6387">
        <w:rPr>
          <w:lang w:val="fr-FR"/>
        </w:rPr>
        <w:tab/>
        <w:t>La directive n</w:t>
      </w:r>
      <w:r w:rsidRPr="000D6387">
        <w:rPr>
          <w:vertAlign w:val="superscript"/>
          <w:lang w:val="fr-FR"/>
        </w:rPr>
        <w:t>o</w:t>
      </w:r>
      <w:r w:rsidRPr="000D6387">
        <w:rPr>
          <w:lang w:val="fr-FR"/>
        </w:rPr>
        <w:t xml:space="preserve"> </w:t>
      </w:r>
      <w:r w:rsidRPr="00280912">
        <w:rPr>
          <w:lang w:val="fr-FR"/>
        </w:rPr>
        <w:t>751</w:t>
      </w:r>
      <w:r w:rsidRPr="000D6387">
        <w:rPr>
          <w:lang w:val="fr-FR"/>
        </w:rPr>
        <w:t xml:space="preserve"> du </w:t>
      </w:r>
      <w:r w:rsidRPr="00280912">
        <w:rPr>
          <w:lang w:val="fr-FR"/>
        </w:rPr>
        <w:t>2</w:t>
      </w:r>
      <w:r w:rsidRPr="000D6387">
        <w:rPr>
          <w:lang w:val="fr-FR"/>
        </w:rPr>
        <w:t xml:space="preserve"> octobre </w:t>
      </w:r>
      <w:r w:rsidRPr="00280912">
        <w:rPr>
          <w:lang w:val="fr-FR"/>
        </w:rPr>
        <w:t>2019</w:t>
      </w:r>
      <w:r w:rsidRPr="000D6387">
        <w:rPr>
          <w:lang w:val="fr-FR"/>
        </w:rPr>
        <w:t xml:space="preserve"> du Ministère de la santé porte création d’un groupe de travail méthodologique chargé de réviser les modalités d’élaboration et d’application des protocoles et instructions cliniques dans le pays en vue de la finalisation de cette réglementation, assortie de consignes pour sa mise en œuvre progressive, y compris un mécanisme de contrôle de son application.</w:t>
      </w:r>
    </w:p>
    <w:p w14:paraId="64045AFB" w14:textId="247804E7" w:rsidR="004D6DB7" w:rsidRPr="000D6387" w:rsidRDefault="004D6DB7" w:rsidP="004D6DB7">
      <w:pPr>
        <w:pStyle w:val="SingleTxt"/>
        <w:rPr>
          <w:lang w:val="fr-FR"/>
        </w:rPr>
      </w:pPr>
      <w:r w:rsidRPr="000D6387">
        <w:rPr>
          <w:lang w:val="fr-FR"/>
        </w:rPr>
        <w:tab/>
        <w:t>Chaque année, au mois de juin, la Commission d’affectation du Ministère de la santé procède au placement des internes diplômés qui ont bénéficié d’une bourse d’études dans les différents établissements de santé, en fonction des besoins de ces derniers.</w:t>
      </w:r>
    </w:p>
    <w:p w14:paraId="16233038" w14:textId="2B60E70A" w:rsidR="004D6DB7" w:rsidRPr="000D6387" w:rsidRDefault="004D6DB7" w:rsidP="004D6DB7">
      <w:pPr>
        <w:pStyle w:val="SingleTxt"/>
        <w:rPr>
          <w:lang w:val="fr-FR"/>
        </w:rPr>
      </w:pPr>
      <w:r w:rsidRPr="000D6387">
        <w:rPr>
          <w:lang w:val="fr-FR"/>
        </w:rPr>
        <w:tab/>
        <w:t>L’affectation tient compte des demandes de médecins spécialistes envoyées par les établissements de santé. La Commission d’affectation comprend d’ailleurs des chefs d’établissement et des coordonnateurs sanitaires régionaux.</w:t>
      </w:r>
    </w:p>
    <w:p w14:paraId="5EFD906F" w14:textId="48D23601" w:rsidR="004D6DB7" w:rsidRPr="000D6387" w:rsidRDefault="004D6DB7" w:rsidP="004D6DB7">
      <w:pPr>
        <w:pStyle w:val="SingleTxt"/>
        <w:rPr>
          <w:lang w:val="fr-FR"/>
        </w:rPr>
      </w:pPr>
      <w:r w:rsidRPr="000D6387">
        <w:rPr>
          <w:lang w:val="fr-FR"/>
        </w:rPr>
        <w:tab/>
        <w:t xml:space="preserve">Un programme quinquennal a été mis sur pied en vue d’augmenter progressivement, d’ici à </w:t>
      </w:r>
      <w:r w:rsidRPr="00280912">
        <w:rPr>
          <w:lang w:val="fr-FR"/>
        </w:rPr>
        <w:t>2023</w:t>
      </w:r>
      <w:r w:rsidRPr="000D6387">
        <w:rPr>
          <w:lang w:val="fr-FR"/>
        </w:rPr>
        <w:t xml:space="preserve">, le budget de la prise en charge publique de </w:t>
      </w:r>
      <w:r w:rsidRPr="00280912">
        <w:rPr>
          <w:lang w:val="fr-FR"/>
        </w:rPr>
        <w:t>50</w:t>
      </w:r>
      <w:r w:rsidR="005D4517" w:rsidRPr="000D6387">
        <w:rPr>
          <w:lang w:val="fr-FR"/>
        </w:rPr>
        <w:t> %</w:t>
      </w:r>
      <w:r w:rsidRPr="000D6387">
        <w:rPr>
          <w:lang w:val="fr-FR"/>
        </w:rPr>
        <w:t xml:space="preserve"> des femmes de la catégorie présentant un haut risque médico-social de mortalité maternelle. Ce document contient la liste des contraceptifs financés par les pouvoirs publics de par leur qualité, leur innocuité et leur efficacité, définit les catégories de femmes d’âge reproductif appartenant à un groupe médico-social à risque qui peuvent bénéficier de moyens contraceptifs au compte de l’État, contient des prévisions à cinq ans concernant les besoins de moyens contraceptifs de ces catégories de femmes et propose un mécanisme de contrôle et d’évaluation de l’efficacité des moyens déployés. </w:t>
      </w:r>
    </w:p>
    <w:p w14:paraId="409AE617" w14:textId="7F65D314" w:rsidR="004D6DB7" w:rsidRPr="000D6387" w:rsidRDefault="004D6DB7" w:rsidP="004D6DB7">
      <w:pPr>
        <w:pStyle w:val="SingleTxt"/>
        <w:rPr>
          <w:lang w:val="fr-FR"/>
        </w:rPr>
      </w:pPr>
      <w:r w:rsidRPr="000D6387">
        <w:rPr>
          <w:lang w:val="fr-FR"/>
        </w:rPr>
        <w:tab/>
        <w:t xml:space="preserve">Les pouvoirs publics savent bien qu’il importe de répondre aux besoins de la population en matière de planification familiale, aussi consacrent-ils </w:t>
      </w:r>
      <w:r w:rsidRPr="00280912">
        <w:rPr>
          <w:lang w:val="fr-FR"/>
        </w:rPr>
        <w:t>3</w:t>
      </w:r>
      <w:r w:rsidRPr="000D6387">
        <w:rPr>
          <w:lang w:val="fr-FR"/>
        </w:rPr>
        <w:t>,</w:t>
      </w:r>
      <w:r w:rsidRPr="00280912">
        <w:rPr>
          <w:lang w:val="fr-FR"/>
        </w:rPr>
        <w:t>2</w:t>
      </w:r>
      <w:r w:rsidRPr="000D6387">
        <w:rPr>
          <w:lang w:val="fr-FR"/>
        </w:rPr>
        <w:t xml:space="preserve"> millions de soms à l’achat de moyens de contraception dans le budget de </w:t>
      </w:r>
      <w:r w:rsidRPr="00280912">
        <w:rPr>
          <w:lang w:val="fr-FR"/>
        </w:rPr>
        <w:t>2018</w:t>
      </w:r>
      <w:r w:rsidRPr="000D6387">
        <w:rPr>
          <w:lang w:val="fr-FR"/>
        </w:rPr>
        <w:t xml:space="preserve">. Le financement public destiné à l’achat de moyens contraceptifs pour les femmes des catégories à haut risque médico-social de mortalité maternelle a augmenté de </w:t>
      </w:r>
      <w:r w:rsidRPr="00280912">
        <w:rPr>
          <w:lang w:val="fr-FR"/>
        </w:rPr>
        <w:t>1</w:t>
      </w:r>
      <w:r w:rsidRPr="000D6387">
        <w:rPr>
          <w:lang w:val="fr-FR"/>
        </w:rPr>
        <w:t xml:space="preserve"> million de soms en </w:t>
      </w:r>
      <w:r w:rsidRPr="00280912">
        <w:rPr>
          <w:lang w:val="fr-FR"/>
        </w:rPr>
        <w:t>2019</w:t>
      </w:r>
      <w:r w:rsidRPr="000D6387">
        <w:rPr>
          <w:lang w:val="fr-FR"/>
        </w:rPr>
        <w:t xml:space="preserve"> par rapport à </w:t>
      </w:r>
      <w:r w:rsidRPr="00280912">
        <w:rPr>
          <w:lang w:val="fr-FR"/>
        </w:rPr>
        <w:t>2018</w:t>
      </w:r>
      <w:r w:rsidRPr="000D6387">
        <w:rPr>
          <w:lang w:val="fr-FR"/>
        </w:rPr>
        <w:t xml:space="preserve">, pour atteindre </w:t>
      </w:r>
      <w:r w:rsidRPr="00280912">
        <w:rPr>
          <w:lang w:val="fr-FR"/>
        </w:rPr>
        <w:t>4</w:t>
      </w:r>
      <w:r w:rsidRPr="000D6387">
        <w:rPr>
          <w:lang w:val="fr-FR"/>
        </w:rPr>
        <w:t>,</w:t>
      </w:r>
      <w:r w:rsidRPr="00280912">
        <w:rPr>
          <w:lang w:val="fr-FR"/>
        </w:rPr>
        <w:t>2</w:t>
      </w:r>
      <w:r w:rsidRPr="000D6387">
        <w:rPr>
          <w:lang w:val="fr-FR"/>
        </w:rPr>
        <w:t xml:space="preserve"> millions de soms. Lors de l’examen de la stratégie de dépense budgétaire à moyen terme pour </w:t>
      </w:r>
      <w:r w:rsidRPr="00280912">
        <w:rPr>
          <w:lang w:val="fr-FR"/>
        </w:rPr>
        <w:t>2019</w:t>
      </w:r>
      <w:r w:rsidRPr="000D6387">
        <w:rPr>
          <w:lang w:val="fr-FR"/>
        </w:rPr>
        <w:t xml:space="preserve">, le Ministère de la santé a introduit un indicateur de résultats portant sur la couverture contraceptive des femmes des catégories à haut risque médico-social de mortalité maternelle, ventilé par type de financement et assorti d’une description de la mesure budgétaire. </w:t>
      </w:r>
    </w:p>
    <w:p w14:paraId="1179CC30" w14:textId="005FA99E" w:rsidR="004D6DB7" w:rsidRPr="000D6387" w:rsidRDefault="004D6DB7" w:rsidP="004D6DB7">
      <w:pPr>
        <w:pStyle w:val="SingleTxt"/>
        <w:rPr>
          <w:lang w:val="fr-FR"/>
        </w:rPr>
      </w:pPr>
      <w:r w:rsidRPr="000D6387">
        <w:rPr>
          <w:lang w:val="fr-FR"/>
        </w:rPr>
        <w:tab/>
        <w:t xml:space="preserve">Chaque année, le Ministère de la santé et le Fonds d’assurance médicale obligatoire mènent des campagnes d’information de la population afin de faire savoir aux assurées sociales qu’elles ont la possibilité d’obtenir sur ordonnance des moyens de contraception à des conditions préférentielles, et d’évaluer la qualité et la fiabilité des données sur la couverture contraceptive des femmes d’âge reproductif. </w:t>
      </w:r>
    </w:p>
    <w:p w14:paraId="089AFA06" w14:textId="2CC05C17" w:rsidR="004D6DB7" w:rsidRPr="000D6387" w:rsidRDefault="004D6DB7" w:rsidP="004D6DB7">
      <w:pPr>
        <w:pStyle w:val="SingleTxt"/>
        <w:rPr>
          <w:lang w:val="fr-FR"/>
        </w:rPr>
      </w:pPr>
      <w:r w:rsidRPr="000D6387">
        <w:rPr>
          <w:lang w:val="fr-FR"/>
        </w:rPr>
        <w:tab/>
      </w:r>
      <w:r w:rsidR="00B0167E" w:rsidRPr="00B0167E">
        <w:t>Depuis 2018, l’acétate de médroxyprogestérone, un contraceptif par injection (à raison de 150 mg par injection), fait partie des médicaments remboursés dans le cadre de l’assurance complémentaire du Fonds d’assurance médicale obligatoire.</w:t>
      </w:r>
      <w:r w:rsidR="00B0167E">
        <w:t xml:space="preserve"> </w:t>
      </w:r>
      <w:r w:rsidRPr="000D6387">
        <w:rPr>
          <w:lang w:val="fr-FR"/>
        </w:rPr>
        <w:t>Une réflexion est menée en vue de l’inclusion des contraceptions d’urgence dans la liste des médicaments remboursés dans le cadre du Programme national de garanties relatives à la fourniture de soins médicaux et de soins de santé.</w:t>
      </w:r>
    </w:p>
    <w:p w14:paraId="3C766E94" w14:textId="61ED185F" w:rsidR="004D6DB7" w:rsidRPr="000D6387" w:rsidRDefault="004D6DB7" w:rsidP="004D6DB7">
      <w:pPr>
        <w:pStyle w:val="SingleTxt"/>
        <w:rPr>
          <w:lang w:val="fr-FR"/>
        </w:rPr>
      </w:pPr>
      <w:r w:rsidRPr="000D6387">
        <w:rPr>
          <w:lang w:val="fr-FR"/>
        </w:rPr>
        <w:tab/>
        <w:t xml:space="preserve">En outre, le Fonds d’assurance médicale obligatoire propose depuis mai </w:t>
      </w:r>
      <w:r w:rsidRPr="00280912">
        <w:rPr>
          <w:lang w:val="fr-FR"/>
        </w:rPr>
        <w:t>2015</w:t>
      </w:r>
      <w:r w:rsidRPr="000D6387">
        <w:rPr>
          <w:lang w:val="fr-FR"/>
        </w:rPr>
        <w:t xml:space="preserve"> des polices d’assurance médicale obligatoire gratuites aux femmes non assurées sociales qui sont enregistrées pour cause de grossesse, ce qui constitue l’une des avancées de l’application de la loi sur les droits des citoyens en matière de procréation, qui donne aux femmes enceintes l’accès à des médicaments remboursés. </w:t>
      </w:r>
    </w:p>
    <w:p w14:paraId="267CF8A9" w14:textId="6A99BC3D" w:rsidR="004D6DB7" w:rsidRPr="000D6387" w:rsidRDefault="004D6DB7" w:rsidP="004D6DB7">
      <w:pPr>
        <w:pStyle w:val="SingleTxt"/>
        <w:rPr>
          <w:lang w:val="fr-FR"/>
        </w:rPr>
      </w:pPr>
      <w:r w:rsidRPr="000D6387">
        <w:rPr>
          <w:lang w:val="fr-FR"/>
        </w:rPr>
        <w:tab/>
      </w:r>
      <w:r w:rsidR="00EC3BB2">
        <w:rPr>
          <w:lang w:val="fr-FR"/>
        </w:rPr>
        <w:t>À</w:t>
      </w:r>
      <w:r w:rsidRPr="000D6387">
        <w:rPr>
          <w:lang w:val="fr-FR"/>
        </w:rPr>
        <w:t xml:space="preserve"> l’heure actuelle, le coût de la police d’assurance médicale obligatoire s’élève à </w:t>
      </w:r>
      <w:r w:rsidRPr="00280912">
        <w:rPr>
          <w:lang w:val="fr-FR"/>
        </w:rPr>
        <w:t>1</w:t>
      </w:r>
      <w:r w:rsidR="005D4517" w:rsidRPr="000D6387">
        <w:rPr>
          <w:lang w:val="fr-FR"/>
        </w:rPr>
        <w:t> </w:t>
      </w:r>
      <w:r w:rsidRPr="00280912">
        <w:rPr>
          <w:lang w:val="fr-FR"/>
        </w:rPr>
        <w:t>200</w:t>
      </w:r>
      <w:r w:rsidRPr="000D6387">
        <w:rPr>
          <w:lang w:val="fr-FR"/>
        </w:rPr>
        <w:t xml:space="preserve"> soms (contre </w:t>
      </w:r>
      <w:r w:rsidRPr="00280912">
        <w:rPr>
          <w:lang w:val="fr-FR"/>
        </w:rPr>
        <w:t>500</w:t>
      </w:r>
      <w:r w:rsidRPr="000D6387">
        <w:rPr>
          <w:lang w:val="fr-FR"/>
        </w:rPr>
        <w:t xml:space="preserve"> soms précédemment). Cette police d’assurance présente l’avantage de permettre aux femmes non assurées qui sont enregistrées à l’occasion d’une grossesse d’avoir accès à des médicaments sur prescription remboursés à hauteur de </w:t>
      </w:r>
      <w:r w:rsidRPr="00280912">
        <w:rPr>
          <w:lang w:val="fr-FR"/>
        </w:rPr>
        <w:t>50</w:t>
      </w:r>
      <w:r w:rsidR="005D4517" w:rsidRPr="000D6387">
        <w:rPr>
          <w:lang w:val="fr-FR"/>
        </w:rPr>
        <w:t> %</w:t>
      </w:r>
      <w:r w:rsidRPr="000D6387">
        <w:rPr>
          <w:lang w:val="fr-FR"/>
        </w:rPr>
        <w:t xml:space="preserve">. </w:t>
      </w:r>
    </w:p>
    <w:p w14:paraId="235C3D85" w14:textId="513D0B89" w:rsidR="004D6DB7" w:rsidRPr="000D6387" w:rsidRDefault="004D6DB7" w:rsidP="004D6DB7">
      <w:pPr>
        <w:pStyle w:val="SingleTxt"/>
        <w:rPr>
          <w:lang w:val="fr-FR"/>
        </w:rPr>
      </w:pPr>
      <w:r w:rsidRPr="000D6387">
        <w:rPr>
          <w:lang w:val="fr-FR"/>
        </w:rPr>
        <w:tab/>
        <w:t>Pour augmenter le nombre de médecins spécialistes par rapport au recrutement d’internes, un certain nombre de postes sont subventionnés dans les spécialités les plus demandées par les établissements de santé, en particulier dans les régions rurales ou reculées :</w:t>
      </w:r>
    </w:p>
    <w:p w14:paraId="24B0CDCB" w14:textId="06ED56E4" w:rsidR="004D6DB7" w:rsidRPr="000D6387" w:rsidRDefault="004D6DB7" w:rsidP="004D6DB7">
      <w:pPr>
        <w:pStyle w:val="SingleTxt"/>
        <w:rPr>
          <w:lang w:val="fr-FR"/>
        </w:rPr>
      </w:pPr>
      <w:r w:rsidRPr="000D6387">
        <w:rPr>
          <w:lang w:val="fr-FR"/>
        </w:rPr>
        <w:tab/>
        <w:t xml:space="preserve">Médecine générale – </w:t>
      </w:r>
      <w:r w:rsidRPr="00280912">
        <w:rPr>
          <w:lang w:val="fr-FR"/>
        </w:rPr>
        <w:t>150</w:t>
      </w:r>
      <w:r w:rsidRPr="000D6387">
        <w:rPr>
          <w:lang w:val="fr-FR"/>
        </w:rPr>
        <w:t xml:space="preserve"> ; Anesthésie et réanimation – </w:t>
      </w:r>
      <w:r w:rsidRPr="00280912">
        <w:rPr>
          <w:lang w:val="fr-FR"/>
        </w:rPr>
        <w:t>17</w:t>
      </w:r>
      <w:r w:rsidRPr="000D6387">
        <w:rPr>
          <w:lang w:val="fr-FR"/>
        </w:rPr>
        <w:t xml:space="preserve"> ; Obstétrique et gynécologie – </w:t>
      </w:r>
      <w:r w:rsidRPr="00280912">
        <w:rPr>
          <w:lang w:val="fr-FR"/>
        </w:rPr>
        <w:t>4</w:t>
      </w:r>
      <w:r w:rsidRPr="000D6387">
        <w:rPr>
          <w:lang w:val="fr-FR"/>
        </w:rPr>
        <w:t xml:space="preserve"> ; Maladies infectieuses – </w:t>
      </w:r>
      <w:r w:rsidRPr="00280912">
        <w:rPr>
          <w:lang w:val="fr-FR"/>
        </w:rPr>
        <w:t>7</w:t>
      </w:r>
      <w:r w:rsidRPr="000D6387">
        <w:rPr>
          <w:lang w:val="fr-FR"/>
        </w:rPr>
        <w:t xml:space="preserve"> ; Pédiatrie – </w:t>
      </w:r>
      <w:r w:rsidRPr="00280912">
        <w:rPr>
          <w:lang w:val="fr-FR"/>
        </w:rPr>
        <w:t>22</w:t>
      </w:r>
      <w:r w:rsidRPr="000D6387">
        <w:rPr>
          <w:lang w:val="fr-FR"/>
        </w:rPr>
        <w:t xml:space="preserve"> ; Néonatologie – </w:t>
      </w:r>
      <w:r w:rsidRPr="00280912">
        <w:rPr>
          <w:lang w:val="fr-FR"/>
        </w:rPr>
        <w:t>18</w:t>
      </w:r>
      <w:r w:rsidRPr="000D6387">
        <w:rPr>
          <w:lang w:val="fr-FR"/>
        </w:rPr>
        <w:t>, etc.</w:t>
      </w:r>
    </w:p>
    <w:p w14:paraId="2DD39A3F" w14:textId="5A2B18B5" w:rsidR="004D6DB7" w:rsidRPr="000D6387" w:rsidRDefault="004D6DB7" w:rsidP="004D6DB7">
      <w:pPr>
        <w:pStyle w:val="SingleTxt"/>
        <w:rPr>
          <w:lang w:val="fr-FR"/>
        </w:rPr>
      </w:pPr>
      <w:r w:rsidRPr="000D6387">
        <w:rPr>
          <w:lang w:val="fr-FR"/>
        </w:rPr>
        <w:tab/>
        <w:t>Chaque année, au mois de juin, la Commission d’affectation du Ministère de la santé procède au placement des internes diplômés qui ont bénéficié d’une bourse d’études dans les différents établissements de santé, en fonction des besoins de ces derniers.</w:t>
      </w:r>
    </w:p>
    <w:p w14:paraId="29D130E4" w14:textId="425FB437" w:rsidR="004D6DB7" w:rsidRPr="000D6387" w:rsidRDefault="004D6DB7" w:rsidP="004D6DB7">
      <w:pPr>
        <w:pStyle w:val="SingleTxt"/>
        <w:rPr>
          <w:lang w:val="fr-FR"/>
        </w:rPr>
      </w:pPr>
      <w:r w:rsidRPr="000D6387">
        <w:rPr>
          <w:lang w:val="fr-FR"/>
        </w:rPr>
        <w:tab/>
        <w:t>L’affectation tient compte des demandes de médecins spécialistes envoyées par les établissements de santé. La Commission d’affectation comprend d’ailleurs des chefs d’établissement et des coordonnateurs sanitaires régionaux.</w:t>
      </w:r>
    </w:p>
    <w:p w14:paraId="594D51AD" w14:textId="054E8BC8" w:rsidR="004D6DB7" w:rsidRPr="000D6387" w:rsidRDefault="004D6DB7" w:rsidP="004D6DB7">
      <w:pPr>
        <w:pStyle w:val="SingleTxt"/>
        <w:rPr>
          <w:lang w:val="fr-FR"/>
        </w:rPr>
      </w:pPr>
      <w:r w:rsidRPr="000D6387">
        <w:rPr>
          <w:lang w:val="fr-FR"/>
        </w:rPr>
        <w:tab/>
        <w:t xml:space="preserve">En </w:t>
      </w:r>
      <w:r w:rsidRPr="00280912">
        <w:rPr>
          <w:lang w:val="fr-FR"/>
        </w:rPr>
        <w:t>2019</w:t>
      </w:r>
      <w:r w:rsidRPr="000D6387">
        <w:rPr>
          <w:lang w:val="fr-FR"/>
        </w:rPr>
        <w:t xml:space="preserve">, sur </w:t>
      </w:r>
      <w:r w:rsidRPr="00280912">
        <w:rPr>
          <w:lang w:val="fr-FR"/>
        </w:rPr>
        <w:t>280</w:t>
      </w:r>
      <w:r w:rsidRPr="000D6387">
        <w:rPr>
          <w:lang w:val="fr-FR"/>
        </w:rPr>
        <w:t xml:space="preserve"> internes diplômés ayant bénéficié d’une bourse d’études, </w:t>
      </w:r>
      <w:r w:rsidRPr="00280912">
        <w:rPr>
          <w:lang w:val="fr-FR"/>
        </w:rPr>
        <w:t>233</w:t>
      </w:r>
      <w:r w:rsidRPr="000D6387">
        <w:rPr>
          <w:lang w:val="fr-FR"/>
        </w:rPr>
        <w:t xml:space="preserve"> ont reçu leur affectation (</w:t>
      </w:r>
      <w:r w:rsidRPr="00280912">
        <w:rPr>
          <w:lang w:val="fr-FR"/>
        </w:rPr>
        <w:t>83</w:t>
      </w:r>
      <w:r w:rsidR="005D4517" w:rsidRPr="000D6387">
        <w:rPr>
          <w:lang w:val="fr-FR"/>
        </w:rPr>
        <w:t> %</w:t>
      </w:r>
      <w:r w:rsidRPr="000D6387">
        <w:rPr>
          <w:lang w:val="fr-FR"/>
        </w:rPr>
        <w:t>). Les jeunes diplômés continuent de prendre leurs fonctions.</w:t>
      </w:r>
    </w:p>
    <w:p w14:paraId="06433231" w14:textId="26D760DB" w:rsidR="004D6DB7" w:rsidRPr="000D6387" w:rsidRDefault="004D6DB7" w:rsidP="004D6DB7">
      <w:pPr>
        <w:pStyle w:val="SingleTxt"/>
        <w:rPr>
          <w:lang w:val="fr-FR"/>
        </w:rPr>
      </w:pPr>
      <w:r w:rsidRPr="000D6387">
        <w:rPr>
          <w:lang w:val="fr-FR"/>
        </w:rPr>
        <w:tab/>
      </w:r>
      <w:r w:rsidR="00EC3BB2">
        <w:rPr>
          <w:lang w:val="fr-FR"/>
        </w:rPr>
        <w:t>À</w:t>
      </w:r>
      <w:r w:rsidRPr="000D6387">
        <w:rPr>
          <w:lang w:val="fr-FR"/>
        </w:rPr>
        <w:t xml:space="preserve"> l’heure actuelle, </w:t>
      </w:r>
      <w:r w:rsidRPr="00280912">
        <w:rPr>
          <w:lang w:val="fr-FR"/>
        </w:rPr>
        <w:t>175</w:t>
      </w:r>
      <w:r w:rsidRPr="000D6387">
        <w:rPr>
          <w:lang w:val="fr-FR"/>
        </w:rPr>
        <w:t xml:space="preserve"> médecins de différentes régions participent à un programme incitatif complémentaire.</w:t>
      </w:r>
    </w:p>
    <w:p w14:paraId="77E5E5B4" w14:textId="77777777" w:rsidR="004D6DB7" w:rsidRPr="000D6387" w:rsidRDefault="004D6DB7" w:rsidP="004D6DB7">
      <w:pPr>
        <w:pStyle w:val="SingleTxt"/>
        <w:spacing w:after="0" w:line="120" w:lineRule="exact"/>
        <w:rPr>
          <w:b/>
          <w:sz w:val="10"/>
          <w:lang w:val="fr-FR"/>
        </w:rPr>
      </w:pPr>
    </w:p>
    <w:p w14:paraId="5AE93B32" w14:textId="49AA2473" w:rsidR="004D6DB7" w:rsidRPr="000D6387" w:rsidRDefault="004D6DB7" w:rsidP="004D6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Pr="00280912">
        <w:rPr>
          <w:lang w:val="fr-FR"/>
        </w:rPr>
        <w:t>19</w:t>
      </w:r>
      <w:r w:rsidRPr="000D6387">
        <w:rPr>
          <w:lang w:val="fr-FR"/>
        </w:rPr>
        <w:t>.</w:t>
      </w:r>
      <w:r w:rsidRPr="000D6387">
        <w:rPr>
          <w:lang w:val="fr-FR"/>
        </w:rPr>
        <w:tab/>
        <w:t>Avantages économiques et sociaux</w:t>
      </w:r>
    </w:p>
    <w:p w14:paraId="3ABF2B0E" w14:textId="77777777" w:rsidR="004D6DB7" w:rsidRPr="000D6387" w:rsidRDefault="004D6DB7" w:rsidP="004D6DB7">
      <w:pPr>
        <w:pStyle w:val="SingleTxt"/>
        <w:spacing w:after="0" w:line="120" w:lineRule="exact"/>
        <w:rPr>
          <w:sz w:val="10"/>
          <w:lang w:val="fr-FR"/>
        </w:rPr>
      </w:pPr>
    </w:p>
    <w:p w14:paraId="4090CC40" w14:textId="2FAB6C3B" w:rsidR="004D6DB7" w:rsidRPr="000D6387" w:rsidRDefault="004D6DB7" w:rsidP="004D6DB7">
      <w:pPr>
        <w:pStyle w:val="SingleTxt"/>
        <w:rPr>
          <w:b/>
          <w:lang w:val="fr-FR"/>
        </w:rPr>
      </w:pPr>
      <w:r w:rsidRPr="000D6387">
        <w:rPr>
          <w:lang w:val="fr-FR"/>
        </w:rPr>
        <w:tab/>
        <w:t xml:space="preserve">Dans le cadre d’un accord entre le Fonds japonais pour la réduction de la pauvreté et le Ministère de l’économie (JFPR </w:t>
      </w:r>
      <w:r w:rsidRPr="00280912">
        <w:rPr>
          <w:lang w:val="fr-FR"/>
        </w:rPr>
        <w:t>9170</w:t>
      </w:r>
      <w:r w:rsidRPr="000D6387">
        <w:rPr>
          <w:lang w:val="fr-FR"/>
        </w:rPr>
        <w:t xml:space="preserve">-KGZ), un projet pour le développement de l’entreprenariat féminin a été mené de </w:t>
      </w:r>
      <w:r w:rsidRPr="00280912">
        <w:rPr>
          <w:lang w:val="fr-FR"/>
        </w:rPr>
        <w:t>2013</w:t>
      </w:r>
      <w:r w:rsidRPr="000D6387">
        <w:rPr>
          <w:lang w:val="fr-FR"/>
        </w:rPr>
        <w:t xml:space="preserve"> à </w:t>
      </w:r>
      <w:r w:rsidRPr="00280912">
        <w:rPr>
          <w:lang w:val="fr-FR"/>
        </w:rPr>
        <w:t>2017</w:t>
      </w:r>
      <w:r w:rsidRPr="000D6387">
        <w:rPr>
          <w:lang w:val="fr-FR"/>
        </w:rPr>
        <w:t xml:space="preserve"> afin d’augmenter le niveau de vie des femmes dans les villages et les petites villes du pays grâce à un accès élargi aux services financiers. Au total, </w:t>
      </w:r>
      <w:r w:rsidRPr="00280912">
        <w:rPr>
          <w:lang w:val="fr-FR"/>
        </w:rPr>
        <w:t>450</w:t>
      </w:r>
      <w:r w:rsidRPr="000D6387">
        <w:rPr>
          <w:lang w:val="fr-FR"/>
        </w:rPr>
        <w:t xml:space="preserve"> crédits ont été attribués pour un montant global de </w:t>
      </w:r>
      <w:r w:rsidRPr="00280912">
        <w:rPr>
          <w:lang w:val="fr-FR"/>
        </w:rPr>
        <w:t>1</w:t>
      </w:r>
      <w:r w:rsidRPr="000D6387">
        <w:rPr>
          <w:lang w:val="fr-FR"/>
        </w:rPr>
        <w:t> </w:t>
      </w:r>
      <w:r w:rsidRPr="00280912">
        <w:rPr>
          <w:lang w:val="fr-FR"/>
        </w:rPr>
        <w:t>525</w:t>
      </w:r>
      <w:r w:rsidRPr="000D6387">
        <w:rPr>
          <w:lang w:val="fr-FR"/>
        </w:rPr>
        <w:t> </w:t>
      </w:r>
      <w:r w:rsidRPr="00280912">
        <w:rPr>
          <w:lang w:val="fr-FR"/>
        </w:rPr>
        <w:t>798</w:t>
      </w:r>
      <w:r w:rsidRPr="000D6387">
        <w:rPr>
          <w:lang w:val="fr-FR"/>
        </w:rPr>
        <w:t>,</w:t>
      </w:r>
      <w:r w:rsidRPr="00280912">
        <w:rPr>
          <w:lang w:val="fr-FR"/>
        </w:rPr>
        <w:t>28</w:t>
      </w:r>
      <w:r w:rsidRPr="000D6387">
        <w:rPr>
          <w:lang w:val="fr-FR"/>
        </w:rPr>
        <w:t xml:space="preserve"> dollars des </w:t>
      </w:r>
      <w:r w:rsidR="002460BF">
        <w:rPr>
          <w:lang w:val="fr-FR"/>
        </w:rPr>
        <w:t>É</w:t>
      </w:r>
      <w:r w:rsidRPr="000D6387">
        <w:rPr>
          <w:lang w:val="fr-FR"/>
        </w:rPr>
        <w:t>tats-Unis.</w:t>
      </w:r>
    </w:p>
    <w:p w14:paraId="0DF879FC" w14:textId="7E2B90BC" w:rsidR="004D6DB7" w:rsidRPr="000D6387" w:rsidRDefault="004D6DB7" w:rsidP="004D6DB7">
      <w:pPr>
        <w:pStyle w:val="SingleTxt"/>
        <w:rPr>
          <w:lang w:val="fr-FR"/>
        </w:rPr>
      </w:pPr>
      <w:r w:rsidRPr="000D6387">
        <w:rPr>
          <w:lang w:val="fr-FR"/>
        </w:rPr>
        <w:tab/>
        <w:t xml:space="preserve">Des mesures ont été prises afin d’améliorer l’accès aux ressources financières et l’environnement entrepreneurial des femmes. Un appui technique a notamment été fourni, comme suit : </w:t>
      </w:r>
    </w:p>
    <w:p w14:paraId="106C7E02" w14:textId="786C4968" w:rsidR="004D6DB7" w:rsidRPr="000D6387" w:rsidRDefault="004D6DB7" w:rsidP="005D4517">
      <w:pPr>
        <w:pStyle w:val="SingleTxt"/>
        <w:tabs>
          <w:tab w:val="right" w:pos="1685"/>
        </w:tabs>
        <w:ind w:left="1742" w:hanging="475"/>
        <w:rPr>
          <w:lang w:val="fr-FR"/>
        </w:rPr>
      </w:pPr>
      <w:r w:rsidRPr="000D6387">
        <w:rPr>
          <w:lang w:val="fr-FR"/>
        </w:rPr>
        <w:tab/>
        <w:t>–</w:t>
      </w:r>
      <w:r w:rsidRPr="000D6387">
        <w:rPr>
          <w:lang w:val="fr-FR"/>
        </w:rPr>
        <w:tab/>
        <w:t>le personnel de l’entreprise Talas JIA a été formé aux méthodes d’analyse rapide du marché et du potentiel d’exportation de la production des entreprises dirigées par des femmes dans le contexte de l’adhésion du Kirghizistan à l’Union économique eurasiatique ;</w:t>
      </w:r>
    </w:p>
    <w:p w14:paraId="2D2AD4D1" w14:textId="2B648906" w:rsidR="004D6DB7" w:rsidRPr="000D6387" w:rsidRDefault="004D6DB7" w:rsidP="005D4517">
      <w:pPr>
        <w:pStyle w:val="SingleTxt"/>
        <w:tabs>
          <w:tab w:val="right" w:pos="1685"/>
        </w:tabs>
        <w:ind w:left="1742" w:hanging="475"/>
        <w:rPr>
          <w:lang w:val="fr-FR"/>
        </w:rPr>
      </w:pPr>
      <w:r w:rsidRPr="000D6387">
        <w:rPr>
          <w:lang w:val="fr-FR"/>
        </w:rPr>
        <w:tab/>
        <w:t>–</w:t>
      </w:r>
      <w:r w:rsidRPr="000D6387">
        <w:rPr>
          <w:lang w:val="fr-FR"/>
        </w:rPr>
        <w:tab/>
        <w:t xml:space="preserve">des recommandations ont été établies à l’usage de l’Association des industries agroalimentaires Jer Azyguy dans la région d’Och afin de développer le réseau de l’Association en élargissant le spectre des services de formation proposés aux femmes rurales, notamment en introduisant l’enseignement et le mentorat à distance. Environ </w:t>
      </w:r>
      <w:r w:rsidRPr="00280912">
        <w:rPr>
          <w:lang w:val="fr-FR"/>
        </w:rPr>
        <w:t>75</w:t>
      </w:r>
      <w:r w:rsidR="005D4517" w:rsidRPr="000D6387">
        <w:rPr>
          <w:lang w:val="fr-FR"/>
        </w:rPr>
        <w:t> %</w:t>
      </w:r>
      <w:r w:rsidRPr="000D6387">
        <w:rPr>
          <w:lang w:val="fr-FR"/>
        </w:rPr>
        <w:t xml:space="preserve"> des personnes interrogées ont exprimé le souhait de pouvoir se former sans quitter leur entreprise ; </w:t>
      </w:r>
    </w:p>
    <w:p w14:paraId="5F331158" w14:textId="032552BD" w:rsidR="004D6DB7" w:rsidRPr="000D6387" w:rsidRDefault="004D6DB7" w:rsidP="005D4517">
      <w:pPr>
        <w:pStyle w:val="SingleTxt"/>
        <w:tabs>
          <w:tab w:val="right" w:pos="1685"/>
        </w:tabs>
        <w:ind w:left="1742" w:hanging="475"/>
        <w:rPr>
          <w:lang w:val="fr-FR"/>
        </w:rPr>
      </w:pPr>
      <w:r w:rsidRPr="000D6387">
        <w:rPr>
          <w:lang w:val="fr-FR"/>
        </w:rPr>
        <w:tab/>
        <w:t>–</w:t>
      </w:r>
      <w:r w:rsidRPr="000D6387">
        <w:rPr>
          <w:lang w:val="fr-FR"/>
        </w:rPr>
        <w:tab/>
        <w:t>un appui a été apporté à l’Union bancaire afin de modifier la législation relative au crédit-bail ;</w:t>
      </w:r>
    </w:p>
    <w:p w14:paraId="452D3862" w14:textId="65F4BE7A"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 xml:space="preserve">des méthodes d’intervention ont été élaborées et des consultants ont été formés dans les villages des régions de Naryn et de Talas partenaires de l’Association des institutions de microfinance en vue de lutter contre le surendettement chez les femmes rurales dirigeantes d’entreprises. Au total, </w:t>
      </w:r>
      <w:r w:rsidR="004D6DB7" w:rsidRPr="00280912">
        <w:rPr>
          <w:lang w:val="fr-FR"/>
        </w:rPr>
        <w:t>24</w:t>
      </w:r>
      <w:r w:rsidR="004D6DB7" w:rsidRPr="000D6387">
        <w:rPr>
          <w:lang w:val="fr-FR"/>
        </w:rPr>
        <w:t xml:space="preserve"> consultants ont été formés ;</w:t>
      </w:r>
    </w:p>
    <w:p w14:paraId="72D8D227" w14:textId="1775552F"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une méthode d’évaluation du niveau de pauvreté des clients a été élaborée au profit de la banque Bai-Tushum ;</w:t>
      </w:r>
    </w:p>
    <w:p w14:paraId="0303181C" w14:textId="58EF0D07"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 xml:space="preserve">une méthode d’évaluation du rôle des collectivités locales dans le développement de l’entreprenariat, en particulier féminin, a été élaborée et des sessions de formation ont été organisées à l’intention du personnel de deux municipalités pilotes ainsi que d’experts intéressés, dans la région de Djalalabad ; </w:t>
      </w:r>
    </w:p>
    <w:p w14:paraId="28C09A0E" w14:textId="02D5816F"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 xml:space="preserve">des recommandations ont été élaborées en vue de la certification Smart Campaign de trois sociétés de financement et de crédit ; </w:t>
      </w:r>
    </w:p>
    <w:p w14:paraId="7FE2C12F" w14:textId="6628CCFA"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 xml:space="preserve">des recommandations concernant la mise en place de services financiers à distance (banque par Internet et par téléphone) ont été élaborées au profit de la banque Bai Tushum et de l’institution de microcrédit PMKK ; </w:t>
      </w:r>
    </w:p>
    <w:p w14:paraId="391A1E76" w14:textId="7E2AB2F7"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 xml:space="preserve">un document de stratégie a été établi pour la Banque nationale de la République kirghize au sujet du développement du secteur de la microfinance pour la période </w:t>
      </w:r>
      <w:r w:rsidR="004D6DB7" w:rsidRPr="00280912">
        <w:rPr>
          <w:lang w:val="fr-FR"/>
        </w:rPr>
        <w:t>2018</w:t>
      </w:r>
      <w:r w:rsidR="004D6DB7" w:rsidRPr="000D6387">
        <w:rPr>
          <w:lang w:val="fr-FR"/>
        </w:rPr>
        <w:t>-</w:t>
      </w:r>
      <w:r w:rsidR="004D6DB7" w:rsidRPr="00280912">
        <w:rPr>
          <w:lang w:val="fr-FR"/>
        </w:rPr>
        <w:t>2021</w:t>
      </w:r>
      <w:r w:rsidR="004D6DB7" w:rsidRPr="000D6387">
        <w:rPr>
          <w:lang w:val="fr-FR"/>
        </w:rPr>
        <w:t>.</w:t>
      </w:r>
    </w:p>
    <w:p w14:paraId="3A0F6E68" w14:textId="4720B8A6" w:rsidR="004D6DB7" w:rsidRPr="000D6387" w:rsidRDefault="00AA6E94" w:rsidP="004D6DB7">
      <w:pPr>
        <w:pStyle w:val="SingleTxt"/>
        <w:rPr>
          <w:lang w:val="fr-FR"/>
        </w:rPr>
      </w:pPr>
      <w:r w:rsidRPr="000D6387">
        <w:rPr>
          <w:lang w:val="fr-FR"/>
        </w:rPr>
        <w:tab/>
      </w:r>
      <w:r w:rsidR="004D6DB7" w:rsidRPr="000D6387">
        <w:rPr>
          <w:lang w:val="fr-FR"/>
        </w:rPr>
        <w:t>En outre, une grande attention a été accordée dans le cadre du projet à la formation, à l’information et au renforcement des capacités des femmes en vue du développement du micro-entreprenariat féminin :</w:t>
      </w:r>
    </w:p>
    <w:p w14:paraId="7D0B67F1" w14:textId="589276A2"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280912">
        <w:rPr>
          <w:lang w:val="fr-FR"/>
        </w:rPr>
        <w:t>906</w:t>
      </w:r>
      <w:r w:rsidR="004D6DB7" w:rsidRPr="000D6387">
        <w:rPr>
          <w:lang w:val="fr-FR"/>
        </w:rPr>
        <w:t xml:space="preserve"> femmes ont suivi une formation de base en finance, gestion et direction d’entreprise (prévue pour </w:t>
      </w:r>
      <w:r w:rsidR="004D6DB7" w:rsidRPr="00280912">
        <w:rPr>
          <w:lang w:val="fr-FR"/>
        </w:rPr>
        <w:t>300</w:t>
      </w:r>
      <w:r w:rsidR="004D6DB7" w:rsidRPr="000D6387">
        <w:rPr>
          <w:lang w:val="fr-FR"/>
        </w:rPr>
        <w:t xml:space="preserve"> personnes) selon un programme spécialement conçu pour elles ;</w:t>
      </w:r>
    </w:p>
    <w:p w14:paraId="399F726D" w14:textId="2FCE65FE"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280912">
        <w:rPr>
          <w:lang w:val="fr-FR"/>
        </w:rPr>
        <w:t>100</w:t>
      </w:r>
      <w:r w:rsidR="004D6DB7" w:rsidRPr="000D6387">
        <w:rPr>
          <w:lang w:val="fr-FR"/>
        </w:rPr>
        <w:t xml:space="preserve"> professionnels d’organismes de planification et de financement ont été formés aux outils, méthodes et services financiers les plus adaptés pour répondre aux besoins des femmes à la tête de micro-entreprises, ainsi qu’au suivi et à l’évaluation de l’évolution de leurs entreprises et à la gestion des performances sociales ;</w:t>
      </w:r>
    </w:p>
    <w:p w14:paraId="34F58C66" w14:textId="361D3B72"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280912">
        <w:rPr>
          <w:lang w:val="fr-FR"/>
        </w:rPr>
        <w:t>9</w:t>
      </w:r>
      <w:r w:rsidR="004D6DB7" w:rsidRPr="000D6387">
        <w:rPr>
          <w:lang w:val="fr-FR"/>
        </w:rPr>
        <w:t xml:space="preserve"> sessions de formation à l’intention de représentants des collectivités territoriales et d’autres parties intéressées ont été organisées ; </w:t>
      </w:r>
      <w:r w:rsidR="004D6DB7" w:rsidRPr="00280912">
        <w:rPr>
          <w:lang w:val="fr-FR"/>
        </w:rPr>
        <w:t>185</w:t>
      </w:r>
      <w:r w:rsidR="004D6DB7" w:rsidRPr="000D6387">
        <w:rPr>
          <w:lang w:val="fr-FR"/>
        </w:rPr>
        <w:t xml:space="preserve"> personnes y ont participé</w:t>
      </w:r>
      <w:r w:rsidR="007B6CE4">
        <w:rPr>
          <w:lang w:val="fr-FR"/>
        </w:rPr>
        <w:t> ;</w:t>
      </w:r>
    </w:p>
    <w:p w14:paraId="4B1805DD" w14:textId="577486AB"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280912">
        <w:rPr>
          <w:lang w:val="fr-FR"/>
        </w:rPr>
        <w:t>100</w:t>
      </w:r>
      <w:r w:rsidR="004D6DB7" w:rsidRPr="000D6387">
        <w:rPr>
          <w:lang w:val="fr-FR"/>
        </w:rPr>
        <w:t xml:space="preserve"> femmes des régions d’Issyk-Kul et de Talas ont suivi une formation en vue d’améliorer la profitabilité de l’élevage bovin destiné à la production laitière ; </w:t>
      </w:r>
    </w:p>
    <w:p w14:paraId="73A5BCD5" w14:textId="5A72CFB1"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280912">
        <w:rPr>
          <w:lang w:val="fr-FR"/>
        </w:rPr>
        <w:t>16</w:t>
      </w:r>
      <w:r w:rsidR="004D6DB7" w:rsidRPr="000D6387">
        <w:rPr>
          <w:lang w:val="fr-FR"/>
        </w:rPr>
        <w:t xml:space="preserve"> collaborateurs du Fonds de garanties ont été formés à l’analyse des plans d’activité et à la prestation de consultations dans le domaine financier ;</w:t>
      </w:r>
    </w:p>
    <w:p w14:paraId="384A3782" w14:textId="0ADC43A1"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un film sur l’entreprenariat féminin a été réalisé et diffusé sur les chaînes de télévision nationales et locales.</w:t>
      </w:r>
    </w:p>
    <w:p w14:paraId="12404115" w14:textId="3F1B360E" w:rsidR="004D6DB7" w:rsidRPr="000D6387" w:rsidRDefault="00AA6E94" w:rsidP="004D6DB7">
      <w:pPr>
        <w:pStyle w:val="SingleTxt"/>
        <w:rPr>
          <w:lang w:val="fr-FR"/>
        </w:rPr>
      </w:pPr>
      <w:r w:rsidRPr="000D6387">
        <w:rPr>
          <w:lang w:val="fr-FR"/>
        </w:rPr>
        <w:tab/>
      </w:r>
      <w:r w:rsidR="004D6DB7" w:rsidRPr="000D6387">
        <w:rPr>
          <w:lang w:val="fr-FR"/>
        </w:rPr>
        <w:t xml:space="preserve">Trois séminaires d’information ont été organisés (un séminaire d’information à l’intention des journalistes des médias nationaux au sujet de l’action du Gouvernement dans le domaine du développement économique et deux séminaires dans les villes de Bichkek et d’Och portant sur les contenus méthodologiques développés dans le cadre du projet). En outre, neuf tables rondes ont été tenues concernant diverses questions liées au développement d’un environnement propice à l’entreprenariat féminin. </w:t>
      </w:r>
    </w:p>
    <w:p w14:paraId="460D87B6" w14:textId="277469A2" w:rsidR="004D6DB7" w:rsidRPr="000D6387" w:rsidRDefault="00AA6E94" w:rsidP="004D6DB7">
      <w:pPr>
        <w:pStyle w:val="SingleTxt"/>
        <w:rPr>
          <w:lang w:val="fr-FR"/>
        </w:rPr>
      </w:pPr>
      <w:r w:rsidRPr="000D6387">
        <w:rPr>
          <w:lang w:val="fr-FR"/>
        </w:rPr>
        <w:tab/>
      </w:r>
      <w:r w:rsidR="00E76891" w:rsidRPr="000D6387">
        <w:rPr>
          <w:lang w:val="fr-FR"/>
        </w:rPr>
        <w:t>À</w:t>
      </w:r>
      <w:r w:rsidR="004D6DB7" w:rsidRPr="000D6387">
        <w:rPr>
          <w:lang w:val="fr-FR"/>
        </w:rPr>
        <w:t xml:space="preserve"> ce jour, le Ministère de l’économie a mis la dernière main au projet de stratégie de lancement du projet de développement de l’entreprenariat féminin. Le </w:t>
      </w:r>
      <w:r w:rsidR="004D6DB7" w:rsidRPr="00280912">
        <w:rPr>
          <w:lang w:val="fr-FR"/>
        </w:rPr>
        <w:t>28</w:t>
      </w:r>
      <w:r w:rsidR="005D4517" w:rsidRPr="000D6387">
        <w:rPr>
          <w:lang w:val="fr-FR"/>
        </w:rPr>
        <w:t> </w:t>
      </w:r>
      <w:r w:rsidR="004D6DB7" w:rsidRPr="000D6387">
        <w:rPr>
          <w:lang w:val="fr-FR"/>
        </w:rPr>
        <w:t xml:space="preserve">août </w:t>
      </w:r>
      <w:r w:rsidR="004D6DB7" w:rsidRPr="00280912">
        <w:rPr>
          <w:lang w:val="fr-FR"/>
        </w:rPr>
        <w:t>2019</w:t>
      </w:r>
      <w:r w:rsidR="004D6DB7" w:rsidRPr="000D6387">
        <w:rPr>
          <w:lang w:val="fr-FR"/>
        </w:rPr>
        <w:t>, ce document a été transmis à M</w:t>
      </w:r>
      <w:r w:rsidR="004D6DB7" w:rsidRPr="000D6387">
        <w:rPr>
          <w:vertAlign w:val="superscript"/>
          <w:lang w:val="fr-FR"/>
        </w:rPr>
        <w:t>me</w:t>
      </w:r>
      <w:r w:rsidR="004D6DB7" w:rsidRPr="000D6387">
        <w:rPr>
          <w:lang w:val="fr-FR"/>
        </w:rPr>
        <w:t xml:space="preserve"> Candice McDeigan, Directrice de pays de la Mission permanente de la Banque asiatique de développement, afin qu’elle l’examine et le fasse tenir pour approbation au Fonds japonais pour la réduction de la pauvreté. Il est proposé d’inscrire le mécanisme de déboursement des fonds restants du projet, soit </w:t>
      </w:r>
      <w:r w:rsidR="004D6DB7" w:rsidRPr="00280912">
        <w:rPr>
          <w:lang w:val="fr-FR"/>
        </w:rPr>
        <w:t>510</w:t>
      </w:r>
      <w:r w:rsidR="004D6DB7" w:rsidRPr="000D6387">
        <w:rPr>
          <w:lang w:val="fr-FR"/>
        </w:rPr>
        <w:t xml:space="preserve"> </w:t>
      </w:r>
      <w:r w:rsidR="004D6DB7" w:rsidRPr="00280912">
        <w:rPr>
          <w:lang w:val="fr-FR"/>
        </w:rPr>
        <w:t>000</w:t>
      </w:r>
      <w:r w:rsidR="004D6DB7" w:rsidRPr="000D6387">
        <w:rPr>
          <w:lang w:val="fr-FR"/>
        </w:rPr>
        <w:t xml:space="preserve"> dollars, dans le cadre de la politique interne de crédit et des procédures de l’institution financière partenaire, qui sera choisie par le Ministère de l’économie en fonction des critères ci-après :</w:t>
      </w:r>
    </w:p>
    <w:p w14:paraId="101C3D18" w14:textId="00AFC2C5" w:rsidR="004D6DB7" w:rsidRPr="000D6387" w:rsidRDefault="00AA6E94" w:rsidP="005D4517">
      <w:pPr>
        <w:pStyle w:val="SingleTxt"/>
        <w:tabs>
          <w:tab w:val="right" w:pos="1685"/>
        </w:tabs>
        <w:ind w:left="1742" w:hanging="475"/>
        <w:rPr>
          <w:lang w:val="fr-FR"/>
        </w:rPr>
      </w:pPr>
      <w:r w:rsidRPr="000D6387">
        <w:rPr>
          <w:lang w:val="fr-FR"/>
        </w:rPr>
        <w:tab/>
      </w:r>
      <w:r w:rsidR="00EC030B" w:rsidRPr="000D6387">
        <w:rPr>
          <w:lang w:val="fr-FR"/>
        </w:rPr>
        <w:t>•</w:t>
      </w:r>
      <w:r w:rsidRPr="000D6387">
        <w:rPr>
          <w:lang w:val="fr-FR"/>
        </w:rPr>
        <w:tab/>
      </w:r>
      <w:r w:rsidR="004D6DB7" w:rsidRPr="000D6387">
        <w:rPr>
          <w:lang w:val="fr-FR"/>
        </w:rPr>
        <w:t>expérience de collaboration avec des programmes de financement de l’entreprenariat féminin ;</w:t>
      </w:r>
    </w:p>
    <w:p w14:paraId="26606B61" w14:textId="4A4DA510" w:rsidR="004D6DB7" w:rsidRPr="000D6387" w:rsidRDefault="00AA6E94" w:rsidP="005D4517">
      <w:pPr>
        <w:pStyle w:val="SingleTxt"/>
        <w:tabs>
          <w:tab w:val="right" w:pos="1685"/>
        </w:tabs>
        <w:ind w:left="1742" w:hanging="475"/>
        <w:rPr>
          <w:lang w:val="fr-FR"/>
        </w:rPr>
      </w:pPr>
      <w:r w:rsidRPr="000D6387">
        <w:rPr>
          <w:lang w:val="fr-FR"/>
        </w:rPr>
        <w:tab/>
      </w:r>
      <w:r w:rsidR="00EC030B" w:rsidRPr="000D6387">
        <w:rPr>
          <w:lang w:val="fr-FR"/>
        </w:rPr>
        <w:t>•</w:t>
      </w:r>
      <w:r w:rsidRPr="000D6387">
        <w:rPr>
          <w:lang w:val="fr-FR"/>
        </w:rPr>
        <w:tab/>
      </w:r>
      <w:r w:rsidR="004D6DB7" w:rsidRPr="000D6387">
        <w:rPr>
          <w:lang w:val="fr-FR"/>
        </w:rPr>
        <w:t>produits et services adaptés aux besoins des dirigeantes d’entreprise ;</w:t>
      </w:r>
    </w:p>
    <w:p w14:paraId="5C0441C7" w14:textId="77EE070B" w:rsidR="004D6DB7" w:rsidRPr="000D6387" w:rsidRDefault="00AA6E94" w:rsidP="005D4517">
      <w:pPr>
        <w:pStyle w:val="SingleTxt"/>
        <w:tabs>
          <w:tab w:val="right" w:pos="1685"/>
        </w:tabs>
        <w:ind w:left="1742" w:hanging="475"/>
        <w:rPr>
          <w:lang w:val="fr-FR"/>
        </w:rPr>
      </w:pPr>
      <w:r w:rsidRPr="000D6387">
        <w:rPr>
          <w:lang w:val="fr-FR"/>
        </w:rPr>
        <w:tab/>
      </w:r>
      <w:r w:rsidR="00EC030B" w:rsidRPr="000D6387">
        <w:rPr>
          <w:lang w:val="fr-FR"/>
        </w:rPr>
        <w:t>•</w:t>
      </w:r>
      <w:r w:rsidRPr="000D6387">
        <w:rPr>
          <w:lang w:val="fr-FR"/>
        </w:rPr>
        <w:tab/>
      </w:r>
      <w:r w:rsidR="004D6DB7" w:rsidRPr="000D6387">
        <w:rPr>
          <w:lang w:val="fr-FR"/>
        </w:rPr>
        <w:t xml:space="preserve">capacité de mobiliser les produits de crédit au service des dirigeantes d’entreprise ; </w:t>
      </w:r>
    </w:p>
    <w:p w14:paraId="2A5C4B75" w14:textId="399AC8F7" w:rsidR="004D6DB7" w:rsidRPr="000D6387" w:rsidRDefault="00AA6E94" w:rsidP="005D4517">
      <w:pPr>
        <w:pStyle w:val="SingleTxt"/>
        <w:tabs>
          <w:tab w:val="right" w:pos="1685"/>
        </w:tabs>
        <w:ind w:left="1742" w:hanging="475"/>
        <w:rPr>
          <w:lang w:val="fr-FR"/>
        </w:rPr>
      </w:pPr>
      <w:r w:rsidRPr="000D6387">
        <w:rPr>
          <w:lang w:val="fr-FR"/>
        </w:rPr>
        <w:tab/>
      </w:r>
      <w:r w:rsidR="00EC030B" w:rsidRPr="000D6387">
        <w:rPr>
          <w:lang w:val="fr-FR"/>
        </w:rPr>
        <w:t>•</w:t>
      </w:r>
      <w:r w:rsidRPr="000D6387">
        <w:rPr>
          <w:lang w:val="fr-FR"/>
        </w:rPr>
        <w:tab/>
      </w:r>
      <w:r w:rsidR="004D6DB7" w:rsidRPr="000D6387">
        <w:rPr>
          <w:lang w:val="fr-FR"/>
        </w:rPr>
        <w:t>évaluation de l’impact social des produits et services destinés aux dirigeantes d’entreprise.</w:t>
      </w:r>
    </w:p>
    <w:p w14:paraId="31C78B04" w14:textId="64F68448" w:rsidR="004D6DB7" w:rsidRPr="000D6387" w:rsidRDefault="00AA6E94" w:rsidP="004D6DB7">
      <w:pPr>
        <w:pStyle w:val="SingleTxt"/>
        <w:rPr>
          <w:lang w:val="fr-FR"/>
        </w:rPr>
      </w:pPr>
      <w:r w:rsidRPr="000D6387">
        <w:rPr>
          <w:lang w:val="fr-FR"/>
        </w:rPr>
        <w:tab/>
      </w:r>
      <w:r w:rsidR="004D6DB7" w:rsidRPr="000D6387">
        <w:rPr>
          <w:lang w:val="fr-FR"/>
        </w:rPr>
        <w:t>Il convient de noter que l’entreprenariat féminin est particulièrement important dans le pays, car ce sont précisément les femmes qui sont à l’origine de la création de petites entreprises dans les domaines de l’éducation et des services médicaux et sociaux, développant ainsi un nouveau secteur de l’économie, à savoir l’entreprenariat social.</w:t>
      </w:r>
    </w:p>
    <w:p w14:paraId="4F2CE52E" w14:textId="603DBA29" w:rsidR="004D6DB7" w:rsidRPr="000D6387" w:rsidRDefault="00AA6E94" w:rsidP="004D6DB7">
      <w:pPr>
        <w:pStyle w:val="SingleTxt"/>
        <w:rPr>
          <w:lang w:val="fr-FR"/>
        </w:rPr>
      </w:pPr>
      <w:r w:rsidRPr="000D6387">
        <w:rPr>
          <w:lang w:val="fr-FR"/>
        </w:rPr>
        <w:tab/>
      </w:r>
      <w:r w:rsidR="004D6DB7" w:rsidRPr="000D6387">
        <w:rPr>
          <w:lang w:val="fr-FR"/>
        </w:rPr>
        <w:t xml:space="preserve">Le </w:t>
      </w:r>
      <w:r w:rsidR="004D6DB7" w:rsidRPr="00280912">
        <w:rPr>
          <w:lang w:val="fr-FR"/>
        </w:rPr>
        <w:t>5</w:t>
      </w:r>
      <w:r w:rsidR="004D6DB7" w:rsidRPr="000D6387">
        <w:rPr>
          <w:lang w:val="fr-FR"/>
        </w:rPr>
        <w:t xml:space="preserve"> juillet </w:t>
      </w:r>
      <w:r w:rsidR="004D6DB7" w:rsidRPr="00280912">
        <w:rPr>
          <w:lang w:val="fr-FR"/>
        </w:rPr>
        <w:t>2019</w:t>
      </w:r>
      <w:r w:rsidR="004D6DB7" w:rsidRPr="000D6387">
        <w:rPr>
          <w:lang w:val="fr-FR"/>
        </w:rPr>
        <w:t xml:space="preserve">, avec la participation du Premier ministre, une Conférence nationale intitulée « Un nouvel élan pour l’entreprenariat féminin au Kirghizistan » a réuni </w:t>
      </w:r>
      <w:r w:rsidR="004D6DB7" w:rsidRPr="00280912">
        <w:rPr>
          <w:lang w:val="fr-FR"/>
        </w:rPr>
        <w:t>400</w:t>
      </w:r>
      <w:r w:rsidR="004D6DB7" w:rsidRPr="000D6387">
        <w:rPr>
          <w:lang w:val="fr-FR"/>
        </w:rPr>
        <w:t> dirigeantes d’entreprises de toutes les régions du pays.</w:t>
      </w:r>
    </w:p>
    <w:p w14:paraId="0860EF8E" w14:textId="3B1BB3CD" w:rsidR="004D6DB7" w:rsidRPr="000D6387" w:rsidRDefault="00AA6E94" w:rsidP="004D6DB7">
      <w:pPr>
        <w:pStyle w:val="SingleTxt"/>
        <w:rPr>
          <w:lang w:val="fr-FR"/>
        </w:rPr>
      </w:pPr>
      <w:r w:rsidRPr="000D6387">
        <w:rPr>
          <w:lang w:val="fr-FR"/>
        </w:rPr>
        <w:tab/>
      </w:r>
      <w:r w:rsidR="004D6DB7" w:rsidRPr="000D6387">
        <w:rPr>
          <w:lang w:val="fr-FR"/>
        </w:rPr>
        <w:t>Cette manifestation a été l’occasion de mettre en lumière les problèmes auxquels se heurtent les dirigeantes d’entreprise et a débouché sur l’adoption d’une résolution.</w:t>
      </w:r>
    </w:p>
    <w:p w14:paraId="09D2C5E6" w14:textId="30CD9172" w:rsidR="004D6DB7" w:rsidRPr="000D6387" w:rsidRDefault="00AA6E94" w:rsidP="004D6DB7">
      <w:pPr>
        <w:pStyle w:val="SingleTxt"/>
        <w:rPr>
          <w:lang w:val="fr-FR"/>
        </w:rPr>
      </w:pPr>
      <w:r w:rsidRPr="000D6387">
        <w:rPr>
          <w:lang w:val="fr-FR"/>
        </w:rPr>
        <w:tab/>
      </w:r>
      <w:r w:rsidR="004D6DB7" w:rsidRPr="000D6387">
        <w:rPr>
          <w:lang w:val="fr-FR"/>
        </w:rPr>
        <w:t xml:space="preserve">Le Ministère de l’économie s’attache désormais à mettre en œuvre cette résolution, en coopération avec les services publics concernés. En outre, la résolution rappelle la nécessité d’élaborer et d’adopter un programme national de développement de l’entreprenariat féminin à l’horizon </w:t>
      </w:r>
      <w:r w:rsidR="004D6DB7" w:rsidRPr="00280912">
        <w:rPr>
          <w:lang w:val="fr-FR"/>
        </w:rPr>
        <w:t>2030</w:t>
      </w:r>
      <w:r w:rsidR="004D6DB7" w:rsidRPr="000D6387">
        <w:rPr>
          <w:lang w:val="fr-FR"/>
        </w:rPr>
        <w:t>.</w:t>
      </w:r>
    </w:p>
    <w:p w14:paraId="29408E2B" w14:textId="77777777" w:rsidR="00AA6E94" w:rsidRPr="000D6387" w:rsidRDefault="00AA6E94" w:rsidP="00AA6E94">
      <w:pPr>
        <w:pStyle w:val="SingleTxt"/>
        <w:spacing w:after="0" w:line="120" w:lineRule="exact"/>
        <w:rPr>
          <w:b/>
          <w:sz w:val="10"/>
          <w:lang w:val="fr-FR"/>
        </w:rPr>
      </w:pPr>
    </w:p>
    <w:p w14:paraId="75FEBB94" w14:textId="2C9AD4E0" w:rsidR="004D6DB7" w:rsidRPr="000D6387" w:rsidRDefault="00AA6E94" w:rsidP="00AA6E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4D6DB7" w:rsidRPr="00280912">
        <w:rPr>
          <w:lang w:val="fr-FR"/>
        </w:rPr>
        <w:t>20</w:t>
      </w:r>
      <w:r w:rsidR="004D6DB7" w:rsidRPr="000D6387">
        <w:rPr>
          <w:lang w:val="fr-FR"/>
        </w:rPr>
        <w:t>.</w:t>
      </w:r>
      <w:r w:rsidR="004D6DB7" w:rsidRPr="000D6387">
        <w:rPr>
          <w:lang w:val="fr-FR"/>
        </w:rPr>
        <w:tab/>
        <w:t>Femmes rurales</w:t>
      </w:r>
    </w:p>
    <w:p w14:paraId="5AB832E4" w14:textId="77777777" w:rsidR="00AA6E94" w:rsidRPr="000D6387" w:rsidRDefault="00AA6E94" w:rsidP="00AA6E94">
      <w:pPr>
        <w:pStyle w:val="SingleTxt"/>
        <w:spacing w:after="0" w:line="120" w:lineRule="exact"/>
        <w:rPr>
          <w:sz w:val="10"/>
          <w:lang w:val="fr-FR"/>
        </w:rPr>
      </w:pPr>
    </w:p>
    <w:p w14:paraId="486F115B" w14:textId="678530D7" w:rsidR="004D6DB7" w:rsidRPr="000D6387" w:rsidRDefault="00AA6E94" w:rsidP="004D6DB7">
      <w:pPr>
        <w:pStyle w:val="SingleTxt"/>
        <w:rPr>
          <w:lang w:val="fr-FR"/>
        </w:rPr>
      </w:pPr>
      <w:r w:rsidRPr="000D6387">
        <w:rPr>
          <w:lang w:val="fr-FR"/>
        </w:rPr>
        <w:tab/>
      </w:r>
      <w:r w:rsidR="004D6DB7" w:rsidRPr="000D6387">
        <w:rPr>
          <w:lang w:val="fr-FR"/>
        </w:rPr>
        <w:t xml:space="preserve">La loi du </w:t>
      </w:r>
      <w:r w:rsidR="004D6DB7" w:rsidRPr="00280912">
        <w:rPr>
          <w:lang w:val="fr-FR"/>
        </w:rPr>
        <w:t>3</w:t>
      </w:r>
      <w:r w:rsidR="004D6DB7" w:rsidRPr="000D6387">
        <w:rPr>
          <w:lang w:val="fr-FR"/>
        </w:rPr>
        <w:t xml:space="preserve"> août </w:t>
      </w:r>
      <w:r w:rsidR="004D6DB7" w:rsidRPr="00280912">
        <w:rPr>
          <w:lang w:val="fr-FR"/>
        </w:rPr>
        <w:t>2015</w:t>
      </w:r>
      <w:r w:rsidR="004D6DB7" w:rsidRPr="000D6387">
        <w:rPr>
          <w:lang w:val="fr-FR"/>
        </w:rPr>
        <w:t xml:space="preserve"> (n</w:t>
      </w:r>
      <w:r w:rsidR="004D6DB7" w:rsidRPr="000D6387">
        <w:rPr>
          <w:vertAlign w:val="superscript"/>
          <w:lang w:val="fr-FR"/>
        </w:rPr>
        <w:t>o</w:t>
      </w:r>
      <w:r w:rsidR="004D6DB7" w:rsidRPr="000D6387">
        <w:rPr>
          <w:lang w:val="fr-FR"/>
        </w:rPr>
        <w:t xml:space="preserve"> </w:t>
      </w:r>
      <w:r w:rsidR="004D6DB7" w:rsidRPr="00280912">
        <w:rPr>
          <w:lang w:val="fr-FR"/>
        </w:rPr>
        <w:t>214</w:t>
      </w:r>
      <w:r w:rsidR="004D6DB7" w:rsidRPr="000D6387">
        <w:rPr>
          <w:lang w:val="fr-FR"/>
        </w:rPr>
        <w:t xml:space="preserve">) sur la promotion de l’emploi garantit aux personnes qui s’adressent aux services d’aide à l’emploi la liberté de choix de leur type d’activité et de leur profession, un appui dans le choix d’un travail adéquat et dans l’insertion professionnelle, des services gratuits d’orientation, de formation et de reconversion professionnelles, la participation à des programmes de travaux d’intérêt général rémunérés et le droit à une indemnité de chômage. </w:t>
      </w:r>
    </w:p>
    <w:p w14:paraId="67F99BCF" w14:textId="7BAF840A" w:rsidR="004D6DB7" w:rsidRPr="000D6387" w:rsidRDefault="00AA6E94" w:rsidP="004D6DB7">
      <w:pPr>
        <w:pStyle w:val="SingleTxt"/>
        <w:rPr>
          <w:lang w:val="fr-FR"/>
        </w:rPr>
      </w:pPr>
      <w:r w:rsidRPr="000D6387">
        <w:rPr>
          <w:lang w:val="fr-FR"/>
        </w:rPr>
        <w:tab/>
      </w:r>
      <w:r w:rsidR="004D6DB7" w:rsidRPr="000D6387">
        <w:rPr>
          <w:lang w:val="fr-FR"/>
        </w:rPr>
        <w:t xml:space="preserve">L’une des principales missions des services d’aide à l’emploi consiste à favoriser l’insertion professionnelle. Au cours de la période considérée, les services d’aide à l’emploi ont aidé </w:t>
      </w:r>
      <w:r w:rsidR="004D6DB7" w:rsidRPr="00280912">
        <w:rPr>
          <w:lang w:val="fr-FR"/>
        </w:rPr>
        <w:t>27</w:t>
      </w:r>
      <w:r w:rsidR="004D6DB7" w:rsidRPr="000D6387">
        <w:rPr>
          <w:lang w:val="fr-FR"/>
        </w:rPr>
        <w:t> </w:t>
      </w:r>
      <w:r w:rsidR="004D6DB7" w:rsidRPr="00280912">
        <w:rPr>
          <w:lang w:val="fr-FR"/>
        </w:rPr>
        <w:t>009</w:t>
      </w:r>
      <w:r w:rsidR="004D6DB7" w:rsidRPr="000D6387">
        <w:rPr>
          <w:lang w:val="fr-FR"/>
        </w:rPr>
        <w:t xml:space="preserve"> personnes au chômage (dont </w:t>
      </w:r>
      <w:r w:rsidR="004D6DB7" w:rsidRPr="00280912">
        <w:rPr>
          <w:lang w:val="fr-FR"/>
        </w:rPr>
        <w:t>15</w:t>
      </w:r>
      <w:r w:rsidR="004D6DB7" w:rsidRPr="000D6387">
        <w:rPr>
          <w:lang w:val="fr-FR"/>
        </w:rPr>
        <w:t> </w:t>
      </w:r>
      <w:r w:rsidR="004D6DB7" w:rsidRPr="00280912">
        <w:rPr>
          <w:lang w:val="fr-FR"/>
        </w:rPr>
        <w:t>188</w:t>
      </w:r>
      <w:r w:rsidR="004D6DB7" w:rsidRPr="000D6387">
        <w:rPr>
          <w:lang w:val="fr-FR"/>
        </w:rPr>
        <w:t xml:space="preserve"> femmes) à trouver un emploi.</w:t>
      </w:r>
    </w:p>
    <w:p w14:paraId="6DDB468A" w14:textId="312A384C" w:rsidR="004D6DB7" w:rsidRPr="00A85482" w:rsidRDefault="00AA6E94" w:rsidP="004D6DB7">
      <w:pPr>
        <w:pStyle w:val="SingleTxt"/>
        <w:rPr>
          <w:lang w:val="fr-FR"/>
        </w:rPr>
      </w:pPr>
      <w:r w:rsidRPr="00A85482">
        <w:rPr>
          <w:lang w:val="fr-FR"/>
        </w:rPr>
        <w:tab/>
      </w:r>
      <w:r w:rsidR="004D6DB7" w:rsidRPr="00A85482">
        <w:rPr>
          <w:lang w:val="fr-FR"/>
        </w:rPr>
        <w:t xml:space="preserve">Cet appui prend la forme de mesures actives d’intervention sur le marché du travail. En période de croissance du chômage et de déficit de postes de travail, la priorité consiste à former les demandeuses et demandeurs </w:t>
      </w:r>
      <w:r w:rsidR="004D6DB7" w:rsidRPr="00B0167E">
        <w:rPr>
          <w:lang w:val="fr-FR"/>
        </w:rPr>
        <w:t xml:space="preserve">d’emploi. </w:t>
      </w:r>
      <w:r w:rsidR="00B0167E" w:rsidRPr="00462EE0">
        <w:t>Au 1</w:t>
      </w:r>
      <w:r w:rsidR="00B0167E" w:rsidRPr="00462EE0">
        <w:rPr>
          <w:vertAlign w:val="superscript"/>
        </w:rPr>
        <w:t>er</w:t>
      </w:r>
      <w:r w:rsidR="00B0167E" w:rsidRPr="00462EE0">
        <w:t> janvier 2020, les services d’aide à l’emploi avaient orienté 7 225 demandeurs d’emploi (dont 4 873 femmes) vers la formation pour les rendre plus aptes à s’insérer professionnellement compte tenu des besoins du marché du travail</w:t>
      </w:r>
      <w:r w:rsidR="00B0167E" w:rsidRPr="00B0167E">
        <w:t>.</w:t>
      </w:r>
      <w:r w:rsidR="004D6DB7" w:rsidRPr="00B0167E">
        <w:rPr>
          <w:lang w:val="fr-FR"/>
        </w:rPr>
        <w:t xml:space="preserve"> Ils</w:t>
      </w:r>
      <w:r w:rsidR="004D6DB7" w:rsidRPr="00A85482">
        <w:rPr>
          <w:lang w:val="fr-FR"/>
        </w:rPr>
        <w:t xml:space="preserve"> sont majoritairement orientés vers des professions recherchées sur le marché du travail.</w:t>
      </w:r>
    </w:p>
    <w:p w14:paraId="102DFD05" w14:textId="354A2562" w:rsidR="004D6DB7" w:rsidRPr="000D6387" w:rsidRDefault="00AA6E94" w:rsidP="004D6DB7">
      <w:pPr>
        <w:pStyle w:val="SingleTxt"/>
        <w:rPr>
          <w:lang w:val="fr-FR"/>
        </w:rPr>
      </w:pPr>
      <w:r w:rsidRPr="000D6387">
        <w:rPr>
          <w:lang w:val="fr-FR"/>
        </w:rPr>
        <w:tab/>
      </w:r>
      <w:r w:rsidR="004D6DB7" w:rsidRPr="000D6387">
        <w:rPr>
          <w:lang w:val="fr-FR"/>
        </w:rPr>
        <w:t xml:space="preserve">Pour l’année </w:t>
      </w:r>
      <w:r w:rsidR="004D6DB7" w:rsidRPr="00280912">
        <w:rPr>
          <w:lang w:val="fr-FR"/>
        </w:rPr>
        <w:t>2019</w:t>
      </w:r>
      <w:r w:rsidR="004D6DB7" w:rsidRPr="000D6387">
        <w:rPr>
          <w:lang w:val="fr-FR"/>
        </w:rPr>
        <w:t xml:space="preserve">, </w:t>
      </w:r>
      <w:r w:rsidR="004D6DB7" w:rsidRPr="00280912">
        <w:rPr>
          <w:lang w:val="fr-FR"/>
        </w:rPr>
        <w:t>17</w:t>
      </w:r>
      <w:r w:rsidR="004D6DB7" w:rsidRPr="000D6387">
        <w:rPr>
          <w:lang w:val="fr-FR"/>
        </w:rPr>
        <w:t xml:space="preserve"> </w:t>
      </w:r>
      <w:r w:rsidR="004D6DB7" w:rsidRPr="00280912">
        <w:rPr>
          <w:lang w:val="fr-FR"/>
        </w:rPr>
        <w:t>872</w:t>
      </w:r>
      <w:r w:rsidR="004D6DB7" w:rsidRPr="000D6387">
        <w:rPr>
          <w:lang w:val="fr-FR"/>
        </w:rPr>
        <w:t xml:space="preserve"> personnes au chômage (dont </w:t>
      </w:r>
      <w:r w:rsidR="004D6DB7" w:rsidRPr="00280912">
        <w:rPr>
          <w:lang w:val="fr-FR"/>
        </w:rPr>
        <w:t>6</w:t>
      </w:r>
      <w:r w:rsidR="004D6DB7" w:rsidRPr="000D6387">
        <w:rPr>
          <w:lang w:val="fr-FR"/>
        </w:rPr>
        <w:t xml:space="preserve"> </w:t>
      </w:r>
      <w:r w:rsidR="004D6DB7" w:rsidRPr="00280912">
        <w:rPr>
          <w:lang w:val="fr-FR"/>
        </w:rPr>
        <w:t>799</w:t>
      </w:r>
      <w:r w:rsidR="004D6DB7" w:rsidRPr="000D6387">
        <w:rPr>
          <w:lang w:val="fr-FR"/>
        </w:rPr>
        <w:t xml:space="preserve"> femmes) ont été affectées temporairement à des travaux d’intérêt général rémunérés.</w:t>
      </w:r>
    </w:p>
    <w:p w14:paraId="4F50570C" w14:textId="7888EBD4" w:rsidR="004D6DB7" w:rsidRPr="000D6387" w:rsidRDefault="00AA6E94" w:rsidP="004D6DB7">
      <w:pPr>
        <w:pStyle w:val="SingleTxt"/>
        <w:rPr>
          <w:lang w:val="fr-FR"/>
        </w:rPr>
      </w:pPr>
      <w:r w:rsidRPr="000D6387">
        <w:rPr>
          <w:lang w:val="fr-FR"/>
        </w:rPr>
        <w:tab/>
      </w:r>
      <w:r w:rsidR="004D6DB7" w:rsidRPr="000D6387">
        <w:rPr>
          <w:lang w:val="fr-FR"/>
        </w:rPr>
        <w:t xml:space="preserve">L’une des mesures les plus efficaces est l’organisation de foires à l’emploi. Elle permet aux personnes au chômage de trouver des informations sur les postes à pourvoir dans les différentes organisations et entreprises, mais aussi d’établir des liens directs entre employeurs et demandeurs d’emploi. Sur les </w:t>
      </w:r>
      <w:r w:rsidR="004D6DB7" w:rsidRPr="00280912">
        <w:rPr>
          <w:lang w:val="fr-FR"/>
        </w:rPr>
        <w:t>12</w:t>
      </w:r>
      <w:r w:rsidR="004D6DB7" w:rsidRPr="000D6387">
        <w:rPr>
          <w:lang w:val="fr-FR"/>
        </w:rPr>
        <w:t xml:space="preserve"> mois de l’année </w:t>
      </w:r>
      <w:r w:rsidR="004D6DB7" w:rsidRPr="00280912">
        <w:rPr>
          <w:lang w:val="fr-FR"/>
        </w:rPr>
        <w:t>2019</w:t>
      </w:r>
      <w:r w:rsidR="004D6DB7" w:rsidRPr="000D6387">
        <w:rPr>
          <w:lang w:val="fr-FR"/>
        </w:rPr>
        <w:t xml:space="preserve">, </w:t>
      </w:r>
      <w:r w:rsidR="004D6DB7" w:rsidRPr="00280912">
        <w:rPr>
          <w:lang w:val="fr-FR"/>
        </w:rPr>
        <w:t>52</w:t>
      </w:r>
      <w:r w:rsidR="004D6DB7" w:rsidRPr="000D6387">
        <w:rPr>
          <w:lang w:val="fr-FR"/>
        </w:rPr>
        <w:t xml:space="preserve"> foires à l’emploi ont été organisées dans le pays ; </w:t>
      </w:r>
      <w:r w:rsidR="004D6DB7" w:rsidRPr="00280912">
        <w:rPr>
          <w:lang w:val="fr-FR"/>
        </w:rPr>
        <w:t>2</w:t>
      </w:r>
      <w:r w:rsidR="004D6DB7" w:rsidRPr="000D6387">
        <w:rPr>
          <w:lang w:val="fr-FR"/>
        </w:rPr>
        <w:t> </w:t>
      </w:r>
      <w:r w:rsidR="004D6DB7" w:rsidRPr="00280912">
        <w:rPr>
          <w:lang w:val="fr-FR"/>
        </w:rPr>
        <w:t>469</w:t>
      </w:r>
      <w:r w:rsidR="004D6DB7" w:rsidRPr="000D6387">
        <w:rPr>
          <w:lang w:val="fr-FR"/>
        </w:rPr>
        <w:t xml:space="preserve"> candidatures ont été soumises, parmi lesquelles </w:t>
      </w:r>
      <w:r w:rsidR="004D6DB7" w:rsidRPr="00280912">
        <w:rPr>
          <w:lang w:val="fr-FR"/>
        </w:rPr>
        <w:t>771</w:t>
      </w:r>
      <w:r w:rsidR="004D6DB7" w:rsidRPr="000D6387">
        <w:rPr>
          <w:lang w:val="fr-FR"/>
        </w:rPr>
        <w:t xml:space="preserve"> ont débouché sur une embauche, et </w:t>
      </w:r>
      <w:r w:rsidR="004D6DB7" w:rsidRPr="00280912">
        <w:rPr>
          <w:lang w:val="fr-FR"/>
        </w:rPr>
        <w:t>839</w:t>
      </w:r>
      <w:r w:rsidR="004D6DB7" w:rsidRPr="000D6387">
        <w:rPr>
          <w:lang w:val="fr-FR"/>
        </w:rPr>
        <w:t xml:space="preserve"> employeurs ont participé à ces manifestations.</w:t>
      </w:r>
    </w:p>
    <w:p w14:paraId="582843F8" w14:textId="68873023" w:rsidR="004D6DB7" w:rsidRPr="000D6387" w:rsidRDefault="00AA6E94" w:rsidP="004D6DB7">
      <w:pPr>
        <w:pStyle w:val="SingleTxt"/>
        <w:rPr>
          <w:lang w:val="fr-FR"/>
        </w:rPr>
      </w:pPr>
      <w:r w:rsidRPr="000D6387">
        <w:rPr>
          <w:lang w:val="fr-FR"/>
        </w:rPr>
        <w:tab/>
      </w:r>
      <w:r w:rsidR="004D6DB7" w:rsidRPr="000D6387">
        <w:rPr>
          <w:lang w:val="fr-FR"/>
        </w:rPr>
        <w:t xml:space="preserve">Pour améliorer les connaissances et l’information juridiques de la population, notamment des femmes, faciliter l’accès à la justice, garantir le respect des droits et intérêts légitimes des citoyens et les aider à faire valoir leurs droits, le Centre de coordination de l’aide juridictionnelle a organisé en </w:t>
      </w:r>
      <w:r w:rsidR="004D6DB7" w:rsidRPr="00280912">
        <w:rPr>
          <w:lang w:val="fr-FR"/>
        </w:rPr>
        <w:t>2019</w:t>
      </w:r>
      <w:r w:rsidR="004D6DB7" w:rsidRPr="000D6387">
        <w:rPr>
          <w:lang w:val="fr-FR"/>
        </w:rPr>
        <w:t xml:space="preserve"> </w:t>
      </w:r>
      <w:r w:rsidR="004D6DB7" w:rsidRPr="00280912">
        <w:rPr>
          <w:lang w:val="fr-FR"/>
        </w:rPr>
        <w:t>72</w:t>
      </w:r>
      <w:r w:rsidR="004D6DB7" w:rsidRPr="000D6387">
        <w:rPr>
          <w:lang w:val="fr-FR"/>
        </w:rPr>
        <w:t xml:space="preserve"> manifestations à visée d’information et de sensibilisation qui ont touché quelque </w:t>
      </w:r>
      <w:r w:rsidR="004D6DB7" w:rsidRPr="00280912">
        <w:rPr>
          <w:lang w:val="fr-FR"/>
        </w:rPr>
        <w:t>8</w:t>
      </w:r>
      <w:r w:rsidRPr="000D6387">
        <w:rPr>
          <w:lang w:val="fr-FR"/>
        </w:rPr>
        <w:t> </w:t>
      </w:r>
      <w:r w:rsidR="004D6DB7" w:rsidRPr="00280912">
        <w:rPr>
          <w:lang w:val="fr-FR"/>
        </w:rPr>
        <w:t>499</w:t>
      </w:r>
      <w:r w:rsidR="004D6DB7" w:rsidRPr="000D6387">
        <w:rPr>
          <w:lang w:val="fr-FR"/>
        </w:rPr>
        <w:t xml:space="preserve"> personnes (abstraction faite de l’audience touchée grâce à la télévision, à la radio, aux magazines, aux journaux et aux réseaux sociaux), dont :</w:t>
      </w:r>
    </w:p>
    <w:p w14:paraId="1BC46E6B" w14:textId="3D64BF00" w:rsidR="004D6DB7" w:rsidRPr="000D6387" w:rsidRDefault="00AA6E94" w:rsidP="005D4517">
      <w:pPr>
        <w:pStyle w:val="SingleTxt"/>
        <w:tabs>
          <w:tab w:val="right" w:pos="1685"/>
        </w:tabs>
        <w:ind w:left="1742" w:hanging="475"/>
        <w:rPr>
          <w:bCs/>
          <w:lang w:val="fr-FR"/>
        </w:rPr>
      </w:pPr>
      <w:r w:rsidRPr="000D6387">
        <w:rPr>
          <w:lang w:val="fr-FR"/>
        </w:rPr>
        <w:tab/>
        <w:t>–</w:t>
      </w:r>
      <w:r w:rsidRPr="000D6387">
        <w:rPr>
          <w:lang w:val="fr-FR"/>
        </w:rPr>
        <w:tab/>
      </w:r>
      <w:r w:rsidR="004D6DB7" w:rsidRPr="00280912">
        <w:rPr>
          <w:bCs/>
          <w:lang w:val="fr-FR"/>
        </w:rPr>
        <w:t>35</w:t>
      </w:r>
      <w:r w:rsidR="004D6DB7" w:rsidRPr="000D6387">
        <w:rPr>
          <w:bCs/>
          <w:lang w:val="fr-FR"/>
        </w:rPr>
        <w:t xml:space="preserve"> émissions télévisées, </w:t>
      </w:r>
      <w:r w:rsidR="004D6DB7" w:rsidRPr="00280912">
        <w:rPr>
          <w:bCs/>
          <w:lang w:val="fr-FR"/>
        </w:rPr>
        <w:t>15</w:t>
      </w:r>
      <w:r w:rsidR="004D6DB7" w:rsidRPr="000D6387">
        <w:rPr>
          <w:bCs/>
          <w:lang w:val="fr-FR"/>
        </w:rPr>
        <w:t xml:space="preserve"> émissions radiodiffusées</w:t>
      </w:r>
      <w:r w:rsidR="005E483C" w:rsidRPr="000D6387">
        <w:rPr>
          <w:bCs/>
          <w:lang w:val="fr-FR"/>
        </w:rPr>
        <w:t> ;</w:t>
      </w:r>
    </w:p>
    <w:p w14:paraId="59CCB2DF" w14:textId="62709CFE" w:rsidR="004D6DB7" w:rsidRPr="000D6387" w:rsidRDefault="00AA6E94" w:rsidP="005D4517">
      <w:pPr>
        <w:pStyle w:val="SingleTxt"/>
        <w:tabs>
          <w:tab w:val="right" w:pos="1685"/>
        </w:tabs>
        <w:ind w:left="1742" w:hanging="475"/>
        <w:rPr>
          <w:bCs/>
          <w:lang w:val="fr-FR"/>
        </w:rPr>
      </w:pPr>
      <w:r w:rsidRPr="000D6387">
        <w:rPr>
          <w:lang w:val="fr-FR"/>
        </w:rPr>
        <w:tab/>
        <w:t>–</w:t>
      </w:r>
      <w:r w:rsidRPr="000D6387">
        <w:rPr>
          <w:lang w:val="fr-FR"/>
        </w:rPr>
        <w:tab/>
      </w:r>
      <w:r w:rsidR="004D6DB7" w:rsidRPr="00280912">
        <w:rPr>
          <w:bCs/>
          <w:lang w:val="fr-FR"/>
        </w:rPr>
        <w:t>12</w:t>
      </w:r>
      <w:r w:rsidR="004D6DB7" w:rsidRPr="000D6387">
        <w:rPr>
          <w:bCs/>
          <w:lang w:val="fr-FR"/>
        </w:rPr>
        <w:t xml:space="preserve"> publications dans des journaux ou des magazines</w:t>
      </w:r>
      <w:r w:rsidR="005E483C" w:rsidRPr="000D6387">
        <w:rPr>
          <w:bCs/>
          <w:lang w:val="fr-FR"/>
        </w:rPr>
        <w:t> ;</w:t>
      </w:r>
    </w:p>
    <w:p w14:paraId="1CF6F11A" w14:textId="044EB90E" w:rsidR="004D6DB7" w:rsidRPr="000D6387" w:rsidRDefault="00AA6E94" w:rsidP="005D4517">
      <w:pPr>
        <w:pStyle w:val="SingleTxt"/>
        <w:tabs>
          <w:tab w:val="right" w:pos="1685"/>
        </w:tabs>
        <w:ind w:left="1742" w:hanging="475"/>
        <w:rPr>
          <w:bCs/>
          <w:lang w:val="fr-FR"/>
        </w:rPr>
      </w:pPr>
      <w:r w:rsidRPr="000D6387">
        <w:rPr>
          <w:lang w:val="fr-FR"/>
        </w:rPr>
        <w:tab/>
        <w:t>–</w:t>
      </w:r>
      <w:r w:rsidRPr="000D6387">
        <w:rPr>
          <w:lang w:val="fr-FR"/>
        </w:rPr>
        <w:tab/>
      </w:r>
      <w:r w:rsidR="004D6DB7" w:rsidRPr="00280912">
        <w:rPr>
          <w:bCs/>
          <w:lang w:val="fr-FR"/>
        </w:rPr>
        <w:t>42</w:t>
      </w:r>
      <w:r w:rsidR="004D6DB7" w:rsidRPr="000D6387">
        <w:rPr>
          <w:bCs/>
          <w:lang w:val="fr-FR"/>
        </w:rPr>
        <w:t xml:space="preserve"> publications sur Internet et sur les réseaux sociaux</w:t>
      </w:r>
      <w:r w:rsidR="005E483C" w:rsidRPr="000D6387">
        <w:rPr>
          <w:bCs/>
          <w:lang w:val="fr-FR"/>
        </w:rPr>
        <w:t> ;</w:t>
      </w:r>
    </w:p>
    <w:p w14:paraId="488C2EFD" w14:textId="0427BE0E" w:rsidR="004D6DB7" w:rsidRPr="000D6387" w:rsidRDefault="00AA6E94" w:rsidP="005D4517">
      <w:pPr>
        <w:pStyle w:val="SingleTxt"/>
        <w:tabs>
          <w:tab w:val="right" w:pos="1685"/>
        </w:tabs>
        <w:ind w:left="1742" w:hanging="475"/>
        <w:rPr>
          <w:bCs/>
          <w:lang w:val="fr-FR"/>
        </w:rPr>
      </w:pPr>
      <w:r w:rsidRPr="000D6387">
        <w:rPr>
          <w:lang w:val="fr-FR"/>
        </w:rPr>
        <w:tab/>
        <w:t>–</w:t>
      </w:r>
      <w:r w:rsidRPr="000D6387">
        <w:rPr>
          <w:lang w:val="fr-FR"/>
        </w:rPr>
        <w:tab/>
      </w:r>
      <w:r w:rsidR="004D6DB7" w:rsidRPr="00280912">
        <w:rPr>
          <w:bCs/>
          <w:lang w:val="fr-FR"/>
        </w:rPr>
        <w:t>17</w:t>
      </w:r>
      <w:r w:rsidR="004D6DB7" w:rsidRPr="000D6387">
        <w:rPr>
          <w:bCs/>
          <w:lang w:val="fr-FR"/>
        </w:rPr>
        <w:t xml:space="preserve"> réunions publiques (ayant attiré plus de </w:t>
      </w:r>
      <w:r w:rsidR="004D6DB7" w:rsidRPr="00280912">
        <w:rPr>
          <w:bCs/>
          <w:lang w:val="fr-FR"/>
        </w:rPr>
        <w:t>600</w:t>
      </w:r>
      <w:r w:rsidR="004D6DB7" w:rsidRPr="000D6387">
        <w:rPr>
          <w:bCs/>
          <w:lang w:val="fr-FR"/>
        </w:rPr>
        <w:t xml:space="preserve"> personnes) ;</w:t>
      </w:r>
    </w:p>
    <w:p w14:paraId="44F370C2" w14:textId="003E993A" w:rsidR="004D6DB7" w:rsidRPr="000D6387" w:rsidRDefault="00AA6E94" w:rsidP="005D4517">
      <w:pPr>
        <w:pStyle w:val="SingleTxt"/>
        <w:tabs>
          <w:tab w:val="right" w:pos="1685"/>
        </w:tabs>
        <w:ind w:left="1742" w:hanging="475"/>
        <w:rPr>
          <w:bCs/>
          <w:lang w:val="fr-FR"/>
        </w:rPr>
      </w:pPr>
      <w:r w:rsidRPr="000D6387">
        <w:rPr>
          <w:lang w:val="fr-FR"/>
        </w:rPr>
        <w:tab/>
        <w:t>–</w:t>
      </w:r>
      <w:r w:rsidRPr="000D6387">
        <w:rPr>
          <w:lang w:val="fr-FR"/>
        </w:rPr>
        <w:tab/>
      </w:r>
      <w:r w:rsidR="004D6DB7" w:rsidRPr="00280912">
        <w:rPr>
          <w:bCs/>
          <w:lang w:val="fr-FR"/>
        </w:rPr>
        <w:t>24</w:t>
      </w:r>
      <w:r w:rsidR="004D6DB7" w:rsidRPr="000D6387">
        <w:rPr>
          <w:bCs/>
          <w:lang w:val="fr-FR"/>
        </w:rPr>
        <w:t xml:space="preserve"> réunions avec le personnel des collectivités territoriales, des forces de l’ordre, de l’appareil judiciaire et d’autres administrations (ayant permis de toucher plus de </w:t>
      </w:r>
      <w:r w:rsidR="004D6DB7" w:rsidRPr="00280912">
        <w:rPr>
          <w:bCs/>
          <w:lang w:val="fr-FR"/>
        </w:rPr>
        <w:t>300</w:t>
      </w:r>
      <w:r w:rsidR="004D6DB7" w:rsidRPr="000D6387">
        <w:rPr>
          <w:bCs/>
          <w:lang w:val="fr-FR"/>
        </w:rPr>
        <w:t xml:space="preserve"> personnes) ;</w:t>
      </w:r>
    </w:p>
    <w:p w14:paraId="4A399BF1" w14:textId="2E52FC1A" w:rsidR="004D6DB7" w:rsidRPr="000D6387" w:rsidRDefault="00AA6E94" w:rsidP="005D4517">
      <w:pPr>
        <w:pStyle w:val="SingleTxt"/>
        <w:tabs>
          <w:tab w:val="right" w:pos="1685"/>
        </w:tabs>
        <w:ind w:left="1742" w:hanging="475"/>
        <w:rPr>
          <w:bCs/>
          <w:lang w:val="fr-FR"/>
        </w:rPr>
      </w:pPr>
      <w:r w:rsidRPr="000D6387">
        <w:rPr>
          <w:lang w:val="fr-FR"/>
        </w:rPr>
        <w:tab/>
        <w:t>–</w:t>
      </w:r>
      <w:r w:rsidRPr="000D6387">
        <w:rPr>
          <w:lang w:val="fr-FR"/>
        </w:rPr>
        <w:tab/>
      </w:r>
      <w:r w:rsidR="004D6DB7" w:rsidRPr="00280912">
        <w:rPr>
          <w:bCs/>
          <w:lang w:val="fr-FR"/>
        </w:rPr>
        <w:t>27</w:t>
      </w:r>
      <w:r w:rsidR="004D6DB7" w:rsidRPr="000D6387">
        <w:rPr>
          <w:bCs/>
          <w:lang w:val="fr-FR"/>
        </w:rPr>
        <w:t xml:space="preserve"> conférences destinées aux élèves et aux étudiants (ayant permis de toucher plus de </w:t>
      </w:r>
      <w:r w:rsidR="004D6DB7" w:rsidRPr="00280912">
        <w:rPr>
          <w:bCs/>
          <w:lang w:val="fr-FR"/>
        </w:rPr>
        <w:t>350</w:t>
      </w:r>
      <w:r w:rsidR="004D6DB7" w:rsidRPr="000D6387">
        <w:rPr>
          <w:bCs/>
          <w:lang w:val="fr-FR"/>
        </w:rPr>
        <w:t> personnes) ;</w:t>
      </w:r>
    </w:p>
    <w:p w14:paraId="1F2041BF" w14:textId="12E08B06" w:rsidR="004D6DB7" w:rsidRPr="000D6387" w:rsidRDefault="00AA6E94" w:rsidP="005D4517">
      <w:pPr>
        <w:pStyle w:val="SingleTxt"/>
        <w:tabs>
          <w:tab w:val="right" w:pos="1685"/>
        </w:tabs>
        <w:ind w:left="1742" w:hanging="475"/>
        <w:rPr>
          <w:bCs/>
          <w:lang w:val="fr-FR"/>
        </w:rPr>
      </w:pPr>
      <w:r w:rsidRPr="000D6387">
        <w:rPr>
          <w:lang w:val="fr-FR"/>
        </w:rPr>
        <w:tab/>
        <w:t>–</w:t>
      </w:r>
      <w:r w:rsidRPr="000D6387">
        <w:rPr>
          <w:lang w:val="fr-FR"/>
        </w:rPr>
        <w:tab/>
      </w:r>
      <w:r w:rsidR="004D6DB7" w:rsidRPr="00280912">
        <w:rPr>
          <w:bCs/>
          <w:lang w:val="fr-FR"/>
        </w:rPr>
        <w:t>3</w:t>
      </w:r>
      <w:r w:rsidR="004D6DB7" w:rsidRPr="000D6387">
        <w:rPr>
          <w:bCs/>
          <w:lang w:val="fr-FR"/>
        </w:rPr>
        <w:t xml:space="preserve"> campagnes et manifestations, y compris des tournées du « Bus de la solidarité » (ayant permis de toucher </w:t>
      </w:r>
      <w:r w:rsidR="004D6DB7" w:rsidRPr="00280912">
        <w:rPr>
          <w:bCs/>
          <w:lang w:val="fr-FR"/>
        </w:rPr>
        <w:t>7</w:t>
      </w:r>
      <w:r w:rsidR="004D6DB7" w:rsidRPr="000D6387">
        <w:rPr>
          <w:bCs/>
          <w:lang w:val="fr-FR"/>
        </w:rPr>
        <w:t> </w:t>
      </w:r>
      <w:r w:rsidR="004D6DB7" w:rsidRPr="00280912">
        <w:rPr>
          <w:bCs/>
          <w:lang w:val="fr-FR"/>
        </w:rPr>
        <w:t>249</w:t>
      </w:r>
      <w:r w:rsidR="004D6DB7" w:rsidRPr="000D6387">
        <w:rPr>
          <w:bCs/>
          <w:lang w:val="fr-FR"/>
        </w:rPr>
        <w:t xml:space="preserve"> personnes).</w:t>
      </w:r>
    </w:p>
    <w:p w14:paraId="33870405" w14:textId="39729576" w:rsidR="004D6DB7" w:rsidRPr="000D6387" w:rsidRDefault="00AA6E94" w:rsidP="004D6DB7">
      <w:pPr>
        <w:pStyle w:val="SingleTxt"/>
        <w:rPr>
          <w:b/>
          <w:lang w:val="fr-FR"/>
        </w:rPr>
      </w:pPr>
      <w:r w:rsidRPr="000D6387">
        <w:rPr>
          <w:lang w:val="fr-FR"/>
        </w:rPr>
        <w:tab/>
      </w:r>
      <w:r w:rsidR="004D6DB7" w:rsidRPr="000D6387">
        <w:rPr>
          <w:lang w:val="fr-FR"/>
        </w:rPr>
        <w:t>Par ailleurs, avec le soutien de ses partenaires, le Centre de coordination de l’aide juridictionnelle a réalisé neuf vidéos sur l’aide juridictionnelle garantie par l’</w:t>
      </w:r>
      <w:r w:rsidR="00E76891" w:rsidRPr="000D6387">
        <w:rPr>
          <w:lang w:val="fr-FR"/>
        </w:rPr>
        <w:t>État</w:t>
      </w:r>
      <w:r w:rsidR="004D6DB7" w:rsidRPr="000D6387">
        <w:rPr>
          <w:lang w:val="fr-FR"/>
        </w:rPr>
        <w:t xml:space="preserve">, qui ont été diffusés à la télévision et publiés sur les médias sociaux (Internet). Plus de </w:t>
      </w:r>
      <w:r w:rsidR="004D6DB7" w:rsidRPr="00280912">
        <w:rPr>
          <w:lang w:val="fr-FR"/>
        </w:rPr>
        <w:t>5</w:t>
      </w:r>
      <w:r w:rsidRPr="000D6387">
        <w:rPr>
          <w:lang w:val="fr-FR"/>
        </w:rPr>
        <w:t> </w:t>
      </w:r>
      <w:r w:rsidR="004D6DB7" w:rsidRPr="00280912">
        <w:rPr>
          <w:lang w:val="fr-FR"/>
        </w:rPr>
        <w:t>000</w:t>
      </w:r>
      <w:r w:rsidRPr="000D6387">
        <w:rPr>
          <w:lang w:val="fr-FR"/>
        </w:rPr>
        <w:t xml:space="preserve"> </w:t>
      </w:r>
      <w:r w:rsidR="004D6DB7" w:rsidRPr="000D6387">
        <w:rPr>
          <w:lang w:val="fr-FR"/>
        </w:rPr>
        <w:t>affiches et dépliants ont été distribués.</w:t>
      </w:r>
    </w:p>
    <w:p w14:paraId="5DB2002B" w14:textId="14FD420E" w:rsidR="004D6DB7" w:rsidRPr="000D6387" w:rsidRDefault="00AA6E94" w:rsidP="004D6DB7">
      <w:pPr>
        <w:pStyle w:val="SingleTxt"/>
        <w:rPr>
          <w:bCs/>
          <w:lang w:val="fr-FR"/>
        </w:rPr>
      </w:pPr>
      <w:r w:rsidRPr="000D6387">
        <w:rPr>
          <w:lang w:val="fr-FR"/>
        </w:rPr>
        <w:tab/>
      </w:r>
      <w:r w:rsidR="004D6DB7" w:rsidRPr="000D6387">
        <w:rPr>
          <w:lang w:val="fr-FR"/>
        </w:rPr>
        <w:t>Les femmes enceintes, les parturientes, les jeunes mères et les nouveau-nés bénéficient d’une prise en charge médicale gratuite dans le cadre du Programme de garanties de l’</w:t>
      </w:r>
      <w:r w:rsidR="00E76891" w:rsidRPr="000D6387">
        <w:rPr>
          <w:lang w:val="fr-FR"/>
        </w:rPr>
        <w:t>État</w:t>
      </w:r>
      <w:r w:rsidR="004D6DB7" w:rsidRPr="000D6387">
        <w:rPr>
          <w:lang w:val="fr-FR"/>
        </w:rPr>
        <w:t>, en application de la décision gouvernementale n</w:t>
      </w:r>
      <w:r w:rsidR="004D6DB7" w:rsidRPr="000D6387">
        <w:rPr>
          <w:vertAlign w:val="superscript"/>
          <w:lang w:val="fr-FR"/>
        </w:rPr>
        <w:t>o</w:t>
      </w:r>
      <w:r w:rsidR="00AD0A2F">
        <w:rPr>
          <w:lang w:val="fr-FR"/>
        </w:rPr>
        <w:t> </w:t>
      </w:r>
      <w:r w:rsidR="004D6DB7" w:rsidRPr="00280912">
        <w:rPr>
          <w:lang w:val="fr-FR"/>
        </w:rPr>
        <w:t>790</w:t>
      </w:r>
      <w:r w:rsidR="004D6DB7" w:rsidRPr="000D6387">
        <w:rPr>
          <w:lang w:val="fr-FR"/>
        </w:rPr>
        <w:t xml:space="preserve"> du </w:t>
      </w:r>
      <w:r w:rsidR="004D6DB7" w:rsidRPr="00280912">
        <w:rPr>
          <w:lang w:val="fr-FR"/>
        </w:rPr>
        <w:t>20</w:t>
      </w:r>
      <w:r w:rsidR="00AD0A2F">
        <w:rPr>
          <w:lang w:val="fr-FR"/>
        </w:rPr>
        <w:t> </w:t>
      </w:r>
      <w:r w:rsidR="004D6DB7" w:rsidRPr="000D6387">
        <w:rPr>
          <w:lang w:val="fr-FR"/>
        </w:rPr>
        <w:t xml:space="preserve">novembre </w:t>
      </w:r>
      <w:r w:rsidR="004D6DB7" w:rsidRPr="00280912">
        <w:rPr>
          <w:lang w:val="fr-FR"/>
        </w:rPr>
        <w:t>2015</w:t>
      </w:r>
      <w:r w:rsidR="004D6DB7" w:rsidRPr="000D6387">
        <w:rPr>
          <w:lang w:val="fr-FR"/>
        </w:rPr>
        <w:t xml:space="preserve"> sur le programme de garanties de l’</w:t>
      </w:r>
      <w:r w:rsidR="00E76891" w:rsidRPr="000D6387">
        <w:rPr>
          <w:lang w:val="fr-FR"/>
        </w:rPr>
        <w:t>État</w:t>
      </w:r>
      <w:r w:rsidR="004D6DB7" w:rsidRPr="000D6387">
        <w:rPr>
          <w:lang w:val="fr-FR"/>
        </w:rPr>
        <w:t xml:space="preserve"> concernant les soins médicaux, dont la section II définit les catégories de personnes ayant droit à une prise en charge médicale gratuite dans le cadre d’une hospitalisation en ambulatoire ou d’une hospitalisation complète, à savoir :</w:t>
      </w:r>
    </w:p>
    <w:p w14:paraId="10BD4EFC" w14:textId="618FC760" w:rsidR="004D6DB7" w:rsidRPr="000D6387" w:rsidRDefault="00AA6E94" w:rsidP="004D6DB7">
      <w:pPr>
        <w:pStyle w:val="SingleTxt"/>
        <w:rPr>
          <w:lang w:val="fr-FR"/>
        </w:rPr>
      </w:pPr>
      <w:r w:rsidRPr="000D6387">
        <w:rPr>
          <w:lang w:val="fr-FR"/>
        </w:rPr>
        <w:tab/>
      </w:r>
      <w:r w:rsidR="004D6DB7" w:rsidRPr="00280912">
        <w:rPr>
          <w:lang w:val="fr-FR"/>
        </w:rPr>
        <w:t>1</w:t>
      </w:r>
      <w:r w:rsidR="004D6DB7" w:rsidRPr="000D6387">
        <w:rPr>
          <w:lang w:val="fr-FR"/>
        </w:rPr>
        <w:t>.</w:t>
      </w:r>
      <w:r w:rsidRPr="000D6387">
        <w:rPr>
          <w:lang w:val="fr-FR"/>
        </w:rPr>
        <w:tab/>
      </w:r>
      <w:r w:rsidR="004D6DB7" w:rsidRPr="000D6387">
        <w:rPr>
          <w:lang w:val="fr-FR"/>
        </w:rPr>
        <w:t>Les femmes ayant déclaré leur grossesse.</w:t>
      </w:r>
    </w:p>
    <w:p w14:paraId="498BD976" w14:textId="14BB1B05" w:rsidR="004D6DB7" w:rsidRPr="000D6387" w:rsidRDefault="00AA6E94" w:rsidP="008F11B3">
      <w:pPr>
        <w:pStyle w:val="SingleTxt"/>
        <w:rPr>
          <w:lang w:val="fr-FR"/>
        </w:rPr>
      </w:pPr>
      <w:r w:rsidRPr="000D6387">
        <w:rPr>
          <w:lang w:val="fr-FR"/>
        </w:rPr>
        <w:tab/>
      </w:r>
      <w:r w:rsidR="004D6DB7" w:rsidRPr="00280912">
        <w:rPr>
          <w:lang w:val="fr-FR"/>
        </w:rPr>
        <w:t>2</w:t>
      </w:r>
      <w:r w:rsidR="004D6DB7" w:rsidRPr="000D6387">
        <w:rPr>
          <w:lang w:val="fr-FR"/>
        </w:rPr>
        <w:t>.</w:t>
      </w:r>
      <w:r w:rsidRPr="000D6387">
        <w:rPr>
          <w:lang w:val="fr-FR"/>
        </w:rPr>
        <w:tab/>
      </w:r>
      <w:r w:rsidR="004D6DB7" w:rsidRPr="000D6387">
        <w:rPr>
          <w:lang w:val="fr-FR"/>
        </w:rPr>
        <w:t>Les femmes suivies à l’hôpital pour une grossesse pathologique (diagnostic principal).</w:t>
      </w:r>
    </w:p>
    <w:p w14:paraId="15225B63" w14:textId="6908448A" w:rsidR="004D6DB7" w:rsidRPr="000D6387" w:rsidRDefault="00AA6E94" w:rsidP="008F11B3">
      <w:pPr>
        <w:pStyle w:val="SingleTxt"/>
        <w:rPr>
          <w:lang w:val="fr-FR"/>
        </w:rPr>
      </w:pPr>
      <w:r w:rsidRPr="000D6387">
        <w:rPr>
          <w:lang w:val="fr-FR"/>
        </w:rPr>
        <w:tab/>
      </w:r>
      <w:r w:rsidR="004D6DB7" w:rsidRPr="00280912">
        <w:rPr>
          <w:lang w:val="fr-FR"/>
        </w:rPr>
        <w:t>3</w:t>
      </w:r>
      <w:r w:rsidR="004D6DB7" w:rsidRPr="000D6387">
        <w:rPr>
          <w:lang w:val="fr-FR"/>
        </w:rPr>
        <w:t>.</w:t>
      </w:r>
      <w:r w:rsidRPr="000D6387">
        <w:rPr>
          <w:lang w:val="fr-FR"/>
        </w:rPr>
        <w:tab/>
      </w:r>
      <w:r w:rsidR="004D6DB7" w:rsidRPr="000D6387">
        <w:rPr>
          <w:lang w:val="fr-FR"/>
        </w:rPr>
        <w:t>Les femmes hospitalisées pour une interruption de grossesse pour raisons médicales ou sociales.</w:t>
      </w:r>
    </w:p>
    <w:p w14:paraId="62189E6F" w14:textId="12BC93BC" w:rsidR="004D6DB7" w:rsidRPr="000D6387" w:rsidRDefault="00AA6E94" w:rsidP="004D6DB7">
      <w:pPr>
        <w:pStyle w:val="SingleTxt"/>
        <w:rPr>
          <w:lang w:val="fr-FR"/>
        </w:rPr>
      </w:pPr>
      <w:r w:rsidRPr="000D6387">
        <w:rPr>
          <w:lang w:val="fr-FR"/>
        </w:rPr>
        <w:tab/>
      </w:r>
      <w:r w:rsidR="004D6DB7" w:rsidRPr="00280912">
        <w:rPr>
          <w:lang w:val="fr-FR"/>
        </w:rPr>
        <w:t>4</w:t>
      </w:r>
      <w:r w:rsidR="004D6DB7" w:rsidRPr="000D6387">
        <w:rPr>
          <w:lang w:val="fr-FR"/>
        </w:rPr>
        <w:t>.</w:t>
      </w:r>
      <w:r w:rsidRPr="000D6387">
        <w:rPr>
          <w:lang w:val="fr-FR"/>
        </w:rPr>
        <w:tab/>
      </w:r>
      <w:r w:rsidR="004D6DB7" w:rsidRPr="000D6387">
        <w:rPr>
          <w:lang w:val="fr-FR"/>
        </w:rPr>
        <w:t>Les parturientes.</w:t>
      </w:r>
    </w:p>
    <w:p w14:paraId="6582EE60" w14:textId="7D3A4509" w:rsidR="004D6DB7" w:rsidRPr="000D6387" w:rsidRDefault="00AA6E94" w:rsidP="008F11B3">
      <w:pPr>
        <w:pStyle w:val="SingleTxt"/>
        <w:rPr>
          <w:lang w:val="fr-FR"/>
        </w:rPr>
      </w:pPr>
      <w:r w:rsidRPr="000D6387">
        <w:rPr>
          <w:lang w:val="fr-FR"/>
        </w:rPr>
        <w:tab/>
      </w:r>
      <w:r w:rsidR="004D6DB7" w:rsidRPr="00280912">
        <w:rPr>
          <w:lang w:val="fr-FR"/>
        </w:rPr>
        <w:t>5</w:t>
      </w:r>
      <w:r w:rsidR="004D6DB7" w:rsidRPr="000D6387">
        <w:rPr>
          <w:lang w:val="fr-FR"/>
        </w:rPr>
        <w:t>.</w:t>
      </w:r>
      <w:r w:rsidRPr="000D6387">
        <w:rPr>
          <w:lang w:val="fr-FR"/>
        </w:rPr>
        <w:tab/>
      </w:r>
      <w:r w:rsidR="004D6DB7" w:rsidRPr="000D6387">
        <w:rPr>
          <w:lang w:val="fr-FR"/>
        </w:rPr>
        <w:t xml:space="preserve">Les femmes souffrant de complications obstétricales dans les </w:t>
      </w:r>
      <w:r w:rsidR="004D6DB7" w:rsidRPr="00280912">
        <w:rPr>
          <w:lang w:val="fr-FR"/>
        </w:rPr>
        <w:t>10</w:t>
      </w:r>
      <w:r w:rsidR="004D6DB7" w:rsidRPr="000D6387">
        <w:rPr>
          <w:lang w:val="fr-FR"/>
        </w:rPr>
        <w:t xml:space="preserve"> semaines suivant l’accouchement.</w:t>
      </w:r>
    </w:p>
    <w:p w14:paraId="6AFFC1D9" w14:textId="0F6C9315" w:rsidR="004D6DB7" w:rsidRPr="000D6387" w:rsidRDefault="00AA6E94" w:rsidP="004D6DB7">
      <w:pPr>
        <w:pStyle w:val="SingleTxt"/>
        <w:rPr>
          <w:lang w:val="fr-FR"/>
        </w:rPr>
      </w:pPr>
      <w:r w:rsidRPr="000D6387">
        <w:rPr>
          <w:lang w:val="fr-FR"/>
        </w:rPr>
        <w:tab/>
      </w:r>
      <w:r w:rsidR="004D6DB7" w:rsidRPr="000D6387">
        <w:rPr>
          <w:lang w:val="fr-FR"/>
        </w:rPr>
        <w:t xml:space="preserve">Le Ministère de la santé a mis en place un service médical aérien, composé de spécialistes de troisième niveau hautement qualifiés, qui apporte une aide médicale d’urgence en obstétrique et en néonatologie aux femmes enceintes, aux parturientes et aux jeunes mères des catégories à haut risque dans les régions reculées, ce qui permet de préserver la vie non seulement de ces femmes, mais aussi de leurs nouveau-nés. Le système de référence, qui couvre toutes les maternités du pays, a été amélioré, ce qui a permis d’augmenter le nombre de naissances dans les maternités de deuxième niveau et dans les établissements de santé régionaux. </w:t>
      </w:r>
    </w:p>
    <w:p w14:paraId="70BC8E07" w14:textId="67502660" w:rsidR="004D6DB7" w:rsidRPr="000D6387" w:rsidRDefault="00AA6E94" w:rsidP="004D6DB7">
      <w:pPr>
        <w:pStyle w:val="SingleTxt"/>
        <w:rPr>
          <w:lang w:val="fr-FR"/>
        </w:rPr>
      </w:pPr>
      <w:r w:rsidRPr="000D6387">
        <w:rPr>
          <w:lang w:val="fr-FR"/>
        </w:rPr>
        <w:tab/>
      </w:r>
      <w:r w:rsidR="004D6DB7" w:rsidRPr="000D6387">
        <w:rPr>
          <w:lang w:val="fr-FR"/>
        </w:rPr>
        <w:t>En application de la décision gouvernementale n</w:t>
      </w:r>
      <w:r w:rsidR="004D6DB7" w:rsidRPr="000D6387">
        <w:rPr>
          <w:vertAlign w:val="superscript"/>
          <w:lang w:val="fr-FR"/>
        </w:rPr>
        <w:t>o</w:t>
      </w:r>
      <w:r w:rsidR="004D6DB7" w:rsidRPr="000D6387">
        <w:rPr>
          <w:lang w:val="fr-FR"/>
        </w:rPr>
        <w:t xml:space="preserve"> </w:t>
      </w:r>
      <w:r w:rsidR="004D6DB7" w:rsidRPr="00280912">
        <w:rPr>
          <w:lang w:val="fr-FR"/>
        </w:rPr>
        <w:t>790</w:t>
      </w:r>
      <w:r w:rsidR="004D6DB7" w:rsidRPr="000D6387">
        <w:rPr>
          <w:lang w:val="fr-FR"/>
        </w:rPr>
        <w:t xml:space="preserve"> du </w:t>
      </w:r>
      <w:r w:rsidR="004D6DB7" w:rsidRPr="00280912">
        <w:rPr>
          <w:lang w:val="fr-FR"/>
        </w:rPr>
        <w:t>20</w:t>
      </w:r>
      <w:r w:rsidR="004D6DB7" w:rsidRPr="000D6387">
        <w:rPr>
          <w:lang w:val="fr-FR"/>
        </w:rPr>
        <w:t xml:space="preserve"> novembre </w:t>
      </w:r>
      <w:r w:rsidR="004D6DB7" w:rsidRPr="00280912">
        <w:rPr>
          <w:lang w:val="fr-FR"/>
        </w:rPr>
        <w:t>2015</w:t>
      </w:r>
      <w:r w:rsidR="004D6DB7" w:rsidRPr="000D6387">
        <w:rPr>
          <w:lang w:val="fr-FR"/>
        </w:rPr>
        <w:t xml:space="preserve"> sur le programme de garanties de l’</w:t>
      </w:r>
      <w:r w:rsidR="00E76891" w:rsidRPr="000D6387">
        <w:rPr>
          <w:lang w:val="fr-FR"/>
        </w:rPr>
        <w:t>État</w:t>
      </w:r>
      <w:r w:rsidR="004D6DB7" w:rsidRPr="000D6387">
        <w:rPr>
          <w:lang w:val="fr-FR"/>
        </w:rPr>
        <w:t xml:space="preserve"> concernant les soins médicaux, toute personne hospitalisée en urgence bénéficie d’une prise en charge médicale gratuite jusqu’à ce ses jours ne soient plus en danger et que ses indicateurs hémodynamiques et respiratoires soient stabilisés. Les patients sont ensuite transférés pour effectuer leur convalescence, soit dans le cadre d’une hospitalisation complète, soit pour des soins en ambulatoire. La convalescence s’effectue dans le cadre d’une hospitalisation complète uniquement sur avis médical, tous les frais étant pris en charge, à condition que les patients s’acquittent de la part complémentaire conformément aux dispositions figurant en annexe de ce texte. Les personnes défavorisées vivant sous le seuil de pauvreté, les personnes sans domicile fixe, sans papier d’identité, les conscrits présentant une attestation délivrée par les services de protection sociale, par la municipalité ou par le commandant de leur unité sont exemptés du paiement de la part complémentaire sur décision de la commission sanitaire de contrôle de l’établissement de santé établie par le chef d’établissement.</w:t>
      </w:r>
    </w:p>
    <w:p w14:paraId="19BCD497" w14:textId="77777777" w:rsidR="00AA6E94" w:rsidRPr="000D6387" w:rsidRDefault="00AA6E94" w:rsidP="00AA6E94">
      <w:pPr>
        <w:pStyle w:val="SingleTxt"/>
        <w:spacing w:after="0" w:line="120" w:lineRule="exact"/>
        <w:rPr>
          <w:b/>
          <w:sz w:val="10"/>
          <w:lang w:val="fr-FR"/>
        </w:rPr>
      </w:pPr>
    </w:p>
    <w:p w14:paraId="0CA1877A" w14:textId="7C34527C" w:rsidR="004D6DB7" w:rsidRPr="000D6387" w:rsidRDefault="00AA6E94" w:rsidP="00AA6E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4D6DB7" w:rsidRPr="00280912">
        <w:rPr>
          <w:lang w:val="fr-FR"/>
        </w:rPr>
        <w:t>21</w:t>
      </w:r>
      <w:r w:rsidR="004D6DB7" w:rsidRPr="000D6387">
        <w:rPr>
          <w:lang w:val="fr-FR"/>
        </w:rPr>
        <w:t>.</w:t>
      </w:r>
      <w:r w:rsidR="004D6DB7" w:rsidRPr="000D6387">
        <w:rPr>
          <w:lang w:val="fr-FR"/>
        </w:rPr>
        <w:tab/>
        <w:t>Groupes de femmes défavorisés</w:t>
      </w:r>
    </w:p>
    <w:p w14:paraId="771B6523" w14:textId="77777777" w:rsidR="00AA6E94" w:rsidRPr="000D6387" w:rsidRDefault="00AA6E94" w:rsidP="00AA6E94">
      <w:pPr>
        <w:pStyle w:val="SingleTxt"/>
        <w:spacing w:after="0" w:line="120" w:lineRule="exact"/>
        <w:rPr>
          <w:sz w:val="10"/>
          <w:lang w:val="fr-FR"/>
        </w:rPr>
      </w:pPr>
    </w:p>
    <w:p w14:paraId="2BD6FA36" w14:textId="2712B090" w:rsidR="004D6DB7" w:rsidRPr="000D6387" w:rsidRDefault="00AA6E94" w:rsidP="004D6DB7">
      <w:pPr>
        <w:pStyle w:val="SingleTxt"/>
        <w:rPr>
          <w:lang w:val="fr-FR"/>
        </w:rPr>
      </w:pPr>
      <w:r w:rsidRPr="000D6387">
        <w:rPr>
          <w:lang w:val="fr-FR"/>
        </w:rPr>
        <w:tab/>
      </w:r>
      <w:r w:rsidR="004D6DB7" w:rsidRPr="000D6387">
        <w:rPr>
          <w:lang w:val="fr-FR"/>
        </w:rPr>
        <w:t>La loi sur l’aide juridictionnelle garantie par l’</w:t>
      </w:r>
      <w:r w:rsidR="00E76891" w:rsidRPr="000D6387">
        <w:rPr>
          <w:lang w:val="fr-FR"/>
        </w:rPr>
        <w:t>État</w:t>
      </w:r>
      <w:r w:rsidR="004D6DB7" w:rsidRPr="000D6387">
        <w:rPr>
          <w:lang w:val="fr-FR"/>
        </w:rPr>
        <w:t xml:space="preserve"> consacre le droit à une aide juridictionnelle gratuite, non seulement des citoyens du pays, mais également des ressortissants étrangers, des apatrides et des réfugiés. </w:t>
      </w:r>
    </w:p>
    <w:p w14:paraId="7149A781" w14:textId="3EBBE042" w:rsidR="004D6DB7" w:rsidRPr="000D6387" w:rsidRDefault="00AA6E94" w:rsidP="004D6DB7">
      <w:pPr>
        <w:pStyle w:val="SingleTxt"/>
        <w:rPr>
          <w:lang w:val="fr-FR"/>
        </w:rPr>
      </w:pPr>
      <w:r w:rsidRPr="000D6387">
        <w:rPr>
          <w:lang w:val="fr-FR"/>
        </w:rPr>
        <w:tab/>
      </w:r>
      <w:r w:rsidR="004D6DB7" w:rsidRPr="000D6387">
        <w:rPr>
          <w:lang w:val="fr-FR"/>
        </w:rPr>
        <w:t xml:space="preserve">En application de cette loi, le droit à une assistance juridictionnelle par un professionnel qualifié en matière civile, administrative ou pénale est reconnu aux plaignants, aux défendeurs, aux suspects, aux accusés, aux inculpés, aux condamnés, aux acquittés, aux victimes et aux témoins mineurs dont le revenu annuel ne dépasse pas </w:t>
      </w:r>
      <w:r w:rsidR="004D6DB7" w:rsidRPr="00280912">
        <w:rPr>
          <w:lang w:val="fr-FR"/>
        </w:rPr>
        <w:t>60</w:t>
      </w:r>
      <w:r w:rsidR="004D6DB7" w:rsidRPr="000D6387">
        <w:rPr>
          <w:lang w:val="fr-FR"/>
        </w:rPr>
        <w:t xml:space="preserve"> fois le montant du salaire minimum fixé chaque année dans la loi de programmation des finances publiques, à l’exception des cas prévus dans la deuxième partie de l’article de loi. </w:t>
      </w:r>
    </w:p>
    <w:p w14:paraId="31AC016A" w14:textId="48970ED4" w:rsidR="004D6DB7" w:rsidRPr="000D6387" w:rsidRDefault="00AA6E94" w:rsidP="004D6DB7">
      <w:pPr>
        <w:pStyle w:val="SingleTxt"/>
        <w:rPr>
          <w:lang w:val="fr-FR"/>
        </w:rPr>
      </w:pPr>
      <w:r w:rsidRPr="000D6387">
        <w:rPr>
          <w:lang w:val="fr-FR"/>
        </w:rPr>
        <w:tab/>
      </w:r>
      <w:r w:rsidR="004D6DB7" w:rsidRPr="000D6387">
        <w:rPr>
          <w:lang w:val="fr-FR"/>
        </w:rPr>
        <w:t>Le revenu annuel mentionné dans la première partie de l’article de loi n’est pas pris en compte dans un certain nombre de cas pour lesquels une aide juridictionnelle qualifiée est garantie, à savoir :</w:t>
      </w:r>
    </w:p>
    <w:p w14:paraId="2EBF1B99" w14:textId="126A88D8"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personnes détenues ;</w:t>
      </w:r>
    </w:p>
    <w:p w14:paraId="7492791F" w14:textId="3DAA7B87"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personnes soupçonnées ou accusées de crimes particulièrement graves, ou condamnées pour un crime de cette catégorie ;</w:t>
      </w:r>
    </w:p>
    <w:p w14:paraId="323D9179" w14:textId="6C2DA2C3"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personnes handicapées des catégories I et II ;</w:t>
      </w:r>
    </w:p>
    <w:p w14:paraId="7F02A87E" w14:textId="3A52554D"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personnes souffrant d’une maladie psychiatrique ;</w:t>
      </w:r>
    </w:p>
    <w:p w14:paraId="2406EC4D" w14:textId="0EE65F56"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vétérans de la Grande guerre patriotique et les personnes assimilées ;</w:t>
      </w:r>
    </w:p>
    <w:p w14:paraId="38A409A2" w14:textId="65FDED8F"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mineurs, pour la défense de leurs intérêts, et leurs parents (tuteurs ou curateurs) pour la défense des intérêts des enfants ;</w:t>
      </w:r>
    </w:p>
    <w:p w14:paraId="08126685" w14:textId="702CECC3"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mères célibataires élevant un ou des enfants mineurs ;</w:t>
      </w:r>
    </w:p>
    <w:p w14:paraId="44F3A78D" w14:textId="0E9061DA"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personnes élevant un ou des enfants mineurs privés de leur mère – pour les questions liées à la préservation et à la défense des droits et intérêts légitimes des enfants ;</w:t>
      </w:r>
    </w:p>
    <w:p w14:paraId="526F9EA5" w14:textId="20185E6C"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conscrits ;</w:t>
      </w:r>
    </w:p>
    <w:p w14:paraId="1F25F24A" w14:textId="119755D6"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personnes âgées résidant dans une institution publique ;</w:t>
      </w:r>
    </w:p>
    <w:p w14:paraId="0DCCCC44" w14:textId="1288B6C5"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autres cas prévus par la législation relative à la procédure pénale.</w:t>
      </w:r>
    </w:p>
    <w:p w14:paraId="04C4F5D8" w14:textId="21D86CC6" w:rsidR="004D6DB7" w:rsidRPr="000D6387" w:rsidRDefault="00AA6E94" w:rsidP="004D6DB7">
      <w:pPr>
        <w:pStyle w:val="SingleTxt"/>
        <w:rPr>
          <w:lang w:val="fr-FR"/>
        </w:rPr>
      </w:pPr>
      <w:r w:rsidRPr="000D6387">
        <w:rPr>
          <w:lang w:val="fr-FR"/>
        </w:rPr>
        <w:tab/>
      </w:r>
      <w:r w:rsidR="004D6DB7" w:rsidRPr="000D6387">
        <w:rPr>
          <w:lang w:val="fr-FR"/>
        </w:rPr>
        <w:t xml:space="preserve">Pour permettre à la population d’accéder plus aisément aux services du Centre de coordination de l’aide juridictionnelle, le Kirghizistan œuvre à l’ouverture de centres gratuits d’aide juridictionnelle dans les différents districts du pays. </w:t>
      </w:r>
    </w:p>
    <w:p w14:paraId="1318083C" w14:textId="5965B3CB" w:rsidR="004D6DB7" w:rsidRPr="000D6387" w:rsidRDefault="00AA6E94" w:rsidP="004D6DB7">
      <w:pPr>
        <w:pStyle w:val="SingleTxt"/>
        <w:rPr>
          <w:lang w:val="fr-FR"/>
        </w:rPr>
      </w:pPr>
      <w:r w:rsidRPr="000D6387">
        <w:rPr>
          <w:lang w:val="fr-FR"/>
        </w:rPr>
        <w:tab/>
      </w:r>
      <w:r w:rsidR="00E76891" w:rsidRPr="000D6387">
        <w:rPr>
          <w:lang w:val="fr-FR"/>
        </w:rPr>
        <w:t>À</w:t>
      </w:r>
      <w:r w:rsidR="004D6DB7" w:rsidRPr="000D6387">
        <w:rPr>
          <w:lang w:val="fr-FR"/>
        </w:rPr>
        <w:t xml:space="preserve"> ce jour, </w:t>
      </w:r>
      <w:r w:rsidR="004D6DB7" w:rsidRPr="00280912">
        <w:rPr>
          <w:lang w:val="fr-FR"/>
        </w:rPr>
        <w:t>26</w:t>
      </w:r>
      <w:r w:rsidR="004D6DB7" w:rsidRPr="000D6387">
        <w:rPr>
          <w:lang w:val="fr-FR"/>
        </w:rPr>
        <w:t xml:space="preserve"> centres gratuits d’aide juridictionnelle ont déjà été ouverts.</w:t>
      </w:r>
    </w:p>
    <w:p w14:paraId="1C009215" w14:textId="34ECF7CE" w:rsidR="004D6DB7" w:rsidRPr="000D6387" w:rsidRDefault="00AA6E94" w:rsidP="004D6DB7">
      <w:pPr>
        <w:pStyle w:val="SingleTxt"/>
        <w:rPr>
          <w:lang w:val="fr-FR"/>
        </w:rPr>
      </w:pPr>
      <w:r w:rsidRPr="000D6387">
        <w:rPr>
          <w:lang w:val="fr-FR"/>
        </w:rPr>
        <w:tab/>
      </w:r>
      <w:r w:rsidR="004D6DB7" w:rsidRPr="000D6387">
        <w:rPr>
          <w:lang w:val="fr-FR"/>
        </w:rPr>
        <w:t xml:space="preserve">Il est prévu d’ouvrir à terme un tel centre dans chaque district du pays. </w:t>
      </w:r>
    </w:p>
    <w:p w14:paraId="5CF0F084" w14:textId="383F71FE" w:rsidR="004D6DB7" w:rsidRPr="000D6387" w:rsidRDefault="00AA6E94" w:rsidP="004D6DB7">
      <w:pPr>
        <w:pStyle w:val="SingleTxt"/>
        <w:rPr>
          <w:bCs/>
          <w:lang w:val="fr-FR"/>
        </w:rPr>
      </w:pPr>
      <w:r w:rsidRPr="000D6387">
        <w:rPr>
          <w:lang w:val="fr-FR"/>
        </w:rPr>
        <w:tab/>
      </w:r>
      <w:r w:rsidR="004D6DB7" w:rsidRPr="000D6387">
        <w:rPr>
          <w:lang w:val="fr-FR"/>
        </w:rPr>
        <w:t xml:space="preserve">Pour informer la population et garantir l’accès à la justice, </w:t>
      </w:r>
      <w:r w:rsidR="004D6DB7" w:rsidRPr="00280912">
        <w:rPr>
          <w:lang w:val="fr-FR"/>
        </w:rPr>
        <w:t>17</w:t>
      </w:r>
      <w:r w:rsidR="004D6DB7" w:rsidRPr="000D6387">
        <w:rPr>
          <w:lang w:val="fr-FR"/>
        </w:rPr>
        <w:t xml:space="preserve"> réunions publiques ont été tenues en </w:t>
      </w:r>
      <w:r w:rsidR="004D6DB7" w:rsidRPr="00280912">
        <w:rPr>
          <w:lang w:val="fr-FR"/>
        </w:rPr>
        <w:t>2019</w:t>
      </w:r>
      <w:r w:rsidR="004D6DB7" w:rsidRPr="000D6387">
        <w:rPr>
          <w:lang w:val="fr-FR"/>
        </w:rPr>
        <w:t xml:space="preserve"> au sujet de la loi sur l’assistance juridique garantie par l’</w:t>
      </w:r>
      <w:r w:rsidR="00E76891" w:rsidRPr="000D6387">
        <w:rPr>
          <w:lang w:val="fr-FR"/>
        </w:rPr>
        <w:t>État</w:t>
      </w:r>
      <w:r w:rsidR="004D6DB7" w:rsidRPr="000D6387">
        <w:rPr>
          <w:lang w:val="fr-FR"/>
        </w:rPr>
        <w:t xml:space="preserve"> et des autres textes de loi adoptés dans le cadre de la réforme de la justice. Des informations sur l’accès à la justice ont également été proposées dans le cadre des campagnes menées par le Centre de coordination de l’aide juridictionnelle. Quelque </w:t>
      </w:r>
      <w:r w:rsidR="004D6DB7" w:rsidRPr="00280912">
        <w:rPr>
          <w:lang w:val="fr-FR"/>
        </w:rPr>
        <w:t>7</w:t>
      </w:r>
      <w:r w:rsidR="004D6DB7" w:rsidRPr="000D6387">
        <w:rPr>
          <w:lang w:val="fr-FR"/>
        </w:rPr>
        <w:t xml:space="preserve"> </w:t>
      </w:r>
      <w:r w:rsidR="004D6DB7" w:rsidRPr="00280912">
        <w:rPr>
          <w:lang w:val="fr-FR"/>
        </w:rPr>
        <w:t>249</w:t>
      </w:r>
      <w:r w:rsidR="004D6DB7" w:rsidRPr="000D6387">
        <w:rPr>
          <w:lang w:val="fr-FR"/>
        </w:rPr>
        <w:t xml:space="preserve"> personnes ont ainsi été sensibilisées à ces questions</w:t>
      </w:r>
      <w:r w:rsidR="004D6DB7" w:rsidRPr="000D6387">
        <w:rPr>
          <w:bCs/>
          <w:lang w:val="fr-FR"/>
        </w:rPr>
        <w:t>.</w:t>
      </w:r>
    </w:p>
    <w:p w14:paraId="2247DD55" w14:textId="3E0CC4B0" w:rsidR="004D6DB7" w:rsidRPr="000D6387" w:rsidRDefault="00AA6E94" w:rsidP="004D6DB7">
      <w:pPr>
        <w:pStyle w:val="SingleTxt"/>
        <w:rPr>
          <w:lang w:val="fr-FR"/>
        </w:rPr>
      </w:pPr>
      <w:r w:rsidRPr="000D6387">
        <w:rPr>
          <w:lang w:val="fr-FR"/>
        </w:rPr>
        <w:tab/>
      </w:r>
      <w:r w:rsidR="004D6DB7" w:rsidRPr="000D6387">
        <w:rPr>
          <w:lang w:val="fr-FR"/>
        </w:rPr>
        <w:t>Par ailleurs, la population est informée grâce aux moyens électroniques, notamment :</w:t>
      </w:r>
    </w:p>
    <w:p w14:paraId="3A02D681" w14:textId="14C315F2"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 site Web officiel du Centre de coordination de l’aide juridictionnelle (</w:t>
      </w:r>
      <w:hyperlink r:id="rId26" w:history="1">
        <w:r w:rsidR="004D6DB7" w:rsidRPr="00280912">
          <w:rPr>
            <w:rStyle w:val="Hyperlink"/>
            <w:lang w:val="fr-FR"/>
          </w:rPr>
          <w:t>www.ukuk-jardam.gov.kg</w:t>
        </w:r>
      </w:hyperlink>
      <w:r w:rsidR="004D6DB7" w:rsidRPr="000D6387">
        <w:rPr>
          <w:lang w:val="fr-FR"/>
        </w:rPr>
        <w:t>) ;</w:t>
      </w:r>
    </w:p>
    <w:p w14:paraId="19EBD76D" w14:textId="300B1826"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les pages ouvertes sur les réseaux sociaux (Faсebook, Instagram) ;</w:t>
      </w:r>
    </w:p>
    <w:p w14:paraId="07B42BCB" w14:textId="7F938968"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le système informatique de suivi et d’analyse de l’aide juridictionnelle, qui permet aux visiteurs de bénéficier de conseils juridiques en ligne.</w:t>
      </w:r>
    </w:p>
    <w:p w14:paraId="2600D141" w14:textId="5B691B1E" w:rsidR="004D6DB7" w:rsidRPr="000D6387" w:rsidRDefault="00AA6E94" w:rsidP="004D6DB7">
      <w:pPr>
        <w:pStyle w:val="SingleTxt"/>
        <w:rPr>
          <w:lang w:val="fr-FR"/>
        </w:rPr>
      </w:pPr>
      <w:r w:rsidRPr="000D6387">
        <w:rPr>
          <w:lang w:val="fr-FR"/>
        </w:rPr>
        <w:tab/>
      </w:r>
      <w:r w:rsidR="004D6DB7" w:rsidRPr="000D6387">
        <w:rPr>
          <w:lang w:val="fr-FR"/>
        </w:rPr>
        <w:t xml:space="preserve">En outre, pour assurer la qualité et l’efficacité de l’aide juridictionnelle, </w:t>
      </w:r>
      <w:r w:rsidR="004D6DB7" w:rsidRPr="00280912">
        <w:rPr>
          <w:lang w:val="fr-FR"/>
        </w:rPr>
        <w:t>15</w:t>
      </w:r>
      <w:r w:rsidR="005E483C" w:rsidRPr="000D6387">
        <w:rPr>
          <w:lang w:val="fr-FR"/>
        </w:rPr>
        <w:t> </w:t>
      </w:r>
      <w:r w:rsidR="004D6DB7" w:rsidRPr="000D6387">
        <w:rPr>
          <w:lang w:val="fr-FR"/>
        </w:rPr>
        <w:t>activités de formation (ateliers, séminaires, tables rondes) ont été organisées afin de renforcer les capacités des avocats inscrits à l’aide juridictionnelle d’</w:t>
      </w:r>
      <w:r w:rsidR="00E76891" w:rsidRPr="000D6387">
        <w:rPr>
          <w:lang w:val="fr-FR"/>
        </w:rPr>
        <w:t>État</w:t>
      </w:r>
      <w:r w:rsidR="004D6DB7" w:rsidRPr="000D6387">
        <w:rPr>
          <w:lang w:val="fr-FR"/>
        </w:rPr>
        <w:t xml:space="preserve"> et des juristes des centres gratuits d’aide juridictionnelle.</w:t>
      </w:r>
    </w:p>
    <w:p w14:paraId="08688189" w14:textId="01EA7912" w:rsidR="004D6DB7" w:rsidRPr="000D6387" w:rsidRDefault="00AA6E94" w:rsidP="004D6DB7">
      <w:pPr>
        <w:pStyle w:val="SingleTxt"/>
        <w:rPr>
          <w:lang w:val="fr-FR"/>
        </w:rPr>
      </w:pPr>
      <w:r w:rsidRPr="000D6387">
        <w:rPr>
          <w:lang w:val="fr-FR"/>
        </w:rPr>
        <w:tab/>
      </w:r>
      <w:r w:rsidR="004D6DB7" w:rsidRPr="000D6387">
        <w:rPr>
          <w:lang w:val="fr-FR"/>
        </w:rPr>
        <w:t>Les agents des services d’investigation du Ministère de l’intérieur et des forces de l’ordre du Kirghizistan mènent les enquêtes pénales dans le respect de la Constitution et du Code de procédure pénale, quel que soit le genre et l’identité de genre des personnes concernées.</w:t>
      </w:r>
    </w:p>
    <w:p w14:paraId="2C3E0CDC" w14:textId="1B336894" w:rsidR="004D6DB7" w:rsidRPr="000D6387" w:rsidRDefault="00AA6E94" w:rsidP="004D6DB7">
      <w:pPr>
        <w:pStyle w:val="SingleTxt"/>
        <w:rPr>
          <w:lang w:val="fr-FR"/>
        </w:rPr>
      </w:pPr>
      <w:r w:rsidRPr="000D6387">
        <w:rPr>
          <w:lang w:val="fr-FR"/>
        </w:rPr>
        <w:tab/>
      </w:r>
      <w:r w:rsidR="004D6DB7" w:rsidRPr="000D6387">
        <w:rPr>
          <w:lang w:val="fr-FR"/>
        </w:rPr>
        <w:t>La police mène un travail de prévention en matière de toxicomanie et d’utilisation de produits stupéfiants (tables rondes, conférences, réunions, manifestations sportives ou autres visant à prévenir les conduites addictives).</w:t>
      </w:r>
    </w:p>
    <w:p w14:paraId="63800E37" w14:textId="6A423F1D" w:rsidR="004D6DB7" w:rsidRPr="000D6387" w:rsidRDefault="00AA6E94" w:rsidP="004D6DB7">
      <w:pPr>
        <w:pStyle w:val="SingleTxt"/>
        <w:rPr>
          <w:lang w:val="fr-FR"/>
        </w:rPr>
      </w:pPr>
      <w:r w:rsidRPr="000D6387">
        <w:rPr>
          <w:lang w:val="fr-FR"/>
        </w:rPr>
        <w:tab/>
      </w:r>
      <w:r w:rsidR="004D6DB7" w:rsidRPr="000D6387">
        <w:rPr>
          <w:lang w:val="fr-FR"/>
        </w:rPr>
        <w:t>En ce qui concerne les mesures prises pour lutter contre les discriminations et les violences commises par la police contre les femmes appartenant aux groupes vulnérables, notamment les lesbiennes, bisexuelles, tran</w:t>
      </w:r>
      <w:r w:rsidR="00E76891" w:rsidRPr="000D6387">
        <w:rPr>
          <w:lang w:val="fr-FR"/>
        </w:rPr>
        <w:t>s</w:t>
      </w:r>
      <w:r w:rsidR="004D6DB7" w:rsidRPr="000D6387">
        <w:rPr>
          <w:lang w:val="fr-FR"/>
        </w:rPr>
        <w:t xml:space="preserve">sexuelles, les femmes vivant avec le VIH/sida et les consommatrices de drogues, il faut savoir qu’en application du Code pénal et du Code de procédure pénale, tout crime ou délit doit être enregistré dans le Registre unifié des crimes et délits. Ce registre contient des informations relatives au début des procédures préliminaires, aux actes de procédure, aux progrès de l’affaire, aux témoins et aux parties de l’affaire (par. </w:t>
      </w:r>
      <w:r w:rsidR="004D6DB7" w:rsidRPr="00280912">
        <w:rPr>
          <w:lang w:val="fr-FR"/>
        </w:rPr>
        <w:t>9</w:t>
      </w:r>
      <w:r w:rsidR="004D6DB7" w:rsidRPr="000D6387">
        <w:rPr>
          <w:lang w:val="fr-FR"/>
        </w:rPr>
        <w:t xml:space="preserve"> de l’art. </w:t>
      </w:r>
      <w:r w:rsidR="004D6DB7" w:rsidRPr="00280912">
        <w:rPr>
          <w:lang w:val="fr-FR"/>
        </w:rPr>
        <w:t>5</w:t>
      </w:r>
      <w:r w:rsidR="004D6DB7" w:rsidRPr="000D6387">
        <w:rPr>
          <w:lang w:val="fr-FR"/>
        </w:rPr>
        <w:t xml:space="preserve"> du Code de procédure pénale).</w:t>
      </w:r>
    </w:p>
    <w:p w14:paraId="42AE39F5" w14:textId="0F1DEC3B" w:rsidR="004D6DB7" w:rsidRPr="000D6387" w:rsidRDefault="00AA6E94" w:rsidP="004D6DB7">
      <w:pPr>
        <w:pStyle w:val="SingleTxt"/>
        <w:rPr>
          <w:lang w:val="fr-FR"/>
        </w:rPr>
      </w:pPr>
      <w:r w:rsidRPr="000D6387">
        <w:rPr>
          <w:lang w:val="fr-FR"/>
        </w:rPr>
        <w:tab/>
      </w:r>
      <w:r w:rsidR="004D6DB7" w:rsidRPr="000D6387">
        <w:rPr>
          <w:lang w:val="fr-FR"/>
        </w:rPr>
        <w:t xml:space="preserve">Toute activité relative à une enquête, y compris un placement en détention, doit obligatoirement être menée sur la base d’une plainte enregistrée et dans le respect d’un mandat. Le nouveau Code de procédure pénale contient en outre des garanties procédurales supplémentaires pour les suspects et les accusés. </w:t>
      </w:r>
    </w:p>
    <w:p w14:paraId="30F24E03" w14:textId="09FC4FAE" w:rsidR="004D6DB7" w:rsidRPr="000D6387" w:rsidRDefault="00AA6E94" w:rsidP="004D6DB7">
      <w:pPr>
        <w:pStyle w:val="SingleTxt"/>
        <w:rPr>
          <w:lang w:val="fr-FR"/>
        </w:rPr>
      </w:pPr>
      <w:r w:rsidRPr="000D6387">
        <w:rPr>
          <w:lang w:val="fr-FR"/>
        </w:rPr>
        <w:tab/>
      </w:r>
      <w:r w:rsidR="004D6DB7" w:rsidRPr="000D6387">
        <w:rPr>
          <w:lang w:val="fr-FR"/>
        </w:rPr>
        <w:t>Pour garantir la transparence des activités des organes relevant du Ministère de l’intérieur, des réunions publiques sont organisées par ces organes ainsi que par les organismes de formation du Ministère. Il existe des services de police dans les villes et les villages et des services de police de proximité ; le nombre de policiers de proximité est en augmentation, de même que le nombre d’inspecteurs chargés des affaires concernant les mineurs, la police du tourisme remplit sa mission, tandis que des unités de police mobile desservent les régions reculées du pays. Un service de patrouille de police a été créé à titre pilote dans la ville de Bichkek.</w:t>
      </w:r>
    </w:p>
    <w:p w14:paraId="5AA7930B" w14:textId="1B2D9698" w:rsidR="004D6DB7" w:rsidRPr="000D6387" w:rsidRDefault="00AA6E94" w:rsidP="004D6DB7">
      <w:pPr>
        <w:pStyle w:val="SingleTxt"/>
        <w:rPr>
          <w:lang w:val="fr-FR"/>
        </w:rPr>
      </w:pPr>
      <w:r w:rsidRPr="000D6387">
        <w:rPr>
          <w:lang w:val="fr-FR"/>
        </w:rPr>
        <w:tab/>
      </w:r>
      <w:r w:rsidR="004D6DB7" w:rsidRPr="000D6387">
        <w:rPr>
          <w:lang w:val="fr-FR"/>
        </w:rPr>
        <w:t xml:space="preserve">Les numéros de téléphone des lignes d’écoute et des permanences téléphoniques figurent sur le portail d’information du Ministère de l’intérieur, ainsi qu’un formulaire de contact et l’adresse email </w:t>
      </w:r>
      <w:hyperlink r:id="rId27" w:history="1">
        <w:r w:rsidR="004D6DB7" w:rsidRPr="00280912">
          <w:rPr>
            <w:rStyle w:val="Hyperlink"/>
            <w:lang w:val="fr-FR"/>
          </w:rPr>
          <w:t>sekretariat@mvd.kg</w:t>
        </w:r>
      </w:hyperlink>
      <w:r w:rsidR="004D6DB7" w:rsidRPr="00462EE0">
        <w:rPr>
          <w:lang w:val="fr-FR"/>
        </w:rPr>
        <w:t>.</w:t>
      </w:r>
      <w:r w:rsidR="004D6DB7" w:rsidRPr="000D6387">
        <w:rPr>
          <w:lang w:val="fr-FR"/>
        </w:rPr>
        <w:t xml:space="preserve"> Les services de police de la ville de Bichkek et de la région de Tchou ont créé des sites Internet pour orienter les personnes qui peuvent y poster des requêtes ou des messages et y trouver de l’information. </w:t>
      </w:r>
    </w:p>
    <w:p w14:paraId="69C0F18C" w14:textId="4847A406" w:rsidR="004D6DB7" w:rsidRPr="000D6387" w:rsidRDefault="00AA6E94" w:rsidP="004D6DB7">
      <w:pPr>
        <w:pStyle w:val="SingleTxt"/>
        <w:rPr>
          <w:lang w:val="fr-FR"/>
        </w:rPr>
      </w:pPr>
      <w:r w:rsidRPr="000D6387">
        <w:rPr>
          <w:lang w:val="fr-FR"/>
        </w:rPr>
        <w:tab/>
      </w:r>
      <w:r w:rsidR="004D6DB7" w:rsidRPr="000D6387">
        <w:rPr>
          <w:lang w:val="fr-FR"/>
        </w:rPr>
        <w:t>Un protocole clinique a été établi pour le personnel médical (Ordonnance n</w:t>
      </w:r>
      <w:r w:rsidR="004D6DB7" w:rsidRPr="000D6387">
        <w:rPr>
          <w:vertAlign w:val="superscript"/>
          <w:lang w:val="fr-FR"/>
        </w:rPr>
        <w:t>o</w:t>
      </w:r>
      <w:r w:rsidR="004D6DB7" w:rsidRPr="000D6387">
        <w:rPr>
          <w:lang w:val="fr-FR"/>
        </w:rPr>
        <w:t xml:space="preserve"> </w:t>
      </w:r>
      <w:r w:rsidR="004D6DB7" w:rsidRPr="00280912">
        <w:rPr>
          <w:lang w:val="fr-FR"/>
        </w:rPr>
        <w:t>6</w:t>
      </w:r>
      <w:r w:rsidR="004D6DB7" w:rsidRPr="000D6387">
        <w:rPr>
          <w:lang w:val="fr-FR"/>
        </w:rPr>
        <w:t xml:space="preserve"> du Ministère de la santé du </w:t>
      </w:r>
      <w:r w:rsidR="004D6DB7" w:rsidRPr="00280912">
        <w:rPr>
          <w:lang w:val="fr-FR"/>
        </w:rPr>
        <w:t>10</w:t>
      </w:r>
      <w:r w:rsidR="004D6DB7" w:rsidRPr="000D6387">
        <w:rPr>
          <w:lang w:val="fr-FR"/>
        </w:rPr>
        <w:t xml:space="preserve"> janvier </w:t>
      </w:r>
      <w:r w:rsidR="004D6DB7" w:rsidRPr="00280912">
        <w:rPr>
          <w:lang w:val="fr-FR"/>
        </w:rPr>
        <w:t>2014</w:t>
      </w:r>
      <w:r w:rsidR="004D6DB7" w:rsidRPr="000D6387">
        <w:rPr>
          <w:lang w:val="fr-FR"/>
        </w:rPr>
        <w:t>) pour la prise en charge médicale des personnes victimes de violence sexuelle. Il contient des recommandations concernant l’examen médical, l’étendue des interventions médicales, la prévention des infections sexuellement transmissibles, notamment les hépatites virales et le VIH/sida, la prévention des grossesses non désirées et la prise en charge post-traumatique des victimes de violence sexuelle, en particulier de viol. Il contient notamment des recommandations détaillées sur la manière d’interroger et de conseiller les victimes de violence sexuelle, la fourniture d’informations sur les services publics et sur les coordonnées des centres de crise et des organismes publics compétents.</w:t>
      </w:r>
    </w:p>
    <w:p w14:paraId="29FF7EEC" w14:textId="7F6C4DDF" w:rsidR="004D6DB7" w:rsidRPr="000D6387" w:rsidRDefault="00AA6E94" w:rsidP="004D6DB7">
      <w:pPr>
        <w:pStyle w:val="SingleTxt"/>
        <w:rPr>
          <w:lang w:val="fr-FR"/>
        </w:rPr>
      </w:pPr>
      <w:r w:rsidRPr="000D6387">
        <w:rPr>
          <w:lang w:val="fr-FR"/>
        </w:rPr>
        <w:tab/>
      </w:r>
      <w:r w:rsidR="004D6DB7" w:rsidRPr="000D6387">
        <w:rPr>
          <w:lang w:val="fr-FR"/>
        </w:rPr>
        <w:t xml:space="preserve">En outre, des directives cliniques ont été élaborées en </w:t>
      </w:r>
      <w:r w:rsidR="004D6DB7" w:rsidRPr="00280912">
        <w:rPr>
          <w:lang w:val="fr-FR"/>
        </w:rPr>
        <w:t>2018</w:t>
      </w:r>
      <w:r w:rsidR="004D6DB7" w:rsidRPr="000D6387">
        <w:rPr>
          <w:lang w:val="fr-FR"/>
        </w:rPr>
        <w:t xml:space="preserve"> concernant la prise en charge de la grossesse précoce et de l’accouchement (aspects cliniques et psychologiques, médico-sociaux et juridiques ainsi que les normes de protection des enfants contre les violences, y compris les grossesses précoces et les mariages d’enfants. </w:t>
      </w:r>
    </w:p>
    <w:p w14:paraId="49B4EF43" w14:textId="7E4F99B6" w:rsidR="004D6DB7" w:rsidRPr="000D6387" w:rsidRDefault="00AA6E94" w:rsidP="004D6DB7">
      <w:pPr>
        <w:pStyle w:val="SingleTxt"/>
        <w:rPr>
          <w:lang w:val="fr-FR"/>
        </w:rPr>
      </w:pPr>
      <w:r w:rsidRPr="000D6387">
        <w:rPr>
          <w:lang w:val="fr-FR"/>
        </w:rPr>
        <w:tab/>
      </w:r>
      <w:r w:rsidR="004D6DB7" w:rsidRPr="000D6387">
        <w:rPr>
          <w:lang w:val="fr-FR"/>
        </w:rPr>
        <w:t xml:space="preserve">En </w:t>
      </w:r>
      <w:r w:rsidR="004D6DB7" w:rsidRPr="00280912">
        <w:rPr>
          <w:lang w:val="fr-FR"/>
        </w:rPr>
        <w:t>2019</w:t>
      </w:r>
      <w:r w:rsidR="004D6DB7" w:rsidRPr="000D6387">
        <w:rPr>
          <w:lang w:val="fr-FR"/>
        </w:rPr>
        <w:t>, le Centre national de promotion de la santé relevant du Ministère de la santé a organisé un séminaire intitulé « Planification familiale et droits reproductifs –</w:t>
      </w:r>
      <w:r w:rsidR="005D4517" w:rsidRPr="000D6387">
        <w:rPr>
          <w:lang w:val="fr-FR"/>
        </w:rPr>
        <w:t> </w:t>
      </w:r>
      <w:r w:rsidR="004D6DB7" w:rsidRPr="000D6387">
        <w:rPr>
          <w:lang w:val="fr-FR"/>
        </w:rPr>
        <w:t xml:space="preserve">pour des services sûrs » auquel ont participé </w:t>
      </w:r>
      <w:r w:rsidR="004D6DB7" w:rsidRPr="00280912">
        <w:rPr>
          <w:lang w:val="fr-FR"/>
        </w:rPr>
        <w:t>100</w:t>
      </w:r>
      <w:r w:rsidR="004D6DB7" w:rsidRPr="000D6387">
        <w:rPr>
          <w:lang w:val="fr-FR"/>
        </w:rPr>
        <w:t xml:space="preserve"> spécialistes d’établissements de santé locaux (</w:t>
      </w:r>
      <w:r w:rsidR="004D6DB7" w:rsidRPr="00280912">
        <w:rPr>
          <w:lang w:val="fr-FR"/>
        </w:rPr>
        <w:t>42</w:t>
      </w:r>
      <w:r w:rsidR="005D4517" w:rsidRPr="000D6387">
        <w:rPr>
          <w:lang w:val="fr-FR"/>
        </w:rPr>
        <w:t> %</w:t>
      </w:r>
      <w:r w:rsidR="004D6DB7" w:rsidRPr="000D6387">
        <w:rPr>
          <w:lang w:val="fr-FR"/>
        </w:rPr>
        <w:t xml:space="preserve">). Il s’agissait de réfléchir à une stratégie de mise en place d’un programme d’orientation des patients (grâce à des coupons) visant à faciliter l’accès à la planification familiale des femmes des groupes vulnérables dans les centres locaux et les villes du pays. Les coupons ont été établis et des matériels d’information et de sensibilisation concernant les services sûrs de santé reproductive ont été élaborés. En avril, des visites de mentorat ont été effectuées dans six écoles islamiques afin d’apporter à l’équipe pédagogique une aide méthodologique pour la conduite des leçons consacrées aux fondements de la santé, y compris s’agissant des questions de santé reproductive. Toutes les écoles islamiques ont adopté des plans de travail concernant la conduite de cette leçon ; des sessions de formation ont été organisées pour former les enseignants aux méthodes d’enseignement et à la conduite d’activités concernant les modes de vie sains et la prévention du VIH/sida, y compris les questions liées à la santé reproductive. </w:t>
      </w:r>
    </w:p>
    <w:p w14:paraId="3D4BBAC7" w14:textId="1930CD65" w:rsidR="004D6DB7" w:rsidRPr="000D6387" w:rsidRDefault="00AA6E94" w:rsidP="005D4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4D6DB7" w:rsidRPr="00280912">
        <w:rPr>
          <w:lang w:val="fr-FR"/>
        </w:rPr>
        <w:t>22</w:t>
      </w:r>
      <w:r w:rsidR="004D6DB7" w:rsidRPr="000D6387">
        <w:rPr>
          <w:lang w:val="fr-FR"/>
        </w:rPr>
        <w:t>.</w:t>
      </w:r>
      <w:r w:rsidR="004D6DB7" w:rsidRPr="000D6387">
        <w:rPr>
          <w:lang w:val="fr-FR"/>
        </w:rPr>
        <w:tab/>
        <w:t>Mariage et rapports familiaux</w:t>
      </w:r>
    </w:p>
    <w:p w14:paraId="5AEB1045" w14:textId="77777777" w:rsidR="00AA6E94" w:rsidRPr="000D6387" w:rsidRDefault="00AA6E94" w:rsidP="005D4517">
      <w:pPr>
        <w:pStyle w:val="SingleTxt"/>
        <w:keepNext/>
        <w:spacing w:after="0" w:line="120" w:lineRule="exact"/>
        <w:rPr>
          <w:sz w:val="10"/>
          <w:lang w:val="fr-FR"/>
        </w:rPr>
      </w:pPr>
    </w:p>
    <w:p w14:paraId="1D492B2D" w14:textId="06DC107F" w:rsidR="004D6DB7" w:rsidRPr="000D6387" w:rsidRDefault="00AA6E94" w:rsidP="004D6DB7">
      <w:pPr>
        <w:pStyle w:val="SingleTxt"/>
        <w:rPr>
          <w:lang w:val="fr-FR"/>
        </w:rPr>
      </w:pPr>
      <w:r w:rsidRPr="000D6387">
        <w:rPr>
          <w:lang w:val="fr-FR"/>
        </w:rPr>
        <w:tab/>
      </w:r>
      <w:r w:rsidR="004D6DB7" w:rsidRPr="000D6387">
        <w:rPr>
          <w:lang w:val="fr-FR"/>
        </w:rPr>
        <w:t>Un projet de loi sur l’état-civil prévoit de simplifier l’enregistrement des naissances de manière à ce que l’enfant puisse être enregistré même si les parents ne disposent pas d’une pièce d’identité ou ne la présentent pas en temps voulu.</w:t>
      </w:r>
    </w:p>
    <w:p w14:paraId="1B0A30BF" w14:textId="43718971" w:rsidR="004D6DB7" w:rsidRPr="000D6387" w:rsidRDefault="00AA6E94" w:rsidP="004D6DB7">
      <w:pPr>
        <w:pStyle w:val="SingleTxt"/>
        <w:rPr>
          <w:lang w:val="fr-FR"/>
        </w:rPr>
      </w:pPr>
      <w:r w:rsidRPr="000D6387">
        <w:rPr>
          <w:lang w:val="fr-FR"/>
        </w:rPr>
        <w:tab/>
      </w:r>
      <w:r w:rsidR="004D6DB7" w:rsidRPr="000D6387">
        <w:rPr>
          <w:lang w:val="fr-FR"/>
        </w:rPr>
        <w:t>Ce projet est actuellement examiné par le Gouvernement.</w:t>
      </w:r>
    </w:p>
    <w:p w14:paraId="70FCC93B" w14:textId="57F05727" w:rsidR="004D6DB7" w:rsidRPr="000D6387" w:rsidRDefault="00AA6E94" w:rsidP="004D6DB7">
      <w:pPr>
        <w:pStyle w:val="SingleTxt"/>
        <w:rPr>
          <w:lang w:val="fr-FR"/>
        </w:rPr>
      </w:pPr>
      <w:r w:rsidRPr="000D6387">
        <w:rPr>
          <w:lang w:val="fr-FR"/>
        </w:rPr>
        <w:tab/>
      </w:r>
      <w:r w:rsidR="004D6DB7" w:rsidRPr="000D6387">
        <w:rPr>
          <w:lang w:val="fr-FR"/>
        </w:rPr>
        <w:t xml:space="preserve">L’article </w:t>
      </w:r>
      <w:r w:rsidR="004D6DB7" w:rsidRPr="00280912">
        <w:rPr>
          <w:lang w:val="fr-FR"/>
        </w:rPr>
        <w:t>7</w:t>
      </w:r>
      <w:r w:rsidR="004D6DB7" w:rsidRPr="000D6387">
        <w:rPr>
          <w:lang w:val="fr-FR"/>
        </w:rPr>
        <w:t xml:space="preserve"> de la Constitution organise la séparation entre les cultes et religions et l’</w:t>
      </w:r>
      <w:r w:rsidR="00E76891" w:rsidRPr="000D6387">
        <w:rPr>
          <w:lang w:val="fr-FR"/>
        </w:rPr>
        <w:t>État</w:t>
      </w:r>
      <w:r w:rsidR="004D6DB7" w:rsidRPr="000D6387">
        <w:rPr>
          <w:lang w:val="fr-FR"/>
        </w:rPr>
        <w:t>. L’enregistrement officiel d’un mariage repose sur une déclaration commune des conjoints.</w:t>
      </w:r>
    </w:p>
    <w:p w14:paraId="6B3987C9" w14:textId="77777777" w:rsidR="00AA6E94" w:rsidRPr="000D6387" w:rsidRDefault="00AA6E94" w:rsidP="00AA6E94">
      <w:pPr>
        <w:pStyle w:val="SingleTxt"/>
        <w:spacing w:after="0" w:line="120" w:lineRule="exact"/>
        <w:rPr>
          <w:b/>
          <w:sz w:val="10"/>
          <w:lang w:val="fr-FR"/>
        </w:rPr>
      </w:pPr>
    </w:p>
    <w:p w14:paraId="2CC0BEF7" w14:textId="191B0F2D" w:rsidR="004D6DB7" w:rsidRPr="000D6387" w:rsidRDefault="00AA6E94" w:rsidP="00AA6E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6387">
        <w:rPr>
          <w:lang w:val="fr-FR"/>
        </w:rPr>
        <w:tab/>
      </w:r>
      <w:r w:rsidR="004D6DB7" w:rsidRPr="00280912">
        <w:rPr>
          <w:lang w:val="fr-FR"/>
        </w:rPr>
        <w:t>23</w:t>
      </w:r>
      <w:r w:rsidR="004D6DB7" w:rsidRPr="000D6387">
        <w:rPr>
          <w:lang w:val="fr-FR"/>
        </w:rPr>
        <w:t>.</w:t>
      </w:r>
      <w:r w:rsidR="004D6DB7" w:rsidRPr="000D6387">
        <w:rPr>
          <w:lang w:val="fr-FR"/>
        </w:rPr>
        <w:tab/>
        <w:t>Objectifs de développement durable</w:t>
      </w:r>
    </w:p>
    <w:p w14:paraId="369635D7" w14:textId="77777777" w:rsidR="00AA6E94" w:rsidRPr="000D6387" w:rsidRDefault="00AA6E94" w:rsidP="00AA6E94">
      <w:pPr>
        <w:pStyle w:val="SingleTxt"/>
        <w:spacing w:after="0" w:line="120" w:lineRule="exact"/>
        <w:rPr>
          <w:sz w:val="10"/>
          <w:lang w:val="fr-FR"/>
        </w:rPr>
      </w:pPr>
    </w:p>
    <w:p w14:paraId="796ADE2C" w14:textId="5B1779E9" w:rsidR="004D6DB7" w:rsidRPr="000D6387" w:rsidRDefault="005E483C" w:rsidP="004D6DB7">
      <w:pPr>
        <w:pStyle w:val="SingleTxt"/>
        <w:rPr>
          <w:lang w:val="fr-FR"/>
        </w:rPr>
      </w:pPr>
      <w:r w:rsidRPr="000D6387">
        <w:rPr>
          <w:lang w:val="fr-FR"/>
        </w:rPr>
        <w:tab/>
      </w:r>
      <w:r w:rsidR="004D6DB7" w:rsidRPr="000D6387">
        <w:rPr>
          <w:lang w:val="fr-FR"/>
        </w:rPr>
        <w:t>L’un des principaux résultats attendus de l’évaluation globale consistait à apprécier la cohérence entre les objectifs de développement durable et les textes nationaux de politique générale, notamment :</w:t>
      </w:r>
    </w:p>
    <w:p w14:paraId="13DA3307" w14:textId="52DBC0CB" w:rsidR="004D6DB7" w:rsidRPr="000D6387" w:rsidRDefault="00AA6E94" w:rsidP="005E483C">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 xml:space="preserve">la stratégie nationale de développement durable pour la période </w:t>
      </w:r>
      <w:r w:rsidR="004D6DB7" w:rsidRPr="00280912">
        <w:rPr>
          <w:lang w:val="fr-FR"/>
        </w:rPr>
        <w:t>2018</w:t>
      </w:r>
      <w:r w:rsidR="004D6DB7" w:rsidRPr="000D6387">
        <w:rPr>
          <w:lang w:val="fr-FR"/>
        </w:rPr>
        <w:t>-</w:t>
      </w:r>
      <w:r w:rsidR="004D6DB7" w:rsidRPr="00280912">
        <w:rPr>
          <w:lang w:val="fr-FR"/>
        </w:rPr>
        <w:t>2040</w:t>
      </w:r>
      <w:r w:rsidR="004D6DB7" w:rsidRPr="000D6387">
        <w:rPr>
          <w:lang w:val="fr-FR"/>
        </w:rPr>
        <w:t xml:space="preserve"> (Taza koom. Zhany door), approuvée par le décret présidentiel n</w:t>
      </w:r>
      <w:r w:rsidR="004D6DB7" w:rsidRPr="000D6387">
        <w:rPr>
          <w:vertAlign w:val="superscript"/>
          <w:lang w:val="fr-FR"/>
        </w:rPr>
        <w:t>o</w:t>
      </w:r>
      <w:r w:rsidR="004D6DB7" w:rsidRPr="000D6387">
        <w:rPr>
          <w:lang w:val="fr-FR"/>
        </w:rPr>
        <w:t xml:space="preserve"> </w:t>
      </w:r>
      <w:r w:rsidR="004D6DB7" w:rsidRPr="00280912">
        <w:rPr>
          <w:lang w:val="fr-FR"/>
        </w:rPr>
        <w:t>221</w:t>
      </w:r>
      <w:r w:rsidR="004D6DB7" w:rsidRPr="000D6387">
        <w:rPr>
          <w:lang w:val="fr-FR"/>
        </w:rPr>
        <w:t xml:space="preserve"> du </w:t>
      </w:r>
      <w:r w:rsidR="004D6DB7" w:rsidRPr="00280912">
        <w:rPr>
          <w:lang w:val="fr-FR"/>
        </w:rPr>
        <w:t>31</w:t>
      </w:r>
      <w:r w:rsidR="005E483C" w:rsidRPr="000D6387">
        <w:rPr>
          <w:lang w:val="fr-FR"/>
        </w:rPr>
        <w:t> </w:t>
      </w:r>
      <w:r w:rsidR="004D6DB7" w:rsidRPr="000D6387">
        <w:rPr>
          <w:lang w:val="fr-FR"/>
        </w:rPr>
        <w:t xml:space="preserve">octobre </w:t>
      </w:r>
      <w:r w:rsidR="004D6DB7" w:rsidRPr="00280912">
        <w:rPr>
          <w:lang w:val="fr-FR"/>
        </w:rPr>
        <w:t>2018</w:t>
      </w:r>
      <w:r w:rsidR="004D6DB7" w:rsidRPr="000D6387">
        <w:rPr>
          <w:lang w:val="fr-FR"/>
        </w:rPr>
        <w:t> ;</w:t>
      </w:r>
    </w:p>
    <w:p w14:paraId="34E43C88" w14:textId="0DEF05F2" w:rsidR="004D6DB7" w:rsidRPr="000D6387" w:rsidRDefault="00AA6E94" w:rsidP="005E483C">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 xml:space="preserve">le programme de développement de la République kirghize pour la période </w:t>
      </w:r>
      <w:r w:rsidR="004D6DB7" w:rsidRPr="00280912">
        <w:rPr>
          <w:lang w:val="fr-FR"/>
        </w:rPr>
        <w:t>2018</w:t>
      </w:r>
      <w:r w:rsidR="004D6DB7" w:rsidRPr="000D6387">
        <w:rPr>
          <w:lang w:val="fr-FR"/>
        </w:rPr>
        <w:t>-</w:t>
      </w:r>
      <w:r w:rsidR="004D6DB7" w:rsidRPr="00280912">
        <w:rPr>
          <w:lang w:val="fr-FR"/>
        </w:rPr>
        <w:t>2022</w:t>
      </w:r>
      <w:r w:rsidR="004D6DB7" w:rsidRPr="000D6387">
        <w:rPr>
          <w:lang w:val="fr-FR"/>
        </w:rPr>
        <w:t xml:space="preserve"> « Unité, confiance, création », approuvé par la décision du Conseil suprême (Zhogorku Kenesh) n</w:t>
      </w:r>
      <w:r w:rsidR="004D6DB7" w:rsidRPr="000D6387">
        <w:rPr>
          <w:vertAlign w:val="superscript"/>
          <w:lang w:val="fr-FR"/>
        </w:rPr>
        <w:t>o</w:t>
      </w:r>
      <w:r w:rsidR="004D6DB7" w:rsidRPr="000D6387">
        <w:rPr>
          <w:lang w:val="fr-FR"/>
        </w:rPr>
        <w:t xml:space="preserve"> </w:t>
      </w:r>
      <w:r w:rsidR="004D6DB7" w:rsidRPr="00280912">
        <w:rPr>
          <w:lang w:val="fr-FR"/>
        </w:rPr>
        <w:t>2377</w:t>
      </w:r>
      <w:r w:rsidR="004D6DB7" w:rsidRPr="000D6387">
        <w:rPr>
          <w:lang w:val="fr-FR"/>
        </w:rPr>
        <w:t xml:space="preserve">-VI du </w:t>
      </w:r>
      <w:r w:rsidR="004D6DB7" w:rsidRPr="00280912">
        <w:rPr>
          <w:lang w:val="fr-FR"/>
        </w:rPr>
        <w:t>20</w:t>
      </w:r>
      <w:r w:rsidR="004D6DB7" w:rsidRPr="000D6387">
        <w:rPr>
          <w:lang w:val="fr-FR"/>
        </w:rPr>
        <w:t xml:space="preserve"> avril </w:t>
      </w:r>
      <w:r w:rsidR="004D6DB7" w:rsidRPr="00280912">
        <w:rPr>
          <w:lang w:val="fr-FR"/>
        </w:rPr>
        <w:t>2018</w:t>
      </w:r>
      <w:r w:rsidR="004D6DB7" w:rsidRPr="000D6387">
        <w:rPr>
          <w:lang w:val="fr-FR"/>
        </w:rPr>
        <w:t>.</w:t>
      </w:r>
    </w:p>
    <w:p w14:paraId="32F2EE98" w14:textId="25C3C206" w:rsidR="004D6DB7" w:rsidRPr="000D6387" w:rsidRDefault="00AA6E94" w:rsidP="004D6DB7">
      <w:pPr>
        <w:pStyle w:val="SingleTxt"/>
        <w:rPr>
          <w:lang w:val="fr-FR"/>
        </w:rPr>
      </w:pPr>
      <w:r w:rsidRPr="000D6387">
        <w:rPr>
          <w:lang w:val="fr-FR"/>
        </w:rPr>
        <w:tab/>
      </w:r>
      <w:r w:rsidR="004D6DB7" w:rsidRPr="000D6387">
        <w:rPr>
          <w:lang w:val="fr-FR"/>
        </w:rPr>
        <w:t xml:space="preserve">La stratégie nationale de promotion de l’égalité des sexes à l’horizon </w:t>
      </w:r>
      <w:r w:rsidR="004D6DB7" w:rsidRPr="00280912">
        <w:rPr>
          <w:lang w:val="fr-FR"/>
        </w:rPr>
        <w:t>2020</w:t>
      </w:r>
      <w:r w:rsidR="004D6DB7" w:rsidRPr="000D6387">
        <w:rPr>
          <w:lang w:val="fr-FR"/>
        </w:rPr>
        <w:t xml:space="preserve"> a été élaborée et approuvée en </w:t>
      </w:r>
      <w:r w:rsidR="004D6DB7" w:rsidRPr="00280912">
        <w:rPr>
          <w:lang w:val="fr-FR"/>
        </w:rPr>
        <w:t>2012</w:t>
      </w:r>
      <w:r w:rsidR="004D6DB7" w:rsidRPr="000D6387">
        <w:rPr>
          <w:lang w:val="fr-FR"/>
        </w:rPr>
        <w:t xml:space="preserve">. </w:t>
      </w:r>
    </w:p>
    <w:p w14:paraId="2CB8181C" w14:textId="0DE115CA" w:rsidR="004D6DB7" w:rsidRPr="000D6387" w:rsidRDefault="00AA6E94" w:rsidP="004D6DB7">
      <w:pPr>
        <w:pStyle w:val="SingleTxt"/>
        <w:rPr>
          <w:lang w:val="fr-FR"/>
        </w:rPr>
      </w:pPr>
      <w:r w:rsidRPr="000D6387">
        <w:rPr>
          <w:lang w:val="fr-FR"/>
        </w:rPr>
        <w:tab/>
      </w:r>
      <w:r w:rsidR="004D6DB7" w:rsidRPr="000D6387">
        <w:rPr>
          <w:lang w:val="fr-FR"/>
        </w:rPr>
        <w:t>Il s’agit du premier texte portant sur le long terme en matière d’égalité des genres. Il est la suite logique de la politique menée par l’</w:t>
      </w:r>
      <w:r w:rsidR="00E76891" w:rsidRPr="000D6387">
        <w:rPr>
          <w:lang w:val="fr-FR"/>
        </w:rPr>
        <w:t>État</w:t>
      </w:r>
      <w:r w:rsidR="004D6DB7" w:rsidRPr="000D6387">
        <w:rPr>
          <w:lang w:val="fr-FR"/>
        </w:rPr>
        <w:t xml:space="preserve"> en matière de genre dans les deux décennies qui ont suivi l’accession à l’indépendance.</w:t>
      </w:r>
    </w:p>
    <w:p w14:paraId="2D81AA50" w14:textId="60B98EAE" w:rsidR="004D6DB7" w:rsidRPr="000D6387" w:rsidRDefault="00AA6E94" w:rsidP="004D6DB7">
      <w:pPr>
        <w:pStyle w:val="SingleTxt"/>
        <w:rPr>
          <w:lang w:val="fr-FR"/>
        </w:rPr>
      </w:pPr>
      <w:r w:rsidRPr="000D6387">
        <w:rPr>
          <w:lang w:val="fr-FR"/>
        </w:rPr>
        <w:tab/>
      </w:r>
      <w:r w:rsidR="004D6DB7" w:rsidRPr="000D6387">
        <w:rPr>
          <w:lang w:val="fr-FR"/>
        </w:rPr>
        <w:t>Cette stratégie à long terme a pour objectif de créer un cadre institutionnel garantissant l’égalité des droits et des chances à tous les citoyens quel que soit leur sexe, leur âge, leur statut social, leur état de santé, leur identité de genre et tout autre motif de discrimination, en vue de permettre à la population kirghize de réaliser pleinement son potentiel.</w:t>
      </w:r>
    </w:p>
    <w:p w14:paraId="626F851E" w14:textId="49A3A451" w:rsidR="004D6DB7" w:rsidRPr="000D6387" w:rsidRDefault="00AA6E94" w:rsidP="004D6DB7">
      <w:pPr>
        <w:pStyle w:val="SingleTxt"/>
        <w:rPr>
          <w:lang w:val="fr-FR"/>
        </w:rPr>
      </w:pPr>
      <w:r w:rsidRPr="000D6387">
        <w:rPr>
          <w:lang w:val="fr-FR"/>
        </w:rPr>
        <w:tab/>
      </w:r>
      <w:r w:rsidR="004D6DB7" w:rsidRPr="000D6387">
        <w:rPr>
          <w:lang w:val="fr-FR"/>
        </w:rPr>
        <w:t>La mise en œuvre de la Stratégie a été divisée en trois phases. Pour atteindre les objectifs fixés, des plans d’action détaillés à trois ans couvrant toutes les priorités de la Stratégie ont été élaborés et approuvés :</w:t>
      </w:r>
    </w:p>
    <w:p w14:paraId="6B52C9BB" w14:textId="28C9B289"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 xml:space="preserve">Plan d’action national pour l’égalité des sexes </w:t>
      </w:r>
      <w:r w:rsidR="004D6DB7" w:rsidRPr="00280912">
        <w:rPr>
          <w:lang w:val="fr-FR"/>
        </w:rPr>
        <w:t>2012</w:t>
      </w:r>
      <w:r w:rsidR="004D6DB7" w:rsidRPr="000D6387">
        <w:rPr>
          <w:lang w:val="fr-FR"/>
        </w:rPr>
        <w:t>-</w:t>
      </w:r>
      <w:r w:rsidR="004D6DB7" w:rsidRPr="00280912">
        <w:rPr>
          <w:lang w:val="fr-FR"/>
        </w:rPr>
        <w:t>2014</w:t>
      </w:r>
      <w:r w:rsidR="004D6DB7" w:rsidRPr="000D6387">
        <w:rPr>
          <w:lang w:val="fr-FR"/>
        </w:rPr>
        <w:t xml:space="preserve"> (PNA-</w:t>
      </w:r>
      <w:r w:rsidR="004D6DB7" w:rsidRPr="00280912">
        <w:rPr>
          <w:lang w:val="fr-FR"/>
        </w:rPr>
        <w:t>1</w:t>
      </w:r>
      <w:r w:rsidR="004D6DB7" w:rsidRPr="000D6387">
        <w:rPr>
          <w:lang w:val="fr-FR"/>
        </w:rPr>
        <w:t xml:space="preserve">) ; </w:t>
      </w:r>
      <w:r w:rsidR="004D6DB7" w:rsidRPr="00280912">
        <w:rPr>
          <w:lang w:val="fr-FR"/>
        </w:rPr>
        <w:t>2015</w:t>
      </w:r>
      <w:r w:rsidR="004D6DB7" w:rsidRPr="000D6387">
        <w:rPr>
          <w:lang w:val="fr-FR"/>
        </w:rPr>
        <w:t>-</w:t>
      </w:r>
      <w:r w:rsidR="004D6DB7" w:rsidRPr="00280912">
        <w:rPr>
          <w:lang w:val="fr-FR"/>
        </w:rPr>
        <w:t>2017</w:t>
      </w:r>
      <w:r w:rsidR="004D6DB7" w:rsidRPr="000D6387">
        <w:rPr>
          <w:lang w:val="fr-FR"/>
        </w:rPr>
        <w:t xml:space="preserve"> (PNA-</w:t>
      </w:r>
      <w:r w:rsidR="004D6DB7" w:rsidRPr="00280912">
        <w:rPr>
          <w:lang w:val="fr-FR"/>
        </w:rPr>
        <w:t>2</w:t>
      </w:r>
      <w:r w:rsidR="004D6DB7" w:rsidRPr="000D6387">
        <w:rPr>
          <w:lang w:val="fr-FR"/>
        </w:rPr>
        <w:t xml:space="preserve">) ; </w:t>
      </w:r>
      <w:r w:rsidR="004D6DB7" w:rsidRPr="00280912">
        <w:rPr>
          <w:lang w:val="fr-FR"/>
        </w:rPr>
        <w:t>2018</w:t>
      </w:r>
      <w:r w:rsidR="004D6DB7" w:rsidRPr="000D6387">
        <w:rPr>
          <w:lang w:val="fr-FR"/>
        </w:rPr>
        <w:t>-</w:t>
      </w:r>
      <w:r w:rsidR="004D6DB7" w:rsidRPr="00280912">
        <w:rPr>
          <w:lang w:val="fr-FR"/>
        </w:rPr>
        <w:t>2020</w:t>
      </w:r>
      <w:r w:rsidR="004D6DB7" w:rsidRPr="000D6387">
        <w:rPr>
          <w:lang w:val="fr-FR"/>
        </w:rPr>
        <w:t xml:space="preserve"> (PNA-</w:t>
      </w:r>
      <w:r w:rsidR="004D6DB7" w:rsidRPr="00280912">
        <w:rPr>
          <w:lang w:val="fr-FR"/>
        </w:rPr>
        <w:t>3</w:t>
      </w:r>
      <w:r w:rsidR="004D6DB7" w:rsidRPr="000D6387">
        <w:rPr>
          <w:lang w:val="fr-FR"/>
        </w:rPr>
        <w:t>).</w:t>
      </w:r>
    </w:p>
    <w:p w14:paraId="6211F21C" w14:textId="5CD30CE2" w:rsidR="004D6DB7" w:rsidRPr="000D6387" w:rsidRDefault="00AA6E94" w:rsidP="004D6DB7">
      <w:pPr>
        <w:pStyle w:val="SingleTxt"/>
        <w:rPr>
          <w:lang w:val="fr-FR"/>
        </w:rPr>
      </w:pPr>
      <w:r w:rsidRPr="000D6387">
        <w:rPr>
          <w:bCs/>
          <w:lang w:val="fr-FR"/>
        </w:rPr>
        <w:tab/>
      </w:r>
      <w:r w:rsidR="004D6DB7" w:rsidRPr="000D6387">
        <w:rPr>
          <w:bCs/>
          <w:lang w:val="fr-FR"/>
        </w:rPr>
        <w:t>L’une des priorités de la Stratégie consiste à offrir aux femmes davantage de possibilités économiques</w:t>
      </w:r>
      <w:r w:rsidR="004D6DB7" w:rsidRPr="000D6387">
        <w:rPr>
          <w:lang w:val="fr-FR"/>
        </w:rPr>
        <w:t xml:space="preserve">. Les plans nationaux prévoient également d’élargir les possibilités économiques ouvertes aux femmes. La Stratégie nationale court jusqu’à </w:t>
      </w:r>
      <w:r w:rsidR="004D6DB7" w:rsidRPr="00280912">
        <w:rPr>
          <w:lang w:val="fr-FR"/>
        </w:rPr>
        <w:t>2040</w:t>
      </w:r>
      <w:r w:rsidR="004D6DB7" w:rsidRPr="000D6387">
        <w:rPr>
          <w:lang w:val="fr-FR"/>
        </w:rPr>
        <w:t>.</w:t>
      </w:r>
    </w:p>
    <w:p w14:paraId="6581FAA8" w14:textId="27A20F26" w:rsidR="004D6DB7" w:rsidRPr="000D6387" w:rsidRDefault="00AA6E94" w:rsidP="004D6DB7">
      <w:pPr>
        <w:pStyle w:val="SingleTxt"/>
        <w:rPr>
          <w:lang w:val="fr-FR"/>
        </w:rPr>
      </w:pPr>
      <w:r w:rsidRPr="000D6387">
        <w:rPr>
          <w:lang w:val="fr-FR"/>
        </w:rPr>
        <w:tab/>
      </w:r>
      <w:r w:rsidR="004D6DB7" w:rsidRPr="000D6387">
        <w:rPr>
          <w:lang w:val="fr-FR"/>
        </w:rPr>
        <w:t xml:space="preserve">Le Kirghizistan a adopté des dispositions réglementant les modalités de rémunération des auxiliaires de vie des enfants handicapés qui ont besoin de soins constants. Ces dispositions visent à soutenir les parents et à permettre aux enfants de jouir de leur droit à un environnement familial. </w:t>
      </w:r>
    </w:p>
    <w:p w14:paraId="4679DABE" w14:textId="0F2BDE81" w:rsidR="004D6DB7" w:rsidRPr="000D6387" w:rsidRDefault="00AA6E94" w:rsidP="004D6DB7">
      <w:pPr>
        <w:pStyle w:val="SingleTxt"/>
        <w:rPr>
          <w:lang w:val="fr-FR"/>
        </w:rPr>
      </w:pPr>
      <w:r w:rsidRPr="000D6387">
        <w:rPr>
          <w:lang w:val="fr-FR"/>
        </w:rPr>
        <w:tab/>
      </w:r>
      <w:r w:rsidR="004D6DB7" w:rsidRPr="000D6387">
        <w:rPr>
          <w:lang w:val="fr-FR"/>
        </w:rPr>
        <w:t xml:space="preserve">Depuis janvier </w:t>
      </w:r>
      <w:r w:rsidR="004D6DB7" w:rsidRPr="00280912">
        <w:rPr>
          <w:lang w:val="fr-FR"/>
        </w:rPr>
        <w:t>2019</w:t>
      </w:r>
      <w:r w:rsidR="004D6DB7" w:rsidRPr="000D6387">
        <w:rPr>
          <w:lang w:val="fr-FR"/>
        </w:rPr>
        <w:t>, chaque enfant handicapé peut bénéficier d’un ou d’une auxiliaire de vie sur décision de la commission d’expertise médico-sociale.</w:t>
      </w:r>
    </w:p>
    <w:p w14:paraId="4BC99173" w14:textId="2103A919" w:rsidR="004D6DB7" w:rsidRPr="000D6387" w:rsidRDefault="00AA6E94" w:rsidP="004D6DB7">
      <w:pPr>
        <w:pStyle w:val="SingleTxt"/>
        <w:rPr>
          <w:lang w:val="fr-FR"/>
        </w:rPr>
      </w:pPr>
      <w:r w:rsidRPr="000D6387">
        <w:rPr>
          <w:lang w:val="fr-FR"/>
        </w:rPr>
        <w:tab/>
      </w:r>
      <w:r w:rsidR="004D6DB7" w:rsidRPr="000D6387">
        <w:rPr>
          <w:lang w:val="fr-FR"/>
        </w:rPr>
        <w:t>L’auxiliaire de vie peut être :</w:t>
      </w:r>
    </w:p>
    <w:p w14:paraId="0EDDCE3C" w14:textId="1816B5D7"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un parent ;</w:t>
      </w:r>
    </w:p>
    <w:p w14:paraId="6E3D8506" w14:textId="5DDFC0E5"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un représentant légal (parent adoptif, tuteur, curateur, parent d’accueil) ;</w:t>
      </w:r>
    </w:p>
    <w:p w14:paraId="49251DFB" w14:textId="225C33EF" w:rsidR="004D6DB7" w:rsidRPr="000D6387" w:rsidRDefault="00AA6E94" w:rsidP="005D4517">
      <w:pPr>
        <w:pStyle w:val="SingleTxt"/>
        <w:tabs>
          <w:tab w:val="right" w:pos="1685"/>
        </w:tabs>
        <w:ind w:left="1742" w:hanging="475"/>
        <w:rPr>
          <w:lang w:val="fr-FR"/>
        </w:rPr>
      </w:pPr>
      <w:r w:rsidRPr="000D6387">
        <w:rPr>
          <w:lang w:val="fr-FR"/>
        </w:rPr>
        <w:tab/>
        <w:t>–</w:t>
      </w:r>
      <w:r w:rsidRPr="000D6387">
        <w:rPr>
          <w:lang w:val="fr-FR"/>
        </w:rPr>
        <w:tab/>
      </w:r>
      <w:r w:rsidR="004D6DB7" w:rsidRPr="000D6387">
        <w:rPr>
          <w:lang w:val="fr-FR"/>
        </w:rPr>
        <w:t>un parent proche (grand-mère, grand-père, frère, sœur, demi-frère, demi-sœur).</w:t>
      </w:r>
    </w:p>
    <w:p w14:paraId="2FFC081E" w14:textId="46410B00" w:rsidR="004D6DB7" w:rsidRPr="000D6387" w:rsidRDefault="00AA6E94" w:rsidP="004D6DB7">
      <w:pPr>
        <w:pStyle w:val="SingleTxt"/>
        <w:rPr>
          <w:lang w:val="fr-FR"/>
        </w:rPr>
      </w:pPr>
      <w:r w:rsidRPr="000D6387">
        <w:rPr>
          <w:lang w:val="fr-FR"/>
        </w:rPr>
        <w:tab/>
      </w:r>
      <w:r w:rsidR="004D6DB7" w:rsidRPr="000D6387">
        <w:rPr>
          <w:lang w:val="fr-FR"/>
        </w:rPr>
        <w:t xml:space="preserve">En mai </w:t>
      </w:r>
      <w:r w:rsidR="004D6DB7" w:rsidRPr="00280912">
        <w:rPr>
          <w:lang w:val="fr-FR"/>
        </w:rPr>
        <w:t>2019</w:t>
      </w:r>
      <w:r w:rsidR="004D6DB7" w:rsidRPr="000D6387">
        <w:rPr>
          <w:lang w:val="fr-FR"/>
        </w:rPr>
        <w:t xml:space="preserve">, la ville de Bichkek a accueilli le deuxième Forum des femmes de l’Organisation de coopération de Shanghai, avec la participation du Premier ministre Abylgaziev et de l’ancienne Présidente Roza Otounbaïeva. </w:t>
      </w:r>
    </w:p>
    <w:p w14:paraId="72D029E2" w14:textId="484FDB29" w:rsidR="004D6DB7" w:rsidRPr="000D6387" w:rsidRDefault="00AA6E94" w:rsidP="004D6DB7">
      <w:pPr>
        <w:pStyle w:val="SingleTxt"/>
        <w:rPr>
          <w:lang w:val="fr-FR"/>
        </w:rPr>
      </w:pPr>
      <w:r w:rsidRPr="000D6387">
        <w:rPr>
          <w:lang w:val="fr-FR"/>
        </w:rPr>
        <w:tab/>
      </w:r>
      <w:r w:rsidR="004D6DB7" w:rsidRPr="000D6387">
        <w:rPr>
          <w:lang w:val="fr-FR"/>
        </w:rPr>
        <w:t>Les participantes et participants au Forum – représentants et observateurs des pays de l’Organisation de coopération de Shanghai, d’organismes publics, d’organisations non gouvernementales, d’entités du système des Nations Unies au Kirghizistan et de partenaires de développement – se sont dits convaincus qu’en mettant la question de la réalisation de l’égalité des genres à l’ordre du jour, l’Organisation de coopération de Shanghai donnerait un élan nouveau aux échanges d’expériences, à la réalisation de projets communs et à l’élaboration de mesures conjointes, mais aussi à la construction partagée d’une communauté de destin entre les pays de l’Organisation et à l’échelle de l’humanité. Ils ont souligné qu’il importait de tenir régulièrement le Forum des femmes et d’élaborer à terme un mécanisme propre de coopération sur les questions de genre au sein de l’Organisation de coopération de Shanghai.</w:t>
      </w:r>
    </w:p>
    <w:p w14:paraId="25F60255" w14:textId="1A3B82EC" w:rsidR="004D6DB7" w:rsidRPr="000D6387" w:rsidRDefault="00AA6E94" w:rsidP="004D6DB7">
      <w:pPr>
        <w:pStyle w:val="SingleTxt"/>
        <w:rPr>
          <w:lang w:val="fr-FR"/>
        </w:rPr>
      </w:pPr>
      <w:r w:rsidRPr="000D6387">
        <w:rPr>
          <w:lang w:val="fr-FR"/>
        </w:rPr>
        <w:tab/>
      </w:r>
      <w:r w:rsidR="004D6DB7" w:rsidRPr="000D6387">
        <w:rPr>
          <w:lang w:val="fr-FR"/>
        </w:rPr>
        <w:t>Pour mieux armer l’</w:t>
      </w:r>
      <w:r w:rsidR="00E76891" w:rsidRPr="000D6387">
        <w:rPr>
          <w:lang w:val="fr-FR"/>
        </w:rPr>
        <w:t>État</w:t>
      </w:r>
      <w:r w:rsidR="004D6DB7" w:rsidRPr="000D6387">
        <w:rPr>
          <w:lang w:val="fr-FR"/>
        </w:rPr>
        <w:t xml:space="preserve"> et les municipalités et promouvoir la politique d’égalité des genres, le Ministère de la justice a créé par le décret n</w:t>
      </w:r>
      <w:r w:rsidR="004D6DB7" w:rsidRPr="000D6387">
        <w:rPr>
          <w:vertAlign w:val="superscript"/>
          <w:lang w:val="fr-FR"/>
        </w:rPr>
        <w:t>o</w:t>
      </w:r>
      <w:r w:rsidR="004D6DB7" w:rsidRPr="000D6387">
        <w:rPr>
          <w:lang w:val="fr-FR"/>
        </w:rPr>
        <w:t xml:space="preserve"> </w:t>
      </w:r>
      <w:r w:rsidR="004D6DB7" w:rsidRPr="00280912">
        <w:rPr>
          <w:lang w:val="fr-FR"/>
        </w:rPr>
        <w:t>1858</w:t>
      </w:r>
      <w:r w:rsidR="004D6DB7" w:rsidRPr="000D6387">
        <w:rPr>
          <w:lang w:val="fr-FR"/>
        </w:rPr>
        <w:t xml:space="preserve"> du </w:t>
      </w:r>
      <w:r w:rsidR="004D6DB7" w:rsidRPr="00280912">
        <w:rPr>
          <w:lang w:val="fr-FR"/>
        </w:rPr>
        <w:t>10</w:t>
      </w:r>
      <w:r w:rsidR="004D6DB7" w:rsidRPr="000D6387">
        <w:rPr>
          <w:lang w:val="fr-FR"/>
        </w:rPr>
        <w:t xml:space="preserve"> septembre </w:t>
      </w:r>
      <w:r w:rsidR="004D6DB7" w:rsidRPr="00280912">
        <w:rPr>
          <w:lang w:val="fr-FR"/>
        </w:rPr>
        <w:t>2019</w:t>
      </w:r>
      <w:r w:rsidR="004D6DB7" w:rsidRPr="000D6387">
        <w:rPr>
          <w:lang w:val="fr-FR"/>
        </w:rPr>
        <w:t xml:space="preserve"> une Commission à l’égalité des genres.</w:t>
      </w:r>
    </w:p>
    <w:p w14:paraId="5C9CC645" w14:textId="16DE4F78" w:rsidR="004D6DB7" w:rsidRPr="000D6387" w:rsidRDefault="004D6DB7" w:rsidP="004D6DB7">
      <w:pPr>
        <w:pStyle w:val="SingleTxt"/>
        <w:spacing w:after="0" w:line="240" w:lineRule="auto"/>
        <w:rPr>
          <w:lang w:val="fr-FR"/>
        </w:rPr>
      </w:pPr>
      <w:r w:rsidRPr="000D6387">
        <w:rPr>
          <w:noProof/>
          <w:w w:val="100"/>
          <w:lang w:val="fr-FR"/>
        </w:rPr>
        <mc:AlternateContent>
          <mc:Choice Requires="wps">
            <w:drawing>
              <wp:anchor distT="0" distB="0" distL="114300" distR="114300" simplePos="0" relativeHeight="251659264" behindDoc="0" locked="0" layoutInCell="1" allowOverlap="1" wp14:anchorId="699B636A" wp14:editId="704CCA1A">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18966"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D6DB7" w:rsidRPr="000D6387" w:rsidSect="0079427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6-11T15:39:00Z" w:initials="Start">
    <w:p w14:paraId="11C8E5F2" w14:textId="77777777" w:rsidR="007E7F58" w:rsidRPr="00794277" w:rsidRDefault="007E7F58">
      <w:pPr>
        <w:pStyle w:val="CommentText"/>
        <w:rPr>
          <w:lang w:val="en-US"/>
        </w:rPr>
      </w:pPr>
      <w:r>
        <w:rPr>
          <w:rStyle w:val="CommentReference"/>
        </w:rPr>
        <w:annotationRef/>
      </w:r>
      <w:r w:rsidRPr="00794277">
        <w:rPr>
          <w:lang w:val="en-US"/>
        </w:rPr>
        <w:t>&lt;&lt;ODS JOB NO&gt;&gt;N2010560F&lt;&lt;ODS JOB NO&gt;&gt;</w:t>
      </w:r>
    </w:p>
    <w:p w14:paraId="632A1E59" w14:textId="77777777" w:rsidR="007E7F58" w:rsidRDefault="007E7F58">
      <w:pPr>
        <w:pStyle w:val="CommentText"/>
      </w:pPr>
      <w:r>
        <w:t>&lt;&lt;ODS DOC SYMBOL1&gt;&gt;CEDAW/C/KGZ/RQ/5&lt;&lt;ODS DOC SYMBOL1&gt;&gt;</w:t>
      </w:r>
    </w:p>
    <w:p w14:paraId="61DB2754" w14:textId="77777777" w:rsidR="007E7F58" w:rsidRDefault="007E7F5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DB27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DB2754" w16cid:durableId="228CCE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D3A1B" w14:textId="77777777" w:rsidR="00382858" w:rsidRDefault="00382858" w:rsidP="00101B18">
      <w:pPr>
        <w:spacing w:line="240" w:lineRule="auto"/>
      </w:pPr>
      <w:r>
        <w:separator/>
      </w:r>
    </w:p>
  </w:endnote>
  <w:endnote w:type="continuationSeparator" w:id="0">
    <w:p w14:paraId="1876B299" w14:textId="77777777" w:rsidR="00382858" w:rsidRDefault="0038285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E7F58" w14:paraId="604F8F98" w14:textId="77777777" w:rsidTr="0041338D">
      <w:tc>
        <w:tcPr>
          <w:tcW w:w="4920" w:type="dxa"/>
          <w:shd w:val="clear" w:color="auto" w:fill="auto"/>
        </w:tcPr>
        <w:p w14:paraId="4AC693B4" w14:textId="0108FC58" w:rsidR="007E7F58" w:rsidRPr="0041338D" w:rsidRDefault="007E7F58" w:rsidP="004133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02192">
            <w:rPr>
              <w:b w:val="0"/>
              <w:w w:val="103"/>
              <w:sz w:val="14"/>
            </w:rPr>
            <w:t>20-06090</w:t>
          </w:r>
          <w:r>
            <w:rPr>
              <w:b w:val="0"/>
              <w:w w:val="103"/>
              <w:sz w:val="14"/>
            </w:rPr>
            <w:fldChar w:fldCharType="end"/>
          </w:r>
        </w:p>
      </w:tc>
      <w:tc>
        <w:tcPr>
          <w:tcW w:w="4920" w:type="dxa"/>
          <w:shd w:val="clear" w:color="auto" w:fill="auto"/>
        </w:tcPr>
        <w:p w14:paraId="3F1D40E6" w14:textId="77777777" w:rsidR="007E7F58" w:rsidRPr="0041338D" w:rsidRDefault="007E7F58" w:rsidP="0041338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744A477" w14:textId="77777777" w:rsidR="007E7F58" w:rsidRPr="0041338D" w:rsidRDefault="007E7F58" w:rsidP="0041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E7F58" w14:paraId="23DB75C2" w14:textId="77777777" w:rsidTr="0041338D">
      <w:tc>
        <w:tcPr>
          <w:tcW w:w="4920" w:type="dxa"/>
          <w:shd w:val="clear" w:color="auto" w:fill="auto"/>
        </w:tcPr>
        <w:p w14:paraId="246975B5" w14:textId="77777777" w:rsidR="007E7F58" w:rsidRPr="0041338D" w:rsidRDefault="007E7F58" w:rsidP="0041338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CD5744C" w14:textId="41095D52" w:rsidR="007E7F58" w:rsidRPr="0041338D" w:rsidRDefault="007E7F58" w:rsidP="004133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02192">
            <w:rPr>
              <w:b w:val="0"/>
              <w:w w:val="103"/>
              <w:sz w:val="14"/>
            </w:rPr>
            <w:t>20-06090</w:t>
          </w:r>
          <w:r>
            <w:rPr>
              <w:b w:val="0"/>
              <w:w w:val="103"/>
              <w:sz w:val="14"/>
            </w:rPr>
            <w:fldChar w:fldCharType="end"/>
          </w:r>
        </w:p>
      </w:tc>
    </w:tr>
  </w:tbl>
  <w:p w14:paraId="3541478D" w14:textId="77777777" w:rsidR="007E7F58" w:rsidRPr="0041338D" w:rsidRDefault="007E7F58" w:rsidP="00413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DE1A" w14:textId="77777777" w:rsidR="007E7F58" w:rsidRDefault="007E7F58">
    <w:pPr>
      <w:pStyle w:val="Footer"/>
    </w:pPr>
    <w:r>
      <w:rPr>
        <w:noProof/>
      </w:rPr>
      <w:drawing>
        <wp:anchor distT="0" distB="0" distL="114300" distR="114300" simplePos="0" relativeHeight="251658240" behindDoc="0" locked="0" layoutInCell="1" allowOverlap="1" wp14:anchorId="51BE7074" wp14:editId="11ECEA7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E7F58" w14:paraId="3DCA1762" w14:textId="77777777" w:rsidTr="0041338D">
      <w:tc>
        <w:tcPr>
          <w:tcW w:w="3758" w:type="dxa"/>
        </w:tcPr>
        <w:p w14:paraId="76A446B6" w14:textId="0B536FF9" w:rsidR="007E7F58" w:rsidRDefault="007E7F58" w:rsidP="0041338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02192">
            <w:rPr>
              <w:b w:val="0"/>
              <w:sz w:val="20"/>
            </w:rPr>
            <w:t>20-06090 (F)</w:t>
          </w:r>
          <w:r>
            <w:rPr>
              <w:b w:val="0"/>
              <w:sz w:val="20"/>
            </w:rPr>
            <w:fldChar w:fldCharType="end"/>
          </w:r>
          <w:r>
            <w:rPr>
              <w:b w:val="0"/>
              <w:sz w:val="20"/>
            </w:rPr>
            <w:t xml:space="preserve">    110620    170620</w:t>
          </w:r>
        </w:p>
        <w:p w14:paraId="1739A7F6" w14:textId="3A173FE8" w:rsidR="007E7F58" w:rsidRPr="0041338D" w:rsidRDefault="007E7F58" w:rsidP="0041338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02192">
            <w:rPr>
              <w:rFonts w:ascii="Barcode 3 of 9 by request" w:hAnsi="Barcode 3 of 9 by request"/>
              <w:spacing w:val="0"/>
              <w:w w:val="100"/>
              <w:sz w:val="24"/>
            </w:rPr>
            <w:t>*2006090*</w:t>
          </w:r>
          <w:r>
            <w:rPr>
              <w:rFonts w:ascii="Barcode 3 of 9 by request" w:hAnsi="Barcode 3 of 9 by request"/>
              <w:spacing w:val="0"/>
              <w:w w:val="100"/>
              <w:sz w:val="24"/>
            </w:rPr>
            <w:fldChar w:fldCharType="end"/>
          </w:r>
        </w:p>
      </w:tc>
      <w:tc>
        <w:tcPr>
          <w:tcW w:w="4920" w:type="dxa"/>
        </w:tcPr>
        <w:p w14:paraId="19ED4057" w14:textId="77777777" w:rsidR="007E7F58" w:rsidRDefault="007E7F58" w:rsidP="0041338D">
          <w:pPr>
            <w:pStyle w:val="Footer"/>
            <w:spacing w:line="240" w:lineRule="atLeast"/>
            <w:jc w:val="right"/>
            <w:rPr>
              <w:b w:val="0"/>
              <w:sz w:val="20"/>
            </w:rPr>
          </w:pPr>
          <w:r>
            <w:rPr>
              <w:b w:val="0"/>
              <w:noProof/>
              <w:sz w:val="20"/>
            </w:rPr>
            <w:drawing>
              <wp:inline distT="0" distB="0" distL="0" distR="0" wp14:anchorId="48EC5071" wp14:editId="2CD6DE2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CEFD2E9" w14:textId="77777777" w:rsidR="007E7F58" w:rsidRPr="0041338D" w:rsidRDefault="007E7F58" w:rsidP="0041338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37D63" w14:textId="77777777" w:rsidR="00382858" w:rsidRPr="00794277" w:rsidRDefault="00382858" w:rsidP="00794277">
      <w:pPr>
        <w:pStyle w:val="Footer"/>
        <w:spacing w:after="80"/>
        <w:ind w:left="792"/>
        <w:rPr>
          <w:sz w:val="16"/>
        </w:rPr>
      </w:pPr>
      <w:r w:rsidRPr="00794277">
        <w:rPr>
          <w:sz w:val="16"/>
        </w:rPr>
        <w:t>__________________</w:t>
      </w:r>
    </w:p>
  </w:footnote>
  <w:footnote w:type="continuationSeparator" w:id="0">
    <w:p w14:paraId="190F7A49" w14:textId="77777777" w:rsidR="00382858" w:rsidRPr="00794277" w:rsidRDefault="00382858" w:rsidP="00794277">
      <w:pPr>
        <w:pStyle w:val="Footer"/>
        <w:spacing w:after="80"/>
        <w:ind w:left="792"/>
        <w:rPr>
          <w:sz w:val="16"/>
        </w:rPr>
      </w:pPr>
      <w:r w:rsidRPr="00794277">
        <w:rPr>
          <w:sz w:val="16"/>
        </w:rPr>
        <w:t>__________________</w:t>
      </w:r>
    </w:p>
  </w:footnote>
  <w:footnote w:id="1">
    <w:p w14:paraId="55847238" w14:textId="1F839F87" w:rsidR="007E7F58" w:rsidRPr="00794277" w:rsidRDefault="007E7F58" w:rsidP="00794277">
      <w:pPr>
        <w:pStyle w:val="FootnoteText"/>
        <w:tabs>
          <w:tab w:val="right" w:pos="1195"/>
          <w:tab w:val="left" w:pos="1267"/>
          <w:tab w:val="left" w:pos="1742"/>
          <w:tab w:val="left" w:pos="2218"/>
          <w:tab w:val="left" w:pos="2693"/>
        </w:tabs>
        <w:ind w:left="1267" w:right="1260" w:hanging="576"/>
      </w:pPr>
      <w:r>
        <w:tab/>
      </w:r>
      <w:r w:rsidRPr="00794277">
        <w:rPr>
          <w:rStyle w:val="FootnoteReference"/>
          <w:spacing w:val="4"/>
          <w:vertAlign w:val="baseline"/>
        </w:rPr>
        <w:t>*</w:t>
      </w:r>
      <w:r w:rsidRPr="00794277">
        <w:tab/>
        <w:t>La version originale du présent document n</w:t>
      </w:r>
      <w:r>
        <w:t>’</w:t>
      </w:r>
      <w:r w:rsidRPr="00794277">
        <w:t>a pas été revue par les services d</w:t>
      </w:r>
      <w:r>
        <w:t>’</w:t>
      </w:r>
      <w:r w:rsidRPr="00794277">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E7F58" w14:paraId="5829807C" w14:textId="77777777" w:rsidTr="0041338D">
      <w:trPr>
        <w:trHeight w:hRule="exact" w:val="864"/>
      </w:trPr>
      <w:tc>
        <w:tcPr>
          <w:tcW w:w="4920" w:type="dxa"/>
          <w:shd w:val="clear" w:color="auto" w:fill="auto"/>
          <w:vAlign w:val="bottom"/>
        </w:tcPr>
        <w:p w14:paraId="1FAE8572" w14:textId="2AC329C4" w:rsidR="007E7F58" w:rsidRPr="0041338D" w:rsidRDefault="007E7F58" w:rsidP="0041338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02192">
            <w:rPr>
              <w:b/>
              <w:color w:val="000000"/>
            </w:rPr>
            <w:t>CEDAW/C/KGZ/RQ/5</w:t>
          </w:r>
          <w:r>
            <w:rPr>
              <w:b/>
              <w:color w:val="000000"/>
            </w:rPr>
            <w:fldChar w:fldCharType="end"/>
          </w:r>
        </w:p>
      </w:tc>
      <w:tc>
        <w:tcPr>
          <w:tcW w:w="4920" w:type="dxa"/>
          <w:shd w:val="clear" w:color="auto" w:fill="auto"/>
          <w:vAlign w:val="bottom"/>
        </w:tcPr>
        <w:p w14:paraId="0542364B" w14:textId="77777777" w:rsidR="007E7F58" w:rsidRDefault="007E7F58" w:rsidP="0041338D">
          <w:pPr>
            <w:pStyle w:val="Header"/>
          </w:pPr>
        </w:p>
      </w:tc>
    </w:tr>
  </w:tbl>
  <w:p w14:paraId="4B32F973" w14:textId="77777777" w:rsidR="007E7F58" w:rsidRPr="0041338D" w:rsidRDefault="007E7F58" w:rsidP="0041338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E7F58" w14:paraId="3F8309CB" w14:textId="77777777" w:rsidTr="0041338D">
      <w:trPr>
        <w:trHeight w:hRule="exact" w:val="864"/>
      </w:trPr>
      <w:tc>
        <w:tcPr>
          <w:tcW w:w="4920" w:type="dxa"/>
          <w:shd w:val="clear" w:color="auto" w:fill="auto"/>
          <w:vAlign w:val="bottom"/>
        </w:tcPr>
        <w:p w14:paraId="625506B0" w14:textId="77777777" w:rsidR="007E7F58" w:rsidRDefault="007E7F58" w:rsidP="0041338D">
          <w:pPr>
            <w:pStyle w:val="Header"/>
          </w:pPr>
        </w:p>
      </w:tc>
      <w:tc>
        <w:tcPr>
          <w:tcW w:w="4920" w:type="dxa"/>
          <w:shd w:val="clear" w:color="auto" w:fill="auto"/>
          <w:vAlign w:val="bottom"/>
        </w:tcPr>
        <w:p w14:paraId="72EE6AC5" w14:textId="782E3949" w:rsidR="007E7F58" w:rsidRPr="0041338D" w:rsidRDefault="007E7F58" w:rsidP="0041338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02192">
            <w:rPr>
              <w:b/>
              <w:color w:val="000000"/>
            </w:rPr>
            <w:t>CEDAW/C/KGZ/RQ/5</w:t>
          </w:r>
          <w:r>
            <w:rPr>
              <w:b/>
              <w:color w:val="000000"/>
            </w:rPr>
            <w:fldChar w:fldCharType="end"/>
          </w:r>
        </w:p>
      </w:tc>
    </w:tr>
  </w:tbl>
  <w:p w14:paraId="211B7EE6" w14:textId="77777777" w:rsidR="007E7F58" w:rsidRPr="0041338D" w:rsidRDefault="007E7F58" w:rsidP="0041338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E7F58" w14:paraId="0E433750" w14:textId="77777777" w:rsidTr="0041338D">
      <w:trPr>
        <w:trHeight w:hRule="exact" w:val="864"/>
      </w:trPr>
      <w:tc>
        <w:tcPr>
          <w:tcW w:w="1267" w:type="dxa"/>
          <w:tcBorders>
            <w:bottom w:val="single" w:sz="4" w:space="0" w:color="auto"/>
          </w:tcBorders>
          <w:shd w:val="clear" w:color="auto" w:fill="auto"/>
          <w:vAlign w:val="bottom"/>
        </w:tcPr>
        <w:p w14:paraId="7DB6B593" w14:textId="77777777" w:rsidR="007E7F58" w:rsidRDefault="007E7F58" w:rsidP="0041338D">
          <w:pPr>
            <w:pStyle w:val="Header"/>
            <w:spacing w:after="120"/>
          </w:pPr>
        </w:p>
      </w:tc>
      <w:tc>
        <w:tcPr>
          <w:tcW w:w="2059" w:type="dxa"/>
          <w:tcBorders>
            <w:bottom w:val="single" w:sz="4" w:space="0" w:color="auto"/>
          </w:tcBorders>
          <w:shd w:val="clear" w:color="auto" w:fill="auto"/>
          <w:vAlign w:val="bottom"/>
        </w:tcPr>
        <w:p w14:paraId="6560BFFC" w14:textId="77777777" w:rsidR="007E7F58" w:rsidRPr="0041338D" w:rsidRDefault="007E7F58" w:rsidP="0041338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BB222DA" w14:textId="77777777" w:rsidR="007E7F58" w:rsidRDefault="007E7F58" w:rsidP="0041338D">
          <w:pPr>
            <w:pStyle w:val="Header"/>
            <w:spacing w:after="120"/>
          </w:pPr>
        </w:p>
      </w:tc>
      <w:tc>
        <w:tcPr>
          <w:tcW w:w="6466" w:type="dxa"/>
          <w:gridSpan w:val="3"/>
          <w:tcBorders>
            <w:bottom w:val="single" w:sz="4" w:space="0" w:color="auto"/>
          </w:tcBorders>
          <w:shd w:val="clear" w:color="auto" w:fill="auto"/>
          <w:vAlign w:val="bottom"/>
        </w:tcPr>
        <w:p w14:paraId="0BEFEC26" w14:textId="77777777" w:rsidR="007E7F58" w:rsidRPr="0041338D" w:rsidRDefault="007E7F58" w:rsidP="0041338D">
          <w:pPr>
            <w:spacing w:after="80" w:line="240" w:lineRule="auto"/>
            <w:jc w:val="right"/>
            <w:rPr>
              <w:position w:val="-4"/>
            </w:rPr>
          </w:pPr>
          <w:r>
            <w:rPr>
              <w:position w:val="-4"/>
              <w:sz w:val="40"/>
            </w:rPr>
            <w:t>CEDAW</w:t>
          </w:r>
          <w:r>
            <w:rPr>
              <w:position w:val="-4"/>
            </w:rPr>
            <w:t>/C/KGZ/RQ/5</w:t>
          </w:r>
        </w:p>
      </w:tc>
    </w:tr>
    <w:tr w:rsidR="007E7F58" w:rsidRPr="0041338D" w14:paraId="38DDDDF0" w14:textId="77777777" w:rsidTr="0041338D">
      <w:trPr>
        <w:trHeight w:hRule="exact" w:val="2880"/>
      </w:trPr>
      <w:tc>
        <w:tcPr>
          <w:tcW w:w="1267" w:type="dxa"/>
          <w:tcBorders>
            <w:top w:val="single" w:sz="4" w:space="0" w:color="auto"/>
            <w:bottom w:val="single" w:sz="12" w:space="0" w:color="auto"/>
          </w:tcBorders>
          <w:shd w:val="clear" w:color="auto" w:fill="auto"/>
        </w:tcPr>
        <w:p w14:paraId="43ADB2CE" w14:textId="77777777" w:rsidR="007E7F58" w:rsidRPr="0041338D" w:rsidRDefault="007E7F58" w:rsidP="0041338D">
          <w:pPr>
            <w:pStyle w:val="Header"/>
            <w:spacing w:before="120" w:line="240" w:lineRule="auto"/>
            <w:ind w:left="-72"/>
            <w:jc w:val="center"/>
          </w:pPr>
          <w:r>
            <w:t xml:space="preserve">  </w:t>
          </w:r>
          <w:r>
            <w:rPr>
              <w:noProof/>
            </w:rPr>
            <w:drawing>
              <wp:inline distT="0" distB="0" distL="0" distR="0" wp14:anchorId="34E09A4E" wp14:editId="278C705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B17242" w14:textId="48F27796" w:rsidR="007E7F58" w:rsidRPr="0041338D" w:rsidRDefault="007E7F58" w:rsidP="0041338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7793D9F" w14:textId="77777777" w:rsidR="007E7F58" w:rsidRPr="00794277" w:rsidRDefault="007E7F58" w:rsidP="0041338D">
          <w:pPr>
            <w:pStyle w:val="Header"/>
            <w:spacing w:before="109"/>
            <w:rPr>
              <w:lang w:val="fr-CA"/>
            </w:rPr>
          </w:pPr>
        </w:p>
      </w:tc>
      <w:tc>
        <w:tcPr>
          <w:tcW w:w="3110" w:type="dxa"/>
          <w:tcBorders>
            <w:top w:val="single" w:sz="4" w:space="0" w:color="auto"/>
            <w:bottom w:val="single" w:sz="12" w:space="0" w:color="auto"/>
          </w:tcBorders>
          <w:shd w:val="clear" w:color="auto" w:fill="auto"/>
        </w:tcPr>
        <w:p w14:paraId="713DC91C" w14:textId="77777777" w:rsidR="007E7F58" w:rsidRPr="00794277" w:rsidRDefault="007E7F58" w:rsidP="0041338D">
          <w:pPr>
            <w:pStyle w:val="Distribution"/>
            <w:rPr>
              <w:color w:val="000000"/>
              <w:lang w:val="fr-CA"/>
            </w:rPr>
          </w:pPr>
          <w:r w:rsidRPr="00794277">
            <w:rPr>
              <w:color w:val="000000"/>
              <w:lang w:val="fr-CA"/>
            </w:rPr>
            <w:t>Distr. générale</w:t>
          </w:r>
        </w:p>
        <w:p w14:paraId="6A593AE5" w14:textId="77777777" w:rsidR="007E7F58" w:rsidRPr="00794277" w:rsidRDefault="007E7F58" w:rsidP="0041338D">
          <w:pPr>
            <w:pStyle w:val="Publication"/>
            <w:rPr>
              <w:color w:val="000000"/>
              <w:lang w:val="fr-CA"/>
            </w:rPr>
          </w:pPr>
          <w:r w:rsidRPr="00794277">
            <w:rPr>
              <w:color w:val="000000"/>
              <w:lang w:val="fr-CA"/>
            </w:rPr>
            <w:t>27 avril 2020</w:t>
          </w:r>
        </w:p>
        <w:p w14:paraId="7C35499D" w14:textId="77777777" w:rsidR="007E7F58" w:rsidRPr="00794277" w:rsidRDefault="007E7F58" w:rsidP="0041338D">
          <w:r w:rsidRPr="00794277">
            <w:t>Français</w:t>
          </w:r>
        </w:p>
        <w:p w14:paraId="6B8C1192" w14:textId="4305E6DD" w:rsidR="007E7F58" w:rsidRDefault="007E7F58" w:rsidP="0041338D">
          <w:pPr>
            <w:pStyle w:val="Original"/>
            <w:rPr>
              <w:color w:val="000000"/>
              <w:lang w:val="fr-CA"/>
            </w:rPr>
          </w:pPr>
          <w:r w:rsidRPr="00794277">
            <w:rPr>
              <w:color w:val="000000"/>
              <w:lang w:val="fr-CA"/>
            </w:rPr>
            <w:t>Original</w:t>
          </w:r>
          <w:r>
            <w:rPr>
              <w:color w:val="000000"/>
              <w:lang w:val="fr-CA"/>
            </w:rPr>
            <w:t> :</w:t>
          </w:r>
          <w:r w:rsidRPr="00794277">
            <w:rPr>
              <w:color w:val="000000"/>
              <w:lang w:val="fr-CA"/>
            </w:rPr>
            <w:t xml:space="preserve"> russe</w:t>
          </w:r>
        </w:p>
        <w:p w14:paraId="235617DA" w14:textId="778B0ADE" w:rsidR="007E7F58" w:rsidRPr="00794277" w:rsidRDefault="007E7F58" w:rsidP="00794277">
          <w:r>
            <w:rPr>
              <w:lang w:val="fr-FR"/>
            </w:rPr>
            <w:t>Anglais, espagnol, français et russe seulement</w:t>
          </w:r>
        </w:p>
      </w:tc>
    </w:tr>
  </w:tbl>
  <w:p w14:paraId="32980E90" w14:textId="77777777" w:rsidR="007E7F58" w:rsidRPr="00794277" w:rsidRDefault="007E7F58" w:rsidP="0041338D">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1766143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090*"/>
    <w:docVar w:name="CreationDt" w:val="11/06/2020 3:39: PM"/>
    <w:docVar w:name="DocCategory" w:val="Doc"/>
    <w:docVar w:name="DocType" w:val="Final"/>
    <w:docVar w:name="DutyStation" w:val="New York"/>
    <w:docVar w:name="FooterJN" w:val="20-06090"/>
    <w:docVar w:name="jobn" w:val="20-06090 (F)"/>
    <w:docVar w:name="jobnDT" w:val="20-06090 (F)   110620"/>
    <w:docVar w:name="jobnDTDT" w:val="20-06090 (F)   110620   110620"/>
    <w:docVar w:name="JobNo" w:val="2006090F"/>
    <w:docVar w:name="JobNo2" w:val="2010560F"/>
    <w:docVar w:name="LocalDrive" w:val="-1"/>
    <w:docVar w:name="OandT" w:val="CMA"/>
    <w:docVar w:name="sss1" w:val="CEDAW/C/KGZ/RQ/5"/>
    <w:docVar w:name="sss2" w:val="-"/>
    <w:docVar w:name="Symbol1" w:val="CEDAW/C/KGZ/RQ/5"/>
    <w:docVar w:name="Symbol2" w:val="-"/>
  </w:docVars>
  <w:rsids>
    <w:rsidRoot w:val="00833398"/>
    <w:rsid w:val="00002584"/>
    <w:rsid w:val="0006491F"/>
    <w:rsid w:val="00071D43"/>
    <w:rsid w:val="0007535B"/>
    <w:rsid w:val="00082144"/>
    <w:rsid w:val="00086794"/>
    <w:rsid w:val="000948D2"/>
    <w:rsid w:val="000B53C1"/>
    <w:rsid w:val="000D4F0A"/>
    <w:rsid w:val="000D6387"/>
    <w:rsid w:val="000D73F4"/>
    <w:rsid w:val="00101B18"/>
    <w:rsid w:val="001030AE"/>
    <w:rsid w:val="001177E1"/>
    <w:rsid w:val="00122A56"/>
    <w:rsid w:val="00132B08"/>
    <w:rsid w:val="00134FEE"/>
    <w:rsid w:val="00146C6A"/>
    <w:rsid w:val="00166A0D"/>
    <w:rsid w:val="00193ECE"/>
    <w:rsid w:val="001A1685"/>
    <w:rsid w:val="001E2379"/>
    <w:rsid w:val="001E4B50"/>
    <w:rsid w:val="001F6DD9"/>
    <w:rsid w:val="00202192"/>
    <w:rsid w:val="002104AB"/>
    <w:rsid w:val="0021412C"/>
    <w:rsid w:val="00232925"/>
    <w:rsid w:val="00245107"/>
    <w:rsid w:val="00245FDC"/>
    <w:rsid w:val="002460BF"/>
    <w:rsid w:val="002478A0"/>
    <w:rsid w:val="00270591"/>
    <w:rsid w:val="002713C9"/>
    <w:rsid w:val="00280912"/>
    <w:rsid w:val="0029448F"/>
    <w:rsid w:val="002A5E20"/>
    <w:rsid w:val="002A62F1"/>
    <w:rsid w:val="002E04BE"/>
    <w:rsid w:val="002F2050"/>
    <w:rsid w:val="002F4419"/>
    <w:rsid w:val="0030765E"/>
    <w:rsid w:val="003604EA"/>
    <w:rsid w:val="00366D21"/>
    <w:rsid w:val="00382858"/>
    <w:rsid w:val="00397F1A"/>
    <w:rsid w:val="003A675A"/>
    <w:rsid w:val="003C536A"/>
    <w:rsid w:val="003E3F8F"/>
    <w:rsid w:val="003E6A5D"/>
    <w:rsid w:val="003F61E1"/>
    <w:rsid w:val="00403DFD"/>
    <w:rsid w:val="00406B5C"/>
    <w:rsid w:val="00410BE8"/>
    <w:rsid w:val="0041338D"/>
    <w:rsid w:val="004214C3"/>
    <w:rsid w:val="00440C93"/>
    <w:rsid w:val="00462EE0"/>
    <w:rsid w:val="00472B7F"/>
    <w:rsid w:val="00480B84"/>
    <w:rsid w:val="00485280"/>
    <w:rsid w:val="0049727F"/>
    <w:rsid w:val="004A0907"/>
    <w:rsid w:val="004B64F9"/>
    <w:rsid w:val="004B7FD8"/>
    <w:rsid w:val="004C1A25"/>
    <w:rsid w:val="004D6DB7"/>
    <w:rsid w:val="004E0892"/>
    <w:rsid w:val="004E491B"/>
    <w:rsid w:val="00515991"/>
    <w:rsid w:val="005225EC"/>
    <w:rsid w:val="00524693"/>
    <w:rsid w:val="00525097"/>
    <w:rsid w:val="00543A1F"/>
    <w:rsid w:val="005509B6"/>
    <w:rsid w:val="00556BC0"/>
    <w:rsid w:val="00563CC0"/>
    <w:rsid w:val="00565DF7"/>
    <w:rsid w:val="00571235"/>
    <w:rsid w:val="00577A36"/>
    <w:rsid w:val="00580CF2"/>
    <w:rsid w:val="005B398E"/>
    <w:rsid w:val="005C03A7"/>
    <w:rsid w:val="005C5330"/>
    <w:rsid w:val="005C567C"/>
    <w:rsid w:val="005D236C"/>
    <w:rsid w:val="005D4517"/>
    <w:rsid w:val="005E483C"/>
    <w:rsid w:val="005F1F5F"/>
    <w:rsid w:val="00632C10"/>
    <w:rsid w:val="00690698"/>
    <w:rsid w:val="006A6860"/>
    <w:rsid w:val="006D79F5"/>
    <w:rsid w:val="006E03DA"/>
    <w:rsid w:val="006E4A4B"/>
    <w:rsid w:val="006E5107"/>
    <w:rsid w:val="006F370E"/>
    <w:rsid w:val="00701964"/>
    <w:rsid w:val="00702DEE"/>
    <w:rsid w:val="00703106"/>
    <w:rsid w:val="00724107"/>
    <w:rsid w:val="007459AE"/>
    <w:rsid w:val="007531A5"/>
    <w:rsid w:val="00771C9E"/>
    <w:rsid w:val="00794277"/>
    <w:rsid w:val="007B1753"/>
    <w:rsid w:val="007B6CE4"/>
    <w:rsid w:val="007B770F"/>
    <w:rsid w:val="007E224F"/>
    <w:rsid w:val="007E7F58"/>
    <w:rsid w:val="007F1722"/>
    <w:rsid w:val="0082045E"/>
    <w:rsid w:val="008222A3"/>
    <w:rsid w:val="00833398"/>
    <w:rsid w:val="008446A5"/>
    <w:rsid w:val="008562B8"/>
    <w:rsid w:val="00876489"/>
    <w:rsid w:val="00883D3C"/>
    <w:rsid w:val="00885FF7"/>
    <w:rsid w:val="00886CF2"/>
    <w:rsid w:val="008A6957"/>
    <w:rsid w:val="008A6F6A"/>
    <w:rsid w:val="008D3879"/>
    <w:rsid w:val="008E0870"/>
    <w:rsid w:val="008F11B3"/>
    <w:rsid w:val="008F19AC"/>
    <w:rsid w:val="008F3462"/>
    <w:rsid w:val="0090528E"/>
    <w:rsid w:val="009237A6"/>
    <w:rsid w:val="0093250D"/>
    <w:rsid w:val="00935932"/>
    <w:rsid w:val="009547DC"/>
    <w:rsid w:val="00965424"/>
    <w:rsid w:val="00990F13"/>
    <w:rsid w:val="00993CB7"/>
    <w:rsid w:val="00994877"/>
    <w:rsid w:val="009C3BFE"/>
    <w:rsid w:val="009D0EE3"/>
    <w:rsid w:val="009E3220"/>
    <w:rsid w:val="009F40B9"/>
    <w:rsid w:val="009F5523"/>
    <w:rsid w:val="00A2494D"/>
    <w:rsid w:val="00A300F0"/>
    <w:rsid w:val="00A536A1"/>
    <w:rsid w:val="00A85482"/>
    <w:rsid w:val="00AA1565"/>
    <w:rsid w:val="00AA6E94"/>
    <w:rsid w:val="00AB0B7D"/>
    <w:rsid w:val="00AD0A2F"/>
    <w:rsid w:val="00AD5F2F"/>
    <w:rsid w:val="00AF5052"/>
    <w:rsid w:val="00AF5ECD"/>
    <w:rsid w:val="00B0167E"/>
    <w:rsid w:val="00B21E40"/>
    <w:rsid w:val="00B43873"/>
    <w:rsid w:val="00B451A2"/>
    <w:rsid w:val="00B858D5"/>
    <w:rsid w:val="00BA2C89"/>
    <w:rsid w:val="00BA2D2D"/>
    <w:rsid w:val="00BA4954"/>
    <w:rsid w:val="00BA6642"/>
    <w:rsid w:val="00BD12BA"/>
    <w:rsid w:val="00BF28A4"/>
    <w:rsid w:val="00C138C6"/>
    <w:rsid w:val="00C37C79"/>
    <w:rsid w:val="00CB06FB"/>
    <w:rsid w:val="00CB63C5"/>
    <w:rsid w:val="00CC06C6"/>
    <w:rsid w:val="00D06DC3"/>
    <w:rsid w:val="00D25794"/>
    <w:rsid w:val="00D30EED"/>
    <w:rsid w:val="00D50ADC"/>
    <w:rsid w:val="00DC7881"/>
    <w:rsid w:val="00DD24C3"/>
    <w:rsid w:val="00DE4289"/>
    <w:rsid w:val="00E126C3"/>
    <w:rsid w:val="00E343A6"/>
    <w:rsid w:val="00E443AC"/>
    <w:rsid w:val="00E47A1E"/>
    <w:rsid w:val="00E526DD"/>
    <w:rsid w:val="00E7105F"/>
    <w:rsid w:val="00E76891"/>
    <w:rsid w:val="00E7792F"/>
    <w:rsid w:val="00EC030B"/>
    <w:rsid w:val="00EC2029"/>
    <w:rsid w:val="00EC3BB2"/>
    <w:rsid w:val="00EE37EC"/>
    <w:rsid w:val="00EF2DFA"/>
    <w:rsid w:val="00EF4E6A"/>
    <w:rsid w:val="00F313F6"/>
    <w:rsid w:val="00F5012D"/>
    <w:rsid w:val="00F62B8B"/>
    <w:rsid w:val="00F73093"/>
    <w:rsid w:val="00F84A8C"/>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14AB72"/>
  <w15:chartTrackingRefBased/>
  <w15:docId w15:val="{6101513F-5B5E-41A4-B052-1C37B2AA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EE"/>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02DEE"/>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02DEE"/>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02DEE"/>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02DEE"/>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02DEE"/>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02DEE"/>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02DEE"/>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02DEE"/>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02DEE"/>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02DEE"/>
    <w:pPr>
      <w:keepNext/>
      <w:keepLines/>
      <w:suppressAutoHyphens/>
      <w:spacing w:line="270" w:lineRule="exact"/>
      <w:outlineLvl w:val="0"/>
    </w:pPr>
    <w:rPr>
      <w:b/>
      <w:sz w:val="24"/>
    </w:rPr>
  </w:style>
  <w:style w:type="paragraph" w:customStyle="1" w:styleId="HCH">
    <w:name w:val="_ H _CH"/>
    <w:basedOn w:val="H1"/>
    <w:next w:val="SingleTxt"/>
    <w:qFormat/>
    <w:rsid w:val="00702DEE"/>
    <w:pPr>
      <w:spacing w:line="300" w:lineRule="exact"/>
    </w:pPr>
    <w:rPr>
      <w:spacing w:val="-2"/>
      <w:sz w:val="28"/>
    </w:rPr>
  </w:style>
  <w:style w:type="paragraph" w:customStyle="1" w:styleId="HM">
    <w:name w:val="_ H __M"/>
    <w:basedOn w:val="HCH"/>
    <w:next w:val="Normal"/>
    <w:qFormat/>
    <w:rsid w:val="00702DEE"/>
    <w:pPr>
      <w:spacing w:line="360" w:lineRule="exact"/>
    </w:pPr>
    <w:rPr>
      <w:spacing w:val="-3"/>
      <w:w w:val="99"/>
      <w:sz w:val="34"/>
    </w:rPr>
  </w:style>
  <w:style w:type="paragraph" w:customStyle="1" w:styleId="H23">
    <w:name w:val="_ H_2/3"/>
    <w:basedOn w:val="H1"/>
    <w:next w:val="SingleTxt"/>
    <w:qFormat/>
    <w:rsid w:val="00702DEE"/>
    <w:pPr>
      <w:spacing w:line="240" w:lineRule="exact"/>
      <w:outlineLvl w:val="1"/>
    </w:pPr>
    <w:rPr>
      <w:spacing w:val="2"/>
      <w:sz w:val="20"/>
    </w:rPr>
  </w:style>
  <w:style w:type="paragraph" w:customStyle="1" w:styleId="H4">
    <w:name w:val="_ H_4"/>
    <w:basedOn w:val="Normal"/>
    <w:next w:val="Normal"/>
    <w:qFormat/>
    <w:rsid w:val="00702DEE"/>
    <w:pPr>
      <w:keepNext/>
      <w:keepLines/>
      <w:tabs>
        <w:tab w:val="right" w:pos="360"/>
      </w:tabs>
      <w:suppressAutoHyphens/>
      <w:outlineLvl w:val="3"/>
    </w:pPr>
    <w:rPr>
      <w:i/>
      <w:spacing w:val="3"/>
    </w:rPr>
  </w:style>
  <w:style w:type="paragraph" w:customStyle="1" w:styleId="H56">
    <w:name w:val="_ H_5/6"/>
    <w:basedOn w:val="Normal"/>
    <w:next w:val="Normal"/>
    <w:qFormat/>
    <w:rsid w:val="00702DE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02DE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02DE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02DEE"/>
    <w:pPr>
      <w:spacing w:line="540" w:lineRule="exact"/>
    </w:pPr>
    <w:rPr>
      <w:spacing w:val="-8"/>
      <w:w w:val="96"/>
      <w:sz w:val="57"/>
    </w:rPr>
  </w:style>
  <w:style w:type="paragraph" w:customStyle="1" w:styleId="SS">
    <w:name w:val="__S_S"/>
    <w:basedOn w:val="HCH"/>
    <w:next w:val="Normal"/>
    <w:qFormat/>
    <w:rsid w:val="00702DEE"/>
    <w:pPr>
      <w:ind w:left="1267" w:right="1267"/>
    </w:pPr>
  </w:style>
  <w:style w:type="paragraph" w:customStyle="1" w:styleId="SingleTxt">
    <w:name w:val="__Single Txt"/>
    <w:basedOn w:val="Normal"/>
    <w:qFormat/>
    <w:rsid w:val="00702DE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02DEE"/>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702D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02DE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02DE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02DEE"/>
    <w:rPr>
      <w:rFonts w:ascii="Tahoma" w:hAnsi="Tahoma" w:cs="Tahoma"/>
      <w:spacing w:val="4"/>
      <w:w w:val="103"/>
      <w:kern w:val="14"/>
      <w:sz w:val="16"/>
      <w:szCs w:val="16"/>
      <w:lang w:val="fr-CA" w:eastAsia="en-US"/>
    </w:rPr>
  </w:style>
  <w:style w:type="paragraph" w:customStyle="1" w:styleId="Bullet1">
    <w:name w:val="Bullet 1"/>
    <w:basedOn w:val="Normal"/>
    <w:qFormat/>
    <w:rsid w:val="00702DEE"/>
    <w:pPr>
      <w:numPr>
        <w:numId w:val="29"/>
      </w:numPr>
      <w:spacing w:after="120"/>
      <w:ind w:right="1267"/>
      <w:jc w:val="both"/>
    </w:pPr>
  </w:style>
  <w:style w:type="paragraph" w:customStyle="1" w:styleId="Bullet2">
    <w:name w:val="Bullet 2"/>
    <w:basedOn w:val="Normal"/>
    <w:qFormat/>
    <w:rsid w:val="00702DEE"/>
    <w:pPr>
      <w:numPr>
        <w:numId w:val="30"/>
      </w:numPr>
      <w:spacing w:after="120"/>
      <w:ind w:right="1264"/>
      <w:jc w:val="both"/>
    </w:pPr>
  </w:style>
  <w:style w:type="paragraph" w:customStyle="1" w:styleId="Bullet3">
    <w:name w:val="Bullet 3"/>
    <w:basedOn w:val="SingleTxt"/>
    <w:qFormat/>
    <w:rsid w:val="00702DEE"/>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02DEE"/>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02D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02DEE"/>
    <w:pPr>
      <w:spacing w:line="210" w:lineRule="exact"/>
    </w:pPr>
    <w:rPr>
      <w:sz w:val="17"/>
      <w:szCs w:val="20"/>
    </w:rPr>
  </w:style>
  <w:style w:type="character" w:customStyle="1" w:styleId="EndnoteTextChar">
    <w:name w:val="Endnote Text Char"/>
    <w:link w:val="EndnoteText"/>
    <w:uiPriority w:val="99"/>
    <w:semiHidden/>
    <w:rsid w:val="00702DEE"/>
    <w:rPr>
      <w:rFonts w:ascii="Times New Roman" w:hAnsi="Times New Roman" w:cs="Times New Roman"/>
      <w:spacing w:val="4"/>
      <w:w w:val="103"/>
      <w:kern w:val="14"/>
      <w:sz w:val="17"/>
      <w:szCs w:val="20"/>
      <w:lang w:val="fr-CA" w:eastAsia="en-US"/>
    </w:rPr>
  </w:style>
  <w:style w:type="paragraph" w:styleId="Footer">
    <w:name w:val="footer"/>
    <w:aliases w:val="3_G"/>
    <w:link w:val="FooterChar"/>
    <w:qFormat/>
    <w:rsid w:val="00702DEE"/>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aliases w:val="3_G Char"/>
    <w:link w:val="Footer"/>
    <w:rsid w:val="00702DEE"/>
    <w:rPr>
      <w:rFonts w:ascii="Times New Roman" w:hAnsi="Times New Roman" w:cs="Times New Roman"/>
      <w:b/>
      <w:spacing w:val="3"/>
      <w:w w:val="105"/>
      <w:sz w:val="17"/>
      <w:lang w:val="en-US" w:eastAsia="en-US"/>
    </w:rPr>
  </w:style>
  <w:style w:type="character" w:styleId="FootnoteReference">
    <w:name w:val="footnote reference"/>
    <w:uiPriority w:val="99"/>
    <w:rsid w:val="00702DEE"/>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02DEE"/>
    <w:pPr>
      <w:spacing w:line="210" w:lineRule="exact"/>
    </w:pPr>
    <w:rPr>
      <w:sz w:val="17"/>
      <w:szCs w:val="20"/>
    </w:rPr>
  </w:style>
  <w:style w:type="character" w:customStyle="1" w:styleId="FootnoteTextChar">
    <w:name w:val="Footnote Text Char"/>
    <w:link w:val="FootnoteText"/>
    <w:uiPriority w:val="99"/>
    <w:rsid w:val="00702DEE"/>
    <w:rPr>
      <w:rFonts w:ascii="Times New Roman" w:hAnsi="Times New Roman" w:cs="Times New Roman"/>
      <w:spacing w:val="4"/>
      <w:w w:val="103"/>
      <w:kern w:val="14"/>
      <w:sz w:val="17"/>
      <w:szCs w:val="20"/>
      <w:lang w:val="fr-CA" w:eastAsia="en-US"/>
    </w:rPr>
  </w:style>
  <w:style w:type="paragraph" w:styleId="Header">
    <w:name w:val="header"/>
    <w:aliases w:val="6_G"/>
    <w:link w:val="HeaderChar"/>
    <w:rsid w:val="00702DEE"/>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aliases w:val="6_G Char"/>
    <w:link w:val="Header"/>
    <w:rsid w:val="00702DEE"/>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702DE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02DE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02DE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02DE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02DE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02DE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02DE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02DE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02DE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02DEE"/>
    <w:rPr>
      <w:sz w:val="14"/>
    </w:rPr>
  </w:style>
  <w:style w:type="paragraph" w:styleId="ListParagraph">
    <w:name w:val="List Paragraph"/>
    <w:basedOn w:val="Normal"/>
    <w:uiPriority w:val="34"/>
    <w:rsid w:val="00702DEE"/>
    <w:pPr>
      <w:ind w:left="720"/>
      <w:contextualSpacing/>
    </w:pPr>
  </w:style>
  <w:style w:type="paragraph" w:styleId="NoSpacing">
    <w:name w:val="No Spacing"/>
    <w:uiPriority w:val="1"/>
    <w:rsid w:val="00702DEE"/>
    <w:pPr>
      <w:spacing w:after="0" w:line="240" w:lineRule="auto"/>
    </w:pPr>
    <w:rPr>
      <w:rFonts w:ascii="Calibri" w:hAnsi="Calibri" w:cs="Times New Roman"/>
      <w:lang w:val="en-US" w:eastAsia="en-US"/>
    </w:rPr>
  </w:style>
  <w:style w:type="paragraph" w:customStyle="1" w:styleId="Original">
    <w:name w:val="Original"/>
    <w:next w:val="Normal"/>
    <w:autoRedefine/>
    <w:qFormat/>
    <w:rsid w:val="00702DEE"/>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702DEE"/>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702DEE"/>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702DEE"/>
    <w:pPr>
      <w:tabs>
        <w:tab w:val="right" w:pos="9965"/>
      </w:tabs>
      <w:spacing w:line="210" w:lineRule="exact"/>
    </w:pPr>
    <w:rPr>
      <w:spacing w:val="5"/>
      <w:w w:val="104"/>
      <w:sz w:val="17"/>
    </w:rPr>
  </w:style>
  <w:style w:type="paragraph" w:customStyle="1" w:styleId="SmallX">
    <w:name w:val="SmallX"/>
    <w:basedOn w:val="Small"/>
    <w:next w:val="Normal"/>
    <w:qFormat/>
    <w:rsid w:val="00702DEE"/>
    <w:pPr>
      <w:spacing w:line="180" w:lineRule="exact"/>
      <w:jc w:val="right"/>
    </w:pPr>
    <w:rPr>
      <w:spacing w:val="6"/>
      <w:w w:val="106"/>
      <w:sz w:val="14"/>
    </w:rPr>
  </w:style>
  <w:style w:type="character" w:styleId="Strong">
    <w:name w:val="Strong"/>
    <w:uiPriority w:val="22"/>
    <w:rsid w:val="00702DEE"/>
    <w:rPr>
      <w:b/>
      <w:bCs/>
    </w:rPr>
  </w:style>
  <w:style w:type="paragraph" w:customStyle="1" w:styleId="Style1">
    <w:name w:val="Style1"/>
    <w:basedOn w:val="Normal"/>
    <w:qFormat/>
    <w:rsid w:val="00702DEE"/>
  </w:style>
  <w:style w:type="paragraph" w:customStyle="1" w:styleId="Style2">
    <w:name w:val="Style2"/>
    <w:basedOn w:val="Normal"/>
    <w:autoRedefine/>
    <w:qFormat/>
    <w:rsid w:val="00702DEE"/>
  </w:style>
  <w:style w:type="paragraph" w:customStyle="1" w:styleId="TitleHCH">
    <w:name w:val="Title_H_CH"/>
    <w:basedOn w:val="H1"/>
    <w:next w:val="Normal"/>
    <w:qFormat/>
    <w:rsid w:val="00702D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02D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02DEE"/>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41338D"/>
    <w:rPr>
      <w:sz w:val="16"/>
      <w:szCs w:val="16"/>
    </w:rPr>
  </w:style>
  <w:style w:type="paragraph" w:styleId="CommentText">
    <w:name w:val="annotation text"/>
    <w:basedOn w:val="Normal"/>
    <w:link w:val="CommentTextChar"/>
    <w:uiPriority w:val="99"/>
    <w:semiHidden/>
    <w:unhideWhenUsed/>
    <w:rsid w:val="0041338D"/>
    <w:pPr>
      <w:spacing w:line="240" w:lineRule="auto"/>
    </w:pPr>
    <w:rPr>
      <w:szCs w:val="20"/>
    </w:rPr>
  </w:style>
  <w:style w:type="character" w:customStyle="1" w:styleId="CommentTextChar">
    <w:name w:val="Comment Text Char"/>
    <w:basedOn w:val="DefaultParagraphFont"/>
    <w:link w:val="CommentText"/>
    <w:uiPriority w:val="99"/>
    <w:semiHidden/>
    <w:rsid w:val="0041338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1338D"/>
    <w:rPr>
      <w:b/>
      <w:bCs/>
    </w:rPr>
  </w:style>
  <w:style w:type="character" w:customStyle="1" w:styleId="CommentSubjectChar">
    <w:name w:val="Comment Subject Char"/>
    <w:basedOn w:val="CommentTextChar"/>
    <w:link w:val="CommentSubject"/>
    <w:uiPriority w:val="99"/>
    <w:semiHidden/>
    <w:rsid w:val="0041338D"/>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7F1722"/>
    <w:rPr>
      <w:color w:val="0000FF"/>
      <w:u w:val="none"/>
    </w:rPr>
  </w:style>
  <w:style w:type="character" w:styleId="UnresolvedMention">
    <w:name w:val="Unresolved Mention"/>
    <w:basedOn w:val="DefaultParagraphFont"/>
    <w:uiPriority w:val="99"/>
    <w:semiHidden/>
    <w:unhideWhenUsed/>
    <w:rsid w:val="007F1722"/>
    <w:rPr>
      <w:color w:val="605E5C"/>
      <w:shd w:val="clear" w:color="auto" w:fill="E1DFDD"/>
    </w:rPr>
  </w:style>
  <w:style w:type="character" w:styleId="FollowedHyperlink">
    <w:name w:val="FollowedHyperlink"/>
    <w:basedOn w:val="DefaultParagraphFont"/>
    <w:uiPriority w:val="99"/>
    <w:semiHidden/>
    <w:unhideWhenUsed/>
    <w:rsid w:val="00BD12BA"/>
    <w:rPr>
      <w:color w:val="0000FF"/>
      <w:u w:val="none"/>
    </w:rPr>
  </w:style>
  <w:style w:type="paragraph" w:customStyle="1" w:styleId="SingleTxtG">
    <w:name w:val="_ Single Txt_G"/>
    <w:basedOn w:val="Normal"/>
    <w:link w:val="SingleTxtGChar"/>
    <w:qFormat/>
    <w:rsid w:val="004D6DB7"/>
    <w:pPr>
      <w:suppressAutoHyphens/>
      <w:spacing w:after="120" w:line="240" w:lineRule="atLeast"/>
      <w:ind w:left="1134" w:right="1134"/>
      <w:jc w:val="both"/>
    </w:pPr>
    <w:rPr>
      <w:rFonts w:eastAsia="SimSun"/>
      <w:spacing w:val="0"/>
      <w:w w:val="100"/>
      <w:kern w:val="0"/>
      <w:szCs w:val="20"/>
      <w:lang w:val="en-GB" w:eastAsia="zh-CN"/>
    </w:rPr>
  </w:style>
  <w:style w:type="character" w:customStyle="1" w:styleId="SingleTxtGChar">
    <w:name w:val="_ Single Txt_G Char"/>
    <w:link w:val="SingleTxtG"/>
    <w:locked/>
    <w:rsid w:val="004D6DB7"/>
    <w:rPr>
      <w:rFonts w:ascii="Times New Roman" w:eastAsia="SimSun" w:hAnsi="Times New Roman" w:cs="Times New Roman"/>
      <w:sz w:val="20"/>
      <w:szCs w:val="20"/>
    </w:rPr>
  </w:style>
  <w:style w:type="paragraph" w:styleId="Revision">
    <w:name w:val="Revision"/>
    <w:hidden/>
    <w:uiPriority w:val="99"/>
    <w:semiHidden/>
    <w:rsid w:val="00193ECE"/>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A/RES/63/169" TargetMode="External"/><Relationship Id="rId26" Type="http://schemas.openxmlformats.org/officeDocument/2006/relationships/hyperlink" Target="http://www.ukuk-jardam.gov.kg" TargetMode="External"/><Relationship Id="rId3" Type="http://schemas.openxmlformats.org/officeDocument/2006/relationships/settings" Target="settings.xml"/><Relationship Id="rId21" Type="http://schemas.openxmlformats.org/officeDocument/2006/relationships/hyperlink" Target="https://undocs.org/fr/A/RES/64/16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48/134" TargetMode="External"/><Relationship Id="rId25" Type="http://schemas.openxmlformats.org/officeDocument/2006/relationships/hyperlink" Target="https://undocs.org/fr/S/RES/1325(2000)" TargetMode="External"/><Relationship Id="rId2" Type="http://schemas.openxmlformats.org/officeDocument/2006/relationships/styles" Target="styles.xml"/><Relationship Id="rId16" Type="http://schemas.openxmlformats.org/officeDocument/2006/relationships/hyperlink" Target="https://undocs.org/fr/S/RES/1325(2000)" TargetMode="External"/><Relationship Id="rId20" Type="http://schemas.openxmlformats.org/officeDocument/2006/relationships/hyperlink" Target="https://undocs.org/fr/A/RES/63/1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1325(2000)"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mkk.gov.kg"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A/RES/65/20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HRC/RES/17/9" TargetMode="External"/><Relationship Id="rId27" Type="http://schemas.openxmlformats.org/officeDocument/2006/relationships/hyperlink" Target="mailto:sekretariat@mvd.k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14678</Words>
  <Characters>83670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Jean-Michel Savre</cp:lastModifiedBy>
  <cp:revision>3</cp:revision>
  <cp:lastPrinted>2020-06-17T13:37:00Z</cp:lastPrinted>
  <dcterms:created xsi:type="dcterms:W3CDTF">2020-06-17T13:37:00Z</dcterms:created>
  <dcterms:modified xsi:type="dcterms:W3CDTF">2020-06-17T13:37:00Z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2006090F</vt:lpwstr>
  </property>
  <property fmtid="{D5CDD505-2E9C-101B-9397-08002B2CF9AE}" pid="3" name="ODSRefJobNo">
    <vt:lpwstr>2010560F</vt:lpwstr>
  </property>
  <property fmtid="{D5CDD505-2E9C-101B-9397-08002B2CF9AE}" pid="4" name="Symbol1">
    <vt:lpwstr>CEDAW/C/KGZ/RQ/5</vt:lpwstr>
  </property>
  <property fmtid="{D5CDD505-2E9C-101B-9397-08002B2CF9AE}" pid="5" name="Symbol2">
    <vt:lpwstr/>
  </property>
  <property fmtid="{D5CDD505-2E9C-101B-9397-08002B2CF9AE}" pid="6" name="Translator">
    <vt:lpwstr/>
  </property>
  <property fmtid="{D5CDD505-2E9C-101B-9397-08002B2CF9AE}" pid="7" name="Operator">
    <vt:lpwstr>CMA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Soixante-seizième session_x000d_</vt:lpwstr>
  </property>
  <property fmtid="{D5CDD505-2E9C-101B-9397-08002B2CF9AE}" pid="14" name="Agenda1">
    <vt:lpwstr>Point 4 de l’ordre du jour provisoire_x000d_</vt:lpwstr>
  </property>
  <property fmtid="{D5CDD505-2E9C-101B-9397-08002B2CF9AE}" pid="15" name="Agenda Title1">
    <vt:lpwstr>Examen des rapports soumis par les États parties en application de l’article 18 de la Convention sur l’élimination de toutes les formes de discrimination à l’égard des femmes_x000d_</vt:lpwstr>
  </property>
</Properties>
</file>