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0F86D" w14:textId="77777777" w:rsidR="00B81675" w:rsidRPr="00CE1383" w:rsidRDefault="00B81675" w:rsidP="00B81675">
      <w:pPr>
        <w:spacing w:line="240" w:lineRule="auto"/>
        <w:rPr>
          <w:sz w:val="2"/>
          <w:lang w:val="en-GB"/>
        </w:rPr>
        <w:sectPr w:rsidR="00B81675" w:rsidRPr="00CE1383" w:rsidSect="004A3AB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1A653F">
        <w:rPr>
          <w:rStyle w:val="CommentReference"/>
          <w:lang w:val="en-GB"/>
        </w:rPr>
        <w:commentReference w:id="0"/>
      </w:r>
    </w:p>
    <w:p w14:paraId="2B65C34F" w14:textId="77777777" w:rsidR="004A3AB4" w:rsidRPr="00DF37A3" w:rsidRDefault="004A3AB4" w:rsidP="00D1128F">
      <w:pPr>
        <w:pStyle w:val="H1"/>
        <w:tabs>
          <w:tab w:val="clear" w:pos="1742"/>
        </w:tabs>
        <w:ind w:left="0" w:right="4622" w:firstLine="0"/>
        <w:rPr>
          <w:lang w:val="en-GB"/>
        </w:rPr>
      </w:pPr>
      <w:bookmarkStart w:id="1" w:name="_Hlk6837766"/>
      <w:r w:rsidRPr="00DF37A3">
        <w:rPr>
          <w:lang w:val="en-GB"/>
        </w:rPr>
        <w:t>Committee on the Elimination of</w:t>
      </w:r>
      <w:r>
        <w:rPr>
          <w:lang w:val="en-GB"/>
        </w:rPr>
        <w:t xml:space="preserve"> </w:t>
      </w:r>
      <w:r w:rsidRPr="00DF37A3">
        <w:rPr>
          <w:lang w:val="en-GB"/>
        </w:rPr>
        <w:t>Discrimination against Women</w:t>
      </w:r>
    </w:p>
    <w:p w14:paraId="7A0280CB" w14:textId="77777777" w:rsidR="004A3AB4" w:rsidRPr="00DF37A3" w:rsidRDefault="004A3AB4" w:rsidP="004A3AB4">
      <w:pPr>
        <w:pStyle w:val="SingleTxt"/>
        <w:spacing w:after="0" w:line="120" w:lineRule="exact"/>
        <w:rPr>
          <w:sz w:val="10"/>
          <w:lang w:val="en-GB"/>
        </w:rPr>
      </w:pPr>
    </w:p>
    <w:p w14:paraId="4D13D672" w14:textId="77777777" w:rsidR="004A3AB4" w:rsidRPr="00DF37A3" w:rsidRDefault="004A3AB4" w:rsidP="004A3AB4">
      <w:pPr>
        <w:pStyle w:val="SingleTxt"/>
        <w:spacing w:after="0" w:line="120" w:lineRule="exact"/>
        <w:rPr>
          <w:sz w:val="10"/>
          <w:lang w:val="en-GB"/>
        </w:rPr>
      </w:pPr>
    </w:p>
    <w:p w14:paraId="0D16A012" w14:textId="77777777" w:rsidR="004A3AB4" w:rsidRPr="00DF37A3" w:rsidRDefault="004A3AB4" w:rsidP="004A3AB4">
      <w:pPr>
        <w:pStyle w:val="SingleTxt"/>
        <w:spacing w:after="0" w:line="120" w:lineRule="exact"/>
        <w:rPr>
          <w:sz w:val="10"/>
          <w:lang w:val="en-GB"/>
        </w:rPr>
      </w:pPr>
    </w:p>
    <w:p w14:paraId="38077F0C" w14:textId="5420BC9D" w:rsidR="004A3AB4" w:rsidRPr="00DF37A3" w:rsidRDefault="004A3AB4" w:rsidP="004A3AB4">
      <w:pPr>
        <w:pStyle w:val="TitleHCH"/>
        <w:ind w:left="1267" w:right="1260" w:hanging="1267"/>
        <w:rPr>
          <w:lang w:val="en-GB"/>
        </w:rPr>
      </w:pPr>
      <w:r w:rsidRPr="00DF37A3">
        <w:rPr>
          <w:lang w:val="en-GB"/>
        </w:rPr>
        <w:tab/>
      </w:r>
      <w:r w:rsidRPr="00DF37A3">
        <w:rPr>
          <w:lang w:val="en-GB"/>
        </w:rPr>
        <w:tab/>
        <w:t>Fifth periodic report submitted by Kyrgyzstan under article</w:t>
      </w:r>
      <w:r w:rsidR="00E35052">
        <w:rPr>
          <w:lang w:val="en-GB"/>
        </w:rPr>
        <w:t> </w:t>
      </w:r>
      <w:bookmarkStart w:id="2" w:name="_GoBack"/>
      <w:bookmarkEnd w:id="2"/>
      <w:r w:rsidRPr="00DF37A3">
        <w:rPr>
          <w:lang w:val="en-GB"/>
        </w:rPr>
        <w:t>18 of the Convention, due in 2019</w:t>
      </w:r>
      <w:r w:rsidRPr="006C1959">
        <w:rPr>
          <w:b w:val="0"/>
          <w:bCs/>
          <w:position w:val="4"/>
          <w:sz w:val="20"/>
          <w:lang w:val="en-GB"/>
        </w:rPr>
        <w:t>*</w:t>
      </w:r>
    </w:p>
    <w:p w14:paraId="12A1C528" w14:textId="77777777" w:rsidR="004A3AB4" w:rsidRPr="00DF37A3" w:rsidRDefault="004A3AB4" w:rsidP="004A3AB4">
      <w:pPr>
        <w:pStyle w:val="SingleTxt"/>
        <w:spacing w:after="0" w:line="120" w:lineRule="exact"/>
        <w:rPr>
          <w:sz w:val="10"/>
          <w:lang w:val="en-GB"/>
        </w:rPr>
      </w:pPr>
    </w:p>
    <w:p w14:paraId="6315422E" w14:textId="77777777" w:rsidR="004A3AB4" w:rsidRPr="00DF37A3" w:rsidRDefault="004A3AB4" w:rsidP="004A3AB4">
      <w:pPr>
        <w:pStyle w:val="SingleTxt"/>
        <w:spacing w:after="0" w:line="120" w:lineRule="exact"/>
        <w:rPr>
          <w:sz w:val="10"/>
          <w:lang w:val="en-GB"/>
        </w:rPr>
      </w:pPr>
    </w:p>
    <w:p w14:paraId="4198D6D2" w14:textId="77777777" w:rsidR="004A3AB4" w:rsidRPr="00DF37A3" w:rsidRDefault="004A3AB4" w:rsidP="004A3AB4">
      <w:pPr>
        <w:framePr w:w="9792" w:h="432" w:hSpace="180" w:wrap="notBeside" w:hAnchor="page" w:x="1210" w:yAlign="bottom"/>
        <w:spacing w:line="240" w:lineRule="auto"/>
        <w:rPr>
          <w:sz w:val="2"/>
        </w:rPr>
      </w:pPr>
      <w:r w:rsidRPr="00DF37A3">
        <w:rPr>
          <w:noProof/>
          <w:w w:val="100"/>
          <w:sz w:val="2"/>
        </w:rPr>
        <mc:AlternateContent>
          <mc:Choice Requires="wps">
            <w:drawing>
              <wp:anchor distT="0" distB="0" distL="114300" distR="114300" simplePos="0" relativeHeight="251659264" behindDoc="0" locked="0" layoutInCell="1" allowOverlap="1" wp14:anchorId="6033ACC5" wp14:editId="3977E49F">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B99ADC"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1F7616A6" w14:textId="77777777" w:rsidR="004A3AB4" w:rsidRPr="00DF37A3" w:rsidRDefault="004A3AB4" w:rsidP="004A3AB4">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DF37A3">
        <w:rPr>
          <w:spacing w:val="5"/>
          <w:w w:val="104"/>
          <w:sz w:val="17"/>
        </w:rPr>
        <w:t>The present document is being issued without formal editing.</w:t>
      </w:r>
    </w:p>
    <w:p w14:paraId="104FA869" w14:textId="77777777" w:rsidR="004A3AB4" w:rsidRPr="00DF37A3" w:rsidRDefault="004A3AB4" w:rsidP="004A3AB4">
      <w:pPr>
        <w:pStyle w:val="SingleTxt"/>
        <w:jc w:val="right"/>
        <w:rPr>
          <w:lang w:val="en-GB"/>
        </w:rPr>
      </w:pPr>
      <w:r w:rsidRPr="00DF37A3">
        <w:rPr>
          <w:lang w:val="en-GB"/>
        </w:rPr>
        <w:t>[Date received 18 March 2019]</w:t>
      </w:r>
    </w:p>
    <w:p w14:paraId="5AFC9045" w14:textId="77777777" w:rsidR="004A3AB4" w:rsidRDefault="004A3AB4" w:rsidP="004A3AB4">
      <w:pPr>
        <w:suppressAutoHyphens w:val="0"/>
        <w:spacing w:after="200" w:line="276" w:lineRule="auto"/>
        <w:rPr>
          <w:lang w:val="en-GB"/>
        </w:rPr>
      </w:pPr>
      <w:r>
        <w:rPr>
          <w:lang w:val="en-GB"/>
        </w:rPr>
        <w:br w:type="page"/>
      </w:r>
    </w:p>
    <w:p w14:paraId="263795E3" w14:textId="77777777" w:rsidR="004A3AB4" w:rsidRPr="00DF37A3" w:rsidRDefault="004A3AB4" w:rsidP="004A3AB4">
      <w:pPr>
        <w:pStyle w:val="HCh"/>
        <w:ind w:left="1267" w:right="1260" w:hanging="1267"/>
        <w:rPr>
          <w:lang w:val="en-GB"/>
        </w:rPr>
      </w:pPr>
      <w:r w:rsidRPr="00DF37A3">
        <w:rPr>
          <w:lang w:val="en-GB"/>
        </w:rPr>
        <w:lastRenderedPageBreak/>
        <w:tab/>
      </w:r>
      <w:r w:rsidRPr="00DF37A3">
        <w:rPr>
          <w:lang w:val="en-GB"/>
        </w:rPr>
        <w:tab/>
        <w:t>Introduction</w:t>
      </w:r>
    </w:p>
    <w:p w14:paraId="3D7DF1BE" w14:textId="77777777" w:rsidR="004A3AB4" w:rsidRPr="00DF37A3" w:rsidRDefault="004A3AB4" w:rsidP="004A3AB4">
      <w:pPr>
        <w:pStyle w:val="SingleTxt"/>
        <w:spacing w:after="0" w:line="120" w:lineRule="exact"/>
        <w:rPr>
          <w:sz w:val="10"/>
          <w:lang w:val="en-GB"/>
        </w:rPr>
      </w:pPr>
    </w:p>
    <w:p w14:paraId="23AFDC6B" w14:textId="77777777" w:rsidR="004A3AB4" w:rsidRPr="00DF37A3" w:rsidRDefault="004A3AB4" w:rsidP="004A3AB4">
      <w:pPr>
        <w:pStyle w:val="SingleTxt"/>
        <w:spacing w:after="0" w:line="120" w:lineRule="exact"/>
        <w:rPr>
          <w:sz w:val="10"/>
          <w:lang w:val="en-GB"/>
        </w:rPr>
      </w:pPr>
    </w:p>
    <w:p w14:paraId="2CA7B8E8" w14:textId="77777777" w:rsidR="004A3AB4" w:rsidRPr="00DF37A3" w:rsidRDefault="004A3AB4" w:rsidP="004A3AB4">
      <w:pPr>
        <w:pStyle w:val="SingleTxt"/>
        <w:rPr>
          <w:lang w:val="en-GB"/>
        </w:rPr>
      </w:pPr>
      <w:r w:rsidRPr="00DF37A3">
        <w:rPr>
          <w:lang w:val="en-GB"/>
        </w:rPr>
        <w:t>1.</w:t>
      </w:r>
      <w:r>
        <w:rPr>
          <w:lang w:val="en-GB"/>
        </w:rPr>
        <w:tab/>
      </w:r>
      <w:r w:rsidRPr="00DF37A3">
        <w:rPr>
          <w:lang w:val="en-GB"/>
        </w:rPr>
        <w:t>Kyrgyzstan acceded to the United Nations Convention on the Elimination of All Forms of Discrimination against Women in accordance with Decision No. 320-1, adopted by the Legislative Assembly of the Zhogorku Kenesh (parliament) on 25</w:t>
      </w:r>
      <w:r>
        <w:rPr>
          <w:lang w:val="en-GB"/>
        </w:rPr>
        <w:t> </w:t>
      </w:r>
      <w:r w:rsidRPr="00DF37A3">
        <w:rPr>
          <w:lang w:val="en-GB"/>
        </w:rPr>
        <w:t xml:space="preserve">January 1996, and Decision No. 257-1, adopted by the House of Representatives of the Zhogorku Kenesh on 6 March 1996. </w:t>
      </w:r>
    </w:p>
    <w:p w14:paraId="396D736C" w14:textId="62B034B5" w:rsidR="004A3AB4" w:rsidRPr="00DF37A3" w:rsidRDefault="004A3AB4" w:rsidP="004A3AB4">
      <w:pPr>
        <w:pStyle w:val="SingleTxt"/>
        <w:rPr>
          <w:lang w:val="en-GB"/>
        </w:rPr>
      </w:pPr>
      <w:r w:rsidRPr="00DF37A3">
        <w:rPr>
          <w:lang w:val="en-GB"/>
        </w:rPr>
        <w:t>2.</w:t>
      </w:r>
      <w:r>
        <w:rPr>
          <w:lang w:val="en-GB"/>
        </w:rPr>
        <w:tab/>
      </w:r>
      <w:r w:rsidRPr="00DF37A3">
        <w:rPr>
          <w:lang w:val="en-GB"/>
        </w:rPr>
        <w:t>In accordance with the provisions of article 18 of the Convention, Kyrgyzstan is submitting its fifth periodic report (</w:t>
      </w:r>
      <w:hyperlink r:id="rId15" w:history="1">
        <w:r w:rsidRPr="00CD2BEB">
          <w:rPr>
            <w:rStyle w:val="Hyperlink"/>
            <w:lang w:val="en-GB"/>
          </w:rPr>
          <w:t>CEDAW/C/KGZ/5</w:t>
        </w:r>
      </w:hyperlink>
      <w:r w:rsidRPr="00DF37A3">
        <w:rPr>
          <w:lang w:val="en-GB"/>
        </w:rPr>
        <w:t>) to the United Nations Committee on the Elimination of Discrimination against Women.</w:t>
      </w:r>
    </w:p>
    <w:p w14:paraId="36F1D997" w14:textId="77777777" w:rsidR="004A3AB4" w:rsidRPr="00DF37A3" w:rsidRDefault="004A3AB4" w:rsidP="004A3AB4">
      <w:pPr>
        <w:pStyle w:val="SingleTxt"/>
        <w:rPr>
          <w:lang w:val="en-GB"/>
        </w:rPr>
      </w:pPr>
      <w:r w:rsidRPr="00DF37A3">
        <w:rPr>
          <w:lang w:val="en-GB"/>
        </w:rPr>
        <w:t>3.</w:t>
      </w:r>
      <w:r>
        <w:rPr>
          <w:lang w:val="en-GB"/>
        </w:rPr>
        <w:tab/>
      </w:r>
      <w:r w:rsidRPr="00DF37A3">
        <w:rPr>
          <w:lang w:val="en-GB"/>
        </w:rPr>
        <w:t>General information on Kyrgyzstan, its population and political structure, the various human rights protection agencies and efforts to disseminate human rights information can be found in the common core document, which was adopted by Government Decision No. 141 on 20 February 2012, on national reports relating to the implementation of international human rights treaties and forwarded to the Human Rights Committee in March 2012.</w:t>
      </w:r>
    </w:p>
    <w:p w14:paraId="77354A26" w14:textId="05C5AFA0" w:rsidR="004A3AB4" w:rsidRPr="00DF37A3" w:rsidRDefault="004A3AB4" w:rsidP="004A3AB4">
      <w:pPr>
        <w:pStyle w:val="SingleTxt"/>
        <w:rPr>
          <w:lang w:val="en-GB"/>
        </w:rPr>
      </w:pPr>
      <w:r w:rsidRPr="00DF37A3">
        <w:rPr>
          <w:lang w:val="en-GB"/>
        </w:rPr>
        <w:t>4.</w:t>
      </w:r>
      <w:r>
        <w:rPr>
          <w:lang w:val="en-GB"/>
        </w:rPr>
        <w:tab/>
      </w:r>
      <w:r w:rsidRPr="00DF37A3">
        <w:rPr>
          <w:lang w:val="en-GB"/>
        </w:rPr>
        <w:t xml:space="preserve">The present report was prepared in accordance with the Committee’s guidelines for the preparation of reports by States Parties contained in document </w:t>
      </w:r>
      <w:hyperlink r:id="rId16" w:history="1">
        <w:r w:rsidRPr="00CD2BEB">
          <w:rPr>
            <w:rStyle w:val="Hyperlink"/>
            <w:lang w:val="en-GB"/>
          </w:rPr>
          <w:t>CEDAW/C/7/Rev.3</w:t>
        </w:r>
      </w:hyperlink>
      <w:r w:rsidRPr="00DF37A3">
        <w:rPr>
          <w:lang w:val="en-GB"/>
        </w:rPr>
        <w:t xml:space="preserve"> and draws on information received from the country’s ministries and government departments and civil society organizations, taking into account the Committee’s concluding observations following its consideration of the country’s fourth periodic report in 2015 (</w:t>
      </w:r>
      <w:hyperlink r:id="rId17" w:history="1">
        <w:r w:rsidRPr="00CD2BEB">
          <w:rPr>
            <w:rStyle w:val="Hyperlink"/>
            <w:lang w:val="en-GB"/>
          </w:rPr>
          <w:t>CEDAW/C/KGZ/CO/4</w:t>
        </w:r>
      </w:hyperlink>
      <w:r w:rsidRPr="00DF37A3">
        <w:rPr>
          <w:lang w:val="en-GB"/>
        </w:rPr>
        <w:t>).</w:t>
      </w:r>
    </w:p>
    <w:p w14:paraId="526A7AE8" w14:textId="77777777" w:rsidR="004A3AB4" w:rsidRPr="00DF37A3" w:rsidRDefault="004A3AB4" w:rsidP="004A3AB4">
      <w:pPr>
        <w:pStyle w:val="SingleTxt"/>
        <w:rPr>
          <w:lang w:val="en-GB"/>
        </w:rPr>
      </w:pPr>
      <w:r w:rsidRPr="00DF37A3">
        <w:rPr>
          <w:lang w:val="en-GB"/>
        </w:rPr>
        <w:t>5.</w:t>
      </w:r>
      <w:r>
        <w:rPr>
          <w:lang w:val="en-GB"/>
        </w:rPr>
        <w:tab/>
      </w:r>
      <w:r w:rsidRPr="00DF37A3">
        <w:rPr>
          <w:lang w:val="en-GB"/>
        </w:rPr>
        <w:t>The concluding observations of the Committee on the fourth periodic report of Kyrgyzstan were widely discussed at round tables with the participation of representatives of State bodies, non-governmental and international organizations, the expert community and the media. An interdepartmental working group, specially set up by a Government order in the course of the multilateral and bilateral working meetings, including consultations with interested non-governmental organizations (NGOs), has developed an action plan for the implementation of the Committee’s concluding observations, which was approved by Government Order No. 123-r of 19</w:t>
      </w:r>
      <w:r>
        <w:rPr>
          <w:lang w:val="en-GB"/>
        </w:rPr>
        <w:t> </w:t>
      </w:r>
      <w:r w:rsidRPr="00DF37A3">
        <w:rPr>
          <w:lang w:val="en-GB"/>
        </w:rPr>
        <w:t xml:space="preserve">April 2017. </w:t>
      </w:r>
    </w:p>
    <w:p w14:paraId="59F9EDB9" w14:textId="77777777" w:rsidR="004A3AB4" w:rsidRPr="00DF37A3" w:rsidRDefault="004A3AB4" w:rsidP="004A3AB4">
      <w:pPr>
        <w:pStyle w:val="SingleTxt"/>
        <w:rPr>
          <w:lang w:val="en-GB"/>
        </w:rPr>
      </w:pPr>
      <w:r w:rsidRPr="00DF37A3">
        <w:rPr>
          <w:lang w:val="en-GB"/>
        </w:rPr>
        <w:t>6</w:t>
      </w:r>
      <w:r>
        <w:rPr>
          <w:lang w:val="en-GB"/>
        </w:rPr>
        <w:t>.</w:t>
      </w:r>
      <w:r>
        <w:rPr>
          <w:lang w:val="en-GB"/>
        </w:rPr>
        <w:tab/>
      </w:r>
      <w:r w:rsidRPr="00DF37A3">
        <w:rPr>
          <w:lang w:val="en-GB"/>
        </w:rPr>
        <w:t>In 2018, the Committee received a report from Kyrgyzstan on the implementation of the recommendations contained in paragraphs 22 (c), 28 (b) and 28 (d) of the concluding observations, as well as information on progress made in the advancement of women, the obstacles that remain and planned steps.</w:t>
      </w:r>
    </w:p>
    <w:p w14:paraId="6421AB12" w14:textId="77777777" w:rsidR="004A3AB4" w:rsidRPr="00DF37A3" w:rsidRDefault="004A3AB4" w:rsidP="004A3AB4">
      <w:pPr>
        <w:pStyle w:val="SingleTxt"/>
        <w:rPr>
          <w:lang w:val="en-GB"/>
        </w:rPr>
      </w:pPr>
      <w:r w:rsidRPr="00DF37A3">
        <w:rPr>
          <w:lang w:val="en-GB"/>
        </w:rPr>
        <w:t>7.</w:t>
      </w:r>
      <w:r>
        <w:rPr>
          <w:lang w:val="en-GB"/>
        </w:rPr>
        <w:tab/>
      </w:r>
      <w:r w:rsidRPr="00DF37A3">
        <w:rPr>
          <w:lang w:val="en-GB"/>
        </w:rPr>
        <w:t>While remaining committed to further progress, Kyrgyzstan has integrated the objective of achieving the global Sustainable Development Goals (including Goal 5 on gender equality) into the National Development Strategy of Kyrgyzstan for 2018</w:t>
      </w:r>
      <w:r>
        <w:rPr>
          <w:lang w:val="en-GB"/>
        </w:rPr>
        <w:t>–</w:t>
      </w:r>
      <w:r w:rsidRPr="00DF37A3">
        <w:rPr>
          <w:lang w:val="en-GB"/>
        </w:rPr>
        <w:t xml:space="preserve">2040, which was approved by Presidential Decree No. 221 of 31 October 2018. </w:t>
      </w:r>
    </w:p>
    <w:p w14:paraId="7AACBBB6" w14:textId="77777777" w:rsidR="004A3AB4" w:rsidRPr="00DF37A3" w:rsidRDefault="004A3AB4" w:rsidP="004A3AB4">
      <w:pPr>
        <w:pStyle w:val="SingleTxt"/>
        <w:spacing w:after="0" w:line="120" w:lineRule="exact"/>
        <w:rPr>
          <w:sz w:val="10"/>
          <w:lang w:val="en-GB"/>
        </w:rPr>
      </w:pPr>
    </w:p>
    <w:p w14:paraId="4FAA1DB7" w14:textId="77777777" w:rsidR="004A3AB4" w:rsidRPr="00DF37A3" w:rsidRDefault="004A3AB4" w:rsidP="004A3AB4">
      <w:pPr>
        <w:pStyle w:val="SingleTxt"/>
        <w:spacing w:after="0" w:line="120" w:lineRule="exact"/>
        <w:rPr>
          <w:sz w:val="10"/>
          <w:lang w:val="en-GB"/>
        </w:rPr>
      </w:pPr>
    </w:p>
    <w:p w14:paraId="4C42E533" w14:textId="77777777" w:rsidR="004A3AB4" w:rsidRPr="00DF37A3" w:rsidRDefault="004A3AB4" w:rsidP="004A3AB4">
      <w:pPr>
        <w:pStyle w:val="H1"/>
        <w:ind w:right="1260"/>
        <w:rPr>
          <w:lang w:val="en-GB"/>
        </w:rPr>
      </w:pPr>
      <w:r w:rsidRPr="00DF37A3">
        <w:rPr>
          <w:lang w:val="en-GB"/>
        </w:rPr>
        <w:tab/>
      </w:r>
      <w:r w:rsidRPr="00DF37A3">
        <w:rPr>
          <w:lang w:val="en-GB"/>
        </w:rPr>
        <w:tab/>
        <w:t>Articles 1</w:t>
      </w:r>
      <w:r>
        <w:rPr>
          <w:lang w:val="en-GB"/>
        </w:rPr>
        <w:t>–</w:t>
      </w:r>
      <w:r w:rsidRPr="00DF37A3">
        <w:rPr>
          <w:lang w:val="en-GB"/>
        </w:rPr>
        <w:t>3</w:t>
      </w:r>
    </w:p>
    <w:p w14:paraId="3D5FA8B3" w14:textId="77777777" w:rsidR="004A3AB4" w:rsidRPr="00DF37A3" w:rsidRDefault="004A3AB4" w:rsidP="004A3AB4">
      <w:pPr>
        <w:pStyle w:val="SingleTxt"/>
        <w:spacing w:after="0" w:line="120" w:lineRule="exact"/>
        <w:rPr>
          <w:sz w:val="10"/>
          <w:lang w:val="en-GB"/>
        </w:rPr>
      </w:pPr>
    </w:p>
    <w:p w14:paraId="19D7A655" w14:textId="77777777" w:rsidR="004A3AB4" w:rsidRPr="00DF37A3" w:rsidRDefault="004A3AB4" w:rsidP="004A3AB4">
      <w:pPr>
        <w:pStyle w:val="SingleTxt"/>
        <w:spacing w:after="0" w:line="120" w:lineRule="exact"/>
        <w:rPr>
          <w:sz w:val="10"/>
          <w:lang w:val="en-GB"/>
        </w:rPr>
      </w:pPr>
    </w:p>
    <w:p w14:paraId="0114D36A" w14:textId="77777777" w:rsidR="004A3AB4" w:rsidRPr="00DF37A3" w:rsidRDefault="004A3AB4" w:rsidP="004A3AB4">
      <w:pPr>
        <w:pStyle w:val="SingleTxt"/>
        <w:rPr>
          <w:lang w:val="en-GB"/>
        </w:rPr>
      </w:pPr>
      <w:r w:rsidRPr="00DF37A3">
        <w:rPr>
          <w:lang w:val="en-GB"/>
        </w:rPr>
        <w:t>8.</w:t>
      </w:r>
      <w:r>
        <w:rPr>
          <w:lang w:val="en-GB"/>
        </w:rPr>
        <w:tab/>
      </w:r>
      <w:r w:rsidRPr="00DF37A3">
        <w:rPr>
          <w:lang w:val="en-GB"/>
        </w:rPr>
        <w:t>The Constitution stipulates that no one may be subjected to discrimination on the basis of sex, race, language, disability, ethnicity, religion, age, political or other beliefs, education, origin, wealth or other status, or other circumstances. Special legislative measures to ensure equal opportunities for different social groups in accordance with international obligations do not amount to discrimination.</w:t>
      </w:r>
    </w:p>
    <w:p w14:paraId="16FF3665" w14:textId="77777777" w:rsidR="004A3AB4" w:rsidRPr="00DF37A3" w:rsidRDefault="004A3AB4" w:rsidP="004A3AB4">
      <w:pPr>
        <w:pStyle w:val="SingleTxt"/>
        <w:rPr>
          <w:lang w:val="en-GB"/>
        </w:rPr>
      </w:pPr>
      <w:r w:rsidRPr="00DF37A3">
        <w:rPr>
          <w:lang w:val="en-GB"/>
        </w:rPr>
        <w:t>9.</w:t>
      </w:r>
      <w:r>
        <w:rPr>
          <w:lang w:val="en-GB"/>
        </w:rPr>
        <w:tab/>
      </w:r>
      <w:r w:rsidRPr="00DF37A3">
        <w:rPr>
          <w:lang w:val="en-GB"/>
        </w:rPr>
        <w:t xml:space="preserve">These constitutional principles are reflected in Act No. 184 on State Guarantees of Equal Rights and Equal Opportunities for Men and Women. </w:t>
      </w:r>
    </w:p>
    <w:p w14:paraId="57D66C99" w14:textId="65919637" w:rsidR="004A3AB4" w:rsidRPr="00DF37A3" w:rsidRDefault="004A3AB4" w:rsidP="004A3AB4">
      <w:pPr>
        <w:pStyle w:val="SingleTxt"/>
        <w:rPr>
          <w:lang w:val="en-GB"/>
        </w:rPr>
      </w:pPr>
      <w:r w:rsidRPr="00DF37A3">
        <w:rPr>
          <w:lang w:val="en-GB"/>
        </w:rPr>
        <w:lastRenderedPageBreak/>
        <w:t>10.</w:t>
      </w:r>
      <w:r>
        <w:rPr>
          <w:lang w:val="en-GB"/>
        </w:rPr>
        <w:tab/>
      </w:r>
      <w:r w:rsidRPr="00DF37A3">
        <w:rPr>
          <w:lang w:val="en-GB"/>
        </w:rPr>
        <w:t>The National Strategy for the Achievement of Gender Equality by 2020, approved by Government Decision No. 443 of 27 June 2012, defines the priorities of the State gender policy. Specific measures for its implementation in the coming period are set out in the latest (fifth) National Plan of Action for Gender Equality for the years 2018</w:t>
      </w:r>
      <w:r>
        <w:rPr>
          <w:lang w:val="en-GB"/>
        </w:rPr>
        <w:t>–</w:t>
      </w:r>
      <w:r w:rsidRPr="00DF37A3">
        <w:rPr>
          <w:lang w:val="en-GB"/>
        </w:rPr>
        <w:t xml:space="preserve">2020. In an order of 21 September 2018, the Government approved an action plan to implement United Nations Security Council resolution </w:t>
      </w:r>
      <w:hyperlink r:id="rId18" w:history="1">
        <w:r w:rsidRPr="00CD2BEB">
          <w:rPr>
            <w:rStyle w:val="Hyperlink"/>
            <w:lang w:val="en-GB"/>
          </w:rPr>
          <w:t>1325 (2000)</w:t>
        </w:r>
      </w:hyperlink>
      <w:r w:rsidRPr="00DF37A3">
        <w:rPr>
          <w:lang w:val="en-GB"/>
        </w:rPr>
        <w:t xml:space="preserve"> on the role of women in peace and security. </w:t>
      </w:r>
    </w:p>
    <w:p w14:paraId="58111FDB" w14:textId="77777777" w:rsidR="004A3AB4" w:rsidRPr="00DF37A3" w:rsidRDefault="004A3AB4" w:rsidP="004A3AB4">
      <w:pPr>
        <w:pStyle w:val="SingleTxt"/>
        <w:rPr>
          <w:lang w:val="en-GB"/>
        </w:rPr>
      </w:pPr>
      <w:r w:rsidRPr="00DF37A3">
        <w:rPr>
          <w:lang w:val="en-GB"/>
        </w:rPr>
        <w:t>11.</w:t>
      </w:r>
      <w:r>
        <w:rPr>
          <w:lang w:val="en-GB"/>
        </w:rPr>
        <w:tab/>
      </w:r>
      <w:r w:rsidRPr="00DF37A3">
        <w:rPr>
          <w:lang w:val="en-GB"/>
        </w:rPr>
        <w:t xml:space="preserve">Data are being collected for the periodical issued by the National Statistical Committee entitled </w:t>
      </w:r>
      <w:r w:rsidRPr="00C665D2">
        <w:rPr>
          <w:i/>
          <w:iCs/>
          <w:lang w:val="en-GB"/>
        </w:rPr>
        <w:t>Men and Women in the Kyrgyz Republic</w:t>
      </w:r>
      <w:r w:rsidRPr="00DF37A3">
        <w:rPr>
          <w:lang w:val="en-GB"/>
        </w:rPr>
        <w:t>, which keeps track of indicators reflecting the progress in achieving the Sustainable Development Goals.</w:t>
      </w:r>
    </w:p>
    <w:p w14:paraId="23FFF6DE" w14:textId="77777777" w:rsidR="004A3AB4" w:rsidRPr="00DF37A3" w:rsidRDefault="004A3AB4" w:rsidP="004A3AB4">
      <w:pPr>
        <w:pStyle w:val="SingleTxt"/>
        <w:rPr>
          <w:lang w:val="en-GB"/>
        </w:rPr>
      </w:pPr>
      <w:r w:rsidRPr="00DF37A3">
        <w:rPr>
          <w:lang w:val="en-GB"/>
        </w:rPr>
        <w:t>12.</w:t>
      </w:r>
      <w:r>
        <w:rPr>
          <w:lang w:val="en-GB"/>
        </w:rPr>
        <w:tab/>
      </w:r>
      <w:r w:rsidRPr="00DF37A3">
        <w:rPr>
          <w:lang w:val="en-GB"/>
        </w:rPr>
        <w:t>The Ministry of Labour and Social Development is the main State agency responsible for the implementation of the national mechanism for the advancement of women. According to the Directive on the Ministry of Labour and Social Development, approved by Government Decision No. 888 of 28 December 2015, one of the Ministry’s tasks is to promote gender equality in accordance with the legislation of the country, as well as to develop proposals to improve the unified State policy with regard to the remuneration of labour, define priorities and formulate the tasks of the national gender policy, and carry out analyses of the gender situation and monitor the implementation of the State gender policy.</w:t>
      </w:r>
    </w:p>
    <w:p w14:paraId="2DAE621D" w14:textId="77777777" w:rsidR="004A3AB4" w:rsidRPr="00DF37A3" w:rsidRDefault="004A3AB4" w:rsidP="004A3AB4">
      <w:pPr>
        <w:pStyle w:val="SingleTxt"/>
        <w:rPr>
          <w:lang w:val="en-GB"/>
        </w:rPr>
      </w:pPr>
      <w:r w:rsidRPr="00DF37A3">
        <w:rPr>
          <w:lang w:val="en-GB"/>
        </w:rPr>
        <w:t>13.</w:t>
      </w:r>
      <w:r>
        <w:rPr>
          <w:lang w:val="en-GB"/>
        </w:rPr>
        <w:tab/>
      </w:r>
      <w:r w:rsidRPr="00DF37A3">
        <w:rPr>
          <w:lang w:val="en-GB"/>
        </w:rPr>
        <w:t xml:space="preserve">One of the tasks of the Social Development Department of the administrative machinery of the Government is to provide informational, analytical and expert support for the activities of the Government, the Prime Minister, Deputy Prime Ministers and the Chief of Staff of the Government and his deputies on gender policy issues. </w:t>
      </w:r>
    </w:p>
    <w:p w14:paraId="15F6C69C" w14:textId="77777777" w:rsidR="004A3AB4" w:rsidRPr="00DF37A3" w:rsidRDefault="004A3AB4" w:rsidP="004A3AB4">
      <w:pPr>
        <w:pStyle w:val="SingleTxt"/>
        <w:rPr>
          <w:lang w:val="en-GB"/>
        </w:rPr>
      </w:pPr>
      <w:r w:rsidRPr="00DF37A3">
        <w:rPr>
          <w:lang w:val="en-GB"/>
        </w:rPr>
        <w:t>14.</w:t>
      </w:r>
      <w:r>
        <w:rPr>
          <w:lang w:val="en-GB"/>
        </w:rPr>
        <w:tab/>
      </w:r>
      <w:r w:rsidRPr="00DF37A3">
        <w:rPr>
          <w:lang w:val="en-GB"/>
        </w:rPr>
        <w:t xml:space="preserve">Government Decision No. 268 of 2 May 2012 established the National Council on Gender Development, which reports to the Government. The Council, as the advisory and consultative body that coordinates the design and implementation of State policy on gender development issues, provides expert analysis for the drafting of the appropriate decisions on gender development issues and carries out tasks with regard to: </w:t>
      </w:r>
    </w:p>
    <w:p w14:paraId="372DFA81" w14:textId="77777777" w:rsidR="004A3AB4" w:rsidRPr="00DF37A3" w:rsidRDefault="004A3AB4" w:rsidP="004A3AB4">
      <w:pPr>
        <w:pStyle w:val="SingleTxt"/>
        <w:tabs>
          <w:tab w:val="right" w:pos="1685"/>
        </w:tabs>
        <w:ind w:left="1742" w:hanging="475"/>
        <w:rPr>
          <w:lang w:val="en-GB"/>
        </w:rPr>
      </w:pPr>
      <w:r>
        <w:rPr>
          <w:lang w:val="en-GB"/>
        </w:rPr>
        <w:tab/>
      </w:r>
      <w:r w:rsidRPr="00DF37A3">
        <w:rPr>
          <w:lang w:val="en-GB"/>
        </w:rPr>
        <w:t>•</w:t>
      </w:r>
      <w:r w:rsidRPr="00DF37A3">
        <w:rPr>
          <w:lang w:val="en-GB"/>
        </w:rPr>
        <w:tab/>
        <w:t xml:space="preserve">Assisting in the development of a unified State policy regarding gender policy; coordinating and ensuring cooperation in the area of gender policy among State and local government bodies, the Federation of Trade Unions, employers’ associations, non-profit and international organizations working in the area of gender development, and independent gender experts </w:t>
      </w:r>
    </w:p>
    <w:p w14:paraId="79F00AAA" w14:textId="77777777" w:rsidR="004A3AB4" w:rsidRPr="00DF37A3" w:rsidRDefault="004A3AB4" w:rsidP="004A3AB4">
      <w:pPr>
        <w:pStyle w:val="SingleTxt"/>
        <w:tabs>
          <w:tab w:val="right" w:pos="1685"/>
        </w:tabs>
        <w:ind w:left="1742" w:hanging="475"/>
        <w:rPr>
          <w:lang w:val="en-GB"/>
        </w:rPr>
      </w:pPr>
      <w:r>
        <w:rPr>
          <w:lang w:val="en-GB"/>
        </w:rPr>
        <w:tab/>
      </w:r>
      <w:r w:rsidRPr="00DF37A3">
        <w:rPr>
          <w:lang w:val="en-GB"/>
        </w:rPr>
        <w:t>•</w:t>
      </w:r>
      <w:r w:rsidRPr="00DF37A3">
        <w:rPr>
          <w:lang w:val="en-GB"/>
        </w:rPr>
        <w:tab/>
        <w:t>The elaboration of recommendations for State bodies on gender policy and the development of effective models for genuine gender equality</w:t>
      </w:r>
    </w:p>
    <w:p w14:paraId="08D619DE" w14:textId="77777777" w:rsidR="004A3AB4" w:rsidRPr="00DF37A3" w:rsidRDefault="004A3AB4" w:rsidP="004A3AB4">
      <w:pPr>
        <w:pStyle w:val="SingleTxt"/>
        <w:tabs>
          <w:tab w:val="right" w:pos="1685"/>
        </w:tabs>
        <w:ind w:left="1742" w:hanging="475"/>
        <w:rPr>
          <w:lang w:val="en-GB"/>
        </w:rPr>
      </w:pPr>
      <w:r>
        <w:rPr>
          <w:lang w:val="en-GB"/>
        </w:rPr>
        <w:tab/>
      </w:r>
      <w:r w:rsidRPr="00DF37A3">
        <w:rPr>
          <w:lang w:val="en-GB"/>
        </w:rPr>
        <w:t>•</w:t>
      </w:r>
      <w:r w:rsidRPr="00DF37A3">
        <w:rPr>
          <w:lang w:val="en-GB"/>
        </w:rPr>
        <w:tab/>
        <w:t xml:space="preserve">General monitoring of gender policy in the country. </w:t>
      </w:r>
    </w:p>
    <w:p w14:paraId="18AB01BD" w14:textId="77777777" w:rsidR="004A3AB4" w:rsidRPr="00DF37A3" w:rsidRDefault="004A3AB4" w:rsidP="004A3AB4">
      <w:pPr>
        <w:pStyle w:val="SingleTxt"/>
        <w:rPr>
          <w:lang w:val="en-GB"/>
        </w:rPr>
      </w:pPr>
      <w:r w:rsidRPr="00DF37A3">
        <w:rPr>
          <w:lang w:val="en-GB"/>
        </w:rPr>
        <w:t>15.</w:t>
      </w:r>
      <w:r>
        <w:rPr>
          <w:lang w:val="en-GB"/>
        </w:rPr>
        <w:tab/>
      </w:r>
      <w:r w:rsidRPr="00DF37A3">
        <w:rPr>
          <w:lang w:val="en-GB"/>
        </w:rPr>
        <w:t>The Committee on Social Affairs, Education, Science, Culture and Health of the Zhogorku Kenesh prepares and conducts preliminary examinations of the following issues:</w:t>
      </w:r>
    </w:p>
    <w:p w14:paraId="736E69F4" w14:textId="77777777" w:rsidR="004A3AB4" w:rsidRPr="00DF37A3" w:rsidRDefault="004A3AB4" w:rsidP="004A3AB4">
      <w:pPr>
        <w:pStyle w:val="SingleTxt"/>
        <w:tabs>
          <w:tab w:val="right" w:pos="1685"/>
        </w:tabs>
        <w:ind w:left="1742" w:hanging="475"/>
        <w:rPr>
          <w:lang w:val="en-GB"/>
        </w:rPr>
      </w:pPr>
      <w:r>
        <w:rPr>
          <w:lang w:val="en-GB"/>
        </w:rPr>
        <w:tab/>
      </w:r>
      <w:r w:rsidRPr="00DF37A3">
        <w:rPr>
          <w:lang w:val="en-GB"/>
        </w:rPr>
        <w:t>•</w:t>
      </w:r>
      <w:r w:rsidRPr="00DF37A3">
        <w:rPr>
          <w:lang w:val="en-GB"/>
        </w:rPr>
        <w:tab/>
        <w:t>Fundamentals of gender equality in various spheres of social relations</w:t>
      </w:r>
    </w:p>
    <w:p w14:paraId="6DE39B9E" w14:textId="77777777" w:rsidR="004A3AB4" w:rsidRPr="00DF37A3" w:rsidRDefault="004A3AB4" w:rsidP="004A3AB4">
      <w:pPr>
        <w:pStyle w:val="SingleTxt"/>
        <w:tabs>
          <w:tab w:val="right" w:pos="1685"/>
        </w:tabs>
        <w:ind w:left="1742" w:hanging="475"/>
        <w:rPr>
          <w:lang w:val="en-GB"/>
        </w:rPr>
      </w:pPr>
      <w:r>
        <w:rPr>
          <w:lang w:val="en-GB"/>
        </w:rPr>
        <w:tab/>
      </w:r>
      <w:r w:rsidRPr="00DF37A3">
        <w:rPr>
          <w:lang w:val="en-GB"/>
        </w:rPr>
        <w:t>•</w:t>
      </w:r>
      <w:r w:rsidRPr="00DF37A3">
        <w:rPr>
          <w:lang w:val="en-GB"/>
        </w:rPr>
        <w:tab/>
        <w:t xml:space="preserve">Guarantees of gender equality </w:t>
      </w:r>
    </w:p>
    <w:p w14:paraId="4FD5DE7B" w14:textId="77777777" w:rsidR="004A3AB4" w:rsidRPr="00DF37A3" w:rsidRDefault="004A3AB4" w:rsidP="004A3AB4">
      <w:pPr>
        <w:pStyle w:val="SingleTxt"/>
        <w:tabs>
          <w:tab w:val="right" w:pos="1685"/>
        </w:tabs>
        <w:ind w:left="1742" w:hanging="475"/>
        <w:rPr>
          <w:lang w:val="en-GB"/>
        </w:rPr>
      </w:pPr>
      <w:r>
        <w:rPr>
          <w:lang w:val="en-GB"/>
        </w:rPr>
        <w:tab/>
      </w:r>
      <w:r w:rsidRPr="00DF37A3">
        <w:rPr>
          <w:lang w:val="en-GB"/>
        </w:rPr>
        <w:t>•</w:t>
      </w:r>
      <w:r w:rsidRPr="00DF37A3">
        <w:rPr>
          <w:lang w:val="en-GB"/>
        </w:rPr>
        <w:tab/>
        <w:t xml:space="preserve">Mechanisms to ensure compliance with and implementation of gender equality </w:t>
      </w:r>
    </w:p>
    <w:p w14:paraId="5AC4E5AE" w14:textId="77777777" w:rsidR="004A3AB4" w:rsidRPr="00DF37A3" w:rsidRDefault="004A3AB4" w:rsidP="004A3AB4">
      <w:pPr>
        <w:pStyle w:val="SingleTxt"/>
        <w:tabs>
          <w:tab w:val="right" w:pos="1685"/>
        </w:tabs>
        <w:ind w:left="1742" w:hanging="475"/>
        <w:rPr>
          <w:lang w:val="en-GB"/>
        </w:rPr>
      </w:pPr>
      <w:r>
        <w:rPr>
          <w:lang w:val="en-GB"/>
        </w:rPr>
        <w:tab/>
      </w:r>
      <w:r w:rsidRPr="00DF37A3">
        <w:rPr>
          <w:lang w:val="en-GB"/>
        </w:rPr>
        <w:t>•</w:t>
      </w:r>
      <w:r w:rsidRPr="00DF37A3">
        <w:rPr>
          <w:lang w:val="en-GB"/>
        </w:rPr>
        <w:tab/>
        <w:t>Improving and monitoring legislation in the area of gender equality.</w:t>
      </w:r>
    </w:p>
    <w:p w14:paraId="4EAC2B9D" w14:textId="77777777" w:rsidR="004A3AB4" w:rsidRPr="00DF37A3" w:rsidRDefault="004A3AB4" w:rsidP="004A3AB4">
      <w:pPr>
        <w:pStyle w:val="SingleTxt"/>
        <w:rPr>
          <w:lang w:val="en-GB"/>
        </w:rPr>
      </w:pPr>
      <w:r w:rsidRPr="00DF37A3">
        <w:rPr>
          <w:lang w:val="en-GB"/>
        </w:rPr>
        <w:t>16.</w:t>
      </w:r>
      <w:r>
        <w:rPr>
          <w:lang w:val="en-GB"/>
        </w:rPr>
        <w:tab/>
      </w:r>
      <w:r w:rsidRPr="00DF37A3">
        <w:rPr>
          <w:lang w:val="en-GB"/>
        </w:rPr>
        <w:t xml:space="preserve">The functions of the Office of the Procurator include monitoring the implementation of Kyrgyz legislation dealing with the State guarantees of equal rights and opportunities for men and women. Between 2013 and 2018, the Office of the </w:t>
      </w:r>
      <w:r w:rsidRPr="00DF37A3">
        <w:rPr>
          <w:lang w:val="en-GB"/>
        </w:rPr>
        <w:lastRenderedPageBreak/>
        <w:t>Procurator carried out 895 inspections on the implementation of the legislation on State guarantees of equal rights and opportunities for men and women, and as a result 576 orders to desist from unlawful activity were issued, 422 directives were issued, 189 persons were issued warnings, 361 officials were disciplined for infringements of the law, and administrative action was taken against 2 persons.</w:t>
      </w:r>
    </w:p>
    <w:p w14:paraId="3E11F2FD" w14:textId="77777777" w:rsidR="004A3AB4" w:rsidRPr="00AD04D4" w:rsidRDefault="004A3AB4" w:rsidP="004A3AB4">
      <w:pPr>
        <w:pStyle w:val="SingleTxt"/>
        <w:spacing w:after="0" w:line="120" w:lineRule="exact"/>
        <w:rPr>
          <w:sz w:val="10"/>
          <w:lang w:val="en-GB"/>
        </w:rPr>
      </w:pPr>
    </w:p>
    <w:p w14:paraId="51A39C4A" w14:textId="77777777" w:rsidR="004A3AB4" w:rsidRPr="00DF37A3" w:rsidRDefault="004A3AB4" w:rsidP="004A3AB4">
      <w:pPr>
        <w:pStyle w:val="SingleTxt"/>
        <w:spacing w:after="0"/>
        <w:rPr>
          <w:lang w:val="en-GB"/>
        </w:rPr>
      </w:pPr>
      <w:r w:rsidRPr="00DF37A3">
        <w:rPr>
          <w:lang w:val="en-GB"/>
        </w:rPr>
        <w:t>Table 1</w:t>
      </w:r>
    </w:p>
    <w:p w14:paraId="0CAFAE8F" w14:textId="077BE428" w:rsidR="004A3AB4" w:rsidRPr="00DF37A3" w:rsidRDefault="004A3AB4" w:rsidP="00AE1D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840" w:hanging="1267"/>
      </w:pPr>
      <w:r>
        <w:tab/>
      </w:r>
      <w:r>
        <w:tab/>
      </w:r>
      <w:r w:rsidRPr="00DF37A3">
        <w:t>Inspections by the Office of the Prosecutor on the implementation of the legislation on State guarantees of equal rights and opportunities for men and</w:t>
      </w:r>
      <w:r w:rsidR="00AE1D85">
        <w:t xml:space="preserve"> </w:t>
      </w:r>
      <w:r w:rsidRPr="00DF37A3">
        <w:t>women</w:t>
      </w:r>
    </w:p>
    <w:p w14:paraId="4AC85819" w14:textId="77777777" w:rsidR="004A3AB4" w:rsidRPr="00AD04D4" w:rsidRDefault="004A3AB4" w:rsidP="004A3AB4">
      <w:pPr>
        <w:pStyle w:val="SingleTxt"/>
        <w:spacing w:after="0" w:line="120" w:lineRule="exact"/>
        <w:rPr>
          <w:sz w:val="10"/>
          <w:lang w:val="en-GB"/>
        </w:rPr>
      </w:pPr>
    </w:p>
    <w:tbl>
      <w:tblPr>
        <w:tblStyle w:val="TableGrid"/>
        <w:tblW w:w="8613"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3"/>
        <w:gridCol w:w="1115"/>
        <w:gridCol w:w="1116"/>
        <w:gridCol w:w="1116"/>
        <w:gridCol w:w="1115"/>
        <w:gridCol w:w="1208"/>
        <w:gridCol w:w="1024"/>
        <w:gridCol w:w="1116"/>
      </w:tblGrid>
      <w:tr w:rsidR="004A3AB4" w:rsidRPr="00AD04D4" w14:paraId="53A52974" w14:textId="77777777" w:rsidTr="003C23CC">
        <w:trPr>
          <w:tblHeader/>
        </w:trPr>
        <w:tc>
          <w:tcPr>
            <w:tcW w:w="803" w:type="dxa"/>
            <w:tcBorders>
              <w:top w:val="single" w:sz="4" w:space="0" w:color="auto"/>
              <w:bottom w:val="single" w:sz="12" w:space="0" w:color="auto"/>
            </w:tcBorders>
            <w:shd w:val="clear" w:color="auto" w:fill="auto"/>
            <w:vAlign w:val="bottom"/>
          </w:tcPr>
          <w:p w14:paraId="02E8A11C" w14:textId="77777777" w:rsidR="004A3AB4" w:rsidRPr="00AD04D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AD04D4">
              <w:rPr>
                <w:i/>
                <w:sz w:val="14"/>
                <w:lang w:val="en-GB"/>
              </w:rPr>
              <w:t>Year</w:t>
            </w:r>
          </w:p>
        </w:tc>
        <w:tc>
          <w:tcPr>
            <w:tcW w:w="1115" w:type="dxa"/>
            <w:tcBorders>
              <w:top w:val="single" w:sz="4" w:space="0" w:color="auto"/>
              <w:bottom w:val="single" w:sz="12" w:space="0" w:color="auto"/>
            </w:tcBorders>
            <w:shd w:val="clear" w:color="auto" w:fill="auto"/>
            <w:vAlign w:val="bottom"/>
          </w:tcPr>
          <w:p w14:paraId="31796379" w14:textId="77777777" w:rsidR="004A3AB4" w:rsidRPr="00AD04D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AD04D4">
              <w:rPr>
                <w:i/>
                <w:sz w:val="14"/>
                <w:lang w:val="en-GB"/>
              </w:rPr>
              <w:t>Inspections carried out</w:t>
            </w:r>
          </w:p>
        </w:tc>
        <w:tc>
          <w:tcPr>
            <w:tcW w:w="1116" w:type="dxa"/>
            <w:tcBorders>
              <w:top w:val="single" w:sz="4" w:space="0" w:color="auto"/>
              <w:bottom w:val="single" w:sz="12" w:space="0" w:color="auto"/>
            </w:tcBorders>
            <w:shd w:val="clear" w:color="auto" w:fill="auto"/>
            <w:vAlign w:val="bottom"/>
          </w:tcPr>
          <w:p w14:paraId="18E9EA8F" w14:textId="77777777" w:rsidR="004A3AB4" w:rsidRPr="00AD04D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AD04D4">
              <w:rPr>
                <w:i/>
                <w:sz w:val="14"/>
                <w:lang w:val="en-GB"/>
              </w:rPr>
              <w:t>Orders issued</w:t>
            </w:r>
          </w:p>
        </w:tc>
        <w:tc>
          <w:tcPr>
            <w:tcW w:w="1116" w:type="dxa"/>
            <w:tcBorders>
              <w:top w:val="single" w:sz="4" w:space="0" w:color="auto"/>
              <w:bottom w:val="single" w:sz="12" w:space="0" w:color="auto"/>
            </w:tcBorders>
            <w:shd w:val="clear" w:color="auto" w:fill="auto"/>
            <w:vAlign w:val="bottom"/>
          </w:tcPr>
          <w:p w14:paraId="60D83302" w14:textId="77777777" w:rsidR="004A3AB4" w:rsidRPr="00AD04D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AD04D4">
              <w:rPr>
                <w:i/>
                <w:sz w:val="14"/>
                <w:lang w:val="en-GB"/>
              </w:rPr>
              <w:t>Directives issued</w:t>
            </w:r>
          </w:p>
        </w:tc>
        <w:tc>
          <w:tcPr>
            <w:tcW w:w="1115" w:type="dxa"/>
            <w:tcBorders>
              <w:top w:val="single" w:sz="4" w:space="0" w:color="auto"/>
              <w:bottom w:val="single" w:sz="12" w:space="0" w:color="auto"/>
            </w:tcBorders>
            <w:shd w:val="clear" w:color="auto" w:fill="auto"/>
            <w:vAlign w:val="bottom"/>
          </w:tcPr>
          <w:p w14:paraId="6129C35E" w14:textId="77777777" w:rsidR="004A3AB4" w:rsidRPr="00AD04D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AD04D4">
              <w:rPr>
                <w:i/>
                <w:sz w:val="14"/>
                <w:lang w:val="en-GB"/>
              </w:rPr>
              <w:t>Warnings issued</w:t>
            </w:r>
          </w:p>
        </w:tc>
        <w:tc>
          <w:tcPr>
            <w:tcW w:w="1208" w:type="dxa"/>
            <w:tcBorders>
              <w:top w:val="single" w:sz="4" w:space="0" w:color="auto"/>
              <w:bottom w:val="single" w:sz="12" w:space="0" w:color="auto"/>
            </w:tcBorders>
            <w:shd w:val="clear" w:color="auto" w:fill="auto"/>
            <w:vAlign w:val="bottom"/>
          </w:tcPr>
          <w:p w14:paraId="1A38DFB7" w14:textId="77777777" w:rsidR="004A3AB4" w:rsidRPr="00AD04D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AD04D4">
              <w:rPr>
                <w:i/>
                <w:sz w:val="14"/>
                <w:lang w:val="en-GB"/>
              </w:rPr>
              <w:t>Orders issued to institute disciplinary and administrative proceedings</w:t>
            </w:r>
          </w:p>
        </w:tc>
        <w:tc>
          <w:tcPr>
            <w:tcW w:w="1024" w:type="dxa"/>
            <w:tcBorders>
              <w:top w:val="single" w:sz="4" w:space="0" w:color="auto"/>
              <w:bottom w:val="single" w:sz="12" w:space="0" w:color="auto"/>
            </w:tcBorders>
            <w:shd w:val="clear" w:color="auto" w:fill="auto"/>
            <w:vAlign w:val="bottom"/>
          </w:tcPr>
          <w:p w14:paraId="12EB3EE8" w14:textId="77777777" w:rsidR="004A3AB4" w:rsidRPr="00AD04D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AD04D4">
              <w:rPr>
                <w:i/>
                <w:sz w:val="14"/>
                <w:lang w:val="en-GB"/>
              </w:rPr>
              <w:t>Subjected to disciplinary action</w:t>
            </w:r>
          </w:p>
        </w:tc>
        <w:tc>
          <w:tcPr>
            <w:tcW w:w="1116" w:type="dxa"/>
            <w:tcBorders>
              <w:top w:val="single" w:sz="4" w:space="0" w:color="auto"/>
              <w:bottom w:val="single" w:sz="12" w:space="0" w:color="auto"/>
            </w:tcBorders>
            <w:shd w:val="clear" w:color="auto" w:fill="auto"/>
            <w:vAlign w:val="bottom"/>
          </w:tcPr>
          <w:p w14:paraId="65D9126F" w14:textId="77777777" w:rsidR="004A3AB4" w:rsidRPr="00AD04D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AD04D4">
              <w:rPr>
                <w:i/>
                <w:sz w:val="14"/>
                <w:lang w:val="en-GB"/>
              </w:rPr>
              <w:t>Subjected to administrative action</w:t>
            </w:r>
          </w:p>
        </w:tc>
      </w:tr>
      <w:tr w:rsidR="004A3AB4" w:rsidRPr="00AD04D4" w14:paraId="7F34E5A0" w14:textId="77777777" w:rsidTr="003C23CC">
        <w:trPr>
          <w:trHeight w:hRule="exact" w:val="115"/>
          <w:tblHeader/>
        </w:trPr>
        <w:tc>
          <w:tcPr>
            <w:tcW w:w="803" w:type="dxa"/>
            <w:tcBorders>
              <w:top w:val="single" w:sz="12" w:space="0" w:color="auto"/>
            </w:tcBorders>
            <w:shd w:val="clear" w:color="auto" w:fill="auto"/>
            <w:vAlign w:val="bottom"/>
          </w:tcPr>
          <w:p w14:paraId="02342E05" w14:textId="77777777" w:rsidR="004A3AB4" w:rsidRPr="00AD04D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1115" w:type="dxa"/>
            <w:tcBorders>
              <w:top w:val="single" w:sz="12" w:space="0" w:color="auto"/>
            </w:tcBorders>
            <w:shd w:val="clear" w:color="auto" w:fill="auto"/>
            <w:vAlign w:val="bottom"/>
          </w:tcPr>
          <w:p w14:paraId="26D6385B" w14:textId="77777777" w:rsidR="004A3AB4" w:rsidRPr="00AD04D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116" w:type="dxa"/>
            <w:tcBorders>
              <w:top w:val="single" w:sz="12" w:space="0" w:color="auto"/>
            </w:tcBorders>
            <w:shd w:val="clear" w:color="auto" w:fill="auto"/>
            <w:vAlign w:val="bottom"/>
          </w:tcPr>
          <w:p w14:paraId="033CB9EE" w14:textId="77777777" w:rsidR="004A3AB4" w:rsidRPr="00AD04D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116" w:type="dxa"/>
            <w:tcBorders>
              <w:top w:val="single" w:sz="12" w:space="0" w:color="auto"/>
            </w:tcBorders>
            <w:shd w:val="clear" w:color="auto" w:fill="auto"/>
            <w:vAlign w:val="bottom"/>
          </w:tcPr>
          <w:p w14:paraId="4BB592C9" w14:textId="77777777" w:rsidR="004A3AB4" w:rsidRPr="00AD04D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115" w:type="dxa"/>
            <w:tcBorders>
              <w:top w:val="single" w:sz="12" w:space="0" w:color="auto"/>
            </w:tcBorders>
            <w:shd w:val="clear" w:color="auto" w:fill="auto"/>
            <w:vAlign w:val="bottom"/>
          </w:tcPr>
          <w:p w14:paraId="0FCD1320" w14:textId="77777777" w:rsidR="004A3AB4" w:rsidRPr="00AD04D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208" w:type="dxa"/>
            <w:tcBorders>
              <w:top w:val="single" w:sz="12" w:space="0" w:color="auto"/>
            </w:tcBorders>
            <w:shd w:val="clear" w:color="auto" w:fill="auto"/>
            <w:vAlign w:val="bottom"/>
          </w:tcPr>
          <w:p w14:paraId="49635E88" w14:textId="77777777" w:rsidR="004A3AB4" w:rsidRPr="00AD04D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024" w:type="dxa"/>
            <w:tcBorders>
              <w:top w:val="single" w:sz="12" w:space="0" w:color="auto"/>
            </w:tcBorders>
            <w:shd w:val="clear" w:color="auto" w:fill="auto"/>
            <w:vAlign w:val="bottom"/>
          </w:tcPr>
          <w:p w14:paraId="042E722F" w14:textId="77777777" w:rsidR="004A3AB4" w:rsidRPr="00AD04D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116" w:type="dxa"/>
            <w:tcBorders>
              <w:top w:val="single" w:sz="12" w:space="0" w:color="auto"/>
            </w:tcBorders>
            <w:shd w:val="clear" w:color="auto" w:fill="auto"/>
            <w:vAlign w:val="bottom"/>
          </w:tcPr>
          <w:p w14:paraId="04DF2256" w14:textId="77777777" w:rsidR="004A3AB4" w:rsidRPr="00AD04D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4A3AB4" w:rsidRPr="00AD04D4" w14:paraId="26664DD9" w14:textId="77777777" w:rsidTr="003C23CC">
        <w:tc>
          <w:tcPr>
            <w:tcW w:w="803" w:type="dxa"/>
            <w:shd w:val="clear" w:color="auto" w:fill="auto"/>
            <w:vAlign w:val="bottom"/>
          </w:tcPr>
          <w:p w14:paraId="2B5A27A8" w14:textId="77777777" w:rsidR="004A3AB4" w:rsidRPr="00AD04D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AD04D4">
              <w:rPr>
                <w:sz w:val="17"/>
                <w:lang w:val="en-GB"/>
              </w:rPr>
              <w:t>2013</w:t>
            </w:r>
          </w:p>
        </w:tc>
        <w:tc>
          <w:tcPr>
            <w:tcW w:w="1115" w:type="dxa"/>
            <w:shd w:val="clear" w:color="auto" w:fill="auto"/>
            <w:vAlign w:val="bottom"/>
          </w:tcPr>
          <w:p w14:paraId="3CB02DAD" w14:textId="77777777" w:rsidR="004A3AB4" w:rsidRPr="00AD04D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D04D4">
              <w:rPr>
                <w:sz w:val="17"/>
                <w:lang w:val="en-GB"/>
              </w:rPr>
              <w:t>148</w:t>
            </w:r>
          </w:p>
        </w:tc>
        <w:tc>
          <w:tcPr>
            <w:tcW w:w="1116" w:type="dxa"/>
            <w:shd w:val="clear" w:color="auto" w:fill="auto"/>
            <w:vAlign w:val="bottom"/>
          </w:tcPr>
          <w:p w14:paraId="4DD510ED" w14:textId="77777777" w:rsidR="004A3AB4" w:rsidRPr="00AD04D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D04D4">
              <w:rPr>
                <w:sz w:val="17"/>
                <w:lang w:val="en-GB"/>
              </w:rPr>
              <w:t>109</w:t>
            </w:r>
          </w:p>
        </w:tc>
        <w:tc>
          <w:tcPr>
            <w:tcW w:w="1116" w:type="dxa"/>
            <w:shd w:val="clear" w:color="auto" w:fill="auto"/>
            <w:vAlign w:val="bottom"/>
          </w:tcPr>
          <w:p w14:paraId="01F72E17" w14:textId="77777777" w:rsidR="004A3AB4" w:rsidRPr="00AD04D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D04D4">
              <w:rPr>
                <w:sz w:val="17"/>
                <w:lang w:val="en-GB"/>
              </w:rPr>
              <w:t>86</w:t>
            </w:r>
          </w:p>
        </w:tc>
        <w:tc>
          <w:tcPr>
            <w:tcW w:w="1115" w:type="dxa"/>
            <w:shd w:val="clear" w:color="auto" w:fill="auto"/>
            <w:vAlign w:val="bottom"/>
          </w:tcPr>
          <w:p w14:paraId="02AFE19B" w14:textId="77777777" w:rsidR="004A3AB4" w:rsidRPr="00AD04D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D04D4">
              <w:rPr>
                <w:sz w:val="17"/>
                <w:lang w:val="en-GB"/>
              </w:rPr>
              <w:t>98</w:t>
            </w:r>
          </w:p>
        </w:tc>
        <w:tc>
          <w:tcPr>
            <w:tcW w:w="1208" w:type="dxa"/>
            <w:shd w:val="clear" w:color="auto" w:fill="auto"/>
            <w:vAlign w:val="bottom"/>
          </w:tcPr>
          <w:p w14:paraId="306EA219" w14:textId="77777777" w:rsidR="004A3AB4" w:rsidRPr="004A3AB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A3AB4">
              <w:rPr>
                <w:sz w:val="17"/>
                <w:lang w:val="en-GB"/>
              </w:rPr>
              <w:t>–</w:t>
            </w:r>
          </w:p>
        </w:tc>
        <w:tc>
          <w:tcPr>
            <w:tcW w:w="1024" w:type="dxa"/>
            <w:shd w:val="clear" w:color="auto" w:fill="auto"/>
            <w:vAlign w:val="bottom"/>
          </w:tcPr>
          <w:p w14:paraId="1F4D58B2" w14:textId="77777777" w:rsidR="004A3AB4" w:rsidRPr="004A3AB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A3AB4">
              <w:rPr>
                <w:sz w:val="17"/>
                <w:lang w:val="en-GB"/>
              </w:rPr>
              <w:t>49</w:t>
            </w:r>
          </w:p>
        </w:tc>
        <w:tc>
          <w:tcPr>
            <w:tcW w:w="1116" w:type="dxa"/>
            <w:shd w:val="clear" w:color="auto" w:fill="auto"/>
            <w:vAlign w:val="bottom"/>
          </w:tcPr>
          <w:p w14:paraId="755058A9" w14:textId="77777777" w:rsidR="004A3AB4" w:rsidRPr="004A3AB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A3AB4">
              <w:rPr>
                <w:sz w:val="17"/>
                <w:lang w:val="en-GB"/>
              </w:rPr>
              <w:t>–</w:t>
            </w:r>
          </w:p>
        </w:tc>
      </w:tr>
      <w:tr w:rsidR="004A3AB4" w:rsidRPr="00AD04D4" w14:paraId="7A68D24F" w14:textId="77777777" w:rsidTr="003C23CC">
        <w:tc>
          <w:tcPr>
            <w:tcW w:w="803" w:type="dxa"/>
            <w:shd w:val="clear" w:color="auto" w:fill="auto"/>
            <w:vAlign w:val="bottom"/>
          </w:tcPr>
          <w:p w14:paraId="3DC53A73" w14:textId="77777777" w:rsidR="004A3AB4" w:rsidRPr="00AD04D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AD04D4">
              <w:rPr>
                <w:sz w:val="17"/>
                <w:lang w:val="en-GB"/>
              </w:rPr>
              <w:t>2014</w:t>
            </w:r>
          </w:p>
        </w:tc>
        <w:tc>
          <w:tcPr>
            <w:tcW w:w="1115" w:type="dxa"/>
            <w:shd w:val="clear" w:color="auto" w:fill="auto"/>
            <w:vAlign w:val="bottom"/>
          </w:tcPr>
          <w:p w14:paraId="52602598" w14:textId="77777777" w:rsidR="004A3AB4" w:rsidRPr="00AD04D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D04D4">
              <w:rPr>
                <w:sz w:val="17"/>
                <w:lang w:val="en-GB"/>
              </w:rPr>
              <w:t>143</w:t>
            </w:r>
          </w:p>
        </w:tc>
        <w:tc>
          <w:tcPr>
            <w:tcW w:w="1116" w:type="dxa"/>
            <w:shd w:val="clear" w:color="auto" w:fill="auto"/>
            <w:vAlign w:val="bottom"/>
          </w:tcPr>
          <w:p w14:paraId="4D8F0D90" w14:textId="77777777" w:rsidR="004A3AB4" w:rsidRPr="00AD04D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D04D4">
              <w:rPr>
                <w:sz w:val="17"/>
                <w:lang w:val="en-GB"/>
              </w:rPr>
              <w:t>71</w:t>
            </w:r>
          </w:p>
        </w:tc>
        <w:tc>
          <w:tcPr>
            <w:tcW w:w="1116" w:type="dxa"/>
            <w:shd w:val="clear" w:color="auto" w:fill="auto"/>
            <w:vAlign w:val="bottom"/>
          </w:tcPr>
          <w:p w14:paraId="040822E2" w14:textId="77777777" w:rsidR="004A3AB4" w:rsidRPr="00AD04D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D04D4">
              <w:rPr>
                <w:sz w:val="17"/>
                <w:lang w:val="en-GB"/>
              </w:rPr>
              <w:t>104</w:t>
            </w:r>
          </w:p>
        </w:tc>
        <w:tc>
          <w:tcPr>
            <w:tcW w:w="1115" w:type="dxa"/>
            <w:shd w:val="clear" w:color="auto" w:fill="auto"/>
            <w:vAlign w:val="bottom"/>
          </w:tcPr>
          <w:p w14:paraId="472EFC36" w14:textId="77777777" w:rsidR="004A3AB4" w:rsidRPr="00AD04D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D04D4">
              <w:rPr>
                <w:sz w:val="17"/>
                <w:lang w:val="en-GB"/>
              </w:rPr>
              <w:t>34</w:t>
            </w:r>
          </w:p>
        </w:tc>
        <w:tc>
          <w:tcPr>
            <w:tcW w:w="1208" w:type="dxa"/>
            <w:shd w:val="clear" w:color="auto" w:fill="auto"/>
            <w:vAlign w:val="bottom"/>
          </w:tcPr>
          <w:p w14:paraId="708E81B9" w14:textId="77777777" w:rsidR="004A3AB4" w:rsidRPr="004A3AB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A3AB4">
              <w:rPr>
                <w:sz w:val="17"/>
                <w:lang w:val="en-GB"/>
              </w:rPr>
              <w:t>3</w:t>
            </w:r>
          </w:p>
        </w:tc>
        <w:tc>
          <w:tcPr>
            <w:tcW w:w="1024" w:type="dxa"/>
            <w:shd w:val="clear" w:color="auto" w:fill="auto"/>
            <w:vAlign w:val="bottom"/>
          </w:tcPr>
          <w:p w14:paraId="26139BCE" w14:textId="77777777" w:rsidR="004A3AB4" w:rsidRPr="004A3AB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A3AB4">
              <w:rPr>
                <w:sz w:val="17"/>
                <w:lang w:val="en-GB"/>
              </w:rPr>
              <w:t>36</w:t>
            </w:r>
          </w:p>
        </w:tc>
        <w:tc>
          <w:tcPr>
            <w:tcW w:w="1116" w:type="dxa"/>
            <w:shd w:val="clear" w:color="auto" w:fill="auto"/>
            <w:vAlign w:val="bottom"/>
          </w:tcPr>
          <w:p w14:paraId="594D0294" w14:textId="77777777" w:rsidR="004A3AB4" w:rsidRPr="004A3AB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A3AB4">
              <w:rPr>
                <w:sz w:val="17"/>
                <w:lang w:val="en-GB"/>
              </w:rPr>
              <w:t>2</w:t>
            </w:r>
          </w:p>
        </w:tc>
      </w:tr>
      <w:tr w:rsidR="004A3AB4" w:rsidRPr="00AD04D4" w14:paraId="3D4150B4" w14:textId="77777777" w:rsidTr="003C23CC">
        <w:tc>
          <w:tcPr>
            <w:tcW w:w="803" w:type="dxa"/>
            <w:shd w:val="clear" w:color="auto" w:fill="auto"/>
            <w:vAlign w:val="bottom"/>
          </w:tcPr>
          <w:p w14:paraId="22592C25" w14:textId="77777777" w:rsidR="004A3AB4" w:rsidRPr="00AD04D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AD04D4">
              <w:rPr>
                <w:sz w:val="17"/>
                <w:lang w:val="en-GB"/>
              </w:rPr>
              <w:t>2015</w:t>
            </w:r>
          </w:p>
        </w:tc>
        <w:tc>
          <w:tcPr>
            <w:tcW w:w="1115" w:type="dxa"/>
            <w:shd w:val="clear" w:color="auto" w:fill="auto"/>
            <w:vAlign w:val="bottom"/>
          </w:tcPr>
          <w:p w14:paraId="51FF3C44" w14:textId="77777777" w:rsidR="004A3AB4" w:rsidRPr="00AD04D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D04D4">
              <w:rPr>
                <w:sz w:val="17"/>
                <w:lang w:val="en-GB"/>
              </w:rPr>
              <w:t>167</w:t>
            </w:r>
          </w:p>
        </w:tc>
        <w:tc>
          <w:tcPr>
            <w:tcW w:w="1116" w:type="dxa"/>
            <w:shd w:val="clear" w:color="auto" w:fill="auto"/>
            <w:vAlign w:val="bottom"/>
          </w:tcPr>
          <w:p w14:paraId="47B7D8B7" w14:textId="77777777" w:rsidR="004A3AB4" w:rsidRPr="00AD04D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D04D4">
              <w:rPr>
                <w:sz w:val="17"/>
                <w:lang w:val="en-GB"/>
              </w:rPr>
              <w:t>113</w:t>
            </w:r>
          </w:p>
        </w:tc>
        <w:tc>
          <w:tcPr>
            <w:tcW w:w="1116" w:type="dxa"/>
            <w:shd w:val="clear" w:color="auto" w:fill="auto"/>
            <w:vAlign w:val="bottom"/>
          </w:tcPr>
          <w:p w14:paraId="7301C06A" w14:textId="77777777" w:rsidR="004A3AB4" w:rsidRPr="00AD04D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D04D4">
              <w:rPr>
                <w:sz w:val="17"/>
                <w:lang w:val="en-GB"/>
              </w:rPr>
              <w:t>71</w:t>
            </w:r>
          </w:p>
        </w:tc>
        <w:tc>
          <w:tcPr>
            <w:tcW w:w="1115" w:type="dxa"/>
            <w:shd w:val="clear" w:color="auto" w:fill="auto"/>
            <w:vAlign w:val="bottom"/>
          </w:tcPr>
          <w:p w14:paraId="253F9DD7" w14:textId="77777777" w:rsidR="004A3AB4" w:rsidRPr="00AD04D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D04D4">
              <w:rPr>
                <w:sz w:val="17"/>
                <w:lang w:val="en-GB"/>
              </w:rPr>
              <w:t>23</w:t>
            </w:r>
          </w:p>
        </w:tc>
        <w:tc>
          <w:tcPr>
            <w:tcW w:w="1208" w:type="dxa"/>
            <w:shd w:val="clear" w:color="auto" w:fill="auto"/>
            <w:vAlign w:val="bottom"/>
          </w:tcPr>
          <w:p w14:paraId="14971A59" w14:textId="77777777" w:rsidR="004A3AB4" w:rsidRPr="004A3AB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A3AB4">
              <w:rPr>
                <w:sz w:val="17"/>
                <w:lang w:val="en-GB"/>
              </w:rPr>
              <w:t>6</w:t>
            </w:r>
          </w:p>
        </w:tc>
        <w:tc>
          <w:tcPr>
            <w:tcW w:w="1024" w:type="dxa"/>
            <w:shd w:val="clear" w:color="auto" w:fill="auto"/>
            <w:vAlign w:val="bottom"/>
          </w:tcPr>
          <w:p w14:paraId="03DA88A0" w14:textId="77777777" w:rsidR="004A3AB4" w:rsidRPr="004A3AB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A3AB4">
              <w:rPr>
                <w:sz w:val="17"/>
                <w:lang w:val="en-GB"/>
              </w:rPr>
              <w:t>74</w:t>
            </w:r>
          </w:p>
        </w:tc>
        <w:tc>
          <w:tcPr>
            <w:tcW w:w="1116" w:type="dxa"/>
            <w:shd w:val="clear" w:color="auto" w:fill="auto"/>
            <w:vAlign w:val="bottom"/>
          </w:tcPr>
          <w:p w14:paraId="71B80FC1" w14:textId="77777777" w:rsidR="004A3AB4" w:rsidRPr="004A3AB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A3AB4">
              <w:rPr>
                <w:sz w:val="17"/>
                <w:lang w:val="en-GB"/>
              </w:rPr>
              <w:t>–</w:t>
            </w:r>
          </w:p>
        </w:tc>
      </w:tr>
      <w:tr w:rsidR="004A3AB4" w:rsidRPr="00AD04D4" w14:paraId="35703686" w14:textId="77777777" w:rsidTr="003C23CC">
        <w:tc>
          <w:tcPr>
            <w:tcW w:w="803" w:type="dxa"/>
            <w:shd w:val="clear" w:color="auto" w:fill="auto"/>
            <w:vAlign w:val="bottom"/>
          </w:tcPr>
          <w:p w14:paraId="0DC1F152" w14:textId="77777777" w:rsidR="004A3AB4" w:rsidRPr="00AD04D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AD04D4">
              <w:rPr>
                <w:sz w:val="17"/>
                <w:lang w:val="en-GB"/>
              </w:rPr>
              <w:t>2016</w:t>
            </w:r>
          </w:p>
        </w:tc>
        <w:tc>
          <w:tcPr>
            <w:tcW w:w="1115" w:type="dxa"/>
            <w:shd w:val="clear" w:color="auto" w:fill="auto"/>
            <w:vAlign w:val="bottom"/>
          </w:tcPr>
          <w:p w14:paraId="645387CA" w14:textId="77777777" w:rsidR="004A3AB4" w:rsidRPr="00AD04D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D04D4">
              <w:rPr>
                <w:sz w:val="17"/>
                <w:lang w:val="en-GB"/>
              </w:rPr>
              <w:t>152</w:t>
            </w:r>
          </w:p>
        </w:tc>
        <w:tc>
          <w:tcPr>
            <w:tcW w:w="1116" w:type="dxa"/>
            <w:shd w:val="clear" w:color="auto" w:fill="auto"/>
            <w:vAlign w:val="bottom"/>
          </w:tcPr>
          <w:p w14:paraId="738D48A4" w14:textId="77777777" w:rsidR="004A3AB4" w:rsidRPr="00AD04D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D04D4">
              <w:rPr>
                <w:sz w:val="17"/>
                <w:lang w:val="en-GB"/>
              </w:rPr>
              <w:t>114</w:t>
            </w:r>
          </w:p>
        </w:tc>
        <w:tc>
          <w:tcPr>
            <w:tcW w:w="1116" w:type="dxa"/>
            <w:shd w:val="clear" w:color="auto" w:fill="auto"/>
            <w:vAlign w:val="bottom"/>
          </w:tcPr>
          <w:p w14:paraId="0E28A9E0" w14:textId="77777777" w:rsidR="004A3AB4" w:rsidRPr="00AD04D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D04D4">
              <w:rPr>
                <w:sz w:val="17"/>
                <w:lang w:val="en-GB"/>
              </w:rPr>
              <w:t>56</w:t>
            </w:r>
          </w:p>
        </w:tc>
        <w:tc>
          <w:tcPr>
            <w:tcW w:w="1115" w:type="dxa"/>
            <w:shd w:val="clear" w:color="auto" w:fill="auto"/>
            <w:vAlign w:val="bottom"/>
          </w:tcPr>
          <w:p w14:paraId="4909B83D" w14:textId="77777777" w:rsidR="004A3AB4" w:rsidRPr="00AD04D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D04D4">
              <w:rPr>
                <w:sz w:val="17"/>
                <w:lang w:val="en-GB"/>
              </w:rPr>
              <w:t>14</w:t>
            </w:r>
          </w:p>
        </w:tc>
        <w:tc>
          <w:tcPr>
            <w:tcW w:w="1208" w:type="dxa"/>
            <w:shd w:val="clear" w:color="auto" w:fill="auto"/>
            <w:vAlign w:val="bottom"/>
          </w:tcPr>
          <w:p w14:paraId="14EDC90A" w14:textId="77777777" w:rsidR="004A3AB4" w:rsidRPr="004A3AB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A3AB4">
              <w:rPr>
                <w:sz w:val="17"/>
                <w:lang w:val="en-GB"/>
              </w:rPr>
              <w:t>2</w:t>
            </w:r>
          </w:p>
        </w:tc>
        <w:tc>
          <w:tcPr>
            <w:tcW w:w="1024" w:type="dxa"/>
            <w:shd w:val="clear" w:color="auto" w:fill="auto"/>
            <w:vAlign w:val="bottom"/>
          </w:tcPr>
          <w:p w14:paraId="0146460D" w14:textId="77777777" w:rsidR="004A3AB4" w:rsidRPr="004A3AB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A3AB4">
              <w:rPr>
                <w:sz w:val="17"/>
                <w:lang w:val="en-GB"/>
              </w:rPr>
              <w:t>70</w:t>
            </w:r>
          </w:p>
        </w:tc>
        <w:tc>
          <w:tcPr>
            <w:tcW w:w="1116" w:type="dxa"/>
            <w:shd w:val="clear" w:color="auto" w:fill="auto"/>
            <w:vAlign w:val="bottom"/>
          </w:tcPr>
          <w:p w14:paraId="7FFA03C9" w14:textId="77777777" w:rsidR="004A3AB4" w:rsidRPr="004A3AB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A3AB4">
              <w:rPr>
                <w:sz w:val="17"/>
                <w:lang w:val="en-GB"/>
              </w:rPr>
              <w:t>–</w:t>
            </w:r>
          </w:p>
        </w:tc>
      </w:tr>
      <w:tr w:rsidR="004A3AB4" w:rsidRPr="00AD04D4" w14:paraId="2E623DFB" w14:textId="77777777" w:rsidTr="003C23CC">
        <w:tc>
          <w:tcPr>
            <w:tcW w:w="803" w:type="dxa"/>
            <w:shd w:val="clear" w:color="auto" w:fill="auto"/>
            <w:vAlign w:val="bottom"/>
          </w:tcPr>
          <w:p w14:paraId="2CE8857A" w14:textId="77777777" w:rsidR="004A3AB4" w:rsidRPr="00AD04D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AD04D4">
              <w:rPr>
                <w:sz w:val="17"/>
                <w:lang w:val="en-GB"/>
              </w:rPr>
              <w:t>2017</w:t>
            </w:r>
          </w:p>
        </w:tc>
        <w:tc>
          <w:tcPr>
            <w:tcW w:w="1115" w:type="dxa"/>
            <w:shd w:val="clear" w:color="auto" w:fill="auto"/>
            <w:vAlign w:val="bottom"/>
          </w:tcPr>
          <w:p w14:paraId="6F556824" w14:textId="77777777" w:rsidR="004A3AB4" w:rsidRPr="00AD04D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D04D4">
              <w:rPr>
                <w:sz w:val="17"/>
                <w:lang w:val="en-GB"/>
              </w:rPr>
              <w:t>143</w:t>
            </w:r>
          </w:p>
        </w:tc>
        <w:tc>
          <w:tcPr>
            <w:tcW w:w="1116" w:type="dxa"/>
            <w:shd w:val="clear" w:color="auto" w:fill="auto"/>
            <w:vAlign w:val="bottom"/>
          </w:tcPr>
          <w:p w14:paraId="3A893094" w14:textId="77777777" w:rsidR="004A3AB4" w:rsidRPr="00AD04D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D04D4">
              <w:rPr>
                <w:sz w:val="17"/>
                <w:lang w:val="en-GB"/>
              </w:rPr>
              <w:t>120</w:t>
            </w:r>
          </w:p>
        </w:tc>
        <w:tc>
          <w:tcPr>
            <w:tcW w:w="1116" w:type="dxa"/>
            <w:shd w:val="clear" w:color="auto" w:fill="auto"/>
            <w:vAlign w:val="bottom"/>
          </w:tcPr>
          <w:p w14:paraId="3C196F37" w14:textId="77777777" w:rsidR="004A3AB4" w:rsidRPr="00AD04D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D04D4">
              <w:rPr>
                <w:sz w:val="17"/>
                <w:lang w:val="en-GB"/>
              </w:rPr>
              <w:t>82</w:t>
            </w:r>
          </w:p>
        </w:tc>
        <w:tc>
          <w:tcPr>
            <w:tcW w:w="1115" w:type="dxa"/>
            <w:shd w:val="clear" w:color="auto" w:fill="auto"/>
            <w:vAlign w:val="bottom"/>
          </w:tcPr>
          <w:p w14:paraId="36CC5577" w14:textId="77777777" w:rsidR="004A3AB4" w:rsidRPr="00AD04D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D04D4">
              <w:rPr>
                <w:sz w:val="17"/>
                <w:lang w:val="en-GB"/>
              </w:rPr>
              <w:t>17</w:t>
            </w:r>
          </w:p>
        </w:tc>
        <w:tc>
          <w:tcPr>
            <w:tcW w:w="1208" w:type="dxa"/>
            <w:shd w:val="clear" w:color="auto" w:fill="auto"/>
            <w:vAlign w:val="bottom"/>
          </w:tcPr>
          <w:p w14:paraId="57F790D1" w14:textId="77777777" w:rsidR="004A3AB4" w:rsidRPr="004A3AB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A3AB4">
              <w:rPr>
                <w:sz w:val="17"/>
                <w:lang w:val="en-GB"/>
              </w:rPr>
              <w:t>5</w:t>
            </w:r>
          </w:p>
        </w:tc>
        <w:tc>
          <w:tcPr>
            <w:tcW w:w="1024" w:type="dxa"/>
            <w:shd w:val="clear" w:color="auto" w:fill="auto"/>
            <w:vAlign w:val="bottom"/>
          </w:tcPr>
          <w:p w14:paraId="4F7B92EB" w14:textId="77777777" w:rsidR="004A3AB4" w:rsidRPr="004A3AB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A3AB4">
              <w:rPr>
                <w:sz w:val="17"/>
                <w:lang w:val="en-GB"/>
              </w:rPr>
              <w:t>102</w:t>
            </w:r>
          </w:p>
        </w:tc>
        <w:tc>
          <w:tcPr>
            <w:tcW w:w="1116" w:type="dxa"/>
            <w:shd w:val="clear" w:color="auto" w:fill="auto"/>
            <w:vAlign w:val="bottom"/>
          </w:tcPr>
          <w:p w14:paraId="52C017EA" w14:textId="77777777" w:rsidR="004A3AB4" w:rsidRPr="004A3AB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A3AB4">
              <w:rPr>
                <w:sz w:val="17"/>
                <w:lang w:val="en-GB"/>
              </w:rPr>
              <w:t>–</w:t>
            </w:r>
          </w:p>
        </w:tc>
      </w:tr>
      <w:tr w:rsidR="004A3AB4" w:rsidRPr="00AD04D4" w14:paraId="74E5AC9E" w14:textId="77777777" w:rsidTr="003C23CC">
        <w:tc>
          <w:tcPr>
            <w:tcW w:w="803" w:type="dxa"/>
            <w:tcBorders>
              <w:bottom w:val="single" w:sz="4" w:space="0" w:color="auto"/>
            </w:tcBorders>
            <w:shd w:val="clear" w:color="auto" w:fill="auto"/>
            <w:vAlign w:val="bottom"/>
          </w:tcPr>
          <w:p w14:paraId="09F09516" w14:textId="77777777" w:rsidR="004A3AB4" w:rsidRPr="00AD04D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lang w:val="en-GB"/>
              </w:rPr>
            </w:pPr>
            <w:r w:rsidRPr="00AD04D4">
              <w:rPr>
                <w:sz w:val="17"/>
                <w:lang w:val="en-GB"/>
              </w:rPr>
              <w:t>2018</w:t>
            </w:r>
          </w:p>
        </w:tc>
        <w:tc>
          <w:tcPr>
            <w:tcW w:w="1115" w:type="dxa"/>
            <w:tcBorders>
              <w:bottom w:val="single" w:sz="4" w:space="0" w:color="auto"/>
            </w:tcBorders>
            <w:shd w:val="clear" w:color="auto" w:fill="auto"/>
            <w:vAlign w:val="bottom"/>
          </w:tcPr>
          <w:p w14:paraId="6D942ABB" w14:textId="77777777" w:rsidR="004A3AB4" w:rsidRPr="00AD04D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D04D4">
              <w:rPr>
                <w:sz w:val="17"/>
                <w:lang w:val="en-GB"/>
              </w:rPr>
              <w:t>142</w:t>
            </w:r>
          </w:p>
        </w:tc>
        <w:tc>
          <w:tcPr>
            <w:tcW w:w="1116" w:type="dxa"/>
            <w:tcBorders>
              <w:bottom w:val="single" w:sz="4" w:space="0" w:color="auto"/>
            </w:tcBorders>
            <w:shd w:val="clear" w:color="auto" w:fill="auto"/>
            <w:vAlign w:val="bottom"/>
          </w:tcPr>
          <w:p w14:paraId="68383B8C" w14:textId="77777777" w:rsidR="004A3AB4" w:rsidRPr="00AD04D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D04D4">
              <w:rPr>
                <w:sz w:val="17"/>
                <w:lang w:val="en-GB"/>
              </w:rPr>
              <w:t>49</w:t>
            </w:r>
          </w:p>
        </w:tc>
        <w:tc>
          <w:tcPr>
            <w:tcW w:w="1116" w:type="dxa"/>
            <w:tcBorders>
              <w:bottom w:val="single" w:sz="4" w:space="0" w:color="auto"/>
            </w:tcBorders>
            <w:shd w:val="clear" w:color="auto" w:fill="auto"/>
            <w:vAlign w:val="bottom"/>
          </w:tcPr>
          <w:p w14:paraId="50514E30" w14:textId="77777777" w:rsidR="004A3AB4" w:rsidRPr="00AD04D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D04D4">
              <w:rPr>
                <w:sz w:val="17"/>
                <w:lang w:val="en-GB"/>
              </w:rPr>
              <w:t>23</w:t>
            </w:r>
          </w:p>
        </w:tc>
        <w:tc>
          <w:tcPr>
            <w:tcW w:w="1115" w:type="dxa"/>
            <w:tcBorders>
              <w:bottom w:val="single" w:sz="4" w:space="0" w:color="auto"/>
            </w:tcBorders>
            <w:shd w:val="clear" w:color="auto" w:fill="auto"/>
            <w:vAlign w:val="bottom"/>
          </w:tcPr>
          <w:p w14:paraId="5A316998" w14:textId="77777777" w:rsidR="004A3AB4" w:rsidRPr="00AD04D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D04D4">
              <w:rPr>
                <w:sz w:val="17"/>
                <w:lang w:val="en-GB"/>
              </w:rPr>
              <w:t>3</w:t>
            </w:r>
          </w:p>
        </w:tc>
        <w:tc>
          <w:tcPr>
            <w:tcW w:w="1208" w:type="dxa"/>
            <w:tcBorders>
              <w:bottom w:val="single" w:sz="4" w:space="0" w:color="auto"/>
            </w:tcBorders>
            <w:shd w:val="clear" w:color="auto" w:fill="auto"/>
            <w:vAlign w:val="bottom"/>
          </w:tcPr>
          <w:p w14:paraId="34ACC41C" w14:textId="77777777" w:rsidR="004A3AB4" w:rsidRPr="004A3AB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4A3AB4">
              <w:rPr>
                <w:sz w:val="17"/>
                <w:lang w:val="en-GB"/>
              </w:rPr>
              <w:t>–</w:t>
            </w:r>
          </w:p>
        </w:tc>
        <w:tc>
          <w:tcPr>
            <w:tcW w:w="1024" w:type="dxa"/>
            <w:tcBorders>
              <w:bottom w:val="single" w:sz="4" w:space="0" w:color="auto"/>
            </w:tcBorders>
            <w:shd w:val="clear" w:color="auto" w:fill="auto"/>
            <w:vAlign w:val="bottom"/>
          </w:tcPr>
          <w:p w14:paraId="62EC427B" w14:textId="77777777" w:rsidR="004A3AB4" w:rsidRPr="004A3AB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4A3AB4">
              <w:rPr>
                <w:sz w:val="17"/>
                <w:lang w:val="en-GB"/>
              </w:rPr>
              <w:t>30</w:t>
            </w:r>
          </w:p>
        </w:tc>
        <w:tc>
          <w:tcPr>
            <w:tcW w:w="1116" w:type="dxa"/>
            <w:tcBorders>
              <w:bottom w:val="single" w:sz="4" w:space="0" w:color="auto"/>
            </w:tcBorders>
            <w:shd w:val="clear" w:color="auto" w:fill="auto"/>
            <w:vAlign w:val="bottom"/>
          </w:tcPr>
          <w:p w14:paraId="1CBF607F" w14:textId="77777777" w:rsidR="004A3AB4" w:rsidRPr="004A3AB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4A3AB4">
              <w:rPr>
                <w:sz w:val="17"/>
                <w:lang w:val="en-GB"/>
              </w:rPr>
              <w:t>–</w:t>
            </w:r>
          </w:p>
        </w:tc>
      </w:tr>
      <w:tr w:rsidR="004A3AB4" w:rsidRPr="00AD04D4" w14:paraId="0815852E" w14:textId="77777777" w:rsidTr="003C23CC">
        <w:tc>
          <w:tcPr>
            <w:tcW w:w="803" w:type="dxa"/>
            <w:tcBorders>
              <w:top w:val="single" w:sz="4" w:space="0" w:color="auto"/>
              <w:bottom w:val="single" w:sz="12" w:space="0" w:color="auto"/>
            </w:tcBorders>
            <w:shd w:val="clear" w:color="auto" w:fill="auto"/>
            <w:vAlign w:val="bottom"/>
          </w:tcPr>
          <w:p w14:paraId="2A1C2A5A" w14:textId="77777777" w:rsidR="004A3AB4" w:rsidRPr="00AD04D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lang w:val="en-GB"/>
              </w:rPr>
            </w:pPr>
            <w:r w:rsidRPr="00AD04D4">
              <w:rPr>
                <w:b/>
                <w:sz w:val="17"/>
                <w:lang w:val="en-GB"/>
              </w:rPr>
              <w:tab/>
              <w:t>Total:</w:t>
            </w:r>
          </w:p>
        </w:tc>
        <w:tc>
          <w:tcPr>
            <w:tcW w:w="1115" w:type="dxa"/>
            <w:tcBorders>
              <w:top w:val="single" w:sz="4" w:space="0" w:color="auto"/>
              <w:bottom w:val="single" w:sz="12" w:space="0" w:color="auto"/>
            </w:tcBorders>
            <w:shd w:val="clear" w:color="auto" w:fill="auto"/>
            <w:vAlign w:val="bottom"/>
          </w:tcPr>
          <w:p w14:paraId="15918967" w14:textId="77777777" w:rsidR="004A3AB4" w:rsidRPr="00AD04D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D04D4">
              <w:rPr>
                <w:b/>
                <w:sz w:val="17"/>
                <w:lang w:val="en-GB"/>
              </w:rPr>
              <w:t>747</w:t>
            </w:r>
          </w:p>
        </w:tc>
        <w:tc>
          <w:tcPr>
            <w:tcW w:w="1116" w:type="dxa"/>
            <w:tcBorders>
              <w:top w:val="single" w:sz="4" w:space="0" w:color="auto"/>
              <w:bottom w:val="single" w:sz="12" w:space="0" w:color="auto"/>
            </w:tcBorders>
            <w:shd w:val="clear" w:color="auto" w:fill="auto"/>
            <w:vAlign w:val="bottom"/>
          </w:tcPr>
          <w:p w14:paraId="0B50EB92" w14:textId="77777777" w:rsidR="004A3AB4" w:rsidRPr="00AD04D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D04D4">
              <w:rPr>
                <w:b/>
                <w:sz w:val="17"/>
                <w:lang w:val="en-GB"/>
              </w:rPr>
              <w:t>467</w:t>
            </w:r>
          </w:p>
        </w:tc>
        <w:tc>
          <w:tcPr>
            <w:tcW w:w="1116" w:type="dxa"/>
            <w:tcBorders>
              <w:top w:val="single" w:sz="4" w:space="0" w:color="auto"/>
              <w:bottom w:val="single" w:sz="12" w:space="0" w:color="auto"/>
            </w:tcBorders>
            <w:shd w:val="clear" w:color="auto" w:fill="auto"/>
            <w:vAlign w:val="bottom"/>
          </w:tcPr>
          <w:p w14:paraId="3A69E787" w14:textId="77777777" w:rsidR="004A3AB4" w:rsidRPr="00AD04D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D04D4">
              <w:rPr>
                <w:b/>
                <w:sz w:val="17"/>
                <w:lang w:val="en-GB"/>
              </w:rPr>
              <w:t>336</w:t>
            </w:r>
          </w:p>
        </w:tc>
        <w:tc>
          <w:tcPr>
            <w:tcW w:w="1115" w:type="dxa"/>
            <w:tcBorders>
              <w:top w:val="single" w:sz="4" w:space="0" w:color="auto"/>
              <w:bottom w:val="single" w:sz="12" w:space="0" w:color="auto"/>
            </w:tcBorders>
            <w:shd w:val="clear" w:color="auto" w:fill="auto"/>
            <w:vAlign w:val="bottom"/>
          </w:tcPr>
          <w:p w14:paraId="0BE3F552" w14:textId="77777777" w:rsidR="004A3AB4" w:rsidRPr="00AD04D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D04D4">
              <w:rPr>
                <w:b/>
                <w:sz w:val="17"/>
                <w:lang w:val="en-GB"/>
              </w:rPr>
              <w:t>91</w:t>
            </w:r>
          </w:p>
        </w:tc>
        <w:tc>
          <w:tcPr>
            <w:tcW w:w="1208" w:type="dxa"/>
            <w:tcBorders>
              <w:top w:val="single" w:sz="4" w:space="0" w:color="auto"/>
              <w:bottom w:val="single" w:sz="12" w:space="0" w:color="auto"/>
            </w:tcBorders>
            <w:shd w:val="clear" w:color="auto" w:fill="auto"/>
            <w:vAlign w:val="bottom"/>
          </w:tcPr>
          <w:p w14:paraId="43470502" w14:textId="77777777" w:rsidR="004A3AB4" w:rsidRPr="00AD04D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D04D4">
              <w:rPr>
                <w:b/>
                <w:sz w:val="17"/>
                <w:lang w:val="en-GB"/>
              </w:rPr>
              <w:t>16</w:t>
            </w:r>
          </w:p>
        </w:tc>
        <w:tc>
          <w:tcPr>
            <w:tcW w:w="1024" w:type="dxa"/>
            <w:tcBorders>
              <w:top w:val="single" w:sz="4" w:space="0" w:color="auto"/>
              <w:bottom w:val="single" w:sz="12" w:space="0" w:color="auto"/>
            </w:tcBorders>
            <w:shd w:val="clear" w:color="auto" w:fill="auto"/>
            <w:vAlign w:val="bottom"/>
          </w:tcPr>
          <w:p w14:paraId="1697FCBD" w14:textId="77777777" w:rsidR="004A3AB4" w:rsidRPr="00AD04D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D04D4">
              <w:rPr>
                <w:b/>
                <w:sz w:val="17"/>
                <w:lang w:val="en-GB"/>
              </w:rPr>
              <w:t>312</w:t>
            </w:r>
          </w:p>
        </w:tc>
        <w:tc>
          <w:tcPr>
            <w:tcW w:w="1116" w:type="dxa"/>
            <w:tcBorders>
              <w:top w:val="single" w:sz="4" w:space="0" w:color="auto"/>
              <w:bottom w:val="single" w:sz="12" w:space="0" w:color="auto"/>
            </w:tcBorders>
            <w:shd w:val="clear" w:color="auto" w:fill="auto"/>
            <w:vAlign w:val="bottom"/>
          </w:tcPr>
          <w:p w14:paraId="5FC79E6C" w14:textId="77777777" w:rsidR="004A3AB4" w:rsidRPr="00AD04D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D04D4">
              <w:rPr>
                <w:b/>
                <w:sz w:val="17"/>
                <w:lang w:val="en-GB"/>
              </w:rPr>
              <w:t>2</w:t>
            </w:r>
          </w:p>
        </w:tc>
      </w:tr>
    </w:tbl>
    <w:p w14:paraId="3CA2F76C" w14:textId="77777777" w:rsidR="004A3AB4" w:rsidRPr="00AD04D4" w:rsidRDefault="004A3AB4" w:rsidP="004A3AB4">
      <w:pPr>
        <w:pStyle w:val="SingleTxt"/>
        <w:spacing w:after="0" w:line="120" w:lineRule="exact"/>
        <w:rPr>
          <w:sz w:val="10"/>
          <w:lang w:val="en-GB"/>
        </w:rPr>
      </w:pPr>
    </w:p>
    <w:p w14:paraId="52FACF89" w14:textId="77777777" w:rsidR="004A3AB4" w:rsidRPr="00AD04D4" w:rsidRDefault="004A3AB4" w:rsidP="004A3AB4">
      <w:pPr>
        <w:pStyle w:val="SingleTxt"/>
        <w:spacing w:after="0" w:line="120" w:lineRule="exact"/>
        <w:rPr>
          <w:sz w:val="10"/>
          <w:lang w:val="en-GB"/>
        </w:rPr>
      </w:pPr>
    </w:p>
    <w:p w14:paraId="7AF8AAC9" w14:textId="77777777" w:rsidR="004A3AB4" w:rsidRPr="00DF37A3" w:rsidRDefault="004A3AB4" w:rsidP="004A3AB4">
      <w:pPr>
        <w:pStyle w:val="SingleTxt"/>
        <w:rPr>
          <w:lang w:val="en-GB"/>
        </w:rPr>
      </w:pPr>
      <w:r w:rsidRPr="00DF37A3">
        <w:rPr>
          <w:lang w:val="en-GB"/>
        </w:rPr>
        <w:t>17.</w:t>
      </w:r>
      <w:r>
        <w:rPr>
          <w:lang w:val="en-GB"/>
        </w:rPr>
        <w:tab/>
      </w:r>
      <w:r w:rsidRPr="00DF37A3">
        <w:rPr>
          <w:lang w:val="en-GB"/>
        </w:rPr>
        <w:t>It should be emphasized that criminal prosecution for crimes involving gender-based violence (bride kidnapping, forced marriage, etc.) lies within the competence of the internal affairs agencies. However, the Office of the Procurator supervises the activities of those agencies in implementing legislation in this area.</w:t>
      </w:r>
    </w:p>
    <w:p w14:paraId="30BCD011" w14:textId="77777777" w:rsidR="004A3AB4" w:rsidRPr="00DF37A3" w:rsidRDefault="004A3AB4" w:rsidP="004A3AB4">
      <w:pPr>
        <w:pStyle w:val="SingleTxt"/>
        <w:rPr>
          <w:lang w:val="en-GB"/>
        </w:rPr>
      </w:pPr>
      <w:r w:rsidRPr="00DF37A3">
        <w:rPr>
          <w:lang w:val="en-GB"/>
        </w:rPr>
        <w:t>18.</w:t>
      </w:r>
      <w:r>
        <w:rPr>
          <w:lang w:val="en-GB"/>
        </w:rPr>
        <w:tab/>
      </w:r>
      <w:r w:rsidRPr="00DF37A3">
        <w:rPr>
          <w:lang w:val="en-GB"/>
        </w:rPr>
        <w:t xml:space="preserve">In that connection, the main focus of the Office of the Procurator is on the implementation of a set of preventive measures. The Office is constantly working to avert and prevent bride kidnapping and forced marriage (in 2017, more than 111 different forums and events </w:t>
      </w:r>
      <w:r>
        <w:rPr>
          <w:lang w:val="en-GB"/>
        </w:rPr>
        <w:t>–</w:t>
      </w:r>
      <w:r w:rsidRPr="00DF37A3">
        <w:rPr>
          <w:lang w:val="en-GB"/>
        </w:rPr>
        <w:t xml:space="preserve"> lectures, meetings, round tables </w:t>
      </w:r>
      <w:r>
        <w:rPr>
          <w:lang w:val="en-GB"/>
        </w:rPr>
        <w:t>–</w:t>
      </w:r>
      <w:r w:rsidRPr="00DF37A3">
        <w:rPr>
          <w:lang w:val="en-GB"/>
        </w:rPr>
        <w:t xml:space="preserve"> were held on this topic, and eight articles published).</w:t>
      </w:r>
    </w:p>
    <w:p w14:paraId="5686D725" w14:textId="77777777" w:rsidR="004A3AB4" w:rsidRDefault="004A3AB4" w:rsidP="004A3AB4">
      <w:pPr>
        <w:pStyle w:val="SingleTxt"/>
        <w:rPr>
          <w:lang w:val="en-GB"/>
        </w:rPr>
      </w:pPr>
      <w:r w:rsidRPr="00DF37A3">
        <w:rPr>
          <w:lang w:val="en-GB"/>
        </w:rPr>
        <w:t>19.</w:t>
      </w:r>
      <w:r>
        <w:rPr>
          <w:lang w:val="en-GB"/>
        </w:rPr>
        <w:tab/>
      </w:r>
      <w:r w:rsidRPr="00DF37A3">
        <w:rPr>
          <w:lang w:val="en-GB"/>
        </w:rPr>
        <w:t>In accordance with Act No. 179 of 17 November 2016 on Amendments to Certain Legislative Acts of the Kyrgyz Republic (the Criminal Code, the Family Code), the Criminal Code establishes criminal liability for violations of the legislation on the age of marriage that occur in connection with the celebration of religious ceremonies (article 1551). Since the criminalization of such acts, a total of 17 cases have been recorded, and 10 criminal actions have been brought following investigations. As a result of the investigation and judicial review of these criminal cases, eight convictions were handed down and 22 persons were given suspended sentences.</w:t>
      </w:r>
    </w:p>
    <w:p w14:paraId="0DF87E69" w14:textId="77777777" w:rsidR="004A3AB4" w:rsidRPr="006B3A71" w:rsidRDefault="004A3AB4" w:rsidP="004A3AB4">
      <w:pPr>
        <w:pStyle w:val="SingleTxt"/>
        <w:spacing w:after="0" w:line="120" w:lineRule="exact"/>
        <w:rPr>
          <w:sz w:val="10"/>
          <w:lang w:val="en-GB"/>
        </w:rPr>
      </w:pPr>
    </w:p>
    <w:p w14:paraId="11163F10" w14:textId="77777777" w:rsidR="004A3AB4" w:rsidRPr="006B3A71" w:rsidRDefault="004A3AB4" w:rsidP="004A3AB4">
      <w:pPr>
        <w:pStyle w:val="SingleTxt"/>
        <w:spacing w:after="0" w:line="120" w:lineRule="exact"/>
        <w:rPr>
          <w:sz w:val="10"/>
          <w:lang w:val="en-GB"/>
        </w:rPr>
      </w:pPr>
    </w:p>
    <w:p w14:paraId="1D7E1624" w14:textId="77777777" w:rsidR="004A3AB4" w:rsidRPr="00DF37A3" w:rsidRDefault="004A3AB4" w:rsidP="004A3AB4">
      <w:pPr>
        <w:pStyle w:val="H1"/>
        <w:ind w:right="1260"/>
        <w:rPr>
          <w:lang w:val="en-GB"/>
        </w:rPr>
      </w:pPr>
      <w:r>
        <w:rPr>
          <w:lang w:val="en-GB"/>
        </w:rPr>
        <w:tab/>
      </w:r>
      <w:r w:rsidRPr="00DF37A3">
        <w:rPr>
          <w:lang w:val="en-GB"/>
        </w:rPr>
        <w:tab/>
        <w:t>Article 4</w:t>
      </w:r>
    </w:p>
    <w:p w14:paraId="092427F1" w14:textId="77777777" w:rsidR="004A3AB4" w:rsidRPr="006B3A71" w:rsidRDefault="004A3AB4" w:rsidP="004A3AB4">
      <w:pPr>
        <w:pStyle w:val="SingleTxt"/>
        <w:spacing w:after="0" w:line="120" w:lineRule="exact"/>
        <w:rPr>
          <w:sz w:val="10"/>
          <w:lang w:val="en-GB"/>
        </w:rPr>
      </w:pPr>
    </w:p>
    <w:p w14:paraId="4B1CF941" w14:textId="77777777" w:rsidR="004A3AB4" w:rsidRPr="006B3A71" w:rsidRDefault="004A3AB4" w:rsidP="004A3AB4">
      <w:pPr>
        <w:pStyle w:val="SingleTxt"/>
        <w:spacing w:after="0" w:line="120" w:lineRule="exact"/>
        <w:rPr>
          <w:sz w:val="10"/>
          <w:lang w:val="en-GB"/>
        </w:rPr>
      </w:pPr>
    </w:p>
    <w:p w14:paraId="31930F00" w14:textId="77777777" w:rsidR="004A3AB4" w:rsidRPr="00DF37A3" w:rsidRDefault="004A3AB4" w:rsidP="004A3AB4">
      <w:pPr>
        <w:pStyle w:val="SingleTxt"/>
        <w:rPr>
          <w:lang w:val="en-GB"/>
        </w:rPr>
      </w:pPr>
      <w:r w:rsidRPr="00DF37A3">
        <w:rPr>
          <w:lang w:val="en-GB"/>
        </w:rPr>
        <w:t>20.</w:t>
      </w:r>
      <w:r>
        <w:rPr>
          <w:lang w:val="en-GB"/>
        </w:rPr>
        <w:tab/>
      </w:r>
      <w:r w:rsidRPr="00DF37A3">
        <w:rPr>
          <w:lang w:val="en-GB"/>
        </w:rPr>
        <w:t>Kyrgyzstan continues to apply temporary special measures aimed at hastening the advent of real equality between women and men. Information on the special measures established by the law regarding the representation of women and men in State bodies is presented in Table 2.</w:t>
      </w:r>
    </w:p>
    <w:p w14:paraId="71B34B6A" w14:textId="77777777" w:rsidR="004A3AB4" w:rsidRPr="006B3A71" w:rsidRDefault="004A3AB4" w:rsidP="004A3AB4">
      <w:pPr>
        <w:pStyle w:val="SingleTxt"/>
        <w:spacing w:after="0" w:line="120" w:lineRule="exact"/>
        <w:rPr>
          <w:sz w:val="10"/>
          <w:lang w:val="en-GB"/>
        </w:rPr>
      </w:pPr>
    </w:p>
    <w:p w14:paraId="0661083D" w14:textId="77777777" w:rsidR="004A3AB4" w:rsidRPr="00DF37A3" w:rsidRDefault="004A3AB4" w:rsidP="00AE1D85">
      <w:pPr>
        <w:pStyle w:val="SingleTxt"/>
        <w:keepNext/>
        <w:keepLines/>
        <w:spacing w:after="0"/>
        <w:rPr>
          <w:lang w:val="en-GB"/>
        </w:rPr>
      </w:pPr>
      <w:r w:rsidRPr="00DF37A3">
        <w:rPr>
          <w:lang w:val="en-GB"/>
        </w:rPr>
        <w:lastRenderedPageBreak/>
        <w:t>Table 2</w:t>
      </w:r>
    </w:p>
    <w:p w14:paraId="5385C0D5" w14:textId="77777777" w:rsidR="004A3AB4" w:rsidRPr="00DF37A3" w:rsidRDefault="004A3AB4" w:rsidP="00AE1D85">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DF37A3">
        <w:t>Extract from Kyrgyz laws on temporary special measures</w:t>
      </w:r>
    </w:p>
    <w:p w14:paraId="4D439FD1" w14:textId="77777777" w:rsidR="004A3AB4" w:rsidRPr="006B3A71" w:rsidRDefault="004A3AB4" w:rsidP="00AE1D85">
      <w:pPr>
        <w:pStyle w:val="SingleTxt"/>
        <w:keepNext/>
        <w:spacing w:after="0" w:line="120" w:lineRule="exact"/>
        <w:rPr>
          <w:sz w:val="10"/>
          <w:lang w:val="en-GB"/>
        </w:rPr>
      </w:pPr>
    </w:p>
    <w:tbl>
      <w:tblPr>
        <w:tblW w:w="8612" w:type="dxa"/>
        <w:tblInd w:w="1267" w:type="dxa"/>
        <w:tblLayout w:type="fixed"/>
        <w:tblCellMar>
          <w:left w:w="0" w:type="dxa"/>
          <w:right w:w="0" w:type="dxa"/>
        </w:tblCellMar>
        <w:tblLook w:val="0000" w:firstRow="0" w:lastRow="0" w:firstColumn="0" w:lastColumn="0" w:noHBand="0" w:noVBand="0"/>
      </w:tblPr>
      <w:tblGrid>
        <w:gridCol w:w="2063"/>
        <w:gridCol w:w="6549"/>
      </w:tblGrid>
      <w:tr w:rsidR="004A3AB4" w:rsidRPr="00D10FC0" w14:paraId="188DCDAE" w14:textId="77777777" w:rsidTr="003C23CC">
        <w:trPr>
          <w:tblHeader/>
        </w:trPr>
        <w:tc>
          <w:tcPr>
            <w:tcW w:w="2063" w:type="dxa"/>
            <w:tcBorders>
              <w:top w:val="single" w:sz="4" w:space="0" w:color="auto"/>
              <w:bottom w:val="single" w:sz="12" w:space="0" w:color="auto"/>
            </w:tcBorders>
            <w:shd w:val="clear" w:color="auto" w:fill="auto"/>
            <w:vAlign w:val="bottom"/>
          </w:tcPr>
          <w:p w14:paraId="3656F91B" w14:textId="77777777" w:rsidR="004A3AB4" w:rsidRPr="00D10FC0" w:rsidRDefault="004A3AB4" w:rsidP="00AE1D85">
            <w:pPr>
              <w:keepNext/>
              <w:tabs>
                <w:tab w:val="left" w:pos="288"/>
                <w:tab w:val="left" w:pos="576"/>
                <w:tab w:val="left" w:pos="864"/>
                <w:tab w:val="left" w:pos="1152"/>
              </w:tabs>
              <w:spacing w:before="81" w:after="81" w:line="160" w:lineRule="exact"/>
              <w:ind w:right="40"/>
              <w:rPr>
                <w:i/>
                <w:sz w:val="14"/>
                <w:lang w:val="en-GB"/>
              </w:rPr>
            </w:pPr>
            <w:r w:rsidRPr="00D10FC0">
              <w:rPr>
                <w:i/>
                <w:sz w:val="14"/>
                <w:lang w:val="en-GB"/>
              </w:rPr>
              <w:t>Title of the act</w:t>
            </w:r>
          </w:p>
        </w:tc>
        <w:tc>
          <w:tcPr>
            <w:tcW w:w="6549" w:type="dxa"/>
            <w:tcBorders>
              <w:top w:val="single" w:sz="4" w:space="0" w:color="auto"/>
              <w:bottom w:val="single" w:sz="12" w:space="0" w:color="auto"/>
            </w:tcBorders>
            <w:shd w:val="clear" w:color="auto" w:fill="auto"/>
            <w:vAlign w:val="bottom"/>
          </w:tcPr>
          <w:p w14:paraId="419F5507" w14:textId="77777777" w:rsidR="004A3AB4" w:rsidRPr="00D10FC0" w:rsidRDefault="004A3AB4" w:rsidP="00AE1D85">
            <w:pPr>
              <w:keepNext/>
              <w:tabs>
                <w:tab w:val="left" w:pos="288"/>
                <w:tab w:val="left" w:pos="576"/>
                <w:tab w:val="left" w:pos="864"/>
                <w:tab w:val="left" w:pos="1152"/>
              </w:tabs>
              <w:spacing w:before="81" w:after="81" w:line="160" w:lineRule="exact"/>
              <w:ind w:left="144" w:right="40"/>
              <w:rPr>
                <w:i/>
                <w:sz w:val="14"/>
                <w:lang w:val="en-GB"/>
              </w:rPr>
            </w:pPr>
            <w:r w:rsidRPr="00D10FC0">
              <w:rPr>
                <w:i/>
                <w:sz w:val="14"/>
                <w:lang w:val="en-GB"/>
              </w:rPr>
              <w:t>Extract from the act</w:t>
            </w:r>
          </w:p>
        </w:tc>
      </w:tr>
      <w:tr w:rsidR="004A3AB4" w:rsidRPr="00D10FC0" w14:paraId="1787018D" w14:textId="77777777" w:rsidTr="003C23CC">
        <w:trPr>
          <w:trHeight w:hRule="exact" w:val="115"/>
          <w:tblHeader/>
        </w:trPr>
        <w:tc>
          <w:tcPr>
            <w:tcW w:w="2063" w:type="dxa"/>
            <w:tcBorders>
              <w:top w:val="single" w:sz="12" w:space="0" w:color="auto"/>
            </w:tcBorders>
            <w:shd w:val="clear" w:color="auto" w:fill="auto"/>
            <w:vAlign w:val="bottom"/>
          </w:tcPr>
          <w:p w14:paraId="1318416A" w14:textId="77777777" w:rsidR="004A3AB4" w:rsidRPr="00D10FC0" w:rsidRDefault="004A3AB4" w:rsidP="00AE1D85">
            <w:pPr>
              <w:keepNext/>
              <w:tabs>
                <w:tab w:val="left" w:pos="288"/>
                <w:tab w:val="left" w:pos="576"/>
                <w:tab w:val="left" w:pos="864"/>
                <w:tab w:val="left" w:pos="1152"/>
              </w:tabs>
              <w:spacing w:before="40" w:after="120"/>
              <w:ind w:right="40"/>
              <w:rPr>
                <w:lang w:val="en-GB"/>
              </w:rPr>
            </w:pPr>
          </w:p>
        </w:tc>
        <w:tc>
          <w:tcPr>
            <w:tcW w:w="6549" w:type="dxa"/>
            <w:tcBorders>
              <w:top w:val="single" w:sz="12" w:space="0" w:color="auto"/>
            </w:tcBorders>
            <w:shd w:val="clear" w:color="auto" w:fill="auto"/>
            <w:vAlign w:val="bottom"/>
          </w:tcPr>
          <w:p w14:paraId="249231A3" w14:textId="77777777" w:rsidR="004A3AB4" w:rsidRPr="00D10FC0" w:rsidRDefault="004A3AB4" w:rsidP="00AE1D85">
            <w:pPr>
              <w:keepNext/>
              <w:tabs>
                <w:tab w:val="left" w:pos="288"/>
                <w:tab w:val="left" w:pos="576"/>
                <w:tab w:val="left" w:pos="864"/>
                <w:tab w:val="left" w:pos="1152"/>
              </w:tabs>
              <w:spacing w:before="40" w:after="120"/>
              <w:ind w:left="144" w:right="40"/>
              <w:rPr>
                <w:lang w:val="en-GB"/>
              </w:rPr>
            </w:pPr>
          </w:p>
        </w:tc>
      </w:tr>
      <w:tr w:rsidR="004A3AB4" w:rsidRPr="00D10FC0" w14:paraId="223D83FD" w14:textId="77777777" w:rsidTr="003C23CC">
        <w:tc>
          <w:tcPr>
            <w:tcW w:w="2063" w:type="dxa"/>
            <w:shd w:val="clear" w:color="auto" w:fill="auto"/>
          </w:tcPr>
          <w:p w14:paraId="31532EB4" w14:textId="77777777" w:rsidR="004A3AB4" w:rsidRPr="00D10FC0" w:rsidRDefault="004A3AB4" w:rsidP="00AE1D85">
            <w:pPr>
              <w:keepNext/>
              <w:tabs>
                <w:tab w:val="left" w:pos="288"/>
                <w:tab w:val="left" w:pos="576"/>
                <w:tab w:val="left" w:pos="864"/>
                <w:tab w:val="left" w:pos="1152"/>
              </w:tabs>
              <w:spacing w:before="40" w:after="120"/>
              <w:ind w:right="40"/>
              <w:rPr>
                <w:lang w:val="en-GB"/>
              </w:rPr>
            </w:pPr>
            <w:r w:rsidRPr="00D10FC0">
              <w:rPr>
                <w:lang w:val="en-GB"/>
              </w:rPr>
              <w:t>Act on Election Commissions and the Holding of Elections and Referendums</w:t>
            </w:r>
          </w:p>
        </w:tc>
        <w:tc>
          <w:tcPr>
            <w:tcW w:w="6549" w:type="dxa"/>
            <w:shd w:val="clear" w:color="auto" w:fill="auto"/>
          </w:tcPr>
          <w:p w14:paraId="5F3376DF" w14:textId="77777777" w:rsidR="004A3AB4" w:rsidRPr="00D10FC0" w:rsidRDefault="004A3AB4" w:rsidP="00AE1D85">
            <w:pPr>
              <w:keepNext/>
              <w:tabs>
                <w:tab w:val="left" w:pos="288"/>
                <w:tab w:val="left" w:pos="576"/>
                <w:tab w:val="left" w:pos="864"/>
                <w:tab w:val="left" w:pos="1152"/>
              </w:tabs>
              <w:spacing w:before="40" w:after="120"/>
              <w:ind w:left="144" w:right="40"/>
              <w:rPr>
                <w:lang w:val="en-GB"/>
              </w:rPr>
            </w:pPr>
            <w:r w:rsidRPr="00D10FC0">
              <w:rPr>
                <w:lang w:val="en-GB"/>
              </w:rPr>
              <w:t xml:space="preserve">Part 2, article 5: </w:t>
            </w:r>
          </w:p>
          <w:p w14:paraId="54642DCA" w14:textId="77777777" w:rsidR="004A3AB4" w:rsidRPr="00D10FC0" w:rsidRDefault="004A3AB4" w:rsidP="00AE1D85">
            <w:pPr>
              <w:keepNext/>
              <w:tabs>
                <w:tab w:val="left" w:pos="288"/>
                <w:tab w:val="left" w:pos="576"/>
                <w:tab w:val="left" w:pos="864"/>
                <w:tab w:val="left" w:pos="1152"/>
              </w:tabs>
              <w:spacing w:before="40" w:after="120"/>
              <w:ind w:left="144" w:right="40"/>
              <w:rPr>
                <w:lang w:val="en-GB"/>
              </w:rPr>
            </w:pPr>
            <w:r w:rsidRPr="00D10FC0">
              <w:rPr>
                <w:lang w:val="en-GB"/>
              </w:rPr>
              <w:t>“The Zhogorku Kenesh of the Kyrgyz Republic (hereinafter – the Zhogorku Kenesh) shall elect the members of the Central Commission for Elections: one third of its members shall be nominated by the President of the Kyrgyz Republic (hereinafter – the President), one third – by the parliamentary majority and one third – by the parliamentary opposition; however no more than seventy per cent of the members shall be persons of the same sex; members of the Commission shall be dismissed from their office in the cases stipulated by this Act”</w:t>
            </w:r>
          </w:p>
        </w:tc>
      </w:tr>
      <w:tr w:rsidR="004A3AB4" w:rsidRPr="00D10FC0" w14:paraId="4B032616" w14:textId="77777777" w:rsidTr="003C23CC">
        <w:tc>
          <w:tcPr>
            <w:tcW w:w="2063" w:type="dxa"/>
            <w:shd w:val="clear" w:color="auto" w:fill="auto"/>
          </w:tcPr>
          <w:p w14:paraId="2CFD4014" w14:textId="77777777" w:rsidR="004A3AB4" w:rsidRPr="00D10FC0" w:rsidRDefault="004A3AB4" w:rsidP="003C23CC">
            <w:pPr>
              <w:tabs>
                <w:tab w:val="left" w:pos="288"/>
                <w:tab w:val="left" w:pos="576"/>
                <w:tab w:val="left" w:pos="864"/>
                <w:tab w:val="left" w:pos="1152"/>
              </w:tabs>
              <w:spacing w:before="40" w:after="120"/>
              <w:ind w:right="40"/>
              <w:rPr>
                <w:lang w:val="en-GB"/>
              </w:rPr>
            </w:pPr>
            <w:r w:rsidRPr="00D10FC0">
              <w:rPr>
                <w:lang w:val="en-GB"/>
              </w:rPr>
              <w:t>Constitutional Act on the Elections of the President of the Kyrgyz Republic and of Representatives to the Zhogorku Kenesh of the Kyrgyz Republic</w:t>
            </w:r>
          </w:p>
        </w:tc>
        <w:tc>
          <w:tcPr>
            <w:tcW w:w="6549" w:type="dxa"/>
            <w:shd w:val="clear" w:color="auto" w:fill="auto"/>
          </w:tcPr>
          <w:p w14:paraId="0A8FF777" w14:textId="77777777" w:rsidR="004A3AB4" w:rsidRPr="00D10FC0" w:rsidRDefault="004A3AB4" w:rsidP="003C23CC">
            <w:pPr>
              <w:tabs>
                <w:tab w:val="left" w:pos="288"/>
                <w:tab w:val="left" w:pos="576"/>
                <w:tab w:val="left" w:pos="864"/>
                <w:tab w:val="left" w:pos="1152"/>
              </w:tabs>
              <w:spacing w:before="40" w:after="120"/>
              <w:ind w:left="144" w:right="40"/>
              <w:rPr>
                <w:lang w:val="en-GB"/>
              </w:rPr>
            </w:pPr>
            <w:r w:rsidRPr="00D10FC0">
              <w:rPr>
                <w:lang w:val="en-GB"/>
              </w:rPr>
              <w:t xml:space="preserve">Part 3, article 60: </w:t>
            </w:r>
          </w:p>
          <w:p w14:paraId="50154C8C" w14:textId="77777777" w:rsidR="004A3AB4" w:rsidRPr="00D10FC0" w:rsidRDefault="004A3AB4" w:rsidP="003C23CC">
            <w:pPr>
              <w:tabs>
                <w:tab w:val="left" w:pos="288"/>
                <w:tab w:val="left" w:pos="576"/>
                <w:tab w:val="left" w:pos="864"/>
                <w:tab w:val="left" w:pos="1152"/>
              </w:tabs>
              <w:spacing w:before="40" w:after="120"/>
              <w:ind w:left="144" w:right="40"/>
              <w:rPr>
                <w:lang w:val="en-GB"/>
              </w:rPr>
            </w:pPr>
            <w:r w:rsidRPr="00D10FC0">
              <w:rPr>
                <w:lang w:val="en-GB"/>
              </w:rPr>
              <w:t>“In determining the electoral lists of political parties, the following rule shall apply to the representation:</w:t>
            </w:r>
          </w:p>
          <w:p w14:paraId="5C26792A" w14:textId="77777777" w:rsidR="004A3AB4" w:rsidRPr="00D10FC0" w:rsidRDefault="004A3AB4" w:rsidP="003C23CC">
            <w:pPr>
              <w:tabs>
                <w:tab w:val="left" w:pos="288"/>
                <w:tab w:val="left" w:pos="576"/>
                <w:tab w:val="left" w:pos="864"/>
                <w:tab w:val="left" w:pos="1152"/>
              </w:tabs>
              <w:spacing w:before="40" w:after="120"/>
              <w:ind w:left="450" w:right="40" w:hanging="270"/>
              <w:rPr>
                <w:lang w:val="en-GB"/>
              </w:rPr>
            </w:pPr>
            <w:r w:rsidRPr="00D10FC0">
              <w:rPr>
                <w:lang w:val="en-GB"/>
              </w:rPr>
              <w:tab/>
              <w:t>–</w:t>
            </w:r>
            <w:r w:rsidRPr="00D10FC0">
              <w:rPr>
                <w:lang w:val="en-GB"/>
              </w:rPr>
              <w:tab/>
              <w:t>no more than 70 per cent of the candidates shall be of the same sex, and the difference in the order of ranking in the lists of candidates of women and men nominated by political parties shall not exceed three positions;”</w:t>
            </w:r>
          </w:p>
        </w:tc>
      </w:tr>
      <w:tr w:rsidR="004A3AB4" w:rsidRPr="00D10FC0" w14:paraId="69834725" w14:textId="77777777" w:rsidTr="003C23CC">
        <w:tc>
          <w:tcPr>
            <w:tcW w:w="2063" w:type="dxa"/>
            <w:shd w:val="clear" w:color="auto" w:fill="auto"/>
          </w:tcPr>
          <w:p w14:paraId="52D8EE10" w14:textId="77777777" w:rsidR="004A3AB4" w:rsidRPr="00D10FC0" w:rsidRDefault="004A3AB4" w:rsidP="003C23CC">
            <w:pPr>
              <w:tabs>
                <w:tab w:val="left" w:pos="288"/>
                <w:tab w:val="left" w:pos="576"/>
                <w:tab w:val="left" w:pos="864"/>
                <w:tab w:val="left" w:pos="1152"/>
              </w:tabs>
              <w:spacing w:before="40" w:after="120"/>
              <w:ind w:right="40"/>
              <w:rPr>
                <w:lang w:val="en-GB"/>
              </w:rPr>
            </w:pPr>
            <w:r w:rsidRPr="00D10FC0">
              <w:rPr>
                <w:lang w:val="en-GB"/>
              </w:rPr>
              <w:t>Local Council Elections Act</w:t>
            </w:r>
          </w:p>
        </w:tc>
        <w:tc>
          <w:tcPr>
            <w:tcW w:w="6549" w:type="dxa"/>
            <w:shd w:val="clear" w:color="auto" w:fill="auto"/>
          </w:tcPr>
          <w:p w14:paraId="6731AE02" w14:textId="77777777" w:rsidR="004A3AB4" w:rsidRPr="00D10FC0" w:rsidRDefault="004A3AB4" w:rsidP="003C23CC">
            <w:pPr>
              <w:tabs>
                <w:tab w:val="left" w:pos="288"/>
                <w:tab w:val="left" w:pos="576"/>
                <w:tab w:val="left" w:pos="864"/>
                <w:tab w:val="left" w:pos="1152"/>
              </w:tabs>
              <w:spacing w:before="40" w:after="120"/>
              <w:ind w:left="144" w:right="40"/>
              <w:rPr>
                <w:lang w:val="en-GB"/>
              </w:rPr>
            </w:pPr>
            <w:r w:rsidRPr="00D10FC0">
              <w:rPr>
                <w:lang w:val="en-GB"/>
              </w:rPr>
              <w:t xml:space="preserve">Part 7, article 49: </w:t>
            </w:r>
          </w:p>
          <w:p w14:paraId="77ED6687" w14:textId="77777777" w:rsidR="004A3AB4" w:rsidRPr="00D10FC0" w:rsidRDefault="004A3AB4" w:rsidP="003C23CC">
            <w:pPr>
              <w:tabs>
                <w:tab w:val="left" w:pos="288"/>
                <w:tab w:val="left" w:pos="576"/>
                <w:tab w:val="left" w:pos="864"/>
                <w:tab w:val="left" w:pos="1152"/>
              </w:tabs>
              <w:spacing w:before="40" w:after="120"/>
              <w:ind w:left="144" w:right="40"/>
              <w:rPr>
                <w:lang w:val="en-GB"/>
              </w:rPr>
            </w:pPr>
            <w:r w:rsidRPr="00D10FC0">
              <w:rPr>
                <w:lang w:val="en-GB"/>
              </w:rPr>
              <w:t>“In drawing up lists of candidates for city councils (</w:t>
            </w:r>
            <w:r w:rsidRPr="00D10FC0">
              <w:rPr>
                <w:i/>
                <w:iCs/>
                <w:lang w:val="en-GB"/>
              </w:rPr>
              <w:t>kenesh</w:t>
            </w:r>
            <w:r w:rsidRPr="00D10FC0">
              <w:rPr>
                <w:lang w:val="en-GB"/>
              </w:rPr>
              <w:t>), political parties shall ensure that the representation of persons of the same sex does not exceed 70 per cent, while the difference in the order of ranking in the lists of candidates of women and men nominated by a political party shall not exceed two positions.”</w:t>
            </w:r>
          </w:p>
        </w:tc>
      </w:tr>
      <w:tr w:rsidR="004A3AB4" w:rsidRPr="00D10FC0" w14:paraId="5FA3E4CF" w14:textId="77777777" w:rsidTr="003C23CC">
        <w:tc>
          <w:tcPr>
            <w:tcW w:w="2063" w:type="dxa"/>
            <w:shd w:val="clear" w:color="auto" w:fill="auto"/>
          </w:tcPr>
          <w:p w14:paraId="6C4D4B41" w14:textId="77777777" w:rsidR="004A3AB4" w:rsidRPr="00D10FC0" w:rsidRDefault="004A3AB4" w:rsidP="003C23CC">
            <w:pPr>
              <w:tabs>
                <w:tab w:val="left" w:pos="288"/>
                <w:tab w:val="left" w:pos="576"/>
                <w:tab w:val="left" w:pos="864"/>
                <w:tab w:val="left" w:pos="1152"/>
              </w:tabs>
              <w:spacing w:before="40" w:after="120"/>
              <w:ind w:right="40"/>
              <w:rPr>
                <w:lang w:val="en-GB"/>
              </w:rPr>
            </w:pPr>
            <w:r w:rsidRPr="00D10FC0">
              <w:rPr>
                <w:lang w:val="en-GB"/>
              </w:rPr>
              <w:t>Act on the Regulations of the Zhogorku Kenesh of the Kyrgyz Republic</w:t>
            </w:r>
          </w:p>
        </w:tc>
        <w:tc>
          <w:tcPr>
            <w:tcW w:w="6549" w:type="dxa"/>
            <w:shd w:val="clear" w:color="auto" w:fill="auto"/>
          </w:tcPr>
          <w:p w14:paraId="6C4CDD45" w14:textId="77777777" w:rsidR="004A3AB4" w:rsidRPr="00D10FC0" w:rsidRDefault="004A3AB4" w:rsidP="003C23CC">
            <w:pPr>
              <w:tabs>
                <w:tab w:val="left" w:pos="288"/>
                <w:tab w:val="left" w:pos="576"/>
                <w:tab w:val="left" w:pos="864"/>
                <w:tab w:val="left" w:pos="1152"/>
              </w:tabs>
              <w:spacing w:before="40" w:after="120"/>
              <w:ind w:left="144" w:right="40"/>
              <w:rPr>
                <w:lang w:val="en-GB"/>
              </w:rPr>
            </w:pPr>
            <w:r w:rsidRPr="00D10FC0">
              <w:rPr>
                <w:lang w:val="en-GB"/>
              </w:rPr>
              <w:t xml:space="preserve">Paragraph (9), article 4: </w:t>
            </w:r>
          </w:p>
          <w:p w14:paraId="5BD18631" w14:textId="77777777" w:rsidR="004A3AB4" w:rsidRPr="00D10FC0" w:rsidRDefault="004A3AB4" w:rsidP="003C23CC">
            <w:pPr>
              <w:tabs>
                <w:tab w:val="left" w:pos="288"/>
                <w:tab w:val="left" w:pos="576"/>
                <w:tab w:val="left" w:pos="864"/>
                <w:tab w:val="left" w:pos="1152"/>
              </w:tabs>
              <w:spacing w:before="40" w:after="120"/>
              <w:ind w:left="144" w:right="40"/>
              <w:rPr>
                <w:lang w:val="en-GB"/>
              </w:rPr>
            </w:pPr>
            <w:r w:rsidRPr="00D10FC0">
              <w:rPr>
                <w:lang w:val="en-GB"/>
              </w:rPr>
              <w:t>“The Zhogorku Kenesh shall carry out its activities guided by the following principles:</w:t>
            </w:r>
          </w:p>
          <w:p w14:paraId="1015F5D2" w14:textId="77777777" w:rsidR="004A3AB4" w:rsidRPr="00D10FC0" w:rsidRDefault="004A3AB4" w:rsidP="003C23CC">
            <w:pPr>
              <w:tabs>
                <w:tab w:val="left" w:pos="288"/>
                <w:tab w:val="left" w:pos="576"/>
                <w:tab w:val="left" w:pos="864"/>
                <w:tab w:val="left" w:pos="1152"/>
              </w:tabs>
              <w:spacing w:before="40" w:after="120"/>
              <w:ind w:left="144" w:right="40"/>
              <w:rPr>
                <w:lang w:val="en-GB"/>
              </w:rPr>
            </w:pPr>
            <w:r w:rsidRPr="00D10FC0">
              <w:rPr>
                <w:lang w:val="en-GB"/>
              </w:rPr>
              <w:t>(9) Ensuring that in the representation in the bodies of the Zhogorku Kenesh no more than 70 per cent of persons are of the same sex.”</w:t>
            </w:r>
          </w:p>
          <w:p w14:paraId="358441F8" w14:textId="77777777" w:rsidR="004A3AB4" w:rsidRPr="00D10FC0" w:rsidRDefault="004A3AB4" w:rsidP="003C23CC">
            <w:pPr>
              <w:tabs>
                <w:tab w:val="left" w:pos="288"/>
                <w:tab w:val="left" w:pos="576"/>
                <w:tab w:val="left" w:pos="864"/>
                <w:tab w:val="left" w:pos="1152"/>
              </w:tabs>
              <w:spacing w:before="40" w:after="120"/>
              <w:ind w:left="144" w:right="40"/>
              <w:rPr>
                <w:lang w:val="en-GB"/>
              </w:rPr>
            </w:pPr>
            <w:r w:rsidRPr="00D10FC0">
              <w:rPr>
                <w:lang w:val="en-GB"/>
              </w:rPr>
              <w:t xml:space="preserve">Paragraph (15), part 1, article 20: </w:t>
            </w:r>
          </w:p>
          <w:p w14:paraId="2DE3A847" w14:textId="77777777" w:rsidR="004A3AB4" w:rsidRPr="00D10FC0" w:rsidRDefault="004A3AB4" w:rsidP="003C23CC">
            <w:pPr>
              <w:tabs>
                <w:tab w:val="left" w:pos="288"/>
                <w:tab w:val="left" w:pos="576"/>
                <w:tab w:val="left" w:pos="864"/>
                <w:tab w:val="left" w:pos="1152"/>
              </w:tabs>
              <w:spacing w:before="40" w:after="120"/>
              <w:ind w:left="144" w:right="40"/>
              <w:rPr>
                <w:lang w:val="en-GB"/>
              </w:rPr>
            </w:pPr>
            <w:r w:rsidRPr="00D10FC0">
              <w:rPr>
                <w:lang w:val="en-GB"/>
              </w:rPr>
              <w:t>“1. The Speaker (</w:t>
            </w:r>
            <w:r w:rsidRPr="00D10FC0">
              <w:rPr>
                <w:i/>
                <w:iCs/>
                <w:lang w:val="en-GB"/>
              </w:rPr>
              <w:t>Toraga</w:t>
            </w:r>
            <w:r w:rsidRPr="00D10FC0">
              <w:rPr>
                <w:lang w:val="en-GB"/>
              </w:rPr>
              <w:t>) of the Zhogorku Kenesh shall:</w:t>
            </w:r>
          </w:p>
          <w:p w14:paraId="11BB75D3" w14:textId="77777777" w:rsidR="004A3AB4" w:rsidRPr="00D10FC0" w:rsidRDefault="004A3AB4" w:rsidP="003C23CC">
            <w:pPr>
              <w:tabs>
                <w:tab w:val="left" w:pos="288"/>
                <w:tab w:val="left" w:pos="576"/>
                <w:tab w:val="left" w:pos="864"/>
                <w:tab w:val="left" w:pos="1152"/>
              </w:tabs>
              <w:spacing w:before="40" w:after="120"/>
              <w:ind w:left="144" w:right="40"/>
              <w:rPr>
                <w:lang w:val="en-GB"/>
              </w:rPr>
            </w:pPr>
            <w:r w:rsidRPr="00D10FC0">
              <w:rPr>
                <w:lang w:val="en-GB"/>
              </w:rPr>
              <w:t>(15) Appoint officials of the staff and the management of the Jogorku Kenesh in accordance with these Regulations, respecting the principle of representation which requires that no more than 70 per cent of persons be of the same sex;”</w:t>
            </w:r>
          </w:p>
        </w:tc>
      </w:tr>
      <w:tr w:rsidR="004A3AB4" w:rsidRPr="00D10FC0" w14:paraId="47EC7EB9" w14:textId="77777777" w:rsidTr="003C23CC">
        <w:tc>
          <w:tcPr>
            <w:tcW w:w="2063" w:type="dxa"/>
            <w:shd w:val="clear" w:color="auto" w:fill="auto"/>
          </w:tcPr>
          <w:p w14:paraId="2D8DCC24" w14:textId="77777777" w:rsidR="004A3AB4" w:rsidRPr="00D10FC0" w:rsidRDefault="004A3AB4" w:rsidP="003C23CC">
            <w:pPr>
              <w:tabs>
                <w:tab w:val="left" w:pos="288"/>
                <w:tab w:val="left" w:pos="576"/>
                <w:tab w:val="left" w:pos="864"/>
                <w:tab w:val="left" w:pos="1152"/>
              </w:tabs>
              <w:spacing w:before="40" w:after="120"/>
              <w:ind w:right="40"/>
              <w:rPr>
                <w:lang w:val="en-GB"/>
              </w:rPr>
            </w:pPr>
            <w:r w:rsidRPr="00D10FC0">
              <w:rPr>
                <w:lang w:val="en-GB"/>
              </w:rPr>
              <w:t>Constitutional Act on the Status of Judges</w:t>
            </w:r>
          </w:p>
        </w:tc>
        <w:tc>
          <w:tcPr>
            <w:tcW w:w="6549" w:type="dxa"/>
            <w:shd w:val="clear" w:color="auto" w:fill="auto"/>
          </w:tcPr>
          <w:p w14:paraId="33DD4CFB" w14:textId="77777777" w:rsidR="004A3AB4" w:rsidRPr="00D10FC0" w:rsidRDefault="004A3AB4" w:rsidP="003C23CC">
            <w:pPr>
              <w:tabs>
                <w:tab w:val="left" w:pos="288"/>
                <w:tab w:val="left" w:pos="576"/>
                <w:tab w:val="left" w:pos="864"/>
                <w:tab w:val="left" w:pos="1152"/>
              </w:tabs>
              <w:spacing w:before="40" w:after="120"/>
              <w:ind w:left="144" w:right="40"/>
              <w:rPr>
                <w:lang w:val="en-GB"/>
              </w:rPr>
            </w:pPr>
            <w:r w:rsidRPr="00D10FC0">
              <w:rPr>
                <w:lang w:val="en-GB"/>
              </w:rPr>
              <w:t xml:space="preserve">Part 2, article 15: </w:t>
            </w:r>
          </w:p>
          <w:p w14:paraId="4BDF1319" w14:textId="77777777" w:rsidR="004A3AB4" w:rsidRPr="00D10FC0" w:rsidRDefault="004A3AB4" w:rsidP="003C23CC">
            <w:pPr>
              <w:tabs>
                <w:tab w:val="left" w:pos="288"/>
                <w:tab w:val="left" w:pos="576"/>
                <w:tab w:val="left" w:pos="864"/>
                <w:tab w:val="left" w:pos="1152"/>
              </w:tabs>
              <w:spacing w:before="40" w:after="120"/>
              <w:ind w:left="144" w:right="40"/>
              <w:rPr>
                <w:lang w:val="en-GB"/>
              </w:rPr>
            </w:pPr>
            <w:r w:rsidRPr="00D10FC0">
              <w:rPr>
                <w:lang w:val="en-GB"/>
              </w:rPr>
              <w:t>“Judges of the Supreme Court, including the Constitutional Chamber of the Supreme Court, shall be elected by the Zhogorku Kenesh on the recommendation of the President based on the proposal of the Judicial Selection Board, taking into account the need to ensure a gender representation with no more than seventy percent of persons of the same sex.”</w:t>
            </w:r>
          </w:p>
        </w:tc>
      </w:tr>
      <w:tr w:rsidR="004A3AB4" w:rsidRPr="00D10FC0" w14:paraId="794383FC" w14:textId="77777777" w:rsidTr="003C23CC">
        <w:tc>
          <w:tcPr>
            <w:tcW w:w="2063" w:type="dxa"/>
            <w:shd w:val="clear" w:color="auto" w:fill="auto"/>
          </w:tcPr>
          <w:p w14:paraId="56C65479" w14:textId="77777777" w:rsidR="004A3AB4" w:rsidRPr="00D10FC0" w:rsidRDefault="004A3AB4" w:rsidP="003C23CC">
            <w:pPr>
              <w:tabs>
                <w:tab w:val="left" w:pos="288"/>
                <w:tab w:val="left" w:pos="576"/>
                <w:tab w:val="left" w:pos="864"/>
                <w:tab w:val="left" w:pos="1152"/>
              </w:tabs>
              <w:spacing w:before="40" w:after="120"/>
              <w:ind w:right="40"/>
              <w:rPr>
                <w:lang w:val="en-GB"/>
              </w:rPr>
            </w:pPr>
            <w:r w:rsidRPr="00D10FC0">
              <w:rPr>
                <w:lang w:val="en-GB"/>
              </w:rPr>
              <w:lastRenderedPageBreak/>
              <w:t>Judicial Selection Board Act</w:t>
            </w:r>
          </w:p>
        </w:tc>
        <w:tc>
          <w:tcPr>
            <w:tcW w:w="6549" w:type="dxa"/>
            <w:shd w:val="clear" w:color="auto" w:fill="auto"/>
          </w:tcPr>
          <w:p w14:paraId="11A39AEC" w14:textId="77777777" w:rsidR="004A3AB4" w:rsidRPr="00D10FC0" w:rsidRDefault="004A3AB4" w:rsidP="003C23CC">
            <w:pPr>
              <w:tabs>
                <w:tab w:val="left" w:pos="288"/>
                <w:tab w:val="left" w:pos="576"/>
                <w:tab w:val="left" w:pos="864"/>
                <w:tab w:val="left" w:pos="1152"/>
              </w:tabs>
              <w:spacing w:before="40" w:after="120"/>
              <w:ind w:left="144" w:right="40"/>
              <w:rPr>
                <w:lang w:val="en-GB"/>
              </w:rPr>
            </w:pPr>
            <w:r w:rsidRPr="00D10FC0">
              <w:rPr>
                <w:lang w:val="en-GB"/>
              </w:rPr>
              <w:t xml:space="preserve">Paragraph (1), part 1, article 3: </w:t>
            </w:r>
          </w:p>
          <w:p w14:paraId="4C7B17F7" w14:textId="77777777" w:rsidR="004A3AB4" w:rsidRPr="00D10FC0" w:rsidRDefault="004A3AB4" w:rsidP="003C23CC">
            <w:pPr>
              <w:tabs>
                <w:tab w:val="left" w:pos="288"/>
                <w:tab w:val="left" w:pos="576"/>
                <w:tab w:val="left" w:pos="864"/>
                <w:tab w:val="left" w:pos="1152"/>
              </w:tabs>
              <w:spacing w:before="40" w:after="120"/>
              <w:ind w:left="144" w:right="40"/>
              <w:rPr>
                <w:lang w:val="en-GB"/>
              </w:rPr>
            </w:pPr>
            <w:r w:rsidRPr="00D10FC0">
              <w:rPr>
                <w:lang w:val="en-GB"/>
              </w:rPr>
              <w:t xml:space="preserve">“The Board shall: </w:t>
            </w:r>
          </w:p>
          <w:p w14:paraId="29533C78" w14:textId="77777777" w:rsidR="004A3AB4" w:rsidRPr="00D10FC0" w:rsidRDefault="004A3AB4" w:rsidP="003C23CC">
            <w:pPr>
              <w:tabs>
                <w:tab w:val="left" w:pos="288"/>
                <w:tab w:val="left" w:pos="576"/>
                <w:tab w:val="left" w:pos="864"/>
                <w:tab w:val="left" w:pos="1152"/>
              </w:tabs>
              <w:spacing w:before="40" w:after="120"/>
              <w:ind w:left="144" w:right="40"/>
              <w:rPr>
                <w:lang w:val="en-GB"/>
              </w:rPr>
            </w:pPr>
            <w:r w:rsidRPr="00D10FC0">
              <w:rPr>
                <w:lang w:val="en-GB"/>
              </w:rPr>
              <w:t>(1) Conduct competitive selection for vacant positions of judges of the Supreme Court, the Constitutional Chamber and local courts, taking into account the need to ensure a representation with no more than seventy per cent of persons of the same sex;”</w:t>
            </w:r>
          </w:p>
        </w:tc>
      </w:tr>
      <w:tr w:rsidR="004A3AB4" w:rsidRPr="00D10FC0" w14:paraId="690E20BF" w14:textId="77777777" w:rsidTr="003C23CC">
        <w:tc>
          <w:tcPr>
            <w:tcW w:w="2063" w:type="dxa"/>
            <w:tcBorders>
              <w:bottom w:val="single" w:sz="12" w:space="0" w:color="auto"/>
            </w:tcBorders>
            <w:shd w:val="clear" w:color="auto" w:fill="auto"/>
          </w:tcPr>
          <w:p w14:paraId="2E2B43D3" w14:textId="77777777" w:rsidR="004A3AB4" w:rsidRPr="00D10FC0" w:rsidRDefault="004A3AB4" w:rsidP="003C23CC">
            <w:pPr>
              <w:tabs>
                <w:tab w:val="left" w:pos="288"/>
                <w:tab w:val="left" w:pos="576"/>
                <w:tab w:val="left" w:pos="864"/>
                <w:tab w:val="left" w:pos="1152"/>
              </w:tabs>
              <w:spacing w:before="40" w:after="120"/>
              <w:ind w:right="40"/>
              <w:rPr>
                <w:lang w:val="en-GB"/>
              </w:rPr>
            </w:pPr>
            <w:r w:rsidRPr="00D10FC0">
              <w:rPr>
                <w:lang w:val="en-GB"/>
              </w:rPr>
              <w:t>Act on State Guarantees of Equal Rights and Opportunities for Men and Women</w:t>
            </w:r>
          </w:p>
        </w:tc>
        <w:tc>
          <w:tcPr>
            <w:tcW w:w="6549" w:type="dxa"/>
            <w:tcBorders>
              <w:bottom w:val="single" w:sz="12" w:space="0" w:color="auto"/>
            </w:tcBorders>
            <w:shd w:val="clear" w:color="auto" w:fill="auto"/>
          </w:tcPr>
          <w:p w14:paraId="4CD5B112" w14:textId="77777777" w:rsidR="004A3AB4" w:rsidRPr="00D10FC0" w:rsidRDefault="004A3AB4" w:rsidP="003C23CC">
            <w:pPr>
              <w:tabs>
                <w:tab w:val="left" w:pos="288"/>
                <w:tab w:val="left" w:pos="576"/>
                <w:tab w:val="left" w:pos="864"/>
                <w:tab w:val="left" w:pos="1152"/>
              </w:tabs>
              <w:spacing w:before="40" w:after="120"/>
              <w:ind w:left="144" w:right="40"/>
              <w:rPr>
                <w:lang w:val="en-GB"/>
              </w:rPr>
            </w:pPr>
            <w:r w:rsidRPr="00D10FC0">
              <w:rPr>
                <w:lang w:val="en-GB"/>
              </w:rPr>
              <w:t>Article 24:</w:t>
            </w:r>
          </w:p>
          <w:p w14:paraId="3CF6DAF4" w14:textId="77777777" w:rsidR="004A3AB4" w:rsidRPr="00D10FC0" w:rsidRDefault="004A3AB4" w:rsidP="003C23CC">
            <w:pPr>
              <w:tabs>
                <w:tab w:val="left" w:pos="288"/>
                <w:tab w:val="left" w:pos="576"/>
                <w:tab w:val="left" w:pos="864"/>
                <w:tab w:val="left" w:pos="1152"/>
              </w:tabs>
              <w:spacing w:before="40" w:after="120"/>
              <w:ind w:left="144" w:right="40"/>
              <w:rPr>
                <w:lang w:val="en-GB"/>
              </w:rPr>
            </w:pPr>
            <w:r w:rsidRPr="00D10FC0">
              <w:rPr>
                <w:lang w:val="en-GB"/>
              </w:rPr>
              <w:t>“The Zhogorku Kenesh shall, through the adoption of laws, establish the legal basis for the State policy on gender equality in all spheres of State and public life.</w:t>
            </w:r>
          </w:p>
          <w:p w14:paraId="653A8D31" w14:textId="77777777" w:rsidR="004A3AB4" w:rsidRPr="00D10FC0" w:rsidRDefault="004A3AB4" w:rsidP="003C23CC">
            <w:pPr>
              <w:tabs>
                <w:tab w:val="left" w:pos="288"/>
                <w:tab w:val="left" w:pos="576"/>
                <w:tab w:val="left" w:pos="864"/>
                <w:tab w:val="left" w:pos="1152"/>
              </w:tabs>
              <w:spacing w:before="40" w:after="120"/>
              <w:ind w:left="144" w:right="40"/>
              <w:rPr>
                <w:lang w:val="en-GB"/>
              </w:rPr>
            </w:pPr>
            <w:r w:rsidRPr="00D10FC0">
              <w:rPr>
                <w:lang w:val="en-GB"/>
              </w:rPr>
              <w:t>The Zhogorku Kenesh, within the limits of its competence and taking into account the need to ensure a representation with not more than seventy per cent of persons of the same sex, shall:</w:t>
            </w:r>
          </w:p>
          <w:p w14:paraId="124786BE" w14:textId="77777777" w:rsidR="004A3AB4" w:rsidRPr="00D10FC0" w:rsidRDefault="004A3AB4" w:rsidP="003C23CC">
            <w:pPr>
              <w:tabs>
                <w:tab w:val="left" w:pos="288"/>
                <w:tab w:val="left" w:pos="449"/>
                <w:tab w:val="left" w:pos="864"/>
                <w:tab w:val="left" w:pos="1152"/>
                <w:tab w:val="right" w:pos="1685"/>
              </w:tabs>
              <w:spacing w:before="40" w:after="120"/>
              <w:ind w:left="449" w:right="40" w:hanging="262"/>
              <w:rPr>
                <w:lang w:val="en-GB"/>
              </w:rPr>
            </w:pPr>
            <w:r w:rsidRPr="00D10FC0">
              <w:rPr>
                <w:lang w:val="en-GB"/>
              </w:rPr>
              <w:tab/>
              <w:t>–</w:t>
            </w:r>
            <w:r w:rsidRPr="00D10FC0">
              <w:rPr>
                <w:lang w:val="en-GB"/>
              </w:rPr>
              <w:tab/>
              <w:t>Select judges of the Supreme Court (including judges of the Constitutional Chamber of the Supreme Court) on the recommendation of the President;</w:t>
            </w:r>
          </w:p>
          <w:p w14:paraId="5D08D6C0" w14:textId="77777777" w:rsidR="004A3AB4" w:rsidRPr="00D10FC0" w:rsidRDefault="004A3AB4" w:rsidP="003C23CC">
            <w:pPr>
              <w:tabs>
                <w:tab w:val="left" w:pos="288"/>
                <w:tab w:val="left" w:pos="449"/>
                <w:tab w:val="left" w:pos="864"/>
                <w:tab w:val="left" w:pos="1152"/>
                <w:tab w:val="right" w:pos="1685"/>
              </w:tabs>
              <w:spacing w:before="40" w:after="120"/>
              <w:ind w:left="449" w:right="40" w:hanging="262"/>
              <w:rPr>
                <w:lang w:val="en-GB"/>
              </w:rPr>
            </w:pPr>
            <w:r w:rsidRPr="00D10FC0">
              <w:rPr>
                <w:lang w:val="en-GB"/>
              </w:rPr>
              <w:tab/>
              <w:t>–</w:t>
            </w:r>
            <w:r w:rsidRPr="00D10FC0">
              <w:rPr>
                <w:lang w:val="en-GB"/>
              </w:rPr>
              <w:tab/>
              <w:t>Approve the composition of the Judicial Selection Board;</w:t>
            </w:r>
          </w:p>
          <w:p w14:paraId="372378A4" w14:textId="77777777" w:rsidR="004A3AB4" w:rsidRPr="00D10FC0" w:rsidRDefault="004A3AB4" w:rsidP="003C23CC">
            <w:pPr>
              <w:tabs>
                <w:tab w:val="left" w:pos="288"/>
                <w:tab w:val="left" w:pos="449"/>
                <w:tab w:val="left" w:pos="864"/>
                <w:tab w:val="left" w:pos="1152"/>
                <w:tab w:val="right" w:pos="1685"/>
              </w:tabs>
              <w:spacing w:before="40" w:after="120"/>
              <w:ind w:left="449" w:right="40" w:hanging="262"/>
              <w:rPr>
                <w:lang w:val="en-GB"/>
              </w:rPr>
            </w:pPr>
            <w:r w:rsidRPr="00D10FC0">
              <w:rPr>
                <w:lang w:val="en-GB"/>
              </w:rPr>
              <w:tab/>
              <w:t>–</w:t>
            </w:r>
            <w:r w:rsidRPr="00D10FC0">
              <w:rPr>
                <w:lang w:val="en-GB"/>
              </w:rPr>
              <w:tab/>
              <w:t>Select the members of the Central Commission for Elections and Referendums;</w:t>
            </w:r>
          </w:p>
          <w:p w14:paraId="66D7ECD7" w14:textId="77777777" w:rsidR="004A3AB4" w:rsidRPr="00D10FC0" w:rsidRDefault="004A3AB4" w:rsidP="003C23CC">
            <w:pPr>
              <w:tabs>
                <w:tab w:val="left" w:pos="288"/>
                <w:tab w:val="left" w:pos="449"/>
                <w:tab w:val="left" w:pos="864"/>
                <w:tab w:val="left" w:pos="1152"/>
                <w:tab w:val="right" w:pos="1685"/>
              </w:tabs>
              <w:spacing w:before="40" w:after="120"/>
              <w:ind w:left="449" w:right="40" w:hanging="262"/>
              <w:rPr>
                <w:lang w:val="en-GB"/>
              </w:rPr>
            </w:pPr>
            <w:r w:rsidRPr="00D10FC0">
              <w:rPr>
                <w:lang w:val="en-GB"/>
              </w:rPr>
              <w:tab/>
              <w:t>–</w:t>
            </w:r>
            <w:r w:rsidRPr="00D10FC0">
              <w:rPr>
                <w:lang w:val="en-GB"/>
              </w:rPr>
              <w:tab/>
              <w:t>Select the members of the Audit Chamber;</w:t>
            </w:r>
          </w:p>
          <w:p w14:paraId="04A5D5F7" w14:textId="77777777" w:rsidR="004A3AB4" w:rsidRPr="00D10FC0" w:rsidRDefault="004A3AB4" w:rsidP="003C23CC">
            <w:pPr>
              <w:tabs>
                <w:tab w:val="left" w:pos="288"/>
                <w:tab w:val="left" w:pos="449"/>
                <w:tab w:val="left" w:pos="864"/>
                <w:tab w:val="left" w:pos="1152"/>
                <w:tab w:val="right" w:pos="1685"/>
              </w:tabs>
              <w:spacing w:before="40" w:after="120"/>
              <w:ind w:left="449" w:right="40" w:hanging="262"/>
              <w:rPr>
                <w:lang w:val="en-GB"/>
              </w:rPr>
            </w:pPr>
            <w:r w:rsidRPr="00D10FC0">
              <w:rPr>
                <w:lang w:val="en-GB"/>
              </w:rPr>
              <w:tab/>
              <w:t>–</w:t>
            </w:r>
            <w:r w:rsidRPr="00D10FC0">
              <w:rPr>
                <w:lang w:val="en-GB"/>
              </w:rPr>
              <w:tab/>
              <w:t>Select the Deputy Ombudsman on the recommendation of the Ombudsman (</w:t>
            </w:r>
            <w:r w:rsidRPr="000F58F8">
              <w:rPr>
                <w:i/>
                <w:iCs/>
                <w:lang w:val="en-GB"/>
              </w:rPr>
              <w:t>Akyikatchy</w:t>
            </w:r>
            <w:r w:rsidRPr="00D10FC0">
              <w:rPr>
                <w:lang w:val="en-GB"/>
              </w:rPr>
              <w:t>).”</w:t>
            </w:r>
          </w:p>
        </w:tc>
      </w:tr>
    </w:tbl>
    <w:p w14:paraId="5E0B2C2E" w14:textId="77777777" w:rsidR="004A3AB4" w:rsidRPr="006B3A71" w:rsidRDefault="004A3AB4" w:rsidP="004A3AB4">
      <w:pPr>
        <w:pStyle w:val="SingleTxt"/>
        <w:spacing w:after="0" w:line="120" w:lineRule="exact"/>
        <w:rPr>
          <w:sz w:val="10"/>
          <w:lang w:val="en-GB"/>
        </w:rPr>
      </w:pPr>
    </w:p>
    <w:p w14:paraId="6DAAD705" w14:textId="77777777" w:rsidR="004A3AB4" w:rsidRPr="006B3A71" w:rsidRDefault="004A3AB4" w:rsidP="004A3AB4">
      <w:pPr>
        <w:pStyle w:val="SingleTxt"/>
        <w:spacing w:after="0" w:line="120" w:lineRule="exact"/>
        <w:rPr>
          <w:sz w:val="10"/>
          <w:lang w:val="en-GB"/>
        </w:rPr>
      </w:pPr>
    </w:p>
    <w:p w14:paraId="4E07D3C0" w14:textId="77777777" w:rsidR="004A3AB4" w:rsidRPr="00DF37A3" w:rsidRDefault="004A3AB4" w:rsidP="004A3AB4">
      <w:pPr>
        <w:pStyle w:val="SingleTxt"/>
        <w:rPr>
          <w:lang w:val="en-GB"/>
        </w:rPr>
      </w:pPr>
      <w:r w:rsidRPr="00DF37A3">
        <w:rPr>
          <w:lang w:val="en-GB"/>
        </w:rPr>
        <w:t>21.</w:t>
      </w:r>
      <w:r>
        <w:rPr>
          <w:lang w:val="en-GB"/>
        </w:rPr>
        <w:tab/>
      </w:r>
      <w:r w:rsidRPr="00DF37A3">
        <w:rPr>
          <w:lang w:val="en-GB"/>
        </w:rPr>
        <w:t>The mandatory requirements adopted in 2007 with regard to electoral legislation to the effect that “in drawing up the list of candidates, a political party must take into account the fact that the representation must not consist of more than 70 per cent of persons of the same sex, and that the difference in the lists of candidates of women and men nominated by political parties shall not exceed three positions” (part 3 of article 60 of the Constitutional Act on the Elections of the President of the Kyrgyz Republic and of Representative to the Zhogorku Kenesh of the Kyrgyz Republic) have enabled a significant increase in the representation of women among the representatives to the parliament.</w:t>
      </w:r>
    </w:p>
    <w:p w14:paraId="1D534D2F" w14:textId="77777777" w:rsidR="004A3AB4" w:rsidRPr="004A4EC8" w:rsidRDefault="004A3AB4" w:rsidP="004A3AB4">
      <w:pPr>
        <w:pStyle w:val="SingleTxt"/>
        <w:spacing w:after="0" w:line="120" w:lineRule="exact"/>
        <w:rPr>
          <w:sz w:val="10"/>
          <w:lang w:val="en-GB"/>
        </w:rPr>
      </w:pPr>
    </w:p>
    <w:p w14:paraId="1FC4D526" w14:textId="77777777" w:rsidR="004A3AB4" w:rsidRPr="00DF37A3" w:rsidRDefault="004A3AB4" w:rsidP="00AE1D85">
      <w:pPr>
        <w:pStyle w:val="SingleTxt"/>
        <w:spacing w:after="0"/>
        <w:rPr>
          <w:lang w:val="en-GB"/>
        </w:rPr>
      </w:pPr>
      <w:r w:rsidRPr="00DF37A3">
        <w:rPr>
          <w:lang w:val="en-GB"/>
        </w:rPr>
        <w:lastRenderedPageBreak/>
        <w:t>Table 3</w:t>
      </w:r>
    </w:p>
    <w:p w14:paraId="5D31DACF" w14:textId="77777777" w:rsidR="004A3AB4" w:rsidRPr="00DF37A3" w:rsidRDefault="004A3AB4" w:rsidP="00AE1D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DF37A3">
        <w:t>Representation of women in the parliament of Kyrgyzstan</w:t>
      </w:r>
    </w:p>
    <w:p w14:paraId="5CA42664" w14:textId="77777777" w:rsidR="004A3AB4" w:rsidRPr="004A4EC8" w:rsidRDefault="004A3AB4" w:rsidP="00AE1D85">
      <w:pPr>
        <w:pStyle w:val="SingleTxt"/>
        <w:spacing w:after="0" w:line="120" w:lineRule="exact"/>
        <w:rPr>
          <w:sz w:val="10"/>
          <w:lang w:val="en-GB"/>
        </w:rPr>
      </w:pPr>
    </w:p>
    <w:tbl>
      <w:tblPr>
        <w:tblStyle w:val="TableGrid"/>
        <w:tblW w:w="8613"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16"/>
        <w:gridCol w:w="2376"/>
        <w:gridCol w:w="1935"/>
        <w:gridCol w:w="1886"/>
      </w:tblGrid>
      <w:tr w:rsidR="004A3AB4" w:rsidRPr="004A4EC8" w14:paraId="3C710207" w14:textId="77777777" w:rsidTr="003C23CC">
        <w:trPr>
          <w:tblHeader/>
        </w:trPr>
        <w:tc>
          <w:tcPr>
            <w:tcW w:w="2416" w:type="dxa"/>
            <w:tcBorders>
              <w:top w:val="single" w:sz="4" w:space="0" w:color="auto"/>
            </w:tcBorders>
            <w:shd w:val="clear" w:color="auto" w:fill="auto"/>
            <w:vAlign w:val="bottom"/>
          </w:tcPr>
          <w:p w14:paraId="2061B973" w14:textId="77777777" w:rsidR="004A3AB4" w:rsidRPr="004A4EC8" w:rsidRDefault="004A3AB4" w:rsidP="00AE1D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p>
        </w:tc>
        <w:tc>
          <w:tcPr>
            <w:tcW w:w="2376" w:type="dxa"/>
            <w:tcBorders>
              <w:top w:val="single" w:sz="4" w:space="0" w:color="auto"/>
            </w:tcBorders>
            <w:shd w:val="clear" w:color="auto" w:fill="auto"/>
            <w:vAlign w:val="bottom"/>
          </w:tcPr>
          <w:p w14:paraId="60143290" w14:textId="77777777" w:rsidR="004A3AB4" w:rsidRPr="004A4EC8" w:rsidRDefault="004A3AB4" w:rsidP="00AE1D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c>
          <w:tcPr>
            <w:tcW w:w="3821" w:type="dxa"/>
            <w:gridSpan w:val="2"/>
            <w:tcBorders>
              <w:top w:val="single" w:sz="4" w:space="0" w:color="auto"/>
              <w:bottom w:val="single" w:sz="4" w:space="0" w:color="auto"/>
            </w:tcBorders>
            <w:shd w:val="clear" w:color="auto" w:fill="auto"/>
            <w:vAlign w:val="bottom"/>
          </w:tcPr>
          <w:p w14:paraId="01E4AA97" w14:textId="77777777" w:rsidR="004A3AB4" w:rsidRPr="004A4EC8" w:rsidRDefault="004A3AB4" w:rsidP="00AE1D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center"/>
              <w:rPr>
                <w:i/>
                <w:sz w:val="14"/>
                <w:lang w:val="en-GB"/>
              </w:rPr>
            </w:pPr>
            <w:r w:rsidRPr="004A4EC8">
              <w:rPr>
                <w:i/>
                <w:sz w:val="14"/>
                <w:lang w:val="en-GB"/>
              </w:rPr>
              <w:t>Women in the total</w:t>
            </w:r>
          </w:p>
        </w:tc>
      </w:tr>
      <w:tr w:rsidR="004A3AB4" w:rsidRPr="004A4EC8" w14:paraId="717D684C" w14:textId="77777777" w:rsidTr="003C23CC">
        <w:trPr>
          <w:tblHeader/>
        </w:trPr>
        <w:tc>
          <w:tcPr>
            <w:tcW w:w="2416" w:type="dxa"/>
            <w:tcBorders>
              <w:bottom w:val="single" w:sz="12" w:space="0" w:color="auto"/>
            </w:tcBorders>
            <w:shd w:val="clear" w:color="auto" w:fill="auto"/>
            <w:vAlign w:val="bottom"/>
          </w:tcPr>
          <w:p w14:paraId="56678F99" w14:textId="77777777" w:rsidR="004A3AB4" w:rsidRPr="004A4EC8" w:rsidRDefault="004A3AB4" w:rsidP="00AE1D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4A4EC8">
              <w:rPr>
                <w:i/>
                <w:sz w:val="14"/>
                <w:lang w:val="en-GB"/>
              </w:rPr>
              <w:t>Years</w:t>
            </w:r>
          </w:p>
        </w:tc>
        <w:tc>
          <w:tcPr>
            <w:tcW w:w="2376" w:type="dxa"/>
            <w:tcBorders>
              <w:bottom w:val="single" w:sz="12" w:space="0" w:color="auto"/>
            </w:tcBorders>
            <w:shd w:val="clear" w:color="auto" w:fill="auto"/>
            <w:vAlign w:val="bottom"/>
          </w:tcPr>
          <w:p w14:paraId="5DFCD53E" w14:textId="77777777" w:rsidR="004A3AB4" w:rsidRPr="004A4EC8" w:rsidRDefault="004A3AB4" w:rsidP="00AE1D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4A4EC8">
              <w:rPr>
                <w:i/>
                <w:sz w:val="14"/>
                <w:lang w:val="en-GB"/>
              </w:rPr>
              <w:t>Overall number of representatives</w:t>
            </w:r>
          </w:p>
        </w:tc>
        <w:tc>
          <w:tcPr>
            <w:tcW w:w="1935" w:type="dxa"/>
            <w:tcBorders>
              <w:top w:val="single" w:sz="4" w:space="0" w:color="auto"/>
              <w:bottom w:val="single" w:sz="12" w:space="0" w:color="auto"/>
            </w:tcBorders>
            <w:shd w:val="clear" w:color="auto" w:fill="auto"/>
            <w:vAlign w:val="bottom"/>
          </w:tcPr>
          <w:p w14:paraId="478DA49B" w14:textId="77777777" w:rsidR="004A3AB4" w:rsidRPr="004A4EC8" w:rsidRDefault="004A3AB4" w:rsidP="00AE1D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4A4EC8">
              <w:rPr>
                <w:i/>
                <w:sz w:val="14"/>
                <w:lang w:val="en-GB"/>
              </w:rPr>
              <w:t>Number of women</w:t>
            </w:r>
          </w:p>
        </w:tc>
        <w:tc>
          <w:tcPr>
            <w:tcW w:w="1886" w:type="dxa"/>
            <w:tcBorders>
              <w:top w:val="single" w:sz="4" w:space="0" w:color="auto"/>
              <w:bottom w:val="single" w:sz="12" w:space="0" w:color="auto"/>
            </w:tcBorders>
            <w:shd w:val="clear" w:color="auto" w:fill="auto"/>
            <w:vAlign w:val="bottom"/>
          </w:tcPr>
          <w:p w14:paraId="1FF0BC88" w14:textId="77777777" w:rsidR="004A3AB4" w:rsidRPr="004A4EC8" w:rsidRDefault="004A3AB4" w:rsidP="00AE1D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4A4EC8">
              <w:rPr>
                <w:i/>
                <w:sz w:val="14"/>
                <w:lang w:val="en-GB"/>
              </w:rPr>
              <w:t>Per cent</w:t>
            </w:r>
          </w:p>
        </w:tc>
      </w:tr>
      <w:tr w:rsidR="004A3AB4" w:rsidRPr="004A4EC8" w14:paraId="2E4F3810" w14:textId="77777777" w:rsidTr="003C23CC">
        <w:trPr>
          <w:trHeight w:hRule="exact" w:val="115"/>
          <w:tblHeader/>
        </w:trPr>
        <w:tc>
          <w:tcPr>
            <w:tcW w:w="2416" w:type="dxa"/>
            <w:tcBorders>
              <w:top w:val="single" w:sz="12" w:space="0" w:color="auto"/>
            </w:tcBorders>
            <w:shd w:val="clear" w:color="auto" w:fill="auto"/>
            <w:vAlign w:val="bottom"/>
          </w:tcPr>
          <w:p w14:paraId="731722F8" w14:textId="77777777" w:rsidR="004A3AB4" w:rsidRPr="004A4EC8" w:rsidRDefault="004A3AB4" w:rsidP="00AE1D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2376" w:type="dxa"/>
            <w:tcBorders>
              <w:top w:val="single" w:sz="12" w:space="0" w:color="auto"/>
            </w:tcBorders>
            <w:shd w:val="clear" w:color="auto" w:fill="auto"/>
            <w:vAlign w:val="bottom"/>
          </w:tcPr>
          <w:p w14:paraId="59A56B92" w14:textId="77777777" w:rsidR="004A3AB4" w:rsidRPr="004A4EC8" w:rsidRDefault="004A3AB4" w:rsidP="00AE1D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935" w:type="dxa"/>
            <w:tcBorders>
              <w:top w:val="single" w:sz="12" w:space="0" w:color="auto"/>
            </w:tcBorders>
            <w:shd w:val="clear" w:color="auto" w:fill="auto"/>
            <w:vAlign w:val="bottom"/>
          </w:tcPr>
          <w:p w14:paraId="3A1C9409" w14:textId="77777777" w:rsidR="004A3AB4" w:rsidRPr="004A4EC8" w:rsidRDefault="004A3AB4" w:rsidP="00AE1D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886" w:type="dxa"/>
            <w:tcBorders>
              <w:top w:val="single" w:sz="12" w:space="0" w:color="auto"/>
            </w:tcBorders>
            <w:shd w:val="clear" w:color="auto" w:fill="auto"/>
            <w:vAlign w:val="bottom"/>
          </w:tcPr>
          <w:p w14:paraId="7567E87F" w14:textId="77777777" w:rsidR="004A3AB4" w:rsidRPr="004A4EC8" w:rsidRDefault="004A3AB4" w:rsidP="00AE1D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4A3AB4" w:rsidRPr="004A4EC8" w14:paraId="131F633C" w14:textId="77777777" w:rsidTr="003C23CC">
        <w:tc>
          <w:tcPr>
            <w:tcW w:w="2416" w:type="dxa"/>
            <w:shd w:val="clear" w:color="auto" w:fill="auto"/>
            <w:vAlign w:val="bottom"/>
          </w:tcPr>
          <w:p w14:paraId="30269541" w14:textId="77777777" w:rsidR="004A3AB4" w:rsidRPr="004A4EC8" w:rsidRDefault="004A3AB4" w:rsidP="00AE1D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4A4EC8">
              <w:rPr>
                <w:sz w:val="17"/>
                <w:lang w:val="en-GB"/>
              </w:rPr>
              <w:t>Elections without gender quotas</w:t>
            </w:r>
          </w:p>
        </w:tc>
        <w:tc>
          <w:tcPr>
            <w:tcW w:w="2376" w:type="dxa"/>
            <w:shd w:val="clear" w:color="auto" w:fill="auto"/>
            <w:vAlign w:val="bottom"/>
          </w:tcPr>
          <w:p w14:paraId="5338B77A" w14:textId="77777777" w:rsidR="004A3AB4" w:rsidRPr="004A4EC8" w:rsidRDefault="004A3AB4" w:rsidP="00AE1D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1935" w:type="dxa"/>
            <w:shd w:val="clear" w:color="auto" w:fill="auto"/>
            <w:vAlign w:val="bottom"/>
          </w:tcPr>
          <w:p w14:paraId="41E3AD7E" w14:textId="77777777" w:rsidR="004A3AB4" w:rsidRPr="004A4EC8" w:rsidRDefault="004A3AB4" w:rsidP="00AE1D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1886" w:type="dxa"/>
            <w:shd w:val="clear" w:color="auto" w:fill="auto"/>
            <w:vAlign w:val="bottom"/>
          </w:tcPr>
          <w:p w14:paraId="5683A35F" w14:textId="77777777" w:rsidR="004A3AB4" w:rsidRPr="004A4EC8" w:rsidRDefault="004A3AB4" w:rsidP="00AE1D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r>
      <w:tr w:rsidR="004A3AB4" w:rsidRPr="004A4EC8" w14:paraId="0FF4FA02" w14:textId="77777777" w:rsidTr="003C23CC">
        <w:tc>
          <w:tcPr>
            <w:tcW w:w="2416" w:type="dxa"/>
            <w:shd w:val="clear" w:color="auto" w:fill="auto"/>
            <w:vAlign w:val="bottom"/>
          </w:tcPr>
          <w:p w14:paraId="362EA19B" w14:textId="77777777" w:rsidR="004A3AB4" w:rsidRPr="004A4EC8" w:rsidRDefault="004A3AB4" w:rsidP="00AE1D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4A4EC8">
              <w:rPr>
                <w:sz w:val="17"/>
                <w:lang w:val="en-GB"/>
              </w:rPr>
              <w:t>1995</w:t>
            </w:r>
          </w:p>
        </w:tc>
        <w:tc>
          <w:tcPr>
            <w:tcW w:w="2376" w:type="dxa"/>
            <w:shd w:val="clear" w:color="auto" w:fill="auto"/>
            <w:vAlign w:val="bottom"/>
          </w:tcPr>
          <w:p w14:paraId="35FA829D" w14:textId="77777777" w:rsidR="004A3AB4" w:rsidRPr="004A4EC8" w:rsidRDefault="004A3AB4" w:rsidP="00AE1D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A4EC8">
              <w:rPr>
                <w:sz w:val="17"/>
                <w:lang w:val="en-GB"/>
              </w:rPr>
              <w:t>105</w:t>
            </w:r>
          </w:p>
        </w:tc>
        <w:tc>
          <w:tcPr>
            <w:tcW w:w="1935" w:type="dxa"/>
            <w:shd w:val="clear" w:color="auto" w:fill="auto"/>
            <w:vAlign w:val="bottom"/>
          </w:tcPr>
          <w:p w14:paraId="66718990" w14:textId="77777777" w:rsidR="004A3AB4" w:rsidRPr="004A4EC8" w:rsidRDefault="004A3AB4" w:rsidP="00AE1D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A4EC8">
              <w:rPr>
                <w:sz w:val="17"/>
                <w:lang w:val="en-GB"/>
              </w:rPr>
              <w:t>5</w:t>
            </w:r>
          </w:p>
        </w:tc>
        <w:tc>
          <w:tcPr>
            <w:tcW w:w="1886" w:type="dxa"/>
            <w:shd w:val="clear" w:color="auto" w:fill="auto"/>
            <w:vAlign w:val="bottom"/>
          </w:tcPr>
          <w:p w14:paraId="2CB752EC" w14:textId="77777777" w:rsidR="004A3AB4" w:rsidRPr="004A4EC8" w:rsidRDefault="004A3AB4" w:rsidP="00AE1D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A4EC8">
              <w:rPr>
                <w:sz w:val="17"/>
                <w:lang w:val="en-GB"/>
              </w:rPr>
              <w:t>4.7</w:t>
            </w:r>
          </w:p>
        </w:tc>
      </w:tr>
      <w:tr w:rsidR="004A3AB4" w:rsidRPr="004A4EC8" w14:paraId="64E7F8B1" w14:textId="77777777" w:rsidTr="003C23CC">
        <w:tc>
          <w:tcPr>
            <w:tcW w:w="2416" w:type="dxa"/>
            <w:shd w:val="clear" w:color="auto" w:fill="auto"/>
            <w:vAlign w:val="bottom"/>
          </w:tcPr>
          <w:p w14:paraId="4427E323" w14:textId="77777777" w:rsidR="004A3AB4" w:rsidRPr="004A4EC8" w:rsidRDefault="004A3AB4" w:rsidP="00AE1D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4A4EC8">
              <w:rPr>
                <w:sz w:val="17"/>
                <w:lang w:val="en-GB"/>
              </w:rPr>
              <w:t>2000</w:t>
            </w:r>
          </w:p>
        </w:tc>
        <w:tc>
          <w:tcPr>
            <w:tcW w:w="2376" w:type="dxa"/>
            <w:shd w:val="clear" w:color="auto" w:fill="auto"/>
            <w:vAlign w:val="bottom"/>
          </w:tcPr>
          <w:p w14:paraId="49418956" w14:textId="77777777" w:rsidR="004A3AB4" w:rsidRPr="004A4EC8" w:rsidRDefault="004A3AB4" w:rsidP="00AE1D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A4EC8">
              <w:rPr>
                <w:sz w:val="17"/>
                <w:lang w:val="en-GB"/>
              </w:rPr>
              <w:t>105</w:t>
            </w:r>
          </w:p>
        </w:tc>
        <w:tc>
          <w:tcPr>
            <w:tcW w:w="1935" w:type="dxa"/>
            <w:shd w:val="clear" w:color="auto" w:fill="auto"/>
            <w:vAlign w:val="bottom"/>
          </w:tcPr>
          <w:p w14:paraId="723E76FD" w14:textId="77777777" w:rsidR="004A3AB4" w:rsidRPr="004A4EC8" w:rsidRDefault="004A3AB4" w:rsidP="00AE1D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A4EC8">
              <w:rPr>
                <w:sz w:val="17"/>
                <w:lang w:val="en-GB"/>
              </w:rPr>
              <w:t>7</w:t>
            </w:r>
          </w:p>
        </w:tc>
        <w:tc>
          <w:tcPr>
            <w:tcW w:w="1886" w:type="dxa"/>
            <w:shd w:val="clear" w:color="auto" w:fill="auto"/>
            <w:vAlign w:val="bottom"/>
          </w:tcPr>
          <w:p w14:paraId="6167C470" w14:textId="77777777" w:rsidR="004A3AB4" w:rsidRPr="004A4EC8" w:rsidRDefault="004A3AB4" w:rsidP="00AE1D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A4EC8">
              <w:rPr>
                <w:sz w:val="17"/>
                <w:lang w:val="en-GB"/>
              </w:rPr>
              <w:t>6.8</w:t>
            </w:r>
          </w:p>
        </w:tc>
      </w:tr>
      <w:tr w:rsidR="004A3AB4" w:rsidRPr="004A4EC8" w14:paraId="1671E166" w14:textId="77777777" w:rsidTr="003C23CC">
        <w:tc>
          <w:tcPr>
            <w:tcW w:w="2416" w:type="dxa"/>
            <w:shd w:val="clear" w:color="auto" w:fill="auto"/>
            <w:vAlign w:val="bottom"/>
          </w:tcPr>
          <w:p w14:paraId="323C8FBE" w14:textId="77777777" w:rsidR="004A3AB4" w:rsidRPr="004A4EC8" w:rsidRDefault="004A3AB4" w:rsidP="00AE1D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4A4EC8">
              <w:rPr>
                <w:sz w:val="17"/>
                <w:lang w:val="en-GB"/>
              </w:rPr>
              <w:t>2005</w:t>
            </w:r>
          </w:p>
        </w:tc>
        <w:tc>
          <w:tcPr>
            <w:tcW w:w="2376" w:type="dxa"/>
            <w:shd w:val="clear" w:color="auto" w:fill="auto"/>
            <w:vAlign w:val="bottom"/>
          </w:tcPr>
          <w:p w14:paraId="58634603" w14:textId="77777777" w:rsidR="004A3AB4" w:rsidRPr="004A4EC8" w:rsidRDefault="004A3AB4" w:rsidP="00AE1D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A4EC8">
              <w:rPr>
                <w:sz w:val="17"/>
                <w:lang w:val="en-GB"/>
              </w:rPr>
              <w:t>75</w:t>
            </w:r>
          </w:p>
        </w:tc>
        <w:tc>
          <w:tcPr>
            <w:tcW w:w="1935" w:type="dxa"/>
            <w:shd w:val="clear" w:color="auto" w:fill="auto"/>
            <w:vAlign w:val="bottom"/>
          </w:tcPr>
          <w:p w14:paraId="7381C0B2" w14:textId="77777777" w:rsidR="004A3AB4" w:rsidRPr="004A4EC8" w:rsidRDefault="004A3AB4" w:rsidP="00AE1D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A4EC8">
              <w:rPr>
                <w:sz w:val="17"/>
                <w:lang w:val="en-GB"/>
              </w:rPr>
              <w:t>0</w:t>
            </w:r>
          </w:p>
        </w:tc>
        <w:tc>
          <w:tcPr>
            <w:tcW w:w="1886" w:type="dxa"/>
            <w:shd w:val="clear" w:color="auto" w:fill="auto"/>
            <w:vAlign w:val="bottom"/>
          </w:tcPr>
          <w:p w14:paraId="53CA642C" w14:textId="77777777" w:rsidR="004A3AB4" w:rsidRPr="004A4EC8" w:rsidRDefault="004A3AB4" w:rsidP="00AE1D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A4EC8">
              <w:rPr>
                <w:sz w:val="17"/>
                <w:lang w:val="en-GB"/>
              </w:rPr>
              <w:t>0</w:t>
            </w:r>
          </w:p>
        </w:tc>
      </w:tr>
      <w:tr w:rsidR="004A3AB4" w:rsidRPr="004A4EC8" w14:paraId="4D613AEA" w14:textId="77777777" w:rsidTr="003C23CC">
        <w:tc>
          <w:tcPr>
            <w:tcW w:w="2416" w:type="dxa"/>
            <w:shd w:val="clear" w:color="auto" w:fill="auto"/>
            <w:vAlign w:val="bottom"/>
          </w:tcPr>
          <w:p w14:paraId="29E0D1BC" w14:textId="77777777" w:rsidR="004A3AB4" w:rsidRPr="004A4EC8" w:rsidRDefault="004A3AB4" w:rsidP="00AE1D85">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rPr>
                <w:sz w:val="17"/>
                <w:lang w:val="en-GB"/>
              </w:rPr>
            </w:pPr>
            <w:r w:rsidRPr="004A4EC8">
              <w:rPr>
                <w:sz w:val="17"/>
                <w:lang w:val="en-GB"/>
              </w:rPr>
              <w:t>Elections with gender quotas</w:t>
            </w:r>
          </w:p>
        </w:tc>
        <w:tc>
          <w:tcPr>
            <w:tcW w:w="2376" w:type="dxa"/>
            <w:shd w:val="clear" w:color="auto" w:fill="auto"/>
            <w:vAlign w:val="bottom"/>
          </w:tcPr>
          <w:p w14:paraId="30DADE4F" w14:textId="77777777" w:rsidR="004A3AB4" w:rsidRPr="004A4EC8" w:rsidRDefault="004A3AB4" w:rsidP="00AE1D85">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en-GB"/>
              </w:rPr>
            </w:pPr>
          </w:p>
        </w:tc>
        <w:tc>
          <w:tcPr>
            <w:tcW w:w="1935" w:type="dxa"/>
            <w:shd w:val="clear" w:color="auto" w:fill="auto"/>
            <w:vAlign w:val="bottom"/>
          </w:tcPr>
          <w:p w14:paraId="578F3B57" w14:textId="77777777" w:rsidR="004A3AB4" w:rsidRPr="004A4EC8" w:rsidRDefault="004A3AB4" w:rsidP="00AE1D85">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en-GB"/>
              </w:rPr>
            </w:pPr>
          </w:p>
        </w:tc>
        <w:tc>
          <w:tcPr>
            <w:tcW w:w="1886" w:type="dxa"/>
            <w:shd w:val="clear" w:color="auto" w:fill="auto"/>
            <w:vAlign w:val="bottom"/>
          </w:tcPr>
          <w:p w14:paraId="2CE44CC0" w14:textId="77777777" w:rsidR="004A3AB4" w:rsidRPr="004A4EC8" w:rsidRDefault="004A3AB4" w:rsidP="00AE1D85">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en-GB"/>
              </w:rPr>
            </w:pPr>
          </w:p>
        </w:tc>
      </w:tr>
      <w:tr w:rsidR="004A3AB4" w:rsidRPr="004A4EC8" w14:paraId="342CA9A4" w14:textId="77777777" w:rsidTr="003C23CC">
        <w:tc>
          <w:tcPr>
            <w:tcW w:w="2416" w:type="dxa"/>
            <w:shd w:val="clear" w:color="auto" w:fill="auto"/>
            <w:vAlign w:val="bottom"/>
          </w:tcPr>
          <w:p w14:paraId="261E02B1" w14:textId="77777777" w:rsidR="004A3AB4" w:rsidRPr="004A4EC8" w:rsidRDefault="004A3AB4" w:rsidP="00AE1D85">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rPr>
                <w:sz w:val="17"/>
                <w:lang w:val="en-GB"/>
              </w:rPr>
            </w:pPr>
            <w:r w:rsidRPr="004A4EC8">
              <w:rPr>
                <w:sz w:val="17"/>
                <w:lang w:val="en-GB"/>
              </w:rPr>
              <w:t>2007</w:t>
            </w:r>
          </w:p>
        </w:tc>
        <w:tc>
          <w:tcPr>
            <w:tcW w:w="2376" w:type="dxa"/>
            <w:shd w:val="clear" w:color="auto" w:fill="auto"/>
            <w:vAlign w:val="bottom"/>
          </w:tcPr>
          <w:p w14:paraId="685A186A" w14:textId="77777777" w:rsidR="004A3AB4" w:rsidRPr="004A4EC8" w:rsidRDefault="004A3AB4" w:rsidP="00AE1D85">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en-GB"/>
              </w:rPr>
            </w:pPr>
            <w:r w:rsidRPr="004A4EC8">
              <w:rPr>
                <w:sz w:val="17"/>
                <w:lang w:val="en-GB"/>
              </w:rPr>
              <w:t>90</w:t>
            </w:r>
          </w:p>
        </w:tc>
        <w:tc>
          <w:tcPr>
            <w:tcW w:w="1935" w:type="dxa"/>
            <w:shd w:val="clear" w:color="auto" w:fill="auto"/>
            <w:vAlign w:val="bottom"/>
          </w:tcPr>
          <w:p w14:paraId="63678BB9" w14:textId="77777777" w:rsidR="004A3AB4" w:rsidRPr="004A4EC8" w:rsidRDefault="004A3AB4" w:rsidP="00AE1D85">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en-GB"/>
              </w:rPr>
            </w:pPr>
            <w:r w:rsidRPr="004A4EC8">
              <w:rPr>
                <w:sz w:val="17"/>
                <w:lang w:val="en-GB"/>
              </w:rPr>
              <w:t>23</w:t>
            </w:r>
          </w:p>
        </w:tc>
        <w:tc>
          <w:tcPr>
            <w:tcW w:w="1886" w:type="dxa"/>
            <w:shd w:val="clear" w:color="auto" w:fill="auto"/>
            <w:vAlign w:val="bottom"/>
          </w:tcPr>
          <w:p w14:paraId="166823A8" w14:textId="77777777" w:rsidR="004A3AB4" w:rsidRPr="004A4EC8" w:rsidRDefault="004A3AB4" w:rsidP="00AE1D85">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en-GB"/>
              </w:rPr>
            </w:pPr>
            <w:r w:rsidRPr="004A4EC8">
              <w:rPr>
                <w:sz w:val="17"/>
                <w:lang w:val="en-GB"/>
              </w:rPr>
              <w:t>25.5</w:t>
            </w:r>
          </w:p>
        </w:tc>
      </w:tr>
      <w:tr w:rsidR="004A3AB4" w:rsidRPr="004A4EC8" w14:paraId="56EEEFB7" w14:textId="77777777" w:rsidTr="003C23CC">
        <w:tc>
          <w:tcPr>
            <w:tcW w:w="2416" w:type="dxa"/>
            <w:shd w:val="clear" w:color="auto" w:fill="auto"/>
            <w:vAlign w:val="bottom"/>
          </w:tcPr>
          <w:p w14:paraId="3074C89A" w14:textId="77777777" w:rsidR="004A3AB4" w:rsidRPr="004A4EC8" w:rsidRDefault="004A3AB4" w:rsidP="00AE1D85">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rPr>
                <w:sz w:val="17"/>
                <w:lang w:val="en-GB"/>
              </w:rPr>
            </w:pPr>
            <w:r w:rsidRPr="004A4EC8">
              <w:rPr>
                <w:sz w:val="17"/>
                <w:lang w:val="en-GB"/>
              </w:rPr>
              <w:t>2010</w:t>
            </w:r>
          </w:p>
        </w:tc>
        <w:tc>
          <w:tcPr>
            <w:tcW w:w="2376" w:type="dxa"/>
            <w:shd w:val="clear" w:color="auto" w:fill="auto"/>
            <w:vAlign w:val="bottom"/>
          </w:tcPr>
          <w:p w14:paraId="0B40957D" w14:textId="77777777" w:rsidR="004A3AB4" w:rsidRPr="004A4EC8" w:rsidRDefault="004A3AB4" w:rsidP="00AE1D85">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en-GB"/>
              </w:rPr>
            </w:pPr>
            <w:r w:rsidRPr="004A4EC8">
              <w:rPr>
                <w:sz w:val="17"/>
                <w:lang w:val="en-GB"/>
              </w:rPr>
              <w:t>120</w:t>
            </w:r>
          </w:p>
        </w:tc>
        <w:tc>
          <w:tcPr>
            <w:tcW w:w="1935" w:type="dxa"/>
            <w:shd w:val="clear" w:color="auto" w:fill="auto"/>
            <w:vAlign w:val="bottom"/>
          </w:tcPr>
          <w:p w14:paraId="47B39235" w14:textId="77777777" w:rsidR="004A3AB4" w:rsidRPr="004A4EC8" w:rsidRDefault="004A3AB4" w:rsidP="00AE1D85">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en-GB"/>
              </w:rPr>
            </w:pPr>
            <w:r w:rsidRPr="004A4EC8">
              <w:rPr>
                <w:sz w:val="17"/>
                <w:lang w:val="en-GB"/>
              </w:rPr>
              <w:t>28</w:t>
            </w:r>
          </w:p>
        </w:tc>
        <w:tc>
          <w:tcPr>
            <w:tcW w:w="1886" w:type="dxa"/>
            <w:shd w:val="clear" w:color="auto" w:fill="auto"/>
            <w:vAlign w:val="bottom"/>
          </w:tcPr>
          <w:p w14:paraId="4EFCE521" w14:textId="77777777" w:rsidR="004A3AB4" w:rsidRPr="004A4EC8" w:rsidRDefault="004A3AB4" w:rsidP="00AE1D85">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en-GB"/>
              </w:rPr>
            </w:pPr>
            <w:r w:rsidRPr="004A4EC8">
              <w:rPr>
                <w:sz w:val="17"/>
                <w:lang w:val="en-GB"/>
              </w:rPr>
              <w:t>23.3</w:t>
            </w:r>
          </w:p>
        </w:tc>
      </w:tr>
      <w:tr w:rsidR="004A3AB4" w:rsidRPr="004A4EC8" w14:paraId="087AD884" w14:textId="77777777" w:rsidTr="003C23CC">
        <w:tc>
          <w:tcPr>
            <w:tcW w:w="2416" w:type="dxa"/>
            <w:shd w:val="clear" w:color="auto" w:fill="auto"/>
            <w:vAlign w:val="bottom"/>
          </w:tcPr>
          <w:p w14:paraId="276F1952" w14:textId="77777777" w:rsidR="004A3AB4" w:rsidRPr="004A4EC8" w:rsidRDefault="004A3AB4" w:rsidP="00AE1D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4A4EC8">
              <w:rPr>
                <w:sz w:val="17"/>
                <w:lang w:val="en-GB"/>
              </w:rPr>
              <w:t>2015</w:t>
            </w:r>
          </w:p>
        </w:tc>
        <w:tc>
          <w:tcPr>
            <w:tcW w:w="2376" w:type="dxa"/>
            <w:shd w:val="clear" w:color="auto" w:fill="auto"/>
            <w:vAlign w:val="bottom"/>
          </w:tcPr>
          <w:p w14:paraId="6C2B3075" w14:textId="77777777" w:rsidR="004A3AB4" w:rsidRPr="004A4EC8" w:rsidRDefault="004A3AB4" w:rsidP="00AE1D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A4EC8">
              <w:rPr>
                <w:sz w:val="17"/>
                <w:lang w:val="en-GB"/>
              </w:rPr>
              <w:t>120</w:t>
            </w:r>
          </w:p>
        </w:tc>
        <w:tc>
          <w:tcPr>
            <w:tcW w:w="1935" w:type="dxa"/>
            <w:shd w:val="clear" w:color="auto" w:fill="auto"/>
            <w:vAlign w:val="bottom"/>
          </w:tcPr>
          <w:p w14:paraId="4FEEF842" w14:textId="77777777" w:rsidR="004A3AB4" w:rsidRPr="004A4EC8" w:rsidRDefault="004A3AB4" w:rsidP="00AE1D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A4EC8">
              <w:rPr>
                <w:sz w:val="17"/>
                <w:lang w:val="en-GB"/>
              </w:rPr>
              <w:t>24</w:t>
            </w:r>
          </w:p>
        </w:tc>
        <w:tc>
          <w:tcPr>
            <w:tcW w:w="1886" w:type="dxa"/>
            <w:shd w:val="clear" w:color="auto" w:fill="auto"/>
            <w:vAlign w:val="bottom"/>
          </w:tcPr>
          <w:p w14:paraId="1DB6CA47" w14:textId="77777777" w:rsidR="004A3AB4" w:rsidRPr="004A4EC8" w:rsidRDefault="004A3AB4" w:rsidP="00AE1D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A4EC8">
              <w:rPr>
                <w:sz w:val="17"/>
                <w:lang w:val="en-GB"/>
              </w:rPr>
              <w:t>20.0</w:t>
            </w:r>
          </w:p>
        </w:tc>
      </w:tr>
      <w:tr w:rsidR="004A3AB4" w:rsidRPr="004A4EC8" w14:paraId="140DF5A7" w14:textId="77777777" w:rsidTr="003C23CC">
        <w:tc>
          <w:tcPr>
            <w:tcW w:w="2416" w:type="dxa"/>
            <w:shd w:val="clear" w:color="auto" w:fill="auto"/>
            <w:vAlign w:val="bottom"/>
          </w:tcPr>
          <w:p w14:paraId="6BD107CF" w14:textId="77777777" w:rsidR="004A3AB4" w:rsidRPr="004A4EC8" w:rsidRDefault="004A3AB4" w:rsidP="00AE1D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4A4EC8">
              <w:rPr>
                <w:sz w:val="17"/>
                <w:lang w:val="en-GB"/>
              </w:rPr>
              <w:t>2016</w:t>
            </w:r>
          </w:p>
        </w:tc>
        <w:tc>
          <w:tcPr>
            <w:tcW w:w="2376" w:type="dxa"/>
            <w:shd w:val="clear" w:color="auto" w:fill="auto"/>
            <w:vAlign w:val="bottom"/>
          </w:tcPr>
          <w:p w14:paraId="4D257175" w14:textId="77777777" w:rsidR="004A3AB4" w:rsidRPr="004A4EC8" w:rsidRDefault="004A3AB4" w:rsidP="00AE1D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A4EC8">
              <w:rPr>
                <w:sz w:val="17"/>
                <w:lang w:val="en-GB"/>
              </w:rPr>
              <w:t>120</w:t>
            </w:r>
          </w:p>
        </w:tc>
        <w:tc>
          <w:tcPr>
            <w:tcW w:w="1935" w:type="dxa"/>
            <w:shd w:val="clear" w:color="auto" w:fill="auto"/>
            <w:vAlign w:val="bottom"/>
          </w:tcPr>
          <w:p w14:paraId="307E66A7" w14:textId="77777777" w:rsidR="004A3AB4" w:rsidRPr="004A4EC8" w:rsidRDefault="004A3AB4" w:rsidP="00AE1D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A4EC8">
              <w:rPr>
                <w:sz w:val="17"/>
                <w:lang w:val="en-GB"/>
              </w:rPr>
              <w:t>19</w:t>
            </w:r>
          </w:p>
        </w:tc>
        <w:tc>
          <w:tcPr>
            <w:tcW w:w="1886" w:type="dxa"/>
            <w:shd w:val="clear" w:color="auto" w:fill="auto"/>
            <w:vAlign w:val="bottom"/>
          </w:tcPr>
          <w:p w14:paraId="7C34E3A4" w14:textId="77777777" w:rsidR="004A3AB4" w:rsidRPr="004A4EC8" w:rsidRDefault="004A3AB4" w:rsidP="00AE1D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A4EC8">
              <w:rPr>
                <w:sz w:val="17"/>
                <w:lang w:val="en-GB"/>
              </w:rPr>
              <w:t>15.8</w:t>
            </w:r>
          </w:p>
        </w:tc>
      </w:tr>
      <w:tr w:rsidR="004A3AB4" w:rsidRPr="004A4EC8" w14:paraId="2034D3C9" w14:textId="77777777" w:rsidTr="003C23CC">
        <w:tc>
          <w:tcPr>
            <w:tcW w:w="2416" w:type="dxa"/>
            <w:shd w:val="clear" w:color="auto" w:fill="auto"/>
            <w:vAlign w:val="bottom"/>
          </w:tcPr>
          <w:p w14:paraId="7695D0DF" w14:textId="77777777" w:rsidR="004A3AB4" w:rsidRPr="004A4EC8" w:rsidRDefault="004A3AB4" w:rsidP="00AE1D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4A4EC8">
              <w:rPr>
                <w:sz w:val="17"/>
                <w:lang w:val="en-GB"/>
              </w:rPr>
              <w:t>2017</w:t>
            </w:r>
          </w:p>
        </w:tc>
        <w:tc>
          <w:tcPr>
            <w:tcW w:w="2376" w:type="dxa"/>
            <w:shd w:val="clear" w:color="auto" w:fill="auto"/>
            <w:vAlign w:val="bottom"/>
          </w:tcPr>
          <w:p w14:paraId="6C7AE69B" w14:textId="77777777" w:rsidR="004A3AB4" w:rsidRPr="004A4EC8" w:rsidRDefault="004A3AB4" w:rsidP="00AE1D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A4EC8">
              <w:rPr>
                <w:sz w:val="17"/>
                <w:lang w:val="en-GB"/>
              </w:rPr>
              <w:t>120</w:t>
            </w:r>
          </w:p>
        </w:tc>
        <w:tc>
          <w:tcPr>
            <w:tcW w:w="1935" w:type="dxa"/>
            <w:shd w:val="clear" w:color="auto" w:fill="auto"/>
            <w:vAlign w:val="bottom"/>
          </w:tcPr>
          <w:p w14:paraId="41EDC238" w14:textId="77777777" w:rsidR="004A3AB4" w:rsidRPr="004A4EC8" w:rsidRDefault="004A3AB4" w:rsidP="00AE1D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A4EC8">
              <w:rPr>
                <w:sz w:val="17"/>
                <w:lang w:val="en-GB"/>
              </w:rPr>
              <w:t>20</w:t>
            </w:r>
          </w:p>
        </w:tc>
        <w:tc>
          <w:tcPr>
            <w:tcW w:w="1886" w:type="dxa"/>
            <w:shd w:val="clear" w:color="auto" w:fill="auto"/>
            <w:vAlign w:val="bottom"/>
          </w:tcPr>
          <w:p w14:paraId="5940A633" w14:textId="77777777" w:rsidR="004A3AB4" w:rsidRPr="004A4EC8" w:rsidRDefault="004A3AB4" w:rsidP="00AE1D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A4EC8">
              <w:rPr>
                <w:sz w:val="17"/>
                <w:lang w:val="en-GB"/>
              </w:rPr>
              <w:t>16.6</w:t>
            </w:r>
          </w:p>
        </w:tc>
      </w:tr>
      <w:tr w:rsidR="004A3AB4" w:rsidRPr="004A4EC8" w14:paraId="39C20FC4" w14:textId="77777777" w:rsidTr="003C23CC">
        <w:tc>
          <w:tcPr>
            <w:tcW w:w="2416" w:type="dxa"/>
            <w:tcBorders>
              <w:bottom w:val="single" w:sz="12" w:space="0" w:color="auto"/>
            </w:tcBorders>
            <w:shd w:val="clear" w:color="auto" w:fill="auto"/>
            <w:vAlign w:val="bottom"/>
          </w:tcPr>
          <w:p w14:paraId="25AD9705" w14:textId="77777777" w:rsidR="004A3AB4" w:rsidRPr="004A4EC8" w:rsidRDefault="004A3AB4" w:rsidP="00AE1D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4A4EC8">
              <w:rPr>
                <w:sz w:val="17"/>
                <w:lang w:val="en-GB"/>
              </w:rPr>
              <w:t>2018</w:t>
            </w:r>
          </w:p>
        </w:tc>
        <w:tc>
          <w:tcPr>
            <w:tcW w:w="2376" w:type="dxa"/>
            <w:tcBorders>
              <w:bottom w:val="single" w:sz="12" w:space="0" w:color="auto"/>
            </w:tcBorders>
            <w:shd w:val="clear" w:color="auto" w:fill="auto"/>
            <w:vAlign w:val="bottom"/>
          </w:tcPr>
          <w:p w14:paraId="0F875BDC" w14:textId="77777777" w:rsidR="004A3AB4" w:rsidRPr="004A4EC8" w:rsidRDefault="004A3AB4" w:rsidP="00AE1D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A4EC8">
              <w:rPr>
                <w:sz w:val="17"/>
                <w:lang w:val="en-GB"/>
              </w:rPr>
              <w:t>120</w:t>
            </w:r>
          </w:p>
        </w:tc>
        <w:tc>
          <w:tcPr>
            <w:tcW w:w="1935" w:type="dxa"/>
            <w:tcBorders>
              <w:bottom w:val="single" w:sz="12" w:space="0" w:color="auto"/>
            </w:tcBorders>
            <w:shd w:val="clear" w:color="auto" w:fill="auto"/>
            <w:vAlign w:val="bottom"/>
          </w:tcPr>
          <w:p w14:paraId="56DBAD82" w14:textId="77777777" w:rsidR="004A3AB4" w:rsidRPr="004A4EC8" w:rsidRDefault="004A3AB4" w:rsidP="00AE1D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A4EC8">
              <w:rPr>
                <w:sz w:val="17"/>
                <w:lang w:val="en-GB"/>
              </w:rPr>
              <w:t>19</w:t>
            </w:r>
          </w:p>
        </w:tc>
        <w:tc>
          <w:tcPr>
            <w:tcW w:w="1886" w:type="dxa"/>
            <w:tcBorders>
              <w:bottom w:val="single" w:sz="12" w:space="0" w:color="auto"/>
            </w:tcBorders>
            <w:shd w:val="clear" w:color="auto" w:fill="auto"/>
            <w:vAlign w:val="bottom"/>
          </w:tcPr>
          <w:p w14:paraId="449C42F8" w14:textId="77777777" w:rsidR="004A3AB4" w:rsidRPr="004A4EC8" w:rsidRDefault="004A3AB4" w:rsidP="00AE1D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A4EC8">
              <w:rPr>
                <w:sz w:val="17"/>
                <w:lang w:val="en-GB"/>
              </w:rPr>
              <w:t>15.8</w:t>
            </w:r>
          </w:p>
        </w:tc>
      </w:tr>
    </w:tbl>
    <w:p w14:paraId="64E3ACB7" w14:textId="77777777" w:rsidR="004A3AB4" w:rsidRPr="004A4EC8" w:rsidRDefault="004A3AB4" w:rsidP="004A3AB4">
      <w:pPr>
        <w:pStyle w:val="SingleTxt"/>
        <w:spacing w:after="0" w:line="120" w:lineRule="exact"/>
        <w:rPr>
          <w:sz w:val="10"/>
          <w:lang w:val="en-GB"/>
        </w:rPr>
      </w:pPr>
    </w:p>
    <w:p w14:paraId="0D65D282" w14:textId="77777777" w:rsidR="004A3AB4" w:rsidRPr="004A4EC8" w:rsidRDefault="004A3AB4" w:rsidP="004A3AB4">
      <w:pPr>
        <w:pStyle w:val="SingleTxt"/>
        <w:spacing w:after="0" w:line="120" w:lineRule="exact"/>
        <w:rPr>
          <w:sz w:val="10"/>
          <w:lang w:val="en-GB"/>
        </w:rPr>
      </w:pPr>
    </w:p>
    <w:p w14:paraId="16497988" w14:textId="77777777" w:rsidR="004A3AB4" w:rsidRPr="00DF37A3" w:rsidRDefault="004A3AB4" w:rsidP="004A3AB4">
      <w:pPr>
        <w:pStyle w:val="SingleTxt"/>
        <w:rPr>
          <w:lang w:val="en-GB"/>
        </w:rPr>
      </w:pPr>
      <w:r w:rsidRPr="00DF37A3">
        <w:rPr>
          <w:lang w:val="en-GB"/>
        </w:rPr>
        <w:t>22.</w:t>
      </w:r>
      <w:r>
        <w:rPr>
          <w:lang w:val="en-GB"/>
        </w:rPr>
        <w:tab/>
      </w:r>
      <w:r w:rsidRPr="00DF37A3">
        <w:rPr>
          <w:lang w:val="en-GB"/>
        </w:rPr>
        <w:t>As at 31 December 2018, out of a total of 120 parliamentarians, the number of women was 19 (15.8 per cent).</w:t>
      </w:r>
    </w:p>
    <w:p w14:paraId="1BC801A4" w14:textId="77777777" w:rsidR="004A3AB4" w:rsidRPr="00DF37A3" w:rsidRDefault="004A3AB4" w:rsidP="004A3AB4">
      <w:pPr>
        <w:pStyle w:val="SingleTxt"/>
        <w:rPr>
          <w:lang w:val="en-GB"/>
        </w:rPr>
      </w:pPr>
      <w:r w:rsidRPr="00DF37A3">
        <w:rPr>
          <w:lang w:val="en-GB"/>
        </w:rPr>
        <w:t>23.</w:t>
      </w:r>
      <w:r>
        <w:rPr>
          <w:lang w:val="en-GB"/>
        </w:rPr>
        <w:tab/>
      </w:r>
      <w:r w:rsidRPr="00DF37A3">
        <w:rPr>
          <w:lang w:val="en-GB"/>
        </w:rPr>
        <w:t>At the same time, the gender composition within the parliamentary parties remains imbalanced (currently there are 6 parties).</w:t>
      </w:r>
    </w:p>
    <w:p w14:paraId="62F3C2FF" w14:textId="77777777" w:rsidR="004A3AB4" w:rsidRPr="004A4EC8" w:rsidRDefault="004A3AB4" w:rsidP="004A3AB4">
      <w:pPr>
        <w:pStyle w:val="SingleTxt"/>
        <w:spacing w:after="0" w:line="120" w:lineRule="exact"/>
        <w:rPr>
          <w:sz w:val="10"/>
          <w:lang w:val="en-GB"/>
        </w:rPr>
      </w:pPr>
    </w:p>
    <w:p w14:paraId="3C8CA959" w14:textId="77777777" w:rsidR="004A3AB4" w:rsidRPr="00DF37A3" w:rsidRDefault="004A3AB4" w:rsidP="004A3AB4">
      <w:pPr>
        <w:pStyle w:val="SingleTxt"/>
        <w:spacing w:after="0"/>
        <w:rPr>
          <w:lang w:val="en-GB"/>
        </w:rPr>
      </w:pPr>
      <w:r w:rsidRPr="00DF37A3">
        <w:rPr>
          <w:lang w:val="en-GB"/>
        </w:rPr>
        <w:t>Table 4</w:t>
      </w:r>
    </w:p>
    <w:p w14:paraId="7B4986B5" w14:textId="7879A143" w:rsidR="004A3AB4" w:rsidRPr="00DF37A3" w:rsidRDefault="004A3AB4" w:rsidP="00AE1D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480" w:hanging="1267"/>
      </w:pPr>
      <w:r>
        <w:tab/>
      </w:r>
      <w:r>
        <w:tab/>
      </w:r>
      <w:r w:rsidRPr="00DF37A3">
        <w:t>Representation of women in parties in the Zhogorku Kenesh of the Kyrgyz</w:t>
      </w:r>
      <w:r w:rsidR="00AE1D85">
        <w:t xml:space="preserve"> </w:t>
      </w:r>
      <w:r w:rsidRPr="00DF37A3">
        <w:t>Republic</w:t>
      </w:r>
    </w:p>
    <w:p w14:paraId="4EC1C39E" w14:textId="77777777" w:rsidR="004A3AB4" w:rsidRPr="004A4EC8" w:rsidRDefault="004A3AB4" w:rsidP="004A3AB4">
      <w:pPr>
        <w:pStyle w:val="SingleTxt"/>
        <w:spacing w:after="0" w:line="120" w:lineRule="exact"/>
        <w:rPr>
          <w:sz w:val="10"/>
          <w:lang w:val="en-GB"/>
        </w:rPr>
      </w:pPr>
    </w:p>
    <w:tbl>
      <w:tblPr>
        <w:tblStyle w:val="TableGrid"/>
        <w:tblW w:w="8613"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3"/>
        <w:gridCol w:w="3150"/>
        <w:gridCol w:w="1395"/>
        <w:gridCol w:w="1395"/>
        <w:gridCol w:w="115"/>
        <w:gridCol w:w="2115"/>
      </w:tblGrid>
      <w:tr w:rsidR="004A3AB4" w:rsidRPr="005D5343" w14:paraId="7F96E2C2" w14:textId="77777777" w:rsidTr="003C23CC">
        <w:trPr>
          <w:tblHeader/>
        </w:trPr>
        <w:tc>
          <w:tcPr>
            <w:tcW w:w="443" w:type="dxa"/>
            <w:tcBorders>
              <w:top w:val="single" w:sz="4" w:space="0" w:color="auto"/>
            </w:tcBorders>
            <w:shd w:val="clear" w:color="auto" w:fill="auto"/>
            <w:vAlign w:val="bottom"/>
          </w:tcPr>
          <w:p w14:paraId="7A7A5398" w14:textId="77777777" w:rsidR="004A3AB4" w:rsidRPr="005D5343"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p>
        </w:tc>
        <w:tc>
          <w:tcPr>
            <w:tcW w:w="3150" w:type="dxa"/>
            <w:tcBorders>
              <w:top w:val="single" w:sz="4" w:space="0" w:color="auto"/>
            </w:tcBorders>
            <w:shd w:val="clear" w:color="auto" w:fill="auto"/>
            <w:vAlign w:val="bottom"/>
          </w:tcPr>
          <w:p w14:paraId="41E5EE32" w14:textId="77777777" w:rsidR="004A3AB4" w:rsidRPr="005D5343"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c>
          <w:tcPr>
            <w:tcW w:w="2790" w:type="dxa"/>
            <w:gridSpan w:val="2"/>
            <w:tcBorders>
              <w:top w:val="single" w:sz="4" w:space="0" w:color="auto"/>
              <w:bottom w:val="single" w:sz="4" w:space="0" w:color="auto"/>
            </w:tcBorders>
            <w:shd w:val="clear" w:color="auto" w:fill="auto"/>
            <w:vAlign w:val="bottom"/>
          </w:tcPr>
          <w:p w14:paraId="2CEFD74C" w14:textId="77777777" w:rsidR="004A3AB4" w:rsidRPr="005D5343"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center"/>
              <w:rPr>
                <w:i/>
                <w:sz w:val="14"/>
                <w:lang w:val="en-GB"/>
              </w:rPr>
            </w:pPr>
            <w:r w:rsidRPr="005D5343">
              <w:rPr>
                <w:i/>
                <w:sz w:val="14"/>
                <w:lang w:val="en-GB"/>
              </w:rPr>
              <w:t>Number of women parliamentarians</w:t>
            </w:r>
          </w:p>
        </w:tc>
        <w:tc>
          <w:tcPr>
            <w:tcW w:w="115" w:type="dxa"/>
            <w:tcBorders>
              <w:top w:val="single" w:sz="4" w:space="0" w:color="auto"/>
            </w:tcBorders>
            <w:shd w:val="clear" w:color="auto" w:fill="auto"/>
            <w:vAlign w:val="bottom"/>
          </w:tcPr>
          <w:p w14:paraId="08233E01" w14:textId="77777777" w:rsidR="004A3AB4" w:rsidRPr="005D5343"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c>
          <w:tcPr>
            <w:tcW w:w="1665" w:type="dxa"/>
            <w:tcBorders>
              <w:top w:val="single" w:sz="4" w:space="0" w:color="auto"/>
              <w:bottom w:val="single" w:sz="4" w:space="0" w:color="auto"/>
            </w:tcBorders>
            <w:shd w:val="clear" w:color="auto" w:fill="auto"/>
            <w:vAlign w:val="bottom"/>
          </w:tcPr>
          <w:p w14:paraId="4B0E531A" w14:textId="77777777" w:rsidR="004A3AB4" w:rsidRPr="005D5343"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5D5343">
              <w:rPr>
                <w:i/>
                <w:sz w:val="14"/>
                <w:lang w:val="en-GB"/>
              </w:rPr>
              <w:t>Total number of representatives in the party</w:t>
            </w:r>
          </w:p>
        </w:tc>
      </w:tr>
      <w:tr w:rsidR="004A3AB4" w:rsidRPr="005D5343" w14:paraId="7A69657B" w14:textId="77777777" w:rsidTr="003C23CC">
        <w:trPr>
          <w:tblHeader/>
        </w:trPr>
        <w:tc>
          <w:tcPr>
            <w:tcW w:w="443" w:type="dxa"/>
            <w:tcBorders>
              <w:bottom w:val="single" w:sz="12" w:space="0" w:color="auto"/>
            </w:tcBorders>
            <w:shd w:val="clear" w:color="auto" w:fill="auto"/>
            <w:vAlign w:val="bottom"/>
          </w:tcPr>
          <w:p w14:paraId="5A863645" w14:textId="77777777" w:rsidR="004A3AB4" w:rsidRPr="005D5343"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5D5343">
              <w:rPr>
                <w:i/>
                <w:sz w:val="14"/>
                <w:lang w:val="en-GB"/>
              </w:rPr>
              <w:t>No.</w:t>
            </w:r>
          </w:p>
        </w:tc>
        <w:tc>
          <w:tcPr>
            <w:tcW w:w="3150" w:type="dxa"/>
            <w:tcBorders>
              <w:bottom w:val="single" w:sz="12" w:space="0" w:color="auto"/>
            </w:tcBorders>
            <w:shd w:val="clear" w:color="auto" w:fill="auto"/>
            <w:vAlign w:val="bottom"/>
          </w:tcPr>
          <w:p w14:paraId="69DCD067" w14:textId="77777777" w:rsidR="004A3AB4" w:rsidRPr="005D5343"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5D5343">
              <w:rPr>
                <w:i/>
                <w:sz w:val="14"/>
                <w:lang w:val="en-GB"/>
              </w:rPr>
              <w:t>Party</w:t>
            </w:r>
          </w:p>
        </w:tc>
        <w:tc>
          <w:tcPr>
            <w:tcW w:w="1395" w:type="dxa"/>
            <w:tcBorders>
              <w:top w:val="single" w:sz="4" w:space="0" w:color="auto"/>
              <w:bottom w:val="single" w:sz="12" w:space="0" w:color="auto"/>
            </w:tcBorders>
            <w:shd w:val="clear" w:color="auto" w:fill="auto"/>
            <w:vAlign w:val="bottom"/>
          </w:tcPr>
          <w:p w14:paraId="5733E95E" w14:textId="77777777" w:rsidR="004A3AB4" w:rsidRPr="005D5343"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5D5343">
              <w:rPr>
                <w:i/>
                <w:sz w:val="14"/>
                <w:lang w:val="en-GB"/>
              </w:rPr>
              <w:t>Persons</w:t>
            </w:r>
          </w:p>
        </w:tc>
        <w:tc>
          <w:tcPr>
            <w:tcW w:w="1395" w:type="dxa"/>
            <w:tcBorders>
              <w:top w:val="single" w:sz="4" w:space="0" w:color="auto"/>
              <w:bottom w:val="single" w:sz="12" w:space="0" w:color="auto"/>
            </w:tcBorders>
            <w:shd w:val="clear" w:color="auto" w:fill="auto"/>
            <w:vAlign w:val="bottom"/>
          </w:tcPr>
          <w:p w14:paraId="7D8C8ED7" w14:textId="77777777" w:rsidR="004A3AB4" w:rsidRPr="005D5343"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5D5343">
              <w:rPr>
                <w:i/>
                <w:sz w:val="14"/>
                <w:lang w:val="en-GB"/>
              </w:rPr>
              <w:t>Per cent</w:t>
            </w:r>
          </w:p>
        </w:tc>
        <w:tc>
          <w:tcPr>
            <w:tcW w:w="2230" w:type="dxa"/>
            <w:gridSpan w:val="2"/>
            <w:tcBorders>
              <w:bottom w:val="single" w:sz="12" w:space="0" w:color="auto"/>
            </w:tcBorders>
            <w:shd w:val="clear" w:color="auto" w:fill="auto"/>
            <w:vAlign w:val="bottom"/>
          </w:tcPr>
          <w:p w14:paraId="1450CA31" w14:textId="77777777" w:rsidR="004A3AB4" w:rsidRPr="005D5343"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5D5343">
              <w:rPr>
                <w:i/>
                <w:sz w:val="14"/>
                <w:lang w:val="en-GB"/>
              </w:rPr>
              <w:t>Persons</w:t>
            </w:r>
          </w:p>
        </w:tc>
      </w:tr>
      <w:tr w:rsidR="004A3AB4" w:rsidRPr="005D5343" w14:paraId="2F9F02DB" w14:textId="77777777" w:rsidTr="003C23CC">
        <w:trPr>
          <w:trHeight w:hRule="exact" w:val="115"/>
          <w:tblHeader/>
        </w:trPr>
        <w:tc>
          <w:tcPr>
            <w:tcW w:w="443" w:type="dxa"/>
            <w:tcBorders>
              <w:top w:val="single" w:sz="12" w:space="0" w:color="auto"/>
            </w:tcBorders>
            <w:shd w:val="clear" w:color="auto" w:fill="auto"/>
            <w:vAlign w:val="bottom"/>
          </w:tcPr>
          <w:p w14:paraId="38671BEA" w14:textId="77777777" w:rsidR="004A3AB4" w:rsidRPr="005D5343"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3150" w:type="dxa"/>
            <w:tcBorders>
              <w:top w:val="single" w:sz="12" w:space="0" w:color="auto"/>
            </w:tcBorders>
            <w:shd w:val="clear" w:color="auto" w:fill="auto"/>
            <w:vAlign w:val="bottom"/>
          </w:tcPr>
          <w:p w14:paraId="66A6C024" w14:textId="77777777" w:rsidR="004A3AB4" w:rsidRPr="005D5343"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395" w:type="dxa"/>
            <w:tcBorders>
              <w:top w:val="single" w:sz="12" w:space="0" w:color="auto"/>
            </w:tcBorders>
            <w:shd w:val="clear" w:color="auto" w:fill="auto"/>
            <w:vAlign w:val="bottom"/>
          </w:tcPr>
          <w:p w14:paraId="262600A4" w14:textId="77777777" w:rsidR="004A3AB4" w:rsidRPr="005D5343"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395" w:type="dxa"/>
            <w:tcBorders>
              <w:top w:val="single" w:sz="12" w:space="0" w:color="auto"/>
            </w:tcBorders>
            <w:shd w:val="clear" w:color="auto" w:fill="auto"/>
            <w:vAlign w:val="bottom"/>
          </w:tcPr>
          <w:p w14:paraId="1AF36C12" w14:textId="77777777" w:rsidR="004A3AB4" w:rsidRPr="005D5343"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2230" w:type="dxa"/>
            <w:gridSpan w:val="2"/>
            <w:tcBorders>
              <w:top w:val="single" w:sz="12" w:space="0" w:color="auto"/>
            </w:tcBorders>
            <w:shd w:val="clear" w:color="auto" w:fill="auto"/>
            <w:vAlign w:val="bottom"/>
          </w:tcPr>
          <w:p w14:paraId="0785B5E0" w14:textId="77777777" w:rsidR="004A3AB4" w:rsidRPr="005D5343"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4A3AB4" w:rsidRPr="005D5343" w14:paraId="3EC7E38E" w14:textId="77777777" w:rsidTr="003C23CC">
        <w:tc>
          <w:tcPr>
            <w:tcW w:w="443" w:type="dxa"/>
            <w:shd w:val="clear" w:color="auto" w:fill="auto"/>
            <w:vAlign w:val="bottom"/>
          </w:tcPr>
          <w:p w14:paraId="023D530B" w14:textId="77777777" w:rsidR="004A3AB4" w:rsidRPr="005D5343"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5D5343">
              <w:rPr>
                <w:sz w:val="17"/>
                <w:lang w:val="en-GB"/>
              </w:rPr>
              <w:t>1.</w:t>
            </w:r>
          </w:p>
        </w:tc>
        <w:tc>
          <w:tcPr>
            <w:tcW w:w="3150" w:type="dxa"/>
            <w:shd w:val="clear" w:color="auto" w:fill="auto"/>
          </w:tcPr>
          <w:p w14:paraId="05A78B6A" w14:textId="77777777" w:rsidR="004A3AB4" w:rsidRPr="005D5343"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5D5343">
              <w:rPr>
                <w:sz w:val="17"/>
                <w:lang w:val="en-GB"/>
              </w:rPr>
              <w:t>Social-Democratic Party of Kyrgyzstan</w:t>
            </w:r>
          </w:p>
        </w:tc>
        <w:tc>
          <w:tcPr>
            <w:tcW w:w="1395" w:type="dxa"/>
            <w:shd w:val="clear" w:color="auto" w:fill="auto"/>
            <w:vAlign w:val="bottom"/>
          </w:tcPr>
          <w:p w14:paraId="079C20C1" w14:textId="77777777" w:rsidR="004A3AB4" w:rsidRPr="005D5343"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D5343">
              <w:rPr>
                <w:sz w:val="17"/>
                <w:lang w:val="en-GB"/>
              </w:rPr>
              <w:t>11</w:t>
            </w:r>
          </w:p>
        </w:tc>
        <w:tc>
          <w:tcPr>
            <w:tcW w:w="1395" w:type="dxa"/>
            <w:shd w:val="clear" w:color="auto" w:fill="auto"/>
            <w:vAlign w:val="bottom"/>
          </w:tcPr>
          <w:p w14:paraId="0BA13BE9" w14:textId="77777777" w:rsidR="004A3AB4" w:rsidRPr="005D5343"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D5343">
              <w:rPr>
                <w:sz w:val="17"/>
                <w:lang w:val="en-GB"/>
              </w:rPr>
              <w:t>29</w:t>
            </w:r>
          </w:p>
        </w:tc>
        <w:tc>
          <w:tcPr>
            <w:tcW w:w="2230" w:type="dxa"/>
            <w:gridSpan w:val="2"/>
            <w:shd w:val="clear" w:color="auto" w:fill="auto"/>
            <w:vAlign w:val="bottom"/>
          </w:tcPr>
          <w:p w14:paraId="43841FE1" w14:textId="77777777" w:rsidR="004A3AB4" w:rsidRPr="005D5343"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D5343">
              <w:rPr>
                <w:sz w:val="17"/>
                <w:lang w:val="en-GB"/>
              </w:rPr>
              <w:t>38</w:t>
            </w:r>
          </w:p>
        </w:tc>
      </w:tr>
      <w:tr w:rsidR="004A3AB4" w:rsidRPr="005D5343" w14:paraId="68A31859" w14:textId="77777777" w:rsidTr="003C23CC">
        <w:tc>
          <w:tcPr>
            <w:tcW w:w="443" w:type="dxa"/>
            <w:shd w:val="clear" w:color="auto" w:fill="auto"/>
            <w:vAlign w:val="bottom"/>
          </w:tcPr>
          <w:p w14:paraId="15718D90" w14:textId="77777777" w:rsidR="004A3AB4" w:rsidRPr="005D5343"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5D5343">
              <w:rPr>
                <w:sz w:val="17"/>
                <w:lang w:val="en-GB"/>
              </w:rPr>
              <w:t>2.</w:t>
            </w:r>
          </w:p>
        </w:tc>
        <w:tc>
          <w:tcPr>
            <w:tcW w:w="3150" w:type="dxa"/>
            <w:shd w:val="clear" w:color="auto" w:fill="auto"/>
          </w:tcPr>
          <w:p w14:paraId="40509206" w14:textId="77777777" w:rsidR="004A3AB4" w:rsidRPr="005D5343"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5D5343">
              <w:rPr>
                <w:sz w:val="17"/>
                <w:lang w:val="en-GB"/>
              </w:rPr>
              <w:t>Republic – Ata-Zhurt</w:t>
            </w:r>
          </w:p>
        </w:tc>
        <w:tc>
          <w:tcPr>
            <w:tcW w:w="1395" w:type="dxa"/>
            <w:shd w:val="clear" w:color="auto" w:fill="auto"/>
            <w:vAlign w:val="bottom"/>
          </w:tcPr>
          <w:p w14:paraId="6DFEB94F" w14:textId="77777777" w:rsidR="004A3AB4" w:rsidRPr="005D5343"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D5343">
              <w:rPr>
                <w:sz w:val="17"/>
                <w:lang w:val="en-GB"/>
              </w:rPr>
              <w:t>4</w:t>
            </w:r>
          </w:p>
        </w:tc>
        <w:tc>
          <w:tcPr>
            <w:tcW w:w="1395" w:type="dxa"/>
            <w:shd w:val="clear" w:color="auto" w:fill="auto"/>
            <w:vAlign w:val="bottom"/>
          </w:tcPr>
          <w:p w14:paraId="6017F054" w14:textId="77777777" w:rsidR="004A3AB4" w:rsidRPr="005D5343"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D5343">
              <w:rPr>
                <w:sz w:val="17"/>
                <w:lang w:val="en-GB"/>
              </w:rPr>
              <w:t>14</w:t>
            </w:r>
          </w:p>
        </w:tc>
        <w:tc>
          <w:tcPr>
            <w:tcW w:w="2230" w:type="dxa"/>
            <w:gridSpan w:val="2"/>
            <w:shd w:val="clear" w:color="auto" w:fill="auto"/>
            <w:vAlign w:val="bottom"/>
          </w:tcPr>
          <w:p w14:paraId="116B9E43" w14:textId="77777777" w:rsidR="004A3AB4" w:rsidRPr="005D5343"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D5343">
              <w:rPr>
                <w:sz w:val="17"/>
                <w:lang w:val="en-GB"/>
              </w:rPr>
              <w:t>28</w:t>
            </w:r>
          </w:p>
        </w:tc>
      </w:tr>
      <w:tr w:rsidR="004A3AB4" w:rsidRPr="005D5343" w14:paraId="09098007" w14:textId="77777777" w:rsidTr="003C23CC">
        <w:tc>
          <w:tcPr>
            <w:tcW w:w="443" w:type="dxa"/>
            <w:shd w:val="clear" w:color="auto" w:fill="auto"/>
            <w:vAlign w:val="bottom"/>
          </w:tcPr>
          <w:p w14:paraId="53EA0E62" w14:textId="77777777" w:rsidR="004A3AB4" w:rsidRPr="005D5343"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5D5343">
              <w:rPr>
                <w:sz w:val="17"/>
                <w:lang w:val="en-GB"/>
              </w:rPr>
              <w:t>3.</w:t>
            </w:r>
          </w:p>
        </w:tc>
        <w:tc>
          <w:tcPr>
            <w:tcW w:w="3150" w:type="dxa"/>
            <w:shd w:val="clear" w:color="auto" w:fill="auto"/>
          </w:tcPr>
          <w:p w14:paraId="5536AFB3" w14:textId="77777777" w:rsidR="004A3AB4" w:rsidRPr="005D5343"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5D5343">
              <w:rPr>
                <w:sz w:val="17"/>
                <w:lang w:val="en-GB"/>
              </w:rPr>
              <w:t>Kyrgyzstan</w:t>
            </w:r>
          </w:p>
        </w:tc>
        <w:tc>
          <w:tcPr>
            <w:tcW w:w="1395" w:type="dxa"/>
            <w:shd w:val="clear" w:color="auto" w:fill="auto"/>
            <w:vAlign w:val="bottom"/>
          </w:tcPr>
          <w:p w14:paraId="2DFF47A9" w14:textId="77777777" w:rsidR="004A3AB4" w:rsidRPr="005D5343"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D5343">
              <w:rPr>
                <w:sz w:val="17"/>
                <w:lang w:val="en-GB"/>
              </w:rPr>
              <w:t>0</w:t>
            </w:r>
          </w:p>
        </w:tc>
        <w:tc>
          <w:tcPr>
            <w:tcW w:w="1395" w:type="dxa"/>
            <w:shd w:val="clear" w:color="auto" w:fill="auto"/>
            <w:vAlign w:val="bottom"/>
          </w:tcPr>
          <w:p w14:paraId="356CEBDF" w14:textId="77777777" w:rsidR="004A3AB4" w:rsidRPr="005D5343"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D5343">
              <w:rPr>
                <w:sz w:val="17"/>
                <w:lang w:val="en-GB"/>
              </w:rPr>
              <w:t>0</w:t>
            </w:r>
          </w:p>
        </w:tc>
        <w:tc>
          <w:tcPr>
            <w:tcW w:w="2230" w:type="dxa"/>
            <w:gridSpan w:val="2"/>
            <w:shd w:val="clear" w:color="auto" w:fill="auto"/>
            <w:vAlign w:val="bottom"/>
          </w:tcPr>
          <w:p w14:paraId="2EA19CCF" w14:textId="77777777" w:rsidR="004A3AB4" w:rsidRPr="005D5343"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D5343">
              <w:rPr>
                <w:sz w:val="17"/>
                <w:lang w:val="en-GB"/>
              </w:rPr>
              <w:t>18</w:t>
            </w:r>
          </w:p>
        </w:tc>
      </w:tr>
      <w:tr w:rsidR="004A3AB4" w:rsidRPr="005D5343" w14:paraId="56016584" w14:textId="77777777" w:rsidTr="003C23CC">
        <w:tc>
          <w:tcPr>
            <w:tcW w:w="443" w:type="dxa"/>
            <w:shd w:val="clear" w:color="auto" w:fill="auto"/>
            <w:vAlign w:val="bottom"/>
          </w:tcPr>
          <w:p w14:paraId="4C814351" w14:textId="77777777" w:rsidR="004A3AB4" w:rsidRPr="005D5343"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5D5343">
              <w:rPr>
                <w:sz w:val="17"/>
                <w:lang w:val="en-GB"/>
              </w:rPr>
              <w:t>4.</w:t>
            </w:r>
          </w:p>
        </w:tc>
        <w:tc>
          <w:tcPr>
            <w:tcW w:w="3150" w:type="dxa"/>
            <w:shd w:val="clear" w:color="auto" w:fill="auto"/>
          </w:tcPr>
          <w:p w14:paraId="16004BCD" w14:textId="77777777" w:rsidR="004A3AB4" w:rsidRPr="005D5343"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5D5343">
              <w:rPr>
                <w:sz w:val="17"/>
                <w:lang w:val="en-GB"/>
              </w:rPr>
              <w:t>Onuguu-Progress</w:t>
            </w:r>
          </w:p>
        </w:tc>
        <w:tc>
          <w:tcPr>
            <w:tcW w:w="1395" w:type="dxa"/>
            <w:shd w:val="clear" w:color="auto" w:fill="auto"/>
            <w:vAlign w:val="bottom"/>
          </w:tcPr>
          <w:p w14:paraId="2468B4FE" w14:textId="77777777" w:rsidR="004A3AB4" w:rsidRPr="005D5343"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D5343">
              <w:rPr>
                <w:sz w:val="17"/>
                <w:lang w:val="en-GB"/>
              </w:rPr>
              <w:t>1</w:t>
            </w:r>
          </w:p>
        </w:tc>
        <w:tc>
          <w:tcPr>
            <w:tcW w:w="1395" w:type="dxa"/>
            <w:shd w:val="clear" w:color="auto" w:fill="auto"/>
            <w:vAlign w:val="bottom"/>
          </w:tcPr>
          <w:p w14:paraId="5FF42C9E" w14:textId="77777777" w:rsidR="004A3AB4" w:rsidRPr="005D5343"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D5343">
              <w:rPr>
                <w:sz w:val="17"/>
                <w:lang w:val="en-GB"/>
              </w:rPr>
              <w:t>8</w:t>
            </w:r>
          </w:p>
        </w:tc>
        <w:tc>
          <w:tcPr>
            <w:tcW w:w="2230" w:type="dxa"/>
            <w:gridSpan w:val="2"/>
            <w:shd w:val="clear" w:color="auto" w:fill="auto"/>
            <w:vAlign w:val="bottom"/>
          </w:tcPr>
          <w:p w14:paraId="35609A04" w14:textId="77777777" w:rsidR="004A3AB4" w:rsidRPr="005D5343"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D5343">
              <w:rPr>
                <w:sz w:val="17"/>
                <w:lang w:val="en-GB"/>
              </w:rPr>
              <w:t>13</w:t>
            </w:r>
          </w:p>
        </w:tc>
      </w:tr>
      <w:tr w:rsidR="004A3AB4" w:rsidRPr="005D5343" w14:paraId="09781D09" w14:textId="77777777" w:rsidTr="003C23CC">
        <w:tc>
          <w:tcPr>
            <w:tcW w:w="443" w:type="dxa"/>
            <w:shd w:val="clear" w:color="auto" w:fill="auto"/>
            <w:vAlign w:val="bottom"/>
          </w:tcPr>
          <w:p w14:paraId="0EA05F89" w14:textId="77777777" w:rsidR="004A3AB4" w:rsidRPr="005D5343"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s-ES"/>
              </w:rPr>
            </w:pPr>
            <w:r w:rsidRPr="005D5343">
              <w:rPr>
                <w:sz w:val="17"/>
                <w:lang w:val="es-ES"/>
              </w:rPr>
              <w:t>5.</w:t>
            </w:r>
          </w:p>
        </w:tc>
        <w:tc>
          <w:tcPr>
            <w:tcW w:w="3150" w:type="dxa"/>
            <w:shd w:val="clear" w:color="auto" w:fill="auto"/>
          </w:tcPr>
          <w:p w14:paraId="397DB16F" w14:textId="77777777" w:rsidR="004A3AB4" w:rsidRPr="005D5343"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s-ES"/>
              </w:rPr>
            </w:pPr>
            <w:r w:rsidRPr="005D5343">
              <w:rPr>
                <w:sz w:val="17"/>
                <w:lang w:val="es-ES"/>
              </w:rPr>
              <w:t>Bir-Bol</w:t>
            </w:r>
          </w:p>
        </w:tc>
        <w:tc>
          <w:tcPr>
            <w:tcW w:w="1395" w:type="dxa"/>
            <w:shd w:val="clear" w:color="auto" w:fill="auto"/>
            <w:vAlign w:val="bottom"/>
          </w:tcPr>
          <w:p w14:paraId="260CBEAD" w14:textId="77777777" w:rsidR="004A3AB4" w:rsidRPr="005D5343"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
              </w:rPr>
            </w:pPr>
            <w:r w:rsidRPr="005D5343">
              <w:rPr>
                <w:sz w:val="17"/>
                <w:lang w:val="es-ES"/>
              </w:rPr>
              <w:t>0</w:t>
            </w:r>
          </w:p>
        </w:tc>
        <w:tc>
          <w:tcPr>
            <w:tcW w:w="1395" w:type="dxa"/>
            <w:shd w:val="clear" w:color="auto" w:fill="auto"/>
            <w:vAlign w:val="bottom"/>
          </w:tcPr>
          <w:p w14:paraId="51FBB409" w14:textId="77777777" w:rsidR="004A3AB4" w:rsidRPr="005D5343"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
              </w:rPr>
            </w:pPr>
            <w:r w:rsidRPr="005D5343">
              <w:rPr>
                <w:sz w:val="17"/>
                <w:lang w:val="es-ES"/>
              </w:rPr>
              <w:t>0</w:t>
            </w:r>
          </w:p>
        </w:tc>
        <w:tc>
          <w:tcPr>
            <w:tcW w:w="2230" w:type="dxa"/>
            <w:gridSpan w:val="2"/>
            <w:shd w:val="clear" w:color="auto" w:fill="auto"/>
            <w:vAlign w:val="bottom"/>
          </w:tcPr>
          <w:p w14:paraId="40369828" w14:textId="77777777" w:rsidR="004A3AB4" w:rsidRPr="005D5343"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
              </w:rPr>
            </w:pPr>
            <w:r w:rsidRPr="005D5343">
              <w:rPr>
                <w:sz w:val="17"/>
                <w:lang w:val="es-ES"/>
              </w:rPr>
              <w:t>12</w:t>
            </w:r>
          </w:p>
        </w:tc>
      </w:tr>
      <w:tr w:rsidR="004A3AB4" w:rsidRPr="005D5343" w14:paraId="1BE7ABA1" w14:textId="77777777" w:rsidTr="003C23CC">
        <w:tc>
          <w:tcPr>
            <w:tcW w:w="443" w:type="dxa"/>
            <w:tcBorders>
              <w:bottom w:val="single" w:sz="4" w:space="0" w:color="auto"/>
            </w:tcBorders>
            <w:shd w:val="clear" w:color="auto" w:fill="auto"/>
            <w:vAlign w:val="bottom"/>
          </w:tcPr>
          <w:p w14:paraId="5FFEA853" w14:textId="77777777" w:rsidR="004A3AB4" w:rsidRPr="005D5343"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lang w:val="es-ES"/>
              </w:rPr>
            </w:pPr>
            <w:r w:rsidRPr="005D5343">
              <w:rPr>
                <w:sz w:val="17"/>
                <w:lang w:val="es-ES"/>
              </w:rPr>
              <w:t>6.</w:t>
            </w:r>
          </w:p>
        </w:tc>
        <w:tc>
          <w:tcPr>
            <w:tcW w:w="3150" w:type="dxa"/>
            <w:tcBorders>
              <w:bottom w:val="single" w:sz="4" w:space="0" w:color="auto"/>
            </w:tcBorders>
            <w:shd w:val="clear" w:color="auto" w:fill="auto"/>
          </w:tcPr>
          <w:p w14:paraId="478C71FC" w14:textId="77777777" w:rsidR="004A3AB4" w:rsidRPr="005D5343"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left"/>
              <w:rPr>
                <w:sz w:val="17"/>
                <w:lang w:val="es-ES"/>
              </w:rPr>
            </w:pPr>
            <w:r w:rsidRPr="005D5343">
              <w:rPr>
                <w:sz w:val="17"/>
                <w:lang w:val="es-ES"/>
              </w:rPr>
              <w:t>Ata Meken</w:t>
            </w:r>
          </w:p>
        </w:tc>
        <w:tc>
          <w:tcPr>
            <w:tcW w:w="1395" w:type="dxa"/>
            <w:tcBorders>
              <w:bottom w:val="single" w:sz="4" w:space="0" w:color="auto"/>
            </w:tcBorders>
            <w:shd w:val="clear" w:color="auto" w:fill="auto"/>
            <w:vAlign w:val="bottom"/>
          </w:tcPr>
          <w:p w14:paraId="71FDB7B8" w14:textId="77777777" w:rsidR="004A3AB4" w:rsidRPr="005D5343"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s-ES"/>
              </w:rPr>
            </w:pPr>
            <w:r w:rsidRPr="005D5343">
              <w:rPr>
                <w:sz w:val="17"/>
                <w:lang w:val="es-ES"/>
              </w:rPr>
              <w:t>3</w:t>
            </w:r>
          </w:p>
        </w:tc>
        <w:tc>
          <w:tcPr>
            <w:tcW w:w="1395" w:type="dxa"/>
            <w:tcBorders>
              <w:bottom w:val="single" w:sz="4" w:space="0" w:color="auto"/>
            </w:tcBorders>
            <w:shd w:val="clear" w:color="auto" w:fill="auto"/>
            <w:vAlign w:val="bottom"/>
          </w:tcPr>
          <w:p w14:paraId="2D7E129E" w14:textId="77777777" w:rsidR="004A3AB4" w:rsidRPr="005D5343"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s-ES"/>
              </w:rPr>
            </w:pPr>
            <w:r w:rsidRPr="005D5343">
              <w:rPr>
                <w:sz w:val="17"/>
                <w:lang w:val="es-ES"/>
              </w:rPr>
              <w:t>27</w:t>
            </w:r>
          </w:p>
        </w:tc>
        <w:tc>
          <w:tcPr>
            <w:tcW w:w="2230" w:type="dxa"/>
            <w:gridSpan w:val="2"/>
            <w:tcBorders>
              <w:bottom w:val="single" w:sz="4" w:space="0" w:color="auto"/>
            </w:tcBorders>
            <w:shd w:val="clear" w:color="auto" w:fill="auto"/>
            <w:vAlign w:val="bottom"/>
          </w:tcPr>
          <w:p w14:paraId="589D0C24" w14:textId="77777777" w:rsidR="004A3AB4" w:rsidRPr="005D5343"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s-ES"/>
              </w:rPr>
            </w:pPr>
            <w:r w:rsidRPr="005D5343">
              <w:rPr>
                <w:sz w:val="17"/>
                <w:lang w:val="es-ES"/>
              </w:rPr>
              <w:t>11</w:t>
            </w:r>
          </w:p>
        </w:tc>
      </w:tr>
      <w:tr w:rsidR="004A3AB4" w:rsidRPr="005D5343" w14:paraId="78C0E587" w14:textId="77777777" w:rsidTr="003C23CC">
        <w:tc>
          <w:tcPr>
            <w:tcW w:w="443" w:type="dxa"/>
            <w:tcBorders>
              <w:top w:val="single" w:sz="4" w:space="0" w:color="auto"/>
              <w:bottom w:val="single" w:sz="12" w:space="0" w:color="auto"/>
            </w:tcBorders>
            <w:shd w:val="clear" w:color="auto" w:fill="auto"/>
            <w:vAlign w:val="bottom"/>
          </w:tcPr>
          <w:p w14:paraId="21AFFE35" w14:textId="77777777" w:rsidR="004A3AB4" w:rsidRPr="005D5343"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lang w:val="es-ES"/>
              </w:rPr>
            </w:pPr>
          </w:p>
        </w:tc>
        <w:tc>
          <w:tcPr>
            <w:tcW w:w="3150" w:type="dxa"/>
            <w:tcBorders>
              <w:top w:val="single" w:sz="4" w:space="0" w:color="auto"/>
              <w:bottom w:val="single" w:sz="12" w:space="0" w:color="auto"/>
            </w:tcBorders>
            <w:shd w:val="clear" w:color="auto" w:fill="auto"/>
            <w:vAlign w:val="bottom"/>
          </w:tcPr>
          <w:p w14:paraId="77B7EC00" w14:textId="77777777" w:rsidR="004A3AB4" w:rsidRPr="005D5343"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left"/>
              <w:rPr>
                <w:b/>
                <w:sz w:val="17"/>
                <w:lang w:val="es-ES"/>
              </w:rPr>
            </w:pPr>
            <w:r w:rsidRPr="005D5343">
              <w:rPr>
                <w:b/>
                <w:sz w:val="17"/>
                <w:lang w:val="es-ES"/>
              </w:rPr>
              <w:tab/>
              <w:t>Total</w:t>
            </w:r>
          </w:p>
        </w:tc>
        <w:tc>
          <w:tcPr>
            <w:tcW w:w="1395" w:type="dxa"/>
            <w:tcBorders>
              <w:top w:val="single" w:sz="4" w:space="0" w:color="auto"/>
              <w:bottom w:val="single" w:sz="12" w:space="0" w:color="auto"/>
            </w:tcBorders>
            <w:shd w:val="clear" w:color="auto" w:fill="auto"/>
            <w:vAlign w:val="bottom"/>
          </w:tcPr>
          <w:p w14:paraId="65E5B768" w14:textId="77777777" w:rsidR="004A3AB4" w:rsidRPr="005D5343"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s-ES"/>
              </w:rPr>
            </w:pPr>
            <w:r w:rsidRPr="005D5343">
              <w:rPr>
                <w:b/>
                <w:sz w:val="17"/>
                <w:lang w:val="es-ES"/>
              </w:rPr>
              <w:t>19</w:t>
            </w:r>
          </w:p>
        </w:tc>
        <w:tc>
          <w:tcPr>
            <w:tcW w:w="1395" w:type="dxa"/>
            <w:tcBorders>
              <w:top w:val="single" w:sz="4" w:space="0" w:color="auto"/>
              <w:bottom w:val="single" w:sz="12" w:space="0" w:color="auto"/>
            </w:tcBorders>
            <w:shd w:val="clear" w:color="auto" w:fill="auto"/>
            <w:vAlign w:val="bottom"/>
          </w:tcPr>
          <w:p w14:paraId="38B9F0EA" w14:textId="77777777" w:rsidR="004A3AB4" w:rsidRPr="005D5343"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s-ES"/>
              </w:rPr>
            </w:pPr>
            <w:r w:rsidRPr="005D5343">
              <w:rPr>
                <w:b/>
                <w:sz w:val="17"/>
                <w:lang w:val="es-ES"/>
              </w:rPr>
              <w:t>15.8</w:t>
            </w:r>
          </w:p>
        </w:tc>
        <w:tc>
          <w:tcPr>
            <w:tcW w:w="2230" w:type="dxa"/>
            <w:gridSpan w:val="2"/>
            <w:tcBorders>
              <w:top w:val="single" w:sz="4" w:space="0" w:color="auto"/>
              <w:bottom w:val="single" w:sz="12" w:space="0" w:color="auto"/>
            </w:tcBorders>
            <w:shd w:val="clear" w:color="auto" w:fill="auto"/>
            <w:vAlign w:val="bottom"/>
          </w:tcPr>
          <w:p w14:paraId="505C1C92" w14:textId="77777777" w:rsidR="004A3AB4" w:rsidRPr="005D5343"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s-ES"/>
              </w:rPr>
            </w:pPr>
            <w:r w:rsidRPr="005D5343">
              <w:rPr>
                <w:b/>
                <w:sz w:val="17"/>
                <w:lang w:val="es-ES"/>
              </w:rPr>
              <w:t>120</w:t>
            </w:r>
          </w:p>
        </w:tc>
      </w:tr>
    </w:tbl>
    <w:p w14:paraId="1B3259BE" w14:textId="77777777" w:rsidR="004A3AB4" w:rsidRPr="005D5343" w:rsidRDefault="004A3AB4" w:rsidP="004A3AB4">
      <w:pPr>
        <w:pStyle w:val="SingleTxt"/>
        <w:spacing w:after="0" w:line="120" w:lineRule="exact"/>
        <w:rPr>
          <w:sz w:val="10"/>
          <w:lang w:val="en-GB"/>
        </w:rPr>
      </w:pPr>
    </w:p>
    <w:p w14:paraId="75A97E80" w14:textId="77777777" w:rsidR="004A3AB4" w:rsidRPr="005D5343" w:rsidRDefault="004A3AB4" w:rsidP="004A3AB4">
      <w:pPr>
        <w:pStyle w:val="SingleTxt"/>
        <w:spacing w:after="0" w:line="120" w:lineRule="exact"/>
        <w:rPr>
          <w:sz w:val="10"/>
          <w:lang w:val="en-GB"/>
        </w:rPr>
      </w:pPr>
    </w:p>
    <w:p w14:paraId="0266E259" w14:textId="77777777" w:rsidR="004A3AB4" w:rsidRPr="00DF37A3" w:rsidRDefault="004A3AB4" w:rsidP="004A3AB4">
      <w:pPr>
        <w:pStyle w:val="SingleTxt"/>
        <w:rPr>
          <w:lang w:val="en-GB"/>
        </w:rPr>
      </w:pPr>
      <w:r w:rsidRPr="00DF37A3">
        <w:rPr>
          <w:lang w:val="en-GB"/>
        </w:rPr>
        <w:t>24.</w:t>
      </w:r>
      <w:r>
        <w:rPr>
          <w:lang w:val="en-GB"/>
        </w:rPr>
        <w:tab/>
      </w:r>
      <w:r w:rsidRPr="00DF37A3">
        <w:rPr>
          <w:lang w:val="en-GB"/>
        </w:rPr>
        <w:t>Despite the existence of gender quotas, the practice of “squeezing out” women candidates after the elections has led to a decline in the numbers of women’s representation in parliament. To date, since Kyrgyzstan gained its sovereignty, the country’s legislature has not achieved the minimum target of 30 per cent women’s representation in parliament, which was recommended in the Beijing Declaration and Platform for Action to improve the status of women. The ensuing public debate on this issue led to amendments to the electoral legislation in 2017, according to which “… in the event of the early termination of a representative’s term of office, his or her mandate shall be transferred to the next registered candidate:</w:t>
      </w:r>
    </w:p>
    <w:p w14:paraId="40062EE6" w14:textId="77777777" w:rsidR="004A3AB4" w:rsidRPr="00DF37A3" w:rsidRDefault="004A3AB4" w:rsidP="004A3AB4">
      <w:pPr>
        <w:pStyle w:val="SingleTxt"/>
        <w:ind w:left="1742" w:hanging="475"/>
        <w:rPr>
          <w:lang w:val="en-GB"/>
        </w:rPr>
      </w:pPr>
      <w:r>
        <w:rPr>
          <w:lang w:val="en-GB"/>
        </w:rPr>
        <w:tab/>
      </w:r>
      <w:r w:rsidRPr="00DF37A3">
        <w:rPr>
          <w:lang w:val="en-GB"/>
        </w:rPr>
        <w:t>(1)</w:t>
      </w:r>
      <w:r>
        <w:rPr>
          <w:lang w:val="en-GB"/>
        </w:rPr>
        <w:tab/>
      </w:r>
      <w:r w:rsidRPr="00DF37A3">
        <w:rPr>
          <w:lang w:val="en-GB"/>
        </w:rPr>
        <w:t>From among the female candidates, in the event of the termination of the mandate of a female representative;</w:t>
      </w:r>
    </w:p>
    <w:p w14:paraId="4841FABC" w14:textId="77777777" w:rsidR="004A3AB4" w:rsidRPr="00DF37A3" w:rsidRDefault="004A3AB4" w:rsidP="004A3AB4">
      <w:pPr>
        <w:pStyle w:val="SingleTxt"/>
        <w:ind w:left="1742" w:hanging="475"/>
        <w:rPr>
          <w:lang w:val="en-GB"/>
        </w:rPr>
      </w:pPr>
      <w:r>
        <w:rPr>
          <w:lang w:val="en-GB"/>
        </w:rPr>
        <w:lastRenderedPageBreak/>
        <w:tab/>
      </w:r>
      <w:r w:rsidRPr="00DF37A3">
        <w:rPr>
          <w:lang w:val="en-GB"/>
        </w:rPr>
        <w:t>(2)</w:t>
      </w:r>
      <w:r>
        <w:rPr>
          <w:lang w:val="en-GB"/>
        </w:rPr>
        <w:tab/>
      </w:r>
      <w:r w:rsidRPr="00DF37A3">
        <w:rPr>
          <w:lang w:val="en-GB"/>
        </w:rPr>
        <w:t>From among the male candidates, in the event of the termination of the mandate of a male representative.</w:t>
      </w:r>
    </w:p>
    <w:p w14:paraId="263CCC39" w14:textId="77777777" w:rsidR="004A3AB4" w:rsidRPr="00DF37A3" w:rsidRDefault="004A3AB4" w:rsidP="004A3AB4">
      <w:pPr>
        <w:pStyle w:val="SingleTxt"/>
        <w:rPr>
          <w:lang w:val="en-GB"/>
        </w:rPr>
      </w:pPr>
      <w:r>
        <w:rPr>
          <w:lang w:val="en-GB"/>
        </w:rPr>
        <w:tab/>
      </w:r>
      <w:r w:rsidRPr="00DF37A3">
        <w:rPr>
          <w:lang w:val="en-GB"/>
        </w:rPr>
        <w:t>In the event of the absence of the sex concerned in the list of candidates, the mandate of the representative shall be transferred to the next candidate from the same list.”</w:t>
      </w:r>
    </w:p>
    <w:p w14:paraId="05737CF4" w14:textId="77777777" w:rsidR="004A3AB4" w:rsidRPr="00DF37A3" w:rsidRDefault="004A3AB4" w:rsidP="004A3AB4">
      <w:pPr>
        <w:pStyle w:val="SingleTxt"/>
        <w:rPr>
          <w:lang w:val="en-GB"/>
        </w:rPr>
      </w:pPr>
      <w:r w:rsidRPr="00DF37A3">
        <w:rPr>
          <w:lang w:val="en-GB"/>
        </w:rPr>
        <w:t>25.</w:t>
      </w:r>
      <w:r>
        <w:rPr>
          <w:lang w:val="en-GB"/>
        </w:rPr>
        <w:tab/>
      </w:r>
      <w:r w:rsidRPr="00DF37A3">
        <w:rPr>
          <w:lang w:val="en-GB"/>
        </w:rPr>
        <w:t>Kyrgyzstan applies certain special legislative measures to ensure the representation of women and men in certain State bodies (no more than 70 per cent of persons of the same sex): representatives of the Zhogorku Kenesh, the Central Commission for Elections and Referendums, representatives of city councils, auditors of the Audit Chamber, judges of the Supreme Court, the Constitutional Chamber of the Supreme Court and deputies of the Ombudsman (</w:t>
      </w:r>
      <w:r w:rsidRPr="001957D8">
        <w:rPr>
          <w:i/>
          <w:iCs/>
          <w:lang w:val="en-GB"/>
        </w:rPr>
        <w:t>Akyikatchy</w:t>
      </w:r>
      <w:r w:rsidRPr="00DF37A3">
        <w:rPr>
          <w:lang w:val="en-GB"/>
        </w:rPr>
        <w:t>). Thanks to such special measures, the aforementioned State bodies are able to maintain the necessary minimum representation of women and men.</w:t>
      </w:r>
    </w:p>
    <w:p w14:paraId="3A8D52BD" w14:textId="77777777" w:rsidR="004A3AB4" w:rsidRPr="00DF37A3" w:rsidRDefault="004A3AB4" w:rsidP="004A3AB4">
      <w:pPr>
        <w:pStyle w:val="SingleTxt"/>
        <w:rPr>
          <w:lang w:val="en-GB"/>
        </w:rPr>
      </w:pPr>
      <w:r w:rsidRPr="00DF37A3">
        <w:rPr>
          <w:lang w:val="en-GB"/>
        </w:rPr>
        <w:t>26.</w:t>
      </w:r>
      <w:r>
        <w:rPr>
          <w:lang w:val="en-GB"/>
        </w:rPr>
        <w:tab/>
      </w:r>
      <w:r w:rsidRPr="00DF37A3">
        <w:rPr>
          <w:lang w:val="en-GB"/>
        </w:rPr>
        <w:t>However, the legislation does not provide for special measures to ensure gender representation at the level of local councils (</w:t>
      </w:r>
      <w:r w:rsidRPr="001957D8">
        <w:rPr>
          <w:i/>
          <w:iCs/>
          <w:lang w:val="en-GB"/>
        </w:rPr>
        <w:t>aiylny</w:t>
      </w:r>
      <w:r w:rsidRPr="00DF37A3">
        <w:rPr>
          <w:lang w:val="en-GB"/>
        </w:rPr>
        <w:t xml:space="preserve"> </w:t>
      </w:r>
      <w:r w:rsidRPr="001957D8">
        <w:rPr>
          <w:i/>
          <w:iCs/>
          <w:lang w:val="en-GB"/>
        </w:rPr>
        <w:t>kenesh</w:t>
      </w:r>
      <w:r w:rsidRPr="00DF37A3">
        <w:rPr>
          <w:lang w:val="en-GB"/>
        </w:rPr>
        <w:t xml:space="preserve">), in which the situation with regard to the representation of women remains problematic. </w:t>
      </w:r>
    </w:p>
    <w:p w14:paraId="5AABFC0B" w14:textId="77777777" w:rsidR="004A3AB4" w:rsidRPr="001957D8" w:rsidRDefault="004A3AB4" w:rsidP="004A3AB4">
      <w:pPr>
        <w:pStyle w:val="SingleTxt"/>
        <w:spacing w:after="0" w:line="120" w:lineRule="exact"/>
        <w:rPr>
          <w:sz w:val="10"/>
          <w:lang w:val="en-GB"/>
        </w:rPr>
      </w:pPr>
    </w:p>
    <w:p w14:paraId="12F1149B" w14:textId="77777777" w:rsidR="004A3AB4" w:rsidRPr="00DF37A3" w:rsidRDefault="004A3AB4" w:rsidP="004A3AB4">
      <w:pPr>
        <w:pStyle w:val="SingleTxt"/>
        <w:spacing w:after="0"/>
        <w:rPr>
          <w:lang w:val="en-GB"/>
        </w:rPr>
      </w:pPr>
      <w:r>
        <w:rPr>
          <w:lang w:val="en-GB"/>
        </w:rPr>
        <w:t>T</w:t>
      </w:r>
      <w:r w:rsidRPr="00DF37A3">
        <w:rPr>
          <w:lang w:val="en-GB"/>
        </w:rPr>
        <w:t>able 5</w:t>
      </w:r>
    </w:p>
    <w:p w14:paraId="45B03348" w14:textId="77777777" w:rsidR="004A3AB4" w:rsidRPr="00DF37A3" w:rsidRDefault="004A3AB4" w:rsidP="004A3A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DF37A3">
        <w:t>Fluctuations in the representation of women in the local councils (</w:t>
      </w:r>
      <w:r w:rsidRPr="001957D8">
        <w:rPr>
          <w:i/>
          <w:iCs/>
        </w:rPr>
        <w:t>kenesh</w:t>
      </w:r>
      <w:r w:rsidRPr="00DF37A3">
        <w:t>)</w:t>
      </w:r>
    </w:p>
    <w:p w14:paraId="13AC3B1C" w14:textId="77777777" w:rsidR="004A3AB4" w:rsidRPr="001957D8" w:rsidRDefault="004A3AB4" w:rsidP="004A3AB4">
      <w:pPr>
        <w:pStyle w:val="SingleTxt"/>
        <w:spacing w:after="0" w:line="120" w:lineRule="exact"/>
        <w:rPr>
          <w:sz w:val="10"/>
          <w:lang w:val="en-GB"/>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60"/>
        <w:gridCol w:w="3660"/>
      </w:tblGrid>
      <w:tr w:rsidR="004A3AB4" w:rsidRPr="00E02E44" w14:paraId="6365A62C" w14:textId="77777777" w:rsidTr="003C23CC">
        <w:trPr>
          <w:tblHeader/>
        </w:trPr>
        <w:tc>
          <w:tcPr>
            <w:tcW w:w="3660" w:type="dxa"/>
            <w:tcBorders>
              <w:top w:val="single" w:sz="4" w:space="0" w:color="auto"/>
              <w:bottom w:val="single" w:sz="12" w:space="0" w:color="auto"/>
            </w:tcBorders>
            <w:shd w:val="clear" w:color="auto" w:fill="auto"/>
            <w:vAlign w:val="bottom"/>
          </w:tcPr>
          <w:p w14:paraId="51644E81" w14:textId="77777777" w:rsidR="004A3AB4" w:rsidRPr="00E02E4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E02E44">
              <w:rPr>
                <w:i/>
                <w:sz w:val="14"/>
                <w:lang w:val="en-GB"/>
              </w:rPr>
              <w:t>Year</w:t>
            </w:r>
          </w:p>
        </w:tc>
        <w:tc>
          <w:tcPr>
            <w:tcW w:w="3660" w:type="dxa"/>
            <w:tcBorders>
              <w:top w:val="single" w:sz="4" w:space="0" w:color="auto"/>
              <w:bottom w:val="single" w:sz="12" w:space="0" w:color="auto"/>
            </w:tcBorders>
            <w:shd w:val="clear" w:color="auto" w:fill="auto"/>
            <w:vAlign w:val="bottom"/>
          </w:tcPr>
          <w:p w14:paraId="10248096" w14:textId="77777777" w:rsidR="004A3AB4" w:rsidRPr="00E02E4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E02E44">
              <w:rPr>
                <w:i/>
                <w:sz w:val="14"/>
                <w:lang w:val="en-GB"/>
              </w:rPr>
              <w:t>Proportion of women representatives (per cent)</w:t>
            </w:r>
          </w:p>
        </w:tc>
      </w:tr>
      <w:tr w:rsidR="004A3AB4" w:rsidRPr="00E02E44" w14:paraId="637ACC5B" w14:textId="77777777" w:rsidTr="003C23CC">
        <w:trPr>
          <w:trHeight w:hRule="exact" w:val="115"/>
          <w:tblHeader/>
        </w:trPr>
        <w:tc>
          <w:tcPr>
            <w:tcW w:w="3660" w:type="dxa"/>
            <w:tcBorders>
              <w:top w:val="single" w:sz="12" w:space="0" w:color="auto"/>
            </w:tcBorders>
            <w:shd w:val="clear" w:color="auto" w:fill="auto"/>
            <w:vAlign w:val="bottom"/>
          </w:tcPr>
          <w:p w14:paraId="4DA4E237" w14:textId="77777777" w:rsidR="004A3AB4" w:rsidRPr="00E02E4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3660" w:type="dxa"/>
            <w:tcBorders>
              <w:top w:val="single" w:sz="12" w:space="0" w:color="auto"/>
            </w:tcBorders>
            <w:shd w:val="clear" w:color="auto" w:fill="auto"/>
            <w:vAlign w:val="bottom"/>
          </w:tcPr>
          <w:p w14:paraId="498737F7" w14:textId="77777777" w:rsidR="004A3AB4" w:rsidRPr="00E02E4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4A3AB4" w:rsidRPr="00E02E44" w14:paraId="7F84758C" w14:textId="77777777" w:rsidTr="003C23CC">
        <w:tc>
          <w:tcPr>
            <w:tcW w:w="3660" w:type="dxa"/>
            <w:shd w:val="clear" w:color="auto" w:fill="auto"/>
            <w:vAlign w:val="bottom"/>
          </w:tcPr>
          <w:p w14:paraId="78FE9FCA" w14:textId="77777777" w:rsidR="004A3AB4" w:rsidRPr="00E02E4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E02E44">
              <w:rPr>
                <w:sz w:val="17"/>
                <w:lang w:val="en-GB"/>
              </w:rPr>
              <w:t>2008</w:t>
            </w:r>
          </w:p>
        </w:tc>
        <w:tc>
          <w:tcPr>
            <w:tcW w:w="3660" w:type="dxa"/>
            <w:shd w:val="clear" w:color="auto" w:fill="auto"/>
            <w:vAlign w:val="bottom"/>
          </w:tcPr>
          <w:p w14:paraId="5B44F554" w14:textId="77777777" w:rsidR="004A3AB4" w:rsidRPr="00E02E4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02E44">
              <w:rPr>
                <w:sz w:val="17"/>
                <w:lang w:val="en-GB"/>
              </w:rPr>
              <w:t>19</w:t>
            </w:r>
          </w:p>
        </w:tc>
      </w:tr>
      <w:tr w:rsidR="004A3AB4" w:rsidRPr="00E02E44" w14:paraId="370AD57A" w14:textId="77777777" w:rsidTr="003C23CC">
        <w:tc>
          <w:tcPr>
            <w:tcW w:w="3660" w:type="dxa"/>
            <w:shd w:val="clear" w:color="auto" w:fill="auto"/>
            <w:vAlign w:val="bottom"/>
          </w:tcPr>
          <w:p w14:paraId="179E7A7E" w14:textId="77777777" w:rsidR="004A3AB4" w:rsidRPr="00E02E4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E02E44">
              <w:rPr>
                <w:sz w:val="17"/>
                <w:lang w:val="en-GB"/>
              </w:rPr>
              <w:t xml:space="preserve">2010 </w:t>
            </w:r>
          </w:p>
        </w:tc>
        <w:tc>
          <w:tcPr>
            <w:tcW w:w="3660" w:type="dxa"/>
            <w:shd w:val="clear" w:color="auto" w:fill="auto"/>
            <w:vAlign w:val="bottom"/>
          </w:tcPr>
          <w:p w14:paraId="35CDE65A" w14:textId="77777777" w:rsidR="004A3AB4" w:rsidRPr="00E02E4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02E44">
              <w:rPr>
                <w:sz w:val="17"/>
                <w:lang w:val="en-GB"/>
              </w:rPr>
              <w:t>17</w:t>
            </w:r>
          </w:p>
        </w:tc>
      </w:tr>
      <w:tr w:rsidR="004A3AB4" w:rsidRPr="00E02E44" w14:paraId="1DEEC186" w14:textId="77777777" w:rsidTr="003C23CC">
        <w:tc>
          <w:tcPr>
            <w:tcW w:w="3660" w:type="dxa"/>
            <w:shd w:val="clear" w:color="auto" w:fill="auto"/>
            <w:vAlign w:val="bottom"/>
          </w:tcPr>
          <w:p w14:paraId="35AC6770" w14:textId="77777777" w:rsidR="004A3AB4" w:rsidRPr="00E02E4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E02E44">
              <w:rPr>
                <w:sz w:val="17"/>
                <w:lang w:val="en-GB"/>
              </w:rPr>
              <w:t>2012</w:t>
            </w:r>
          </w:p>
        </w:tc>
        <w:tc>
          <w:tcPr>
            <w:tcW w:w="3660" w:type="dxa"/>
            <w:shd w:val="clear" w:color="auto" w:fill="auto"/>
            <w:vAlign w:val="bottom"/>
          </w:tcPr>
          <w:p w14:paraId="3208FD6B" w14:textId="77777777" w:rsidR="004A3AB4" w:rsidRPr="00E02E4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02E44">
              <w:rPr>
                <w:sz w:val="17"/>
                <w:lang w:val="en-GB"/>
              </w:rPr>
              <w:t>13</w:t>
            </w:r>
          </w:p>
        </w:tc>
      </w:tr>
      <w:tr w:rsidR="004A3AB4" w:rsidRPr="00E02E44" w14:paraId="2974CAA8" w14:textId="77777777" w:rsidTr="003C23CC">
        <w:tc>
          <w:tcPr>
            <w:tcW w:w="3660" w:type="dxa"/>
            <w:tcBorders>
              <w:bottom w:val="single" w:sz="12" w:space="0" w:color="auto"/>
            </w:tcBorders>
            <w:shd w:val="clear" w:color="auto" w:fill="auto"/>
            <w:vAlign w:val="bottom"/>
          </w:tcPr>
          <w:p w14:paraId="6B82E860" w14:textId="77777777" w:rsidR="004A3AB4" w:rsidRPr="00E02E4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E02E44">
              <w:rPr>
                <w:sz w:val="17"/>
                <w:lang w:val="en-GB"/>
              </w:rPr>
              <w:t>2016</w:t>
            </w:r>
          </w:p>
        </w:tc>
        <w:tc>
          <w:tcPr>
            <w:tcW w:w="3660" w:type="dxa"/>
            <w:tcBorders>
              <w:bottom w:val="single" w:sz="12" w:space="0" w:color="auto"/>
            </w:tcBorders>
            <w:shd w:val="clear" w:color="auto" w:fill="auto"/>
            <w:vAlign w:val="bottom"/>
          </w:tcPr>
          <w:p w14:paraId="18199BA5" w14:textId="77777777" w:rsidR="004A3AB4" w:rsidRPr="00E02E44"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E02E44">
              <w:rPr>
                <w:sz w:val="17"/>
                <w:lang w:val="en-GB"/>
              </w:rPr>
              <w:t>11</w:t>
            </w:r>
          </w:p>
        </w:tc>
      </w:tr>
    </w:tbl>
    <w:p w14:paraId="008F4DFA" w14:textId="77777777" w:rsidR="004A3AB4" w:rsidRPr="00E02E44" w:rsidRDefault="004A3AB4" w:rsidP="004A3AB4">
      <w:pPr>
        <w:pStyle w:val="SingleTxt"/>
        <w:spacing w:after="0" w:line="120" w:lineRule="exact"/>
        <w:rPr>
          <w:sz w:val="10"/>
          <w:lang w:val="en-GB"/>
        </w:rPr>
      </w:pPr>
    </w:p>
    <w:p w14:paraId="14AF131D" w14:textId="77777777" w:rsidR="004A3AB4" w:rsidRPr="00E02E44" w:rsidRDefault="004A3AB4" w:rsidP="004A3AB4">
      <w:pPr>
        <w:pStyle w:val="SingleTxt"/>
        <w:spacing w:after="0" w:line="120" w:lineRule="exact"/>
        <w:rPr>
          <w:sz w:val="10"/>
          <w:lang w:val="en-GB"/>
        </w:rPr>
      </w:pPr>
    </w:p>
    <w:p w14:paraId="1B7D0838" w14:textId="77777777" w:rsidR="004A3AB4" w:rsidRPr="00DF37A3" w:rsidRDefault="004A3AB4" w:rsidP="004A3AB4">
      <w:pPr>
        <w:pStyle w:val="SingleTxt"/>
        <w:rPr>
          <w:lang w:val="en-GB"/>
        </w:rPr>
      </w:pPr>
      <w:r w:rsidRPr="00DF37A3">
        <w:rPr>
          <w:lang w:val="en-GB"/>
        </w:rPr>
        <w:t>27.</w:t>
      </w:r>
      <w:r>
        <w:rPr>
          <w:lang w:val="en-GB"/>
        </w:rPr>
        <w:tab/>
      </w:r>
      <w:r w:rsidRPr="00DF37A3">
        <w:rPr>
          <w:lang w:val="en-GB"/>
        </w:rPr>
        <w:t>In order to solve this problem, representatives of the Zhogorku Kenesh initiated and adopted at the first reading a bill on amending the Act on the Election of Representatives of Local Councils, which contains a proposal to set as a temporary special measure a quota for women of 30 per cent of the seats in the local councils (</w:t>
      </w:r>
      <w:r w:rsidRPr="00E02E44">
        <w:rPr>
          <w:i/>
          <w:iCs/>
          <w:lang w:val="en-GB"/>
        </w:rPr>
        <w:t>aiylny kenesh</w:t>
      </w:r>
      <w:r w:rsidRPr="00DF37A3">
        <w:rPr>
          <w:lang w:val="en-GB"/>
        </w:rPr>
        <w:t>) (articles 46, 47, 52, 59 and 62). This task is included in the Strategy for Improving the Legislation of the Kyrgyz Republic on Elections 2018</w:t>
      </w:r>
      <w:r>
        <w:rPr>
          <w:lang w:val="en-GB"/>
        </w:rPr>
        <w:t>–</w:t>
      </w:r>
      <w:r w:rsidRPr="00DF37A3">
        <w:rPr>
          <w:lang w:val="en-GB"/>
        </w:rPr>
        <w:t>2020.</w:t>
      </w:r>
    </w:p>
    <w:p w14:paraId="26B112AA" w14:textId="77777777" w:rsidR="004A3AB4" w:rsidRPr="00DF37A3" w:rsidRDefault="004A3AB4" w:rsidP="004A3AB4">
      <w:pPr>
        <w:pStyle w:val="SingleTxt"/>
        <w:rPr>
          <w:lang w:val="en-GB"/>
        </w:rPr>
      </w:pPr>
      <w:r w:rsidRPr="00DF37A3">
        <w:rPr>
          <w:lang w:val="en-GB"/>
        </w:rPr>
        <w:t>28.</w:t>
      </w:r>
      <w:r>
        <w:rPr>
          <w:lang w:val="en-GB"/>
        </w:rPr>
        <w:tab/>
      </w:r>
      <w:r w:rsidRPr="00DF37A3">
        <w:rPr>
          <w:lang w:val="en-GB"/>
        </w:rPr>
        <w:t>In order to address the problem of women’s representation in executive and local government bodies, the National Plan of Action for Achieving Gender Equality for 2018</w:t>
      </w:r>
      <w:r>
        <w:rPr>
          <w:lang w:val="en-GB"/>
        </w:rPr>
        <w:t>–</w:t>
      </w:r>
      <w:r w:rsidRPr="00DF37A3">
        <w:rPr>
          <w:lang w:val="en-GB"/>
        </w:rPr>
        <w:t>2020 includes the task of developing and introducing appropriate special measures to ensure that the representation of women reaches at least 30 per cent of the political and special positions.</w:t>
      </w:r>
    </w:p>
    <w:p w14:paraId="7225DC6F" w14:textId="77777777" w:rsidR="004A3AB4" w:rsidRPr="00E02E44" w:rsidRDefault="004A3AB4" w:rsidP="004A3AB4">
      <w:pPr>
        <w:pStyle w:val="SingleTxt"/>
        <w:spacing w:after="0" w:line="120" w:lineRule="exact"/>
        <w:rPr>
          <w:sz w:val="10"/>
          <w:lang w:val="en-GB"/>
        </w:rPr>
      </w:pPr>
    </w:p>
    <w:p w14:paraId="31867A42" w14:textId="77777777" w:rsidR="004A3AB4" w:rsidRPr="00DF37A3" w:rsidRDefault="004A3AB4" w:rsidP="004A3AB4">
      <w:pPr>
        <w:pStyle w:val="SingleTxt"/>
        <w:keepNext/>
        <w:keepLines/>
        <w:spacing w:after="0"/>
        <w:rPr>
          <w:lang w:val="en-GB"/>
        </w:rPr>
      </w:pPr>
      <w:r w:rsidRPr="00DF37A3">
        <w:rPr>
          <w:lang w:val="en-GB"/>
        </w:rPr>
        <w:lastRenderedPageBreak/>
        <w:t>Figure 1</w:t>
      </w:r>
    </w:p>
    <w:p w14:paraId="0F0D15D0" w14:textId="77777777" w:rsidR="004A3AB4" w:rsidRPr="00DF37A3" w:rsidRDefault="004A3AB4" w:rsidP="004A3AB4">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DF37A3">
        <w:t>Number of State civil servants as of 1 January 2018</w:t>
      </w:r>
    </w:p>
    <w:p w14:paraId="040A8C41" w14:textId="77777777" w:rsidR="004A3AB4" w:rsidRPr="00E02E44" w:rsidRDefault="004A3AB4" w:rsidP="004A3AB4">
      <w:pPr>
        <w:pStyle w:val="SingleTxt"/>
        <w:keepNext/>
        <w:keepLines/>
        <w:spacing w:after="0" w:line="120" w:lineRule="exact"/>
        <w:rPr>
          <w:sz w:val="10"/>
          <w:lang w:val="en-GB"/>
        </w:rPr>
      </w:pPr>
      <w:r w:rsidRPr="00455C9A">
        <w:rPr>
          <w:b/>
          <w:noProof/>
          <w:lang w:eastAsia="en-GB"/>
        </w:rPr>
        <w:drawing>
          <wp:anchor distT="0" distB="0" distL="114300" distR="114300" simplePos="0" relativeHeight="251660288" behindDoc="0" locked="0" layoutInCell="1" allowOverlap="1" wp14:anchorId="478A868C" wp14:editId="4B8D5205">
            <wp:simplePos x="0" y="0"/>
            <wp:positionH relativeFrom="column">
              <wp:posOffset>805180</wp:posOffset>
            </wp:positionH>
            <wp:positionV relativeFrom="paragraph">
              <wp:posOffset>75565</wp:posOffset>
            </wp:positionV>
            <wp:extent cx="5248275" cy="2974340"/>
            <wp:effectExtent l="0" t="0" r="9525" b="16510"/>
            <wp:wrapTopAndBottom/>
            <wp:docPr id="4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14:paraId="23B35C3A" w14:textId="77777777" w:rsidR="004A3AB4" w:rsidRPr="00E02E44" w:rsidRDefault="004A3AB4" w:rsidP="004A3AB4">
      <w:pPr>
        <w:pStyle w:val="SingleTxt"/>
        <w:keepNext/>
        <w:keepLines/>
        <w:spacing w:after="0"/>
        <w:rPr>
          <w:sz w:val="10"/>
          <w:lang w:val="en-GB"/>
        </w:rPr>
      </w:pPr>
    </w:p>
    <w:p w14:paraId="383E9CD9" w14:textId="77777777" w:rsidR="004A3AB4" w:rsidRPr="00E02E44" w:rsidRDefault="004A3AB4" w:rsidP="004A3AB4">
      <w:pPr>
        <w:pStyle w:val="SingleTxt"/>
        <w:spacing w:after="0" w:line="120" w:lineRule="exact"/>
        <w:rPr>
          <w:sz w:val="10"/>
          <w:lang w:val="en-GB"/>
        </w:rPr>
      </w:pPr>
    </w:p>
    <w:p w14:paraId="5513FE02" w14:textId="77777777" w:rsidR="004A3AB4" w:rsidRPr="00DF37A3" w:rsidRDefault="004A3AB4" w:rsidP="004A3AB4">
      <w:pPr>
        <w:pStyle w:val="SingleTxt"/>
        <w:spacing w:after="0"/>
        <w:rPr>
          <w:lang w:val="en-GB"/>
        </w:rPr>
      </w:pPr>
      <w:r w:rsidRPr="00DF37A3">
        <w:rPr>
          <w:lang w:val="en-GB"/>
        </w:rPr>
        <w:t>Figure 2</w:t>
      </w:r>
    </w:p>
    <w:p w14:paraId="7B047002" w14:textId="77777777" w:rsidR="004A3AB4" w:rsidRPr="00DF37A3" w:rsidRDefault="004A3AB4" w:rsidP="004A3A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DF37A3">
        <w:t>Number of municipal employees as of 1 January 2018</w:t>
      </w:r>
    </w:p>
    <w:p w14:paraId="744A0265" w14:textId="77777777" w:rsidR="004A3AB4" w:rsidRPr="00F33A77" w:rsidRDefault="004A3AB4" w:rsidP="004A3AB4">
      <w:pPr>
        <w:pStyle w:val="SingleTxt"/>
        <w:spacing w:after="0" w:line="120" w:lineRule="exact"/>
        <w:rPr>
          <w:sz w:val="10"/>
          <w:lang w:val="en-GB"/>
        </w:rPr>
      </w:pPr>
    </w:p>
    <w:p w14:paraId="564ADEB1" w14:textId="77777777" w:rsidR="004A3AB4" w:rsidRPr="00DF37A3" w:rsidRDefault="004A3AB4" w:rsidP="008911E2">
      <w:pPr>
        <w:pStyle w:val="SingleTxt"/>
        <w:spacing w:after="0"/>
        <w:rPr>
          <w:lang w:val="en-GB"/>
        </w:rPr>
      </w:pPr>
      <w:r>
        <w:rPr>
          <w:noProof/>
          <w:lang w:val="en-GB"/>
        </w:rPr>
        <w:drawing>
          <wp:inline distT="0" distB="0" distL="0" distR="0" wp14:anchorId="65504D92" wp14:editId="54BCC0FD">
            <wp:extent cx="5314208" cy="3409314"/>
            <wp:effectExtent l="0" t="0" r="1270" b="127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208" cy="3409314"/>
                    </a:xfrm>
                    <a:prstGeom prst="rect">
                      <a:avLst/>
                    </a:prstGeom>
                    <a:noFill/>
                  </pic:spPr>
                </pic:pic>
              </a:graphicData>
            </a:graphic>
          </wp:inline>
        </w:drawing>
      </w:r>
    </w:p>
    <w:p w14:paraId="114E0BD6" w14:textId="77777777" w:rsidR="004A3AB4" w:rsidRPr="00EB0261" w:rsidRDefault="004A3AB4" w:rsidP="004A3AB4">
      <w:pPr>
        <w:pStyle w:val="SingleTxt"/>
        <w:spacing w:after="0" w:line="120" w:lineRule="exact"/>
        <w:rPr>
          <w:sz w:val="10"/>
          <w:lang w:val="en-GB"/>
        </w:rPr>
      </w:pPr>
    </w:p>
    <w:p w14:paraId="7A28DAEB" w14:textId="77777777" w:rsidR="004A3AB4" w:rsidRPr="00EB0261" w:rsidRDefault="004A3AB4" w:rsidP="004A3AB4">
      <w:pPr>
        <w:pStyle w:val="SingleTxt"/>
        <w:spacing w:after="0" w:line="120" w:lineRule="exact"/>
        <w:rPr>
          <w:sz w:val="10"/>
          <w:lang w:val="en-GB"/>
        </w:rPr>
      </w:pPr>
    </w:p>
    <w:p w14:paraId="0C6362D5" w14:textId="77777777" w:rsidR="004A3AB4" w:rsidRPr="00EB0261" w:rsidRDefault="004A3AB4" w:rsidP="004A3AB4">
      <w:pPr>
        <w:pStyle w:val="SingleTxt"/>
        <w:spacing w:after="0" w:line="120" w:lineRule="exact"/>
        <w:rPr>
          <w:sz w:val="10"/>
          <w:lang w:val="en-GB"/>
        </w:rPr>
      </w:pPr>
    </w:p>
    <w:p w14:paraId="5BD349C9" w14:textId="77777777" w:rsidR="004A3AB4" w:rsidRPr="00DF37A3" w:rsidRDefault="004A3AB4" w:rsidP="004A3AB4">
      <w:pPr>
        <w:pStyle w:val="SingleTxt"/>
        <w:keepNext/>
        <w:keepLines/>
        <w:spacing w:after="0"/>
        <w:rPr>
          <w:lang w:val="en-GB"/>
        </w:rPr>
      </w:pPr>
      <w:r w:rsidRPr="00DF37A3">
        <w:rPr>
          <w:lang w:val="en-GB"/>
        </w:rPr>
        <w:lastRenderedPageBreak/>
        <w:t>Table 6</w:t>
      </w:r>
    </w:p>
    <w:p w14:paraId="53C29E00" w14:textId="77777777" w:rsidR="004A3AB4" w:rsidRPr="00DF37A3" w:rsidRDefault="004A3AB4" w:rsidP="004A3AB4">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DF37A3">
        <w:t>Number of employees in administrative posts</w:t>
      </w:r>
    </w:p>
    <w:p w14:paraId="6C345B1C" w14:textId="77777777" w:rsidR="004A3AB4" w:rsidRPr="00EB0261" w:rsidRDefault="004A3AB4" w:rsidP="004A3AB4">
      <w:pPr>
        <w:pStyle w:val="SingleTxt"/>
        <w:keepNext/>
        <w:keepLines/>
        <w:spacing w:after="0" w:line="120" w:lineRule="exact"/>
        <w:rPr>
          <w:sz w:val="10"/>
          <w:lang w:val="en-GB"/>
        </w:rPr>
      </w:pPr>
    </w:p>
    <w:tbl>
      <w:tblPr>
        <w:tblStyle w:val="TableGrid"/>
        <w:tblW w:w="8613"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63"/>
        <w:gridCol w:w="1883"/>
        <w:gridCol w:w="1883"/>
        <w:gridCol w:w="1884"/>
      </w:tblGrid>
      <w:tr w:rsidR="004A3AB4" w:rsidRPr="00406481" w14:paraId="5BC47523" w14:textId="77777777" w:rsidTr="00D1128F">
        <w:trPr>
          <w:tblHeader/>
        </w:trPr>
        <w:tc>
          <w:tcPr>
            <w:tcW w:w="2963" w:type="dxa"/>
            <w:tcBorders>
              <w:top w:val="single" w:sz="4" w:space="0" w:color="auto"/>
              <w:bottom w:val="single" w:sz="12" w:space="0" w:color="auto"/>
            </w:tcBorders>
            <w:shd w:val="clear" w:color="auto" w:fill="auto"/>
            <w:vAlign w:val="bottom"/>
          </w:tcPr>
          <w:p w14:paraId="2F983DB4" w14:textId="77777777" w:rsidR="004A3AB4" w:rsidRPr="00406481" w:rsidRDefault="004A3AB4" w:rsidP="003C23C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406481">
              <w:rPr>
                <w:i/>
                <w:sz w:val="14"/>
                <w:lang w:val="en-GB"/>
              </w:rPr>
              <w:t>Categories of administrative posts</w:t>
            </w:r>
          </w:p>
        </w:tc>
        <w:tc>
          <w:tcPr>
            <w:tcW w:w="1883" w:type="dxa"/>
            <w:tcBorders>
              <w:top w:val="single" w:sz="4" w:space="0" w:color="auto"/>
              <w:bottom w:val="single" w:sz="12" w:space="0" w:color="auto"/>
            </w:tcBorders>
            <w:shd w:val="clear" w:color="auto" w:fill="auto"/>
            <w:vAlign w:val="bottom"/>
          </w:tcPr>
          <w:p w14:paraId="7E83F808" w14:textId="77777777" w:rsidR="004A3AB4" w:rsidRPr="00406481" w:rsidRDefault="004A3AB4" w:rsidP="003C23C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406481">
              <w:rPr>
                <w:i/>
                <w:sz w:val="14"/>
                <w:lang w:val="en-GB"/>
              </w:rPr>
              <w:t>On the staffing table</w:t>
            </w:r>
          </w:p>
        </w:tc>
        <w:tc>
          <w:tcPr>
            <w:tcW w:w="1883" w:type="dxa"/>
            <w:tcBorders>
              <w:top w:val="single" w:sz="4" w:space="0" w:color="auto"/>
              <w:bottom w:val="single" w:sz="12" w:space="0" w:color="auto"/>
            </w:tcBorders>
            <w:shd w:val="clear" w:color="auto" w:fill="auto"/>
            <w:vAlign w:val="bottom"/>
          </w:tcPr>
          <w:p w14:paraId="27CF3C59" w14:textId="77777777" w:rsidR="004A3AB4" w:rsidRPr="00406481" w:rsidRDefault="004A3AB4" w:rsidP="003C23C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406481">
              <w:rPr>
                <w:i/>
                <w:sz w:val="14"/>
                <w:lang w:val="en-GB"/>
              </w:rPr>
              <w:t xml:space="preserve">Occupied </w:t>
            </w:r>
          </w:p>
        </w:tc>
        <w:tc>
          <w:tcPr>
            <w:tcW w:w="1884" w:type="dxa"/>
            <w:tcBorders>
              <w:top w:val="single" w:sz="4" w:space="0" w:color="auto"/>
              <w:bottom w:val="single" w:sz="12" w:space="0" w:color="auto"/>
            </w:tcBorders>
            <w:shd w:val="clear" w:color="auto" w:fill="auto"/>
            <w:vAlign w:val="bottom"/>
          </w:tcPr>
          <w:p w14:paraId="544AFC78" w14:textId="77777777" w:rsidR="004A3AB4" w:rsidRPr="00406481" w:rsidRDefault="004A3AB4" w:rsidP="003C23C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406481">
              <w:rPr>
                <w:i/>
                <w:sz w:val="14"/>
                <w:lang w:val="en-GB"/>
              </w:rPr>
              <w:t>Occupied by women</w:t>
            </w:r>
          </w:p>
        </w:tc>
      </w:tr>
      <w:tr w:rsidR="004A3AB4" w:rsidRPr="00406481" w14:paraId="5338694F" w14:textId="77777777" w:rsidTr="00D1128F">
        <w:trPr>
          <w:trHeight w:hRule="exact" w:val="115"/>
          <w:tblHeader/>
        </w:trPr>
        <w:tc>
          <w:tcPr>
            <w:tcW w:w="2963" w:type="dxa"/>
            <w:tcBorders>
              <w:top w:val="single" w:sz="12" w:space="0" w:color="auto"/>
            </w:tcBorders>
            <w:shd w:val="clear" w:color="auto" w:fill="auto"/>
            <w:vAlign w:val="bottom"/>
          </w:tcPr>
          <w:p w14:paraId="1ACEAEFC" w14:textId="77777777" w:rsidR="004A3AB4" w:rsidRPr="00406481" w:rsidRDefault="004A3AB4" w:rsidP="003C23C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1883" w:type="dxa"/>
            <w:tcBorders>
              <w:top w:val="single" w:sz="12" w:space="0" w:color="auto"/>
            </w:tcBorders>
            <w:shd w:val="clear" w:color="auto" w:fill="auto"/>
            <w:vAlign w:val="bottom"/>
          </w:tcPr>
          <w:p w14:paraId="061BC946" w14:textId="77777777" w:rsidR="004A3AB4" w:rsidRPr="00406481" w:rsidRDefault="004A3AB4" w:rsidP="003C23C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883" w:type="dxa"/>
            <w:tcBorders>
              <w:top w:val="single" w:sz="12" w:space="0" w:color="auto"/>
            </w:tcBorders>
            <w:shd w:val="clear" w:color="auto" w:fill="auto"/>
            <w:vAlign w:val="bottom"/>
          </w:tcPr>
          <w:p w14:paraId="73054018" w14:textId="77777777" w:rsidR="004A3AB4" w:rsidRPr="00406481" w:rsidRDefault="004A3AB4" w:rsidP="003C23C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884" w:type="dxa"/>
            <w:tcBorders>
              <w:top w:val="single" w:sz="12" w:space="0" w:color="auto"/>
            </w:tcBorders>
            <w:shd w:val="clear" w:color="auto" w:fill="auto"/>
            <w:vAlign w:val="bottom"/>
          </w:tcPr>
          <w:p w14:paraId="2B78C55E" w14:textId="77777777" w:rsidR="004A3AB4" w:rsidRPr="00406481" w:rsidRDefault="004A3AB4" w:rsidP="003C23C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4A3AB4" w:rsidRPr="00406481" w14:paraId="722094CA" w14:textId="77777777" w:rsidTr="00D1128F">
        <w:tc>
          <w:tcPr>
            <w:tcW w:w="2963" w:type="dxa"/>
            <w:shd w:val="clear" w:color="auto" w:fill="auto"/>
            <w:vAlign w:val="bottom"/>
          </w:tcPr>
          <w:p w14:paraId="362CE473" w14:textId="77777777" w:rsidR="004A3AB4" w:rsidRPr="00406481" w:rsidRDefault="004A3AB4" w:rsidP="003C23C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406481">
              <w:rPr>
                <w:sz w:val="17"/>
                <w:lang w:val="en-GB"/>
              </w:rPr>
              <w:t>Higher administrative posts awarded on the basis of special procedures</w:t>
            </w:r>
          </w:p>
        </w:tc>
        <w:tc>
          <w:tcPr>
            <w:tcW w:w="1883" w:type="dxa"/>
            <w:shd w:val="clear" w:color="auto" w:fill="auto"/>
            <w:vAlign w:val="bottom"/>
          </w:tcPr>
          <w:p w14:paraId="7344E711" w14:textId="77777777" w:rsidR="004A3AB4" w:rsidRPr="00406481" w:rsidRDefault="004A3AB4" w:rsidP="003C23C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06481">
              <w:rPr>
                <w:sz w:val="17"/>
                <w:lang w:val="en-GB"/>
              </w:rPr>
              <w:t>604</w:t>
            </w:r>
          </w:p>
        </w:tc>
        <w:tc>
          <w:tcPr>
            <w:tcW w:w="1883" w:type="dxa"/>
            <w:shd w:val="clear" w:color="auto" w:fill="auto"/>
            <w:vAlign w:val="bottom"/>
          </w:tcPr>
          <w:p w14:paraId="35616878" w14:textId="77777777" w:rsidR="004A3AB4" w:rsidRPr="00406481" w:rsidRDefault="004A3AB4" w:rsidP="003C23C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06481">
              <w:rPr>
                <w:sz w:val="17"/>
                <w:lang w:val="en-GB"/>
              </w:rPr>
              <w:t>588</w:t>
            </w:r>
          </w:p>
        </w:tc>
        <w:tc>
          <w:tcPr>
            <w:tcW w:w="1884" w:type="dxa"/>
            <w:shd w:val="clear" w:color="auto" w:fill="auto"/>
            <w:vAlign w:val="bottom"/>
          </w:tcPr>
          <w:p w14:paraId="74F18FA5" w14:textId="77777777" w:rsidR="004A3AB4" w:rsidRPr="00406481" w:rsidRDefault="004A3AB4" w:rsidP="003C23C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06481">
              <w:rPr>
                <w:sz w:val="17"/>
                <w:lang w:val="en-GB"/>
              </w:rPr>
              <w:t>174 (29%)</w:t>
            </w:r>
          </w:p>
        </w:tc>
      </w:tr>
      <w:tr w:rsidR="004A3AB4" w:rsidRPr="00406481" w14:paraId="3FAA3A59" w14:textId="77777777" w:rsidTr="00D1128F">
        <w:tc>
          <w:tcPr>
            <w:tcW w:w="2963" w:type="dxa"/>
            <w:shd w:val="clear" w:color="auto" w:fill="auto"/>
            <w:vAlign w:val="bottom"/>
          </w:tcPr>
          <w:p w14:paraId="66F9004B" w14:textId="77777777" w:rsidR="004A3AB4" w:rsidRPr="00406481" w:rsidRDefault="004A3AB4" w:rsidP="003C23C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406481">
              <w:rPr>
                <w:sz w:val="17"/>
                <w:lang w:val="en-GB"/>
              </w:rPr>
              <w:t>Higher</w:t>
            </w:r>
          </w:p>
        </w:tc>
        <w:tc>
          <w:tcPr>
            <w:tcW w:w="1883" w:type="dxa"/>
            <w:shd w:val="clear" w:color="auto" w:fill="auto"/>
            <w:vAlign w:val="bottom"/>
          </w:tcPr>
          <w:p w14:paraId="798D2146" w14:textId="77777777" w:rsidR="004A3AB4" w:rsidRPr="00406481" w:rsidRDefault="004A3AB4" w:rsidP="003C23C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06481">
              <w:rPr>
                <w:sz w:val="17"/>
                <w:lang w:val="en-GB"/>
              </w:rPr>
              <w:t>37</w:t>
            </w:r>
          </w:p>
        </w:tc>
        <w:tc>
          <w:tcPr>
            <w:tcW w:w="1883" w:type="dxa"/>
            <w:shd w:val="clear" w:color="auto" w:fill="auto"/>
            <w:vAlign w:val="bottom"/>
          </w:tcPr>
          <w:p w14:paraId="36426714" w14:textId="77777777" w:rsidR="004A3AB4" w:rsidRPr="00406481" w:rsidRDefault="004A3AB4" w:rsidP="003C23C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06481">
              <w:rPr>
                <w:sz w:val="17"/>
                <w:lang w:val="en-GB"/>
              </w:rPr>
              <w:t>34</w:t>
            </w:r>
          </w:p>
        </w:tc>
        <w:tc>
          <w:tcPr>
            <w:tcW w:w="1884" w:type="dxa"/>
            <w:shd w:val="clear" w:color="auto" w:fill="auto"/>
            <w:vAlign w:val="bottom"/>
          </w:tcPr>
          <w:p w14:paraId="2C792C6E" w14:textId="77777777" w:rsidR="004A3AB4" w:rsidRPr="00406481" w:rsidRDefault="004A3AB4" w:rsidP="003C23C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06481">
              <w:rPr>
                <w:sz w:val="17"/>
                <w:lang w:val="en-GB"/>
              </w:rPr>
              <w:t>5 (14%)</w:t>
            </w:r>
          </w:p>
        </w:tc>
      </w:tr>
      <w:tr w:rsidR="004A3AB4" w:rsidRPr="00406481" w14:paraId="05223A4A" w14:textId="77777777" w:rsidTr="00D1128F">
        <w:tc>
          <w:tcPr>
            <w:tcW w:w="2963" w:type="dxa"/>
            <w:shd w:val="clear" w:color="auto" w:fill="auto"/>
            <w:vAlign w:val="bottom"/>
          </w:tcPr>
          <w:p w14:paraId="008D3FA1" w14:textId="77777777" w:rsidR="004A3AB4" w:rsidRPr="0040648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406481">
              <w:rPr>
                <w:sz w:val="17"/>
                <w:lang w:val="en-GB"/>
              </w:rPr>
              <w:t>Posts awarded through patronage</w:t>
            </w:r>
          </w:p>
        </w:tc>
        <w:tc>
          <w:tcPr>
            <w:tcW w:w="1883" w:type="dxa"/>
            <w:shd w:val="clear" w:color="auto" w:fill="auto"/>
            <w:vAlign w:val="bottom"/>
          </w:tcPr>
          <w:p w14:paraId="45CEA80E" w14:textId="77777777" w:rsidR="004A3AB4" w:rsidRPr="0040648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06481">
              <w:rPr>
                <w:sz w:val="17"/>
                <w:lang w:val="en-GB"/>
              </w:rPr>
              <w:t>95</w:t>
            </w:r>
          </w:p>
        </w:tc>
        <w:tc>
          <w:tcPr>
            <w:tcW w:w="1883" w:type="dxa"/>
            <w:shd w:val="clear" w:color="auto" w:fill="auto"/>
            <w:vAlign w:val="bottom"/>
          </w:tcPr>
          <w:p w14:paraId="2411ED24" w14:textId="77777777" w:rsidR="004A3AB4" w:rsidRPr="0040648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06481">
              <w:rPr>
                <w:sz w:val="17"/>
                <w:lang w:val="en-GB"/>
              </w:rPr>
              <w:t>91</w:t>
            </w:r>
          </w:p>
        </w:tc>
        <w:tc>
          <w:tcPr>
            <w:tcW w:w="1884" w:type="dxa"/>
            <w:shd w:val="clear" w:color="auto" w:fill="auto"/>
            <w:vAlign w:val="bottom"/>
          </w:tcPr>
          <w:p w14:paraId="5EC34B07" w14:textId="77777777" w:rsidR="004A3AB4" w:rsidRPr="0040648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06481">
              <w:rPr>
                <w:sz w:val="17"/>
                <w:lang w:val="en-GB"/>
              </w:rPr>
              <w:t>14 (15%)</w:t>
            </w:r>
          </w:p>
        </w:tc>
      </w:tr>
      <w:tr w:rsidR="004A3AB4" w:rsidRPr="00406481" w14:paraId="637B73A0" w14:textId="77777777" w:rsidTr="00D1128F">
        <w:tc>
          <w:tcPr>
            <w:tcW w:w="2963" w:type="dxa"/>
            <w:shd w:val="clear" w:color="auto" w:fill="auto"/>
            <w:vAlign w:val="bottom"/>
          </w:tcPr>
          <w:p w14:paraId="0D22EE32" w14:textId="77777777" w:rsidR="004A3AB4" w:rsidRPr="0040648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406481">
              <w:rPr>
                <w:sz w:val="17"/>
                <w:lang w:val="en-GB"/>
              </w:rPr>
              <w:t>Main</w:t>
            </w:r>
          </w:p>
        </w:tc>
        <w:tc>
          <w:tcPr>
            <w:tcW w:w="1883" w:type="dxa"/>
            <w:shd w:val="clear" w:color="auto" w:fill="auto"/>
            <w:vAlign w:val="bottom"/>
          </w:tcPr>
          <w:p w14:paraId="1018A851" w14:textId="77777777" w:rsidR="004A3AB4" w:rsidRPr="0040648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06481">
              <w:rPr>
                <w:sz w:val="17"/>
                <w:lang w:val="en-GB"/>
              </w:rPr>
              <w:t>2 370</w:t>
            </w:r>
          </w:p>
        </w:tc>
        <w:tc>
          <w:tcPr>
            <w:tcW w:w="1883" w:type="dxa"/>
            <w:shd w:val="clear" w:color="auto" w:fill="auto"/>
            <w:vAlign w:val="bottom"/>
          </w:tcPr>
          <w:p w14:paraId="1CFDEF17" w14:textId="77777777" w:rsidR="004A3AB4" w:rsidRPr="0040648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06481">
              <w:rPr>
                <w:sz w:val="17"/>
                <w:lang w:val="en-GB"/>
              </w:rPr>
              <w:t>2 255</w:t>
            </w:r>
          </w:p>
        </w:tc>
        <w:tc>
          <w:tcPr>
            <w:tcW w:w="1884" w:type="dxa"/>
            <w:shd w:val="clear" w:color="auto" w:fill="auto"/>
            <w:vAlign w:val="bottom"/>
          </w:tcPr>
          <w:p w14:paraId="54C9F9A8" w14:textId="77777777" w:rsidR="004A3AB4" w:rsidRPr="0040648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06481">
              <w:rPr>
                <w:sz w:val="17"/>
                <w:lang w:val="en-GB"/>
              </w:rPr>
              <w:t>742 (32%)</w:t>
            </w:r>
          </w:p>
        </w:tc>
      </w:tr>
      <w:tr w:rsidR="004A3AB4" w:rsidRPr="00406481" w14:paraId="5A46B521" w14:textId="77777777" w:rsidTr="00D1128F">
        <w:tc>
          <w:tcPr>
            <w:tcW w:w="2963" w:type="dxa"/>
            <w:shd w:val="clear" w:color="auto" w:fill="auto"/>
            <w:vAlign w:val="bottom"/>
          </w:tcPr>
          <w:p w14:paraId="120FB9EA" w14:textId="77777777" w:rsidR="004A3AB4" w:rsidRPr="0040648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406481">
              <w:rPr>
                <w:sz w:val="17"/>
                <w:lang w:val="en-GB"/>
              </w:rPr>
              <w:t>Senior</w:t>
            </w:r>
          </w:p>
        </w:tc>
        <w:tc>
          <w:tcPr>
            <w:tcW w:w="1883" w:type="dxa"/>
            <w:shd w:val="clear" w:color="auto" w:fill="auto"/>
            <w:vAlign w:val="bottom"/>
          </w:tcPr>
          <w:p w14:paraId="005BF1FF" w14:textId="77777777" w:rsidR="004A3AB4" w:rsidRPr="0040648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06481">
              <w:rPr>
                <w:sz w:val="17"/>
                <w:lang w:val="en-GB"/>
              </w:rPr>
              <w:t>7 166</w:t>
            </w:r>
          </w:p>
        </w:tc>
        <w:tc>
          <w:tcPr>
            <w:tcW w:w="1883" w:type="dxa"/>
            <w:shd w:val="clear" w:color="auto" w:fill="auto"/>
            <w:vAlign w:val="bottom"/>
          </w:tcPr>
          <w:p w14:paraId="625F68A6" w14:textId="77777777" w:rsidR="004A3AB4" w:rsidRPr="0040648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06481">
              <w:rPr>
                <w:sz w:val="17"/>
                <w:lang w:val="en-GB"/>
              </w:rPr>
              <w:t>6 491</w:t>
            </w:r>
          </w:p>
        </w:tc>
        <w:tc>
          <w:tcPr>
            <w:tcW w:w="1884" w:type="dxa"/>
            <w:shd w:val="clear" w:color="auto" w:fill="auto"/>
            <w:vAlign w:val="bottom"/>
          </w:tcPr>
          <w:p w14:paraId="013E9E2C" w14:textId="77777777" w:rsidR="004A3AB4" w:rsidRPr="0040648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06481">
              <w:rPr>
                <w:sz w:val="17"/>
                <w:lang w:val="en-GB"/>
              </w:rPr>
              <w:t>2 968 (45%)</w:t>
            </w:r>
          </w:p>
        </w:tc>
      </w:tr>
      <w:tr w:rsidR="004A3AB4" w:rsidRPr="00406481" w14:paraId="4383A4B0" w14:textId="77777777" w:rsidTr="00D1128F">
        <w:tc>
          <w:tcPr>
            <w:tcW w:w="2963" w:type="dxa"/>
            <w:tcBorders>
              <w:bottom w:val="single" w:sz="4" w:space="0" w:color="auto"/>
            </w:tcBorders>
            <w:shd w:val="clear" w:color="auto" w:fill="auto"/>
            <w:vAlign w:val="bottom"/>
          </w:tcPr>
          <w:p w14:paraId="659FA734" w14:textId="77777777" w:rsidR="004A3AB4" w:rsidRPr="0040648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left"/>
              <w:rPr>
                <w:sz w:val="17"/>
                <w:lang w:val="en-GB"/>
              </w:rPr>
            </w:pPr>
            <w:r w:rsidRPr="00406481">
              <w:rPr>
                <w:sz w:val="17"/>
                <w:lang w:val="en-GB"/>
              </w:rPr>
              <w:t>Junior</w:t>
            </w:r>
          </w:p>
        </w:tc>
        <w:tc>
          <w:tcPr>
            <w:tcW w:w="1883" w:type="dxa"/>
            <w:tcBorders>
              <w:bottom w:val="single" w:sz="4" w:space="0" w:color="auto"/>
            </w:tcBorders>
            <w:shd w:val="clear" w:color="auto" w:fill="auto"/>
            <w:vAlign w:val="bottom"/>
          </w:tcPr>
          <w:p w14:paraId="38DE50A1" w14:textId="77777777" w:rsidR="004A3AB4" w:rsidRPr="0040648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406481">
              <w:rPr>
                <w:sz w:val="17"/>
                <w:lang w:val="en-GB"/>
              </w:rPr>
              <w:t>6 858</w:t>
            </w:r>
          </w:p>
        </w:tc>
        <w:tc>
          <w:tcPr>
            <w:tcW w:w="1883" w:type="dxa"/>
            <w:tcBorders>
              <w:bottom w:val="single" w:sz="4" w:space="0" w:color="auto"/>
            </w:tcBorders>
            <w:shd w:val="clear" w:color="auto" w:fill="auto"/>
            <w:vAlign w:val="bottom"/>
          </w:tcPr>
          <w:p w14:paraId="43C8090E" w14:textId="77777777" w:rsidR="004A3AB4" w:rsidRPr="0040648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406481">
              <w:rPr>
                <w:sz w:val="17"/>
                <w:lang w:val="en-GB"/>
              </w:rPr>
              <w:t>6 379</w:t>
            </w:r>
          </w:p>
        </w:tc>
        <w:tc>
          <w:tcPr>
            <w:tcW w:w="1884" w:type="dxa"/>
            <w:tcBorders>
              <w:bottom w:val="single" w:sz="4" w:space="0" w:color="auto"/>
            </w:tcBorders>
            <w:shd w:val="clear" w:color="auto" w:fill="auto"/>
            <w:vAlign w:val="bottom"/>
          </w:tcPr>
          <w:p w14:paraId="6C102C62" w14:textId="77777777" w:rsidR="004A3AB4" w:rsidRPr="0040648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406481">
              <w:rPr>
                <w:sz w:val="17"/>
                <w:lang w:val="en-GB"/>
              </w:rPr>
              <w:t>2 871(45%)</w:t>
            </w:r>
          </w:p>
        </w:tc>
      </w:tr>
      <w:tr w:rsidR="004A3AB4" w:rsidRPr="00406481" w14:paraId="467E769B" w14:textId="77777777" w:rsidTr="00D1128F">
        <w:tc>
          <w:tcPr>
            <w:tcW w:w="2963" w:type="dxa"/>
            <w:tcBorders>
              <w:top w:val="single" w:sz="4" w:space="0" w:color="auto"/>
              <w:bottom w:val="single" w:sz="12" w:space="0" w:color="auto"/>
            </w:tcBorders>
            <w:shd w:val="clear" w:color="auto" w:fill="auto"/>
            <w:vAlign w:val="bottom"/>
          </w:tcPr>
          <w:p w14:paraId="2C51BBCC" w14:textId="77777777" w:rsidR="004A3AB4" w:rsidRPr="0040648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left"/>
              <w:rPr>
                <w:b/>
                <w:sz w:val="17"/>
                <w:lang w:val="en-GB"/>
              </w:rPr>
            </w:pPr>
            <w:r w:rsidRPr="00406481">
              <w:rPr>
                <w:b/>
                <w:sz w:val="17"/>
                <w:lang w:val="en-GB"/>
              </w:rPr>
              <w:tab/>
              <w:t>Total:</w:t>
            </w:r>
          </w:p>
        </w:tc>
        <w:tc>
          <w:tcPr>
            <w:tcW w:w="1883" w:type="dxa"/>
            <w:tcBorders>
              <w:top w:val="single" w:sz="4" w:space="0" w:color="auto"/>
              <w:bottom w:val="single" w:sz="12" w:space="0" w:color="auto"/>
            </w:tcBorders>
            <w:shd w:val="clear" w:color="auto" w:fill="auto"/>
            <w:vAlign w:val="bottom"/>
          </w:tcPr>
          <w:p w14:paraId="569E3C01" w14:textId="77777777" w:rsidR="004A3AB4" w:rsidRPr="0040648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406481">
              <w:rPr>
                <w:b/>
                <w:sz w:val="17"/>
                <w:lang w:val="en-GB"/>
              </w:rPr>
              <w:t>17 130</w:t>
            </w:r>
          </w:p>
        </w:tc>
        <w:tc>
          <w:tcPr>
            <w:tcW w:w="1883" w:type="dxa"/>
            <w:tcBorders>
              <w:top w:val="single" w:sz="4" w:space="0" w:color="auto"/>
              <w:bottom w:val="single" w:sz="12" w:space="0" w:color="auto"/>
            </w:tcBorders>
            <w:shd w:val="clear" w:color="auto" w:fill="auto"/>
            <w:vAlign w:val="bottom"/>
          </w:tcPr>
          <w:p w14:paraId="0F70C35D" w14:textId="77777777" w:rsidR="004A3AB4" w:rsidRPr="0040648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406481">
              <w:rPr>
                <w:b/>
                <w:sz w:val="17"/>
                <w:lang w:val="en-GB"/>
              </w:rPr>
              <w:t>15 838</w:t>
            </w:r>
          </w:p>
        </w:tc>
        <w:tc>
          <w:tcPr>
            <w:tcW w:w="1884" w:type="dxa"/>
            <w:tcBorders>
              <w:top w:val="single" w:sz="4" w:space="0" w:color="auto"/>
              <w:bottom w:val="single" w:sz="12" w:space="0" w:color="auto"/>
            </w:tcBorders>
            <w:shd w:val="clear" w:color="auto" w:fill="auto"/>
            <w:vAlign w:val="bottom"/>
          </w:tcPr>
          <w:p w14:paraId="740387D2" w14:textId="77777777" w:rsidR="004A3AB4" w:rsidRPr="0040648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406481">
              <w:rPr>
                <w:b/>
                <w:sz w:val="17"/>
                <w:lang w:val="en-GB"/>
              </w:rPr>
              <w:t>6 774 (42%)</w:t>
            </w:r>
          </w:p>
        </w:tc>
      </w:tr>
    </w:tbl>
    <w:p w14:paraId="7C98E0C3" w14:textId="77777777" w:rsidR="004A3AB4" w:rsidRPr="00406481" w:rsidRDefault="004A3AB4" w:rsidP="004A3AB4">
      <w:pPr>
        <w:pStyle w:val="SingleTxt"/>
        <w:spacing w:after="0" w:line="120" w:lineRule="exact"/>
        <w:rPr>
          <w:sz w:val="10"/>
          <w:lang w:val="en-GB"/>
        </w:rPr>
      </w:pPr>
    </w:p>
    <w:p w14:paraId="0FF38B7C" w14:textId="77777777" w:rsidR="004A3AB4" w:rsidRPr="00406481" w:rsidRDefault="004A3AB4" w:rsidP="004A3AB4">
      <w:pPr>
        <w:pStyle w:val="SingleTxt"/>
        <w:spacing w:after="0" w:line="120" w:lineRule="exact"/>
        <w:rPr>
          <w:sz w:val="10"/>
          <w:lang w:val="en-GB"/>
        </w:rPr>
      </w:pPr>
    </w:p>
    <w:p w14:paraId="0D3AC43B" w14:textId="77777777" w:rsidR="004A3AB4" w:rsidRPr="00DF37A3" w:rsidRDefault="004A3AB4" w:rsidP="00D820D9">
      <w:pPr>
        <w:pStyle w:val="SingleTxt"/>
        <w:rPr>
          <w:lang w:val="en-GB"/>
        </w:rPr>
      </w:pPr>
      <w:r w:rsidRPr="00DF37A3">
        <w:rPr>
          <w:lang w:val="en-GB"/>
        </w:rPr>
        <w:t>29.</w:t>
      </w:r>
      <w:r>
        <w:rPr>
          <w:lang w:val="en-GB"/>
        </w:rPr>
        <w:tab/>
      </w:r>
      <w:r w:rsidRPr="00DF37A3">
        <w:rPr>
          <w:lang w:val="en-GB"/>
        </w:rPr>
        <w:t>Breakdown of State administrative civil servants by length of service:</w:t>
      </w:r>
    </w:p>
    <w:p w14:paraId="2286B70B" w14:textId="77777777" w:rsidR="004A3AB4" w:rsidRPr="00DF37A3" w:rsidRDefault="004A3AB4" w:rsidP="00D820D9">
      <w:pPr>
        <w:pStyle w:val="SingleTxt"/>
        <w:tabs>
          <w:tab w:val="clear" w:pos="1742"/>
          <w:tab w:val="left" w:pos="1620"/>
        </w:tabs>
        <w:ind w:left="1742" w:hanging="475"/>
        <w:rPr>
          <w:lang w:val="en-GB"/>
        </w:rPr>
      </w:pPr>
      <w:r>
        <w:rPr>
          <w:lang w:val="en-GB"/>
        </w:rPr>
        <w:tab/>
      </w:r>
      <w:r w:rsidRPr="00DF37A3">
        <w:rPr>
          <w:lang w:val="en-GB"/>
        </w:rPr>
        <w:t>•</w:t>
      </w:r>
      <w:r w:rsidRPr="00DF37A3">
        <w:rPr>
          <w:lang w:val="en-GB"/>
        </w:rPr>
        <w:tab/>
        <w:t>Less than 1 year: 1049 (6.6 per cent), of whom women make up 468 (44 per cent)</w:t>
      </w:r>
    </w:p>
    <w:p w14:paraId="2528EFE6" w14:textId="77777777" w:rsidR="004A3AB4" w:rsidRPr="00DF37A3" w:rsidRDefault="004A3AB4" w:rsidP="004A3AB4">
      <w:pPr>
        <w:pStyle w:val="SingleTxt"/>
        <w:tabs>
          <w:tab w:val="right" w:pos="1685"/>
        </w:tabs>
        <w:ind w:left="1742" w:hanging="475"/>
        <w:rPr>
          <w:lang w:val="en-GB"/>
        </w:rPr>
      </w:pPr>
      <w:r>
        <w:rPr>
          <w:lang w:val="en-GB"/>
        </w:rPr>
        <w:tab/>
      </w:r>
      <w:r w:rsidRPr="00DF37A3">
        <w:rPr>
          <w:lang w:val="en-GB"/>
        </w:rPr>
        <w:t>•</w:t>
      </w:r>
      <w:r w:rsidRPr="00DF37A3">
        <w:rPr>
          <w:lang w:val="en-GB"/>
        </w:rPr>
        <w:tab/>
        <w:t>From 1 year to 3 years: 2455 (15.5 per cent), of whom women make up 1090 (44 per cent)</w:t>
      </w:r>
    </w:p>
    <w:p w14:paraId="2E88084C" w14:textId="77777777" w:rsidR="004A3AB4" w:rsidRPr="00DF37A3" w:rsidRDefault="004A3AB4" w:rsidP="004A3AB4">
      <w:pPr>
        <w:pStyle w:val="SingleTxt"/>
        <w:tabs>
          <w:tab w:val="right" w:pos="1685"/>
        </w:tabs>
        <w:ind w:left="1742" w:hanging="475"/>
        <w:rPr>
          <w:lang w:val="en-GB"/>
        </w:rPr>
      </w:pPr>
      <w:r>
        <w:rPr>
          <w:lang w:val="en-GB"/>
        </w:rPr>
        <w:tab/>
      </w:r>
      <w:r w:rsidRPr="00DF37A3">
        <w:rPr>
          <w:lang w:val="en-GB"/>
        </w:rPr>
        <w:t>•</w:t>
      </w:r>
      <w:r w:rsidRPr="00DF37A3">
        <w:rPr>
          <w:lang w:val="en-GB"/>
        </w:rPr>
        <w:tab/>
        <w:t>From 4 to 5 years: 1923 (12.1 per cent), of whom women make up 805 (42 per</w:t>
      </w:r>
      <w:r>
        <w:rPr>
          <w:lang w:val="en-GB"/>
        </w:rPr>
        <w:t xml:space="preserve"> </w:t>
      </w:r>
      <w:r w:rsidRPr="00DF37A3">
        <w:rPr>
          <w:lang w:val="en-GB"/>
        </w:rPr>
        <w:t>cent)</w:t>
      </w:r>
    </w:p>
    <w:p w14:paraId="33B318DD" w14:textId="77777777" w:rsidR="004A3AB4" w:rsidRPr="00DF37A3" w:rsidRDefault="004A3AB4" w:rsidP="004A3AB4">
      <w:pPr>
        <w:pStyle w:val="SingleTxt"/>
        <w:tabs>
          <w:tab w:val="right" w:pos="1685"/>
        </w:tabs>
        <w:ind w:left="1742" w:hanging="475"/>
        <w:rPr>
          <w:lang w:val="en-GB"/>
        </w:rPr>
      </w:pPr>
      <w:r>
        <w:rPr>
          <w:lang w:val="en-GB"/>
        </w:rPr>
        <w:tab/>
      </w:r>
      <w:r w:rsidRPr="00DF37A3">
        <w:rPr>
          <w:lang w:val="en-GB"/>
        </w:rPr>
        <w:t>•</w:t>
      </w:r>
      <w:r w:rsidRPr="00DF37A3">
        <w:rPr>
          <w:lang w:val="en-GB"/>
        </w:rPr>
        <w:tab/>
        <w:t>From 6 to 10 years: 3014 (19 per cent), of whom women make up 1296 (43 per cent)</w:t>
      </w:r>
    </w:p>
    <w:p w14:paraId="78CD942C" w14:textId="77777777" w:rsidR="004A3AB4" w:rsidRPr="00DF37A3" w:rsidRDefault="004A3AB4" w:rsidP="004A3AB4">
      <w:pPr>
        <w:pStyle w:val="SingleTxt"/>
        <w:tabs>
          <w:tab w:val="right" w:pos="1685"/>
        </w:tabs>
        <w:ind w:left="1742" w:hanging="475"/>
        <w:rPr>
          <w:lang w:val="en-GB"/>
        </w:rPr>
      </w:pPr>
      <w:r>
        <w:rPr>
          <w:lang w:val="en-GB"/>
        </w:rPr>
        <w:tab/>
      </w:r>
      <w:r w:rsidRPr="00DF37A3">
        <w:rPr>
          <w:lang w:val="en-GB"/>
        </w:rPr>
        <w:t>•</w:t>
      </w:r>
      <w:r w:rsidRPr="00DF37A3">
        <w:rPr>
          <w:lang w:val="en-GB"/>
        </w:rPr>
        <w:tab/>
        <w:t>From 11 to 15 years: 2271 (14.3 per cent), of whom women make up 952 (42</w:t>
      </w:r>
      <w:r>
        <w:rPr>
          <w:lang w:val="en-GB"/>
        </w:rPr>
        <w:t> </w:t>
      </w:r>
      <w:r w:rsidRPr="00DF37A3">
        <w:rPr>
          <w:lang w:val="en-GB"/>
        </w:rPr>
        <w:t>per cent)</w:t>
      </w:r>
    </w:p>
    <w:p w14:paraId="01BA5D8A" w14:textId="77777777" w:rsidR="004A3AB4" w:rsidRPr="00DF37A3" w:rsidRDefault="004A3AB4" w:rsidP="004A3AB4">
      <w:pPr>
        <w:pStyle w:val="SingleTxt"/>
        <w:tabs>
          <w:tab w:val="right" w:pos="1685"/>
        </w:tabs>
        <w:ind w:left="1742" w:hanging="475"/>
        <w:rPr>
          <w:lang w:val="en-GB"/>
        </w:rPr>
      </w:pPr>
      <w:r>
        <w:rPr>
          <w:lang w:val="en-GB"/>
        </w:rPr>
        <w:tab/>
      </w:r>
      <w:r w:rsidRPr="00DF37A3">
        <w:rPr>
          <w:lang w:val="en-GB"/>
        </w:rPr>
        <w:t>•</w:t>
      </w:r>
      <w:r w:rsidRPr="00DF37A3">
        <w:rPr>
          <w:lang w:val="en-GB"/>
        </w:rPr>
        <w:tab/>
        <w:t>From 16 to 20 years: 1897 (12 per cent), of whom women make up 782 (41 per cent)</w:t>
      </w:r>
    </w:p>
    <w:p w14:paraId="65A32CDB" w14:textId="77777777" w:rsidR="004A3AB4" w:rsidRPr="00DF37A3" w:rsidRDefault="004A3AB4" w:rsidP="004A3AB4">
      <w:pPr>
        <w:pStyle w:val="SingleTxt"/>
        <w:tabs>
          <w:tab w:val="right" w:pos="1685"/>
        </w:tabs>
        <w:ind w:left="1742" w:hanging="475"/>
        <w:rPr>
          <w:lang w:val="en-GB"/>
        </w:rPr>
      </w:pPr>
      <w:r>
        <w:rPr>
          <w:lang w:val="en-GB"/>
        </w:rPr>
        <w:tab/>
      </w:r>
      <w:r w:rsidRPr="00DF37A3">
        <w:rPr>
          <w:lang w:val="en-GB"/>
        </w:rPr>
        <w:t>•</w:t>
      </w:r>
      <w:r w:rsidRPr="00DF37A3">
        <w:rPr>
          <w:lang w:val="en-GB"/>
        </w:rPr>
        <w:tab/>
        <w:t>From 21 to 25 years: 1582 (10 per cent), of whom women make up 688 (43 per cent)</w:t>
      </w:r>
    </w:p>
    <w:p w14:paraId="3FFCB077" w14:textId="77777777" w:rsidR="004A3AB4" w:rsidRPr="00DF37A3" w:rsidRDefault="004A3AB4" w:rsidP="004A3AB4">
      <w:pPr>
        <w:pStyle w:val="SingleTxt"/>
        <w:tabs>
          <w:tab w:val="right" w:pos="1685"/>
        </w:tabs>
        <w:ind w:left="1742" w:hanging="475"/>
        <w:rPr>
          <w:lang w:val="en-GB"/>
        </w:rPr>
      </w:pPr>
      <w:r>
        <w:rPr>
          <w:lang w:val="en-GB"/>
        </w:rPr>
        <w:tab/>
      </w:r>
      <w:r w:rsidRPr="00DF37A3">
        <w:rPr>
          <w:lang w:val="en-GB"/>
        </w:rPr>
        <w:t>•</w:t>
      </w:r>
      <w:r w:rsidRPr="00DF37A3">
        <w:rPr>
          <w:lang w:val="en-GB"/>
        </w:rPr>
        <w:tab/>
        <w:t>From 26 to 30 years: 834 (5.3 per cent), of whom women make up 355 (40 per cent)</w:t>
      </w:r>
    </w:p>
    <w:p w14:paraId="5C0AAD14" w14:textId="77777777" w:rsidR="004A3AB4" w:rsidRPr="00DF37A3" w:rsidRDefault="004A3AB4" w:rsidP="00D820D9">
      <w:pPr>
        <w:pStyle w:val="SingleTxt"/>
        <w:tabs>
          <w:tab w:val="right" w:pos="1685"/>
        </w:tabs>
        <w:ind w:left="1742" w:hanging="475"/>
        <w:rPr>
          <w:lang w:val="en-GB"/>
        </w:rPr>
      </w:pPr>
      <w:r>
        <w:rPr>
          <w:lang w:val="en-GB"/>
        </w:rPr>
        <w:tab/>
      </w:r>
      <w:r w:rsidRPr="00DF37A3">
        <w:rPr>
          <w:lang w:val="en-GB"/>
        </w:rPr>
        <w:t>•</w:t>
      </w:r>
      <w:r w:rsidRPr="00DF37A3">
        <w:rPr>
          <w:lang w:val="en-GB"/>
        </w:rPr>
        <w:tab/>
        <w:t>More than 30 years: 813 (5.1 per cent), of whom women make up 365 (44 per cent).</w:t>
      </w:r>
    </w:p>
    <w:p w14:paraId="209ECF07" w14:textId="77777777" w:rsidR="004A3AB4" w:rsidRPr="00406481" w:rsidRDefault="004A3AB4" w:rsidP="004A3AB4">
      <w:pPr>
        <w:pStyle w:val="SingleTxt"/>
        <w:spacing w:after="0" w:line="120" w:lineRule="exact"/>
        <w:rPr>
          <w:sz w:val="10"/>
          <w:lang w:val="en-GB"/>
        </w:rPr>
      </w:pPr>
    </w:p>
    <w:p w14:paraId="07791590" w14:textId="77777777" w:rsidR="004A3AB4" w:rsidRPr="00DF37A3" w:rsidRDefault="004A3AB4" w:rsidP="004A3AB4">
      <w:pPr>
        <w:pStyle w:val="SingleTxt"/>
        <w:spacing w:after="0"/>
        <w:rPr>
          <w:lang w:val="en-GB"/>
        </w:rPr>
      </w:pPr>
      <w:r w:rsidRPr="00DF37A3">
        <w:rPr>
          <w:lang w:val="en-GB"/>
        </w:rPr>
        <w:t>Table 7</w:t>
      </w:r>
    </w:p>
    <w:p w14:paraId="4B3CFCDE" w14:textId="77777777" w:rsidR="004A3AB4" w:rsidRPr="00DF37A3" w:rsidRDefault="004A3AB4" w:rsidP="004A3A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DF37A3">
        <w:t>Number of employees in local administrative posts</w:t>
      </w:r>
    </w:p>
    <w:p w14:paraId="7DBDBC64" w14:textId="77777777" w:rsidR="004A3AB4" w:rsidRPr="00406481" w:rsidRDefault="004A3AB4" w:rsidP="004A3AB4">
      <w:pPr>
        <w:pStyle w:val="SingleTxt"/>
        <w:spacing w:after="0" w:line="120" w:lineRule="exact"/>
        <w:rPr>
          <w:sz w:val="10"/>
          <w:lang w:val="en-GB"/>
        </w:rPr>
      </w:pPr>
    </w:p>
    <w:tbl>
      <w:tblPr>
        <w:tblStyle w:val="TableGrid"/>
        <w:tblW w:w="8613"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66"/>
        <w:gridCol w:w="1961"/>
        <w:gridCol w:w="2105"/>
        <w:gridCol w:w="2081"/>
      </w:tblGrid>
      <w:tr w:rsidR="004A3AB4" w:rsidRPr="00406481" w14:paraId="3627C776" w14:textId="77777777" w:rsidTr="003C23CC">
        <w:trPr>
          <w:tblHeader/>
        </w:trPr>
        <w:tc>
          <w:tcPr>
            <w:tcW w:w="2466" w:type="dxa"/>
            <w:tcBorders>
              <w:top w:val="single" w:sz="4" w:space="0" w:color="auto"/>
              <w:bottom w:val="single" w:sz="12" w:space="0" w:color="auto"/>
            </w:tcBorders>
            <w:shd w:val="clear" w:color="auto" w:fill="auto"/>
            <w:vAlign w:val="bottom"/>
          </w:tcPr>
          <w:p w14:paraId="72F1502C" w14:textId="77777777" w:rsidR="004A3AB4" w:rsidRPr="0040648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406481">
              <w:rPr>
                <w:i/>
                <w:sz w:val="14"/>
                <w:lang w:val="en-GB"/>
              </w:rPr>
              <w:t>Category of administrative posts</w:t>
            </w:r>
          </w:p>
        </w:tc>
        <w:tc>
          <w:tcPr>
            <w:tcW w:w="1961" w:type="dxa"/>
            <w:tcBorders>
              <w:top w:val="single" w:sz="4" w:space="0" w:color="auto"/>
              <w:bottom w:val="single" w:sz="12" w:space="0" w:color="auto"/>
            </w:tcBorders>
            <w:shd w:val="clear" w:color="auto" w:fill="auto"/>
            <w:vAlign w:val="bottom"/>
          </w:tcPr>
          <w:p w14:paraId="2E9D8DF7" w14:textId="77777777" w:rsidR="004A3AB4" w:rsidRPr="0040648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406481">
              <w:rPr>
                <w:i/>
                <w:sz w:val="14"/>
                <w:lang w:val="en-GB"/>
              </w:rPr>
              <w:t>On the staffing table</w:t>
            </w:r>
          </w:p>
        </w:tc>
        <w:tc>
          <w:tcPr>
            <w:tcW w:w="2105" w:type="dxa"/>
            <w:tcBorders>
              <w:top w:val="single" w:sz="4" w:space="0" w:color="auto"/>
              <w:bottom w:val="single" w:sz="12" w:space="0" w:color="auto"/>
            </w:tcBorders>
            <w:shd w:val="clear" w:color="auto" w:fill="auto"/>
            <w:vAlign w:val="bottom"/>
          </w:tcPr>
          <w:p w14:paraId="6D5BF872" w14:textId="77777777" w:rsidR="004A3AB4" w:rsidRPr="0040648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406481">
              <w:rPr>
                <w:i/>
                <w:sz w:val="14"/>
                <w:lang w:val="en-GB"/>
              </w:rPr>
              <w:t xml:space="preserve">Employed </w:t>
            </w:r>
          </w:p>
        </w:tc>
        <w:tc>
          <w:tcPr>
            <w:tcW w:w="2081" w:type="dxa"/>
            <w:tcBorders>
              <w:top w:val="single" w:sz="4" w:space="0" w:color="auto"/>
              <w:bottom w:val="single" w:sz="12" w:space="0" w:color="auto"/>
            </w:tcBorders>
            <w:shd w:val="clear" w:color="auto" w:fill="auto"/>
            <w:vAlign w:val="bottom"/>
          </w:tcPr>
          <w:p w14:paraId="7C5724B2" w14:textId="77777777" w:rsidR="004A3AB4" w:rsidRPr="0040648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406481">
              <w:rPr>
                <w:i/>
                <w:sz w:val="14"/>
                <w:lang w:val="en-GB"/>
              </w:rPr>
              <w:t>Women employed</w:t>
            </w:r>
          </w:p>
        </w:tc>
      </w:tr>
      <w:tr w:rsidR="004A3AB4" w:rsidRPr="00406481" w14:paraId="107861AB" w14:textId="77777777" w:rsidTr="003C23CC">
        <w:trPr>
          <w:trHeight w:hRule="exact" w:val="115"/>
          <w:tblHeader/>
        </w:trPr>
        <w:tc>
          <w:tcPr>
            <w:tcW w:w="2466" w:type="dxa"/>
            <w:tcBorders>
              <w:top w:val="single" w:sz="12" w:space="0" w:color="auto"/>
            </w:tcBorders>
            <w:shd w:val="clear" w:color="auto" w:fill="auto"/>
            <w:vAlign w:val="bottom"/>
          </w:tcPr>
          <w:p w14:paraId="2F1BCB04" w14:textId="77777777" w:rsidR="004A3AB4" w:rsidRPr="0040648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1961" w:type="dxa"/>
            <w:tcBorders>
              <w:top w:val="single" w:sz="12" w:space="0" w:color="auto"/>
            </w:tcBorders>
            <w:shd w:val="clear" w:color="auto" w:fill="auto"/>
            <w:vAlign w:val="bottom"/>
          </w:tcPr>
          <w:p w14:paraId="5848276D" w14:textId="77777777" w:rsidR="004A3AB4" w:rsidRPr="0040648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2105" w:type="dxa"/>
            <w:tcBorders>
              <w:top w:val="single" w:sz="12" w:space="0" w:color="auto"/>
            </w:tcBorders>
            <w:shd w:val="clear" w:color="auto" w:fill="auto"/>
            <w:vAlign w:val="bottom"/>
          </w:tcPr>
          <w:p w14:paraId="631D6BAB" w14:textId="77777777" w:rsidR="004A3AB4" w:rsidRPr="0040648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2081" w:type="dxa"/>
            <w:tcBorders>
              <w:top w:val="single" w:sz="12" w:space="0" w:color="auto"/>
            </w:tcBorders>
            <w:shd w:val="clear" w:color="auto" w:fill="auto"/>
            <w:vAlign w:val="bottom"/>
          </w:tcPr>
          <w:p w14:paraId="7AB86E9C" w14:textId="77777777" w:rsidR="004A3AB4" w:rsidRPr="0040648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4A3AB4" w:rsidRPr="00406481" w14:paraId="05843010" w14:textId="77777777" w:rsidTr="003C23CC">
        <w:tc>
          <w:tcPr>
            <w:tcW w:w="2466" w:type="dxa"/>
            <w:shd w:val="clear" w:color="auto" w:fill="auto"/>
            <w:vAlign w:val="bottom"/>
          </w:tcPr>
          <w:p w14:paraId="75478E7F" w14:textId="77777777" w:rsidR="004A3AB4" w:rsidRPr="0040648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406481">
              <w:rPr>
                <w:sz w:val="17"/>
                <w:lang w:val="en-GB"/>
              </w:rPr>
              <w:t>Higher</w:t>
            </w:r>
          </w:p>
        </w:tc>
        <w:tc>
          <w:tcPr>
            <w:tcW w:w="1961" w:type="dxa"/>
            <w:shd w:val="clear" w:color="auto" w:fill="auto"/>
            <w:vAlign w:val="bottom"/>
          </w:tcPr>
          <w:p w14:paraId="553292E0" w14:textId="77777777" w:rsidR="004A3AB4" w:rsidRPr="0040648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06481">
              <w:rPr>
                <w:sz w:val="17"/>
                <w:lang w:val="en-GB"/>
              </w:rPr>
              <w:t>17</w:t>
            </w:r>
          </w:p>
        </w:tc>
        <w:tc>
          <w:tcPr>
            <w:tcW w:w="2105" w:type="dxa"/>
            <w:shd w:val="clear" w:color="auto" w:fill="auto"/>
            <w:vAlign w:val="bottom"/>
          </w:tcPr>
          <w:p w14:paraId="10397538" w14:textId="77777777" w:rsidR="004A3AB4" w:rsidRPr="0040648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06481">
              <w:rPr>
                <w:sz w:val="17"/>
                <w:lang w:val="en-GB"/>
              </w:rPr>
              <w:t>17</w:t>
            </w:r>
          </w:p>
        </w:tc>
        <w:tc>
          <w:tcPr>
            <w:tcW w:w="2081" w:type="dxa"/>
            <w:shd w:val="clear" w:color="auto" w:fill="auto"/>
            <w:vAlign w:val="bottom"/>
          </w:tcPr>
          <w:p w14:paraId="075290A8" w14:textId="77777777" w:rsidR="004A3AB4" w:rsidRPr="0040648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06481">
              <w:rPr>
                <w:sz w:val="17"/>
                <w:lang w:val="en-GB"/>
              </w:rPr>
              <w:t>1 (6%)</w:t>
            </w:r>
          </w:p>
        </w:tc>
      </w:tr>
      <w:tr w:rsidR="004A3AB4" w:rsidRPr="00406481" w14:paraId="5452C3EB" w14:textId="77777777" w:rsidTr="003C23CC">
        <w:tc>
          <w:tcPr>
            <w:tcW w:w="2466" w:type="dxa"/>
            <w:shd w:val="clear" w:color="auto" w:fill="auto"/>
            <w:vAlign w:val="bottom"/>
          </w:tcPr>
          <w:p w14:paraId="3B347DAD" w14:textId="77777777" w:rsidR="004A3AB4" w:rsidRPr="0040648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406481">
              <w:rPr>
                <w:sz w:val="17"/>
                <w:lang w:val="en-GB"/>
              </w:rPr>
              <w:t>Patronage</w:t>
            </w:r>
          </w:p>
        </w:tc>
        <w:tc>
          <w:tcPr>
            <w:tcW w:w="1961" w:type="dxa"/>
            <w:shd w:val="clear" w:color="auto" w:fill="auto"/>
            <w:vAlign w:val="bottom"/>
          </w:tcPr>
          <w:p w14:paraId="67C62199" w14:textId="1938583F" w:rsidR="004A3AB4" w:rsidRPr="00406481" w:rsidRDefault="00D820D9"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9">
              <w:rPr>
                <w:sz w:val="17"/>
                <w:lang w:val="en-GB"/>
              </w:rPr>
              <w:t>4</w:t>
            </w:r>
          </w:p>
        </w:tc>
        <w:tc>
          <w:tcPr>
            <w:tcW w:w="2105" w:type="dxa"/>
            <w:shd w:val="clear" w:color="auto" w:fill="auto"/>
            <w:vAlign w:val="bottom"/>
          </w:tcPr>
          <w:p w14:paraId="3703DCEC" w14:textId="5E0F9673" w:rsidR="004A3AB4" w:rsidRPr="00406481" w:rsidRDefault="00D820D9"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9">
              <w:rPr>
                <w:sz w:val="17"/>
                <w:lang w:val="en-GB"/>
              </w:rPr>
              <w:t>4</w:t>
            </w:r>
          </w:p>
        </w:tc>
        <w:tc>
          <w:tcPr>
            <w:tcW w:w="2081" w:type="dxa"/>
            <w:shd w:val="clear" w:color="auto" w:fill="auto"/>
            <w:vAlign w:val="bottom"/>
          </w:tcPr>
          <w:p w14:paraId="2A3F2A9E" w14:textId="35F6CD35" w:rsidR="004A3AB4" w:rsidRPr="00406481" w:rsidRDefault="00D820D9"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9">
              <w:rPr>
                <w:sz w:val="17"/>
                <w:lang w:val="en-GB"/>
              </w:rPr>
              <w:t>2 (50%)</w:t>
            </w:r>
          </w:p>
        </w:tc>
      </w:tr>
      <w:tr w:rsidR="004A3AB4" w:rsidRPr="00406481" w14:paraId="5E94563A" w14:textId="77777777" w:rsidTr="003C23CC">
        <w:tc>
          <w:tcPr>
            <w:tcW w:w="2466" w:type="dxa"/>
            <w:shd w:val="clear" w:color="auto" w:fill="auto"/>
            <w:vAlign w:val="bottom"/>
          </w:tcPr>
          <w:p w14:paraId="0840899F" w14:textId="77777777" w:rsidR="004A3AB4" w:rsidRPr="0040648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406481">
              <w:rPr>
                <w:sz w:val="17"/>
                <w:lang w:val="en-GB"/>
              </w:rPr>
              <w:t>Main</w:t>
            </w:r>
          </w:p>
        </w:tc>
        <w:tc>
          <w:tcPr>
            <w:tcW w:w="1961" w:type="dxa"/>
            <w:shd w:val="clear" w:color="auto" w:fill="auto"/>
            <w:vAlign w:val="bottom"/>
          </w:tcPr>
          <w:p w14:paraId="2EEC426C" w14:textId="77777777" w:rsidR="004A3AB4" w:rsidRPr="0040648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06481">
              <w:rPr>
                <w:sz w:val="17"/>
                <w:lang w:val="en-GB"/>
              </w:rPr>
              <w:t>850</w:t>
            </w:r>
          </w:p>
        </w:tc>
        <w:tc>
          <w:tcPr>
            <w:tcW w:w="2105" w:type="dxa"/>
            <w:shd w:val="clear" w:color="auto" w:fill="auto"/>
            <w:vAlign w:val="bottom"/>
          </w:tcPr>
          <w:p w14:paraId="38BD02C6" w14:textId="77777777" w:rsidR="004A3AB4" w:rsidRPr="0040648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06481">
              <w:rPr>
                <w:sz w:val="17"/>
                <w:lang w:val="en-GB"/>
              </w:rPr>
              <w:t>778</w:t>
            </w:r>
          </w:p>
        </w:tc>
        <w:tc>
          <w:tcPr>
            <w:tcW w:w="2081" w:type="dxa"/>
            <w:shd w:val="clear" w:color="auto" w:fill="auto"/>
            <w:vAlign w:val="bottom"/>
          </w:tcPr>
          <w:p w14:paraId="46204217" w14:textId="77777777" w:rsidR="004A3AB4" w:rsidRPr="0040648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06481">
              <w:rPr>
                <w:sz w:val="17"/>
                <w:lang w:val="en-GB"/>
              </w:rPr>
              <w:t>362 (47%)</w:t>
            </w:r>
          </w:p>
        </w:tc>
      </w:tr>
      <w:tr w:rsidR="004A3AB4" w:rsidRPr="00406481" w14:paraId="2BEC0150" w14:textId="77777777" w:rsidTr="003C23CC">
        <w:tc>
          <w:tcPr>
            <w:tcW w:w="2466" w:type="dxa"/>
            <w:shd w:val="clear" w:color="auto" w:fill="auto"/>
            <w:vAlign w:val="bottom"/>
          </w:tcPr>
          <w:p w14:paraId="7BBCE228" w14:textId="77777777" w:rsidR="004A3AB4" w:rsidRPr="0040648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406481">
              <w:rPr>
                <w:sz w:val="17"/>
                <w:lang w:val="en-GB"/>
              </w:rPr>
              <w:t>Senior</w:t>
            </w:r>
          </w:p>
        </w:tc>
        <w:tc>
          <w:tcPr>
            <w:tcW w:w="1961" w:type="dxa"/>
            <w:shd w:val="clear" w:color="auto" w:fill="auto"/>
            <w:vAlign w:val="bottom"/>
          </w:tcPr>
          <w:p w14:paraId="183D18BC" w14:textId="77777777" w:rsidR="004A3AB4" w:rsidRPr="0040648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06481">
              <w:rPr>
                <w:sz w:val="17"/>
                <w:lang w:val="en-GB"/>
              </w:rPr>
              <w:t>2 768</w:t>
            </w:r>
          </w:p>
        </w:tc>
        <w:tc>
          <w:tcPr>
            <w:tcW w:w="2105" w:type="dxa"/>
            <w:shd w:val="clear" w:color="auto" w:fill="auto"/>
            <w:vAlign w:val="bottom"/>
          </w:tcPr>
          <w:p w14:paraId="7AEAB60A" w14:textId="77777777" w:rsidR="004A3AB4" w:rsidRPr="0040648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06481">
              <w:rPr>
                <w:sz w:val="17"/>
                <w:lang w:val="en-GB"/>
              </w:rPr>
              <w:t>2 357</w:t>
            </w:r>
          </w:p>
        </w:tc>
        <w:tc>
          <w:tcPr>
            <w:tcW w:w="2081" w:type="dxa"/>
            <w:shd w:val="clear" w:color="auto" w:fill="auto"/>
            <w:vAlign w:val="bottom"/>
          </w:tcPr>
          <w:p w14:paraId="1956A45B" w14:textId="77777777" w:rsidR="004A3AB4" w:rsidRPr="0040648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06481">
              <w:rPr>
                <w:sz w:val="17"/>
                <w:lang w:val="en-GB"/>
              </w:rPr>
              <w:t>954 (40%)</w:t>
            </w:r>
          </w:p>
        </w:tc>
      </w:tr>
      <w:tr w:rsidR="004A3AB4" w:rsidRPr="00406481" w14:paraId="728E2564" w14:textId="77777777" w:rsidTr="003C23CC">
        <w:tc>
          <w:tcPr>
            <w:tcW w:w="2466" w:type="dxa"/>
            <w:tcBorders>
              <w:bottom w:val="single" w:sz="4" w:space="0" w:color="auto"/>
            </w:tcBorders>
            <w:shd w:val="clear" w:color="auto" w:fill="auto"/>
            <w:vAlign w:val="bottom"/>
          </w:tcPr>
          <w:p w14:paraId="17FB3421" w14:textId="77777777" w:rsidR="004A3AB4" w:rsidRPr="0040648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lang w:val="en-GB"/>
              </w:rPr>
            </w:pPr>
            <w:r w:rsidRPr="00406481">
              <w:rPr>
                <w:sz w:val="17"/>
                <w:lang w:val="en-GB"/>
              </w:rPr>
              <w:t>Junior</w:t>
            </w:r>
          </w:p>
        </w:tc>
        <w:tc>
          <w:tcPr>
            <w:tcW w:w="1961" w:type="dxa"/>
            <w:tcBorders>
              <w:bottom w:val="single" w:sz="4" w:space="0" w:color="auto"/>
            </w:tcBorders>
            <w:shd w:val="clear" w:color="auto" w:fill="auto"/>
            <w:vAlign w:val="bottom"/>
          </w:tcPr>
          <w:p w14:paraId="1B0B9634" w14:textId="77777777" w:rsidR="004A3AB4" w:rsidRPr="0040648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406481">
              <w:rPr>
                <w:sz w:val="17"/>
                <w:lang w:val="en-GB"/>
              </w:rPr>
              <w:t>5 464</w:t>
            </w:r>
          </w:p>
        </w:tc>
        <w:tc>
          <w:tcPr>
            <w:tcW w:w="2105" w:type="dxa"/>
            <w:tcBorders>
              <w:bottom w:val="single" w:sz="4" w:space="0" w:color="auto"/>
            </w:tcBorders>
            <w:shd w:val="clear" w:color="auto" w:fill="auto"/>
            <w:vAlign w:val="bottom"/>
          </w:tcPr>
          <w:p w14:paraId="268E15EB" w14:textId="77777777" w:rsidR="004A3AB4" w:rsidRPr="0040648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406481">
              <w:rPr>
                <w:sz w:val="17"/>
                <w:lang w:val="en-GB"/>
              </w:rPr>
              <w:t>4 820</w:t>
            </w:r>
          </w:p>
        </w:tc>
        <w:tc>
          <w:tcPr>
            <w:tcW w:w="2081" w:type="dxa"/>
            <w:tcBorders>
              <w:bottom w:val="single" w:sz="4" w:space="0" w:color="auto"/>
            </w:tcBorders>
            <w:shd w:val="clear" w:color="auto" w:fill="auto"/>
            <w:vAlign w:val="bottom"/>
          </w:tcPr>
          <w:p w14:paraId="33EBA7B9" w14:textId="77777777" w:rsidR="004A3AB4" w:rsidRPr="0040648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406481">
              <w:rPr>
                <w:sz w:val="17"/>
                <w:lang w:val="en-GB"/>
              </w:rPr>
              <w:t>1 646 (34%)</w:t>
            </w:r>
          </w:p>
        </w:tc>
      </w:tr>
      <w:tr w:rsidR="004A3AB4" w:rsidRPr="00940949" w14:paraId="10A48A1A" w14:textId="77777777" w:rsidTr="003C23CC">
        <w:tc>
          <w:tcPr>
            <w:tcW w:w="2466" w:type="dxa"/>
            <w:tcBorders>
              <w:top w:val="single" w:sz="4" w:space="0" w:color="auto"/>
              <w:bottom w:val="single" w:sz="12" w:space="0" w:color="auto"/>
            </w:tcBorders>
            <w:shd w:val="clear" w:color="auto" w:fill="auto"/>
            <w:vAlign w:val="bottom"/>
          </w:tcPr>
          <w:p w14:paraId="523D6E94" w14:textId="77777777" w:rsidR="004A3AB4" w:rsidRPr="00940949"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lang w:val="en-GB"/>
              </w:rPr>
            </w:pPr>
            <w:r w:rsidRPr="00940949">
              <w:rPr>
                <w:b/>
                <w:sz w:val="17"/>
                <w:lang w:val="en-GB"/>
              </w:rPr>
              <w:tab/>
              <w:t>Total</w:t>
            </w:r>
          </w:p>
        </w:tc>
        <w:tc>
          <w:tcPr>
            <w:tcW w:w="1961" w:type="dxa"/>
            <w:tcBorders>
              <w:top w:val="single" w:sz="4" w:space="0" w:color="auto"/>
              <w:bottom w:val="single" w:sz="12" w:space="0" w:color="auto"/>
            </w:tcBorders>
            <w:shd w:val="clear" w:color="auto" w:fill="auto"/>
            <w:vAlign w:val="bottom"/>
          </w:tcPr>
          <w:p w14:paraId="19C80A58" w14:textId="77777777" w:rsidR="004A3AB4" w:rsidRPr="00940949"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940949">
              <w:rPr>
                <w:b/>
                <w:sz w:val="17"/>
                <w:lang w:val="en-GB"/>
              </w:rPr>
              <w:t>9 103</w:t>
            </w:r>
          </w:p>
        </w:tc>
        <w:tc>
          <w:tcPr>
            <w:tcW w:w="2105" w:type="dxa"/>
            <w:tcBorders>
              <w:top w:val="single" w:sz="4" w:space="0" w:color="auto"/>
              <w:bottom w:val="single" w:sz="12" w:space="0" w:color="auto"/>
            </w:tcBorders>
            <w:shd w:val="clear" w:color="auto" w:fill="auto"/>
            <w:vAlign w:val="bottom"/>
          </w:tcPr>
          <w:p w14:paraId="2A419EFF" w14:textId="77777777" w:rsidR="004A3AB4" w:rsidRPr="00940949"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940949">
              <w:rPr>
                <w:b/>
                <w:sz w:val="17"/>
                <w:lang w:val="en-GB"/>
              </w:rPr>
              <w:t>7 976</w:t>
            </w:r>
          </w:p>
        </w:tc>
        <w:tc>
          <w:tcPr>
            <w:tcW w:w="2081" w:type="dxa"/>
            <w:tcBorders>
              <w:top w:val="single" w:sz="4" w:space="0" w:color="auto"/>
              <w:bottom w:val="single" w:sz="12" w:space="0" w:color="auto"/>
            </w:tcBorders>
            <w:shd w:val="clear" w:color="auto" w:fill="auto"/>
            <w:vAlign w:val="bottom"/>
          </w:tcPr>
          <w:p w14:paraId="327D6BFD" w14:textId="77777777" w:rsidR="004A3AB4" w:rsidRPr="00940949"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940949">
              <w:rPr>
                <w:b/>
                <w:sz w:val="17"/>
                <w:lang w:val="en-GB"/>
              </w:rPr>
              <w:t>2 965 (37%)</w:t>
            </w:r>
          </w:p>
        </w:tc>
      </w:tr>
    </w:tbl>
    <w:p w14:paraId="0DE609A5" w14:textId="77777777" w:rsidR="00D820D9" w:rsidRPr="00D820D9" w:rsidRDefault="00D820D9" w:rsidP="00D820D9">
      <w:pPr>
        <w:pStyle w:val="SingleTxt"/>
        <w:spacing w:after="0" w:line="120" w:lineRule="exact"/>
        <w:rPr>
          <w:sz w:val="10"/>
          <w:lang w:val="en-GB"/>
        </w:rPr>
      </w:pPr>
    </w:p>
    <w:p w14:paraId="7D110E6D" w14:textId="77777777" w:rsidR="00D820D9" w:rsidRPr="00D820D9" w:rsidRDefault="00D820D9" w:rsidP="00D820D9">
      <w:pPr>
        <w:pStyle w:val="SingleTxt"/>
        <w:spacing w:after="0" w:line="120" w:lineRule="exact"/>
        <w:rPr>
          <w:sz w:val="10"/>
          <w:lang w:val="en-GB"/>
        </w:rPr>
      </w:pPr>
    </w:p>
    <w:p w14:paraId="1352BBF9" w14:textId="4D0CBF3B" w:rsidR="004A3AB4" w:rsidRPr="00DF37A3" w:rsidRDefault="004A3AB4" w:rsidP="00AE1D85">
      <w:pPr>
        <w:pStyle w:val="SingleTxt"/>
        <w:keepNext/>
        <w:rPr>
          <w:lang w:val="en-GB"/>
        </w:rPr>
      </w:pPr>
      <w:r w:rsidRPr="00DF37A3">
        <w:rPr>
          <w:lang w:val="en-GB"/>
        </w:rPr>
        <w:t>30.</w:t>
      </w:r>
      <w:r>
        <w:rPr>
          <w:lang w:val="en-GB"/>
        </w:rPr>
        <w:tab/>
      </w:r>
      <w:r w:rsidRPr="00DF37A3">
        <w:rPr>
          <w:lang w:val="en-GB"/>
        </w:rPr>
        <w:t>Breakdown of local administrative employees by length of service:</w:t>
      </w:r>
    </w:p>
    <w:p w14:paraId="6801FF98" w14:textId="77777777" w:rsidR="004A3AB4" w:rsidRPr="00DF37A3" w:rsidRDefault="004A3AB4" w:rsidP="00AE1D85">
      <w:pPr>
        <w:pStyle w:val="SingleTxt"/>
        <w:keepNext/>
        <w:tabs>
          <w:tab w:val="right" w:pos="1685"/>
        </w:tabs>
        <w:ind w:left="1742" w:hanging="475"/>
        <w:rPr>
          <w:lang w:val="en-GB"/>
        </w:rPr>
      </w:pPr>
      <w:r>
        <w:rPr>
          <w:lang w:val="en-GB"/>
        </w:rPr>
        <w:lastRenderedPageBreak/>
        <w:tab/>
      </w:r>
      <w:r w:rsidRPr="00DF37A3">
        <w:rPr>
          <w:lang w:val="en-GB"/>
        </w:rPr>
        <w:t>•</w:t>
      </w:r>
      <w:r w:rsidRPr="00DF37A3">
        <w:rPr>
          <w:lang w:val="en-GB"/>
        </w:rPr>
        <w:tab/>
        <w:t>Less than 1 year: 755 (9 per cent), of whom women make up 257 (34 per cent);</w:t>
      </w:r>
    </w:p>
    <w:p w14:paraId="2FB756A4" w14:textId="77777777" w:rsidR="004A3AB4" w:rsidRPr="00DF37A3" w:rsidRDefault="004A3AB4" w:rsidP="004A3AB4">
      <w:pPr>
        <w:pStyle w:val="SingleTxt"/>
        <w:tabs>
          <w:tab w:val="right" w:pos="1685"/>
        </w:tabs>
        <w:ind w:left="1742" w:hanging="475"/>
        <w:rPr>
          <w:lang w:val="en-GB"/>
        </w:rPr>
      </w:pPr>
      <w:r>
        <w:rPr>
          <w:lang w:val="en-GB"/>
        </w:rPr>
        <w:tab/>
      </w:r>
      <w:r w:rsidRPr="00DF37A3">
        <w:rPr>
          <w:lang w:val="en-GB"/>
        </w:rPr>
        <w:t>•</w:t>
      </w:r>
      <w:r w:rsidRPr="00DF37A3">
        <w:rPr>
          <w:lang w:val="en-GB"/>
        </w:rPr>
        <w:tab/>
        <w:t>From 1 year to 3 years: 1524 (18 per cent), of whom women make up 477 (31</w:t>
      </w:r>
      <w:r>
        <w:rPr>
          <w:lang w:val="en-GB"/>
        </w:rPr>
        <w:t> </w:t>
      </w:r>
      <w:r w:rsidRPr="00DF37A3">
        <w:rPr>
          <w:lang w:val="en-GB"/>
        </w:rPr>
        <w:t>per cent);</w:t>
      </w:r>
    </w:p>
    <w:p w14:paraId="2783A50D" w14:textId="77777777" w:rsidR="004A3AB4" w:rsidRPr="00DF37A3" w:rsidRDefault="004A3AB4" w:rsidP="004A3AB4">
      <w:pPr>
        <w:pStyle w:val="SingleTxt"/>
        <w:tabs>
          <w:tab w:val="right" w:pos="1685"/>
        </w:tabs>
        <w:ind w:left="1742" w:hanging="475"/>
        <w:rPr>
          <w:lang w:val="en-GB"/>
        </w:rPr>
      </w:pPr>
      <w:r>
        <w:rPr>
          <w:lang w:val="en-GB"/>
        </w:rPr>
        <w:tab/>
      </w:r>
      <w:r w:rsidRPr="00DF37A3">
        <w:rPr>
          <w:lang w:val="en-GB"/>
        </w:rPr>
        <w:t>•</w:t>
      </w:r>
      <w:r w:rsidRPr="00DF37A3">
        <w:rPr>
          <w:lang w:val="en-GB"/>
        </w:rPr>
        <w:tab/>
        <w:t>From 4 to 5 years: 1524 (14 per cent), of whom women make up 418 (35 per cent);</w:t>
      </w:r>
    </w:p>
    <w:p w14:paraId="005FA48A" w14:textId="77777777" w:rsidR="004A3AB4" w:rsidRPr="00DF37A3" w:rsidRDefault="004A3AB4" w:rsidP="004A3AB4">
      <w:pPr>
        <w:pStyle w:val="SingleTxt"/>
        <w:tabs>
          <w:tab w:val="right" w:pos="1685"/>
        </w:tabs>
        <w:ind w:left="1742" w:hanging="475"/>
        <w:rPr>
          <w:lang w:val="en-GB"/>
        </w:rPr>
      </w:pPr>
      <w:r>
        <w:rPr>
          <w:lang w:val="en-GB"/>
        </w:rPr>
        <w:tab/>
      </w:r>
      <w:r w:rsidRPr="00DF37A3">
        <w:rPr>
          <w:lang w:val="en-GB"/>
        </w:rPr>
        <w:t>•</w:t>
      </w:r>
      <w:r w:rsidRPr="00DF37A3">
        <w:rPr>
          <w:lang w:val="en-GB"/>
        </w:rPr>
        <w:tab/>
        <w:t>From 6 to 10 years: 1853 (22 per cent), of whom women make up 682 (37 per cent);</w:t>
      </w:r>
    </w:p>
    <w:p w14:paraId="7037FA2D" w14:textId="77777777" w:rsidR="004A3AB4" w:rsidRPr="00DF37A3" w:rsidRDefault="004A3AB4" w:rsidP="004A3AB4">
      <w:pPr>
        <w:pStyle w:val="SingleTxt"/>
        <w:tabs>
          <w:tab w:val="right" w:pos="1685"/>
        </w:tabs>
        <w:ind w:left="1742" w:hanging="475"/>
        <w:rPr>
          <w:lang w:val="en-GB"/>
        </w:rPr>
      </w:pPr>
      <w:r>
        <w:rPr>
          <w:lang w:val="en-GB"/>
        </w:rPr>
        <w:tab/>
      </w:r>
      <w:r w:rsidRPr="00DF37A3">
        <w:rPr>
          <w:lang w:val="en-GB"/>
        </w:rPr>
        <w:t>•</w:t>
      </w:r>
      <w:r w:rsidRPr="00DF37A3">
        <w:rPr>
          <w:lang w:val="en-GB"/>
        </w:rPr>
        <w:tab/>
        <w:t>From 11 to 15 years: 1263 (15 per cent), of whom women make up 445 (35 per cent);</w:t>
      </w:r>
    </w:p>
    <w:p w14:paraId="2E858B75" w14:textId="77777777" w:rsidR="004A3AB4" w:rsidRPr="00DF37A3" w:rsidRDefault="004A3AB4" w:rsidP="004A3AB4">
      <w:pPr>
        <w:pStyle w:val="SingleTxt"/>
        <w:tabs>
          <w:tab w:val="right" w:pos="1685"/>
        </w:tabs>
        <w:ind w:left="1742" w:hanging="475"/>
        <w:rPr>
          <w:lang w:val="en-GB"/>
        </w:rPr>
      </w:pPr>
      <w:r>
        <w:rPr>
          <w:lang w:val="en-GB"/>
        </w:rPr>
        <w:tab/>
      </w:r>
      <w:r w:rsidRPr="00DF37A3">
        <w:rPr>
          <w:lang w:val="en-GB"/>
        </w:rPr>
        <w:t>•</w:t>
      </w:r>
      <w:r w:rsidRPr="00DF37A3">
        <w:rPr>
          <w:lang w:val="en-GB"/>
        </w:rPr>
        <w:tab/>
        <w:t>From 16 to 20 years: 876 (10 per cent), of whom women make up 308 (35 per cent);</w:t>
      </w:r>
    </w:p>
    <w:p w14:paraId="5443DA26" w14:textId="77777777" w:rsidR="004A3AB4" w:rsidRPr="00DF37A3" w:rsidRDefault="004A3AB4" w:rsidP="004A3AB4">
      <w:pPr>
        <w:pStyle w:val="SingleTxt"/>
        <w:tabs>
          <w:tab w:val="right" w:pos="1685"/>
        </w:tabs>
        <w:ind w:left="1742" w:hanging="475"/>
        <w:rPr>
          <w:lang w:val="en-GB"/>
        </w:rPr>
      </w:pPr>
      <w:r>
        <w:rPr>
          <w:lang w:val="en-GB"/>
        </w:rPr>
        <w:tab/>
      </w:r>
      <w:r w:rsidRPr="00DF37A3">
        <w:rPr>
          <w:lang w:val="en-GB"/>
        </w:rPr>
        <w:t>•</w:t>
      </w:r>
      <w:r w:rsidRPr="00DF37A3">
        <w:rPr>
          <w:lang w:val="en-GB"/>
        </w:rPr>
        <w:tab/>
        <w:t>From 21 to 25 years: 449 (5 per cent), of whom women make up 172 (38 per cent);</w:t>
      </w:r>
    </w:p>
    <w:p w14:paraId="4A14CB0E" w14:textId="77777777" w:rsidR="004A3AB4" w:rsidRPr="00DF37A3" w:rsidRDefault="004A3AB4" w:rsidP="004A3AB4">
      <w:pPr>
        <w:pStyle w:val="SingleTxt"/>
        <w:tabs>
          <w:tab w:val="right" w:pos="1685"/>
        </w:tabs>
        <w:ind w:left="1742" w:hanging="475"/>
        <w:rPr>
          <w:lang w:val="en-GB"/>
        </w:rPr>
      </w:pPr>
      <w:r>
        <w:rPr>
          <w:lang w:val="en-GB"/>
        </w:rPr>
        <w:tab/>
      </w:r>
      <w:r w:rsidRPr="00DF37A3">
        <w:rPr>
          <w:lang w:val="en-GB"/>
        </w:rPr>
        <w:t>•</w:t>
      </w:r>
      <w:r w:rsidRPr="00DF37A3">
        <w:rPr>
          <w:lang w:val="en-GB"/>
        </w:rPr>
        <w:tab/>
        <w:t>From 26 to 30 years: 298 (4 per cent), of whom women make up 115 (39 per cent);</w:t>
      </w:r>
    </w:p>
    <w:p w14:paraId="1ABEBD77" w14:textId="77777777" w:rsidR="004A3AB4" w:rsidRPr="00DF37A3" w:rsidRDefault="004A3AB4" w:rsidP="004A3AB4">
      <w:pPr>
        <w:pStyle w:val="SingleTxt"/>
        <w:tabs>
          <w:tab w:val="right" w:pos="1685"/>
        </w:tabs>
        <w:ind w:left="1742" w:hanging="475"/>
        <w:rPr>
          <w:lang w:val="en-GB"/>
        </w:rPr>
      </w:pPr>
      <w:r>
        <w:rPr>
          <w:lang w:val="en-GB"/>
        </w:rPr>
        <w:tab/>
      </w:r>
      <w:r w:rsidRPr="00DF37A3">
        <w:rPr>
          <w:lang w:val="en-GB"/>
        </w:rPr>
        <w:t>•</w:t>
      </w:r>
      <w:r w:rsidRPr="00DF37A3">
        <w:rPr>
          <w:lang w:val="en-GB"/>
        </w:rPr>
        <w:tab/>
        <w:t>More than 30 years: 280 (3 per cent), of whom women make up 116 (41 per cent).</w:t>
      </w:r>
    </w:p>
    <w:p w14:paraId="22774EDB" w14:textId="77777777" w:rsidR="004A3AB4" w:rsidRPr="003700F7" w:rsidRDefault="004A3AB4" w:rsidP="004A3AB4">
      <w:pPr>
        <w:pStyle w:val="SingleTxt"/>
        <w:spacing w:after="0" w:line="120" w:lineRule="exact"/>
        <w:rPr>
          <w:sz w:val="10"/>
          <w:lang w:val="en-GB"/>
        </w:rPr>
      </w:pPr>
    </w:p>
    <w:p w14:paraId="5618EC1E" w14:textId="77777777" w:rsidR="004A3AB4" w:rsidRPr="003700F7" w:rsidRDefault="004A3AB4" w:rsidP="004A3AB4">
      <w:pPr>
        <w:pStyle w:val="SingleTxt"/>
        <w:spacing w:after="0" w:line="120" w:lineRule="exact"/>
        <w:rPr>
          <w:sz w:val="10"/>
          <w:lang w:val="en-GB"/>
        </w:rPr>
      </w:pPr>
    </w:p>
    <w:p w14:paraId="15271C75" w14:textId="77777777" w:rsidR="004A3AB4" w:rsidRPr="00DF37A3" w:rsidRDefault="004A3AB4" w:rsidP="004A3AB4">
      <w:pPr>
        <w:pStyle w:val="SingleTxt"/>
        <w:spacing w:after="0"/>
        <w:rPr>
          <w:lang w:val="en-GB"/>
        </w:rPr>
      </w:pPr>
      <w:r w:rsidRPr="00DF37A3">
        <w:rPr>
          <w:lang w:val="en-GB"/>
        </w:rPr>
        <w:t>Figure 3</w:t>
      </w:r>
    </w:p>
    <w:p w14:paraId="187B7B04" w14:textId="77777777" w:rsidR="004A3AB4" w:rsidRPr="00DF37A3" w:rsidRDefault="004A3AB4" w:rsidP="004A3A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DF37A3">
        <w:t>Number of persons with special needs in the State civil service</w:t>
      </w:r>
    </w:p>
    <w:p w14:paraId="542AF901" w14:textId="77777777" w:rsidR="004A3AB4" w:rsidRPr="003700F7" w:rsidRDefault="004A3AB4" w:rsidP="004A3AB4">
      <w:pPr>
        <w:pStyle w:val="SingleTxt"/>
        <w:spacing w:after="0" w:line="120" w:lineRule="exact"/>
        <w:rPr>
          <w:sz w:val="10"/>
          <w:lang w:val="en-GB"/>
        </w:rPr>
      </w:pPr>
    </w:p>
    <w:p w14:paraId="0F9F902E" w14:textId="77777777" w:rsidR="004A3AB4" w:rsidRPr="00DF37A3" w:rsidRDefault="004A3AB4" w:rsidP="008911E2">
      <w:pPr>
        <w:pStyle w:val="SingleTxt"/>
        <w:spacing w:after="0"/>
        <w:rPr>
          <w:lang w:val="en-GB"/>
        </w:rPr>
      </w:pPr>
      <w:r w:rsidRPr="00455C9A">
        <w:rPr>
          <w:noProof/>
          <w:lang w:eastAsia="en-GB"/>
        </w:rPr>
        <w:drawing>
          <wp:inline distT="0" distB="0" distL="0" distR="0" wp14:anchorId="684499C7" wp14:editId="2ACC4867">
            <wp:extent cx="4667250" cy="2886075"/>
            <wp:effectExtent l="0" t="0" r="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76AEF01" w14:textId="77777777" w:rsidR="004A3AB4" w:rsidRPr="003700F7" w:rsidRDefault="004A3AB4" w:rsidP="004A3AB4">
      <w:pPr>
        <w:pStyle w:val="SingleTxt"/>
        <w:spacing w:after="0" w:line="120" w:lineRule="exact"/>
        <w:rPr>
          <w:sz w:val="10"/>
          <w:lang w:val="en-GB"/>
        </w:rPr>
      </w:pPr>
    </w:p>
    <w:p w14:paraId="5C5FDF57" w14:textId="77777777" w:rsidR="004A3AB4" w:rsidRPr="003700F7" w:rsidRDefault="004A3AB4" w:rsidP="004A3AB4">
      <w:pPr>
        <w:pStyle w:val="SingleTxt"/>
        <w:spacing w:after="0" w:line="120" w:lineRule="exact"/>
        <w:rPr>
          <w:sz w:val="10"/>
          <w:lang w:val="en-GB"/>
        </w:rPr>
      </w:pPr>
    </w:p>
    <w:p w14:paraId="6507EEAF" w14:textId="271A70DC" w:rsidR="004A3AB4" w:rsidRDefault="004A3AB4" w:rsidP="004A3AB4">
      <w:pPr>
        <w:pStyle w:val="SingleTxt"/>
        <w:rPr>
          <w:lang w:val="en-GB"/>
        </w:rPr>
      </w:pPr>
      <w:r w:rsidRPr="00DF37A3">
        <w:rPr>
          <w:lang w:val="en-GB"/>
        </w:rPr>
        <w:t>31.</w:t>
      </w:r>
      <w:r>
        <w:rPr>
          <w:lang w:val="en-GB"/>
        </w:rPr>
        <w:tab/>
      </w:r>
      <w:r w:rsidRPr="00DF37A3">
        <w:rPr>
          <w:lang w:val="en-GB"/>
        </w:rPr>
        <w:t>With regard to the adoption of special measures aimed at implementing the provisions of the Convention relating to the need to provide women with appropriate services during pregnancy, childbirth and the postnatal period, besides the general rules set out in this report with reference to articles 11 and 12 of the Convention, additions have been made to the new Criminal Enforcement Code, which entered into force on 1 January 2019 and provides for special measures to benefit pregnant women (articles 45, 54 and 98).</w:t>
      </w:r>
    </w:p>
    <w:p w14:paraId="3C686EF4" w14:textId="46F59762" w:rsidR="00BA68CE" w:rsidRPr="00D1128F" w:rsidRDefault="00BA68CE" w:rsidP="00D1128F">
      <w:pPr>
        <w:pStyle w:val="SingleTxt"/>
        <w:spacing w:after="0" w:line="120" w:lineRule="exact"/>
        <w:rPr>
          <w:sz w:val="10"/>
          <w:lang w:val="en-GB"/>
        </w:rPr>
      </w:pPr>
    </w:p>
    <w:p w14:paraId="56BD62CB" w14:textId="073B05C6" w:rsidR="00BA68CE" w:rsidRPr="00D1128F" w:rsidRDefault="00BA68CE" w:rsidP="00D1128F">
      <w:pPr>
        <w:pStyle w:val="SingleTxt"/>
        <w:spacing w:after="0" w:line="120" w:lineRule="exact"/>
        <w:rPr>
          <w:sz w:val="10"/>
          <w:lang w:val="en-GB"/>
        </w:rPr>
      </w:pPr>
    </w:p>
    <w:p w14:paraId="7C5CA6DB" w14:textId="77777777" w:rsidR="004A3AB4" w:rsidRPr="00DF37A3" w:rsidRDefault="004A3AB4" w:rsidP="00691DC2">
      <w:pPr>
        <w:pStyle w:val="H1"/>
        <w:ind w:right="1260"/>
        <w:rPr>
          <w:lang w:val="en-GB"/>
        </w:rPr>
      </w:pPr>
      <w:r w:rsidRPr="00DF37A3">
        <w:rPr>
          <w:lang w:val="en-GB"/>
        </w:rPr>
        <w:lastRenderedPageBreak/>
        <w:tab/>
      </w:r>
      <w:r w:rsidRPr="00DF37A3">
        <w:rPr>
          <w:lang w:val="en-GB"/>
        </w:rPr>
        <w:tab/>
        <w:t>Article 5</w:t>
      </w:r>
    </w:p>
    <w:p w14:paraId="097A265C" w14:textId="77777777" w:rsidR="004A3AB4" w:rsidRPr="002B54BE" w:rsidRDefault="004A3AB4" w:rsidP="00D1128F">
      <w:pPr>
        <w:pStyle w:val="SingleTxt"/>
        <w:keepNext/>
        <w:keepLines/>
        <w:spacing w:after="0" w:line="120" w:lineRule="exact"/>
        <w:rPr>
          <w:sz w:val="10"/>
          <w:lang w:val="en-GB"/>
        </w:rPr>
      </w:pPr>
    </w:p>
    <w:p w14:paraId="2E1E4235" w14:textId="77777777" w:rsidR="004A3AB4" w:rsidRPr="002B54BE" w:rsidRDefault="004A3AB4" w:rsidP="00D1128F">
      <w:pPr>
        <w:pStyle w:val="SingleTxt"/>
        <w:keepNext/>
        <w:keepLines/>
        <w:spacing w:after="0" w:line="120" w:lineRule="exact"/>
        <w:rPr>
          <w:sz w:val="10"/>
          <w:lang w:val="en-GB"/>
        </w:rPr>
      </w:pPr>
    </w:p>
    <w:p w14:paraId="59DEBA3A" w14:textId="77777777" w:rsidR="004A3AB4" w:rsidRPr="00DF37A3" w:rsidRDefault="004A3AB4" w:rsidP="004A3AB4">
      <w:pPr>
        <w:pStyle w:val="SingleTxt"/>
        <w:rPr>
          <w:lang w:val="en-GB"/>
        </w:rPr>
      </w:pPr>
      <w:r w:rsidRPr="00DF37A3">
        <w:rPr>
          <w:lang w:val="en-GB"/>
        </w:rPr>
        <w:t>32</w:t>
      </w:r>
      <w:r>
        <w:rPr>
          <w:lang w:val="en-GB"/>
        </w:rPr>
        <w:t>.</w:t>
      </w:r>
      <w:r>
        <w:rPr>
          <w:lang w:val="en-GB"/>
        </w:rPr>
        <w:tab/>
      </w:r>
      <w:r w:rsidRPr="00DF37A3">
        <w:rPr>
          <w:lang w:val="en-GB"/>
        </w:rPr>
        <w:t xml:space="preserve">Bearing in mind the Committee’s concern, expressed in its concluding observations, regarding the persistence of stereotypes and patriarchal attitudes with regard to the roles and responsibilities of men and women in the family and society, in 2016 the Ministry of Labour and Social Development and the National Statistical Committee took part in a national study entitled “Gender in the perception of society”, within the framework of a joint programme of the United Nations Entity for Gender Equality and the Empowerment of Women (UN-Women), the United Nations Population Fund and the International Organization for Migration, aimed at developing an evidence base for the promotion of gender-sensitive policies and programmes. </w:t>
      </w:r>
    </w:p>
    <w:p w14:paraId="509B2E24" w14:textId="77777777" w:rsidR="004A3AB4" w:rsidRPr="00DF37A3" w:rsidRDefault="004A3AB4" w:rsidP="004A3AB4">
      <w:pPr>
        <w:pStyle w:val="SingleTxt"/>
        <w:rPr>
          <w:lang w:val="en-GB"/>
        </w:rPr>
      </w:pPr>
      <w:r w:rsidRPr="00DF37A3">
        <w:rPr>
          <w:lang w:val="en-GB"/>
        </w:rPr>
        <w:t>33.</w:t>
      </w:r>
      <w:r>
        <w:rPr>
          <w:lang w:val="en-GB"/>
        </w:rPr>
        <w:tab/>
      </w:r>
      <w:r w:rsidRPr="00DF37A3">
        <w:rPr>
          <w:lang w:val="en-GB"/>
        </w:rPr>
        <w:t xml:space="preserve">Kyrgyzstan has taken further measures to strengthen the legal framework for combating bride kidnapping and early marriage. For example, in addition to the amendments introduced in 2013 to articles of the Criminal Code, in particular article 154 on arranging a coerced de facto marriage relationship with a person who is under the age of 17 and article 155 on forcing a woman to marry, kidnapping a woman for the purpose of marriage or preventing her from marrying, the Act of 17 November 2016 on Amendments to Certain Legislative Acts of the Kyrgyz Republic (Family Code) was adopted. </w:t>
      </w:r>
    </w:p>
    <w:p w14:paraId="6C460A92" w14:textId="77777777" w:rsidR="004A3AB4" w:rsidRPr="00DF37A3" w:rsidRDefault="004A3AB4" w:rsidP="004A3AB4">
      <w:pPr>
        <w:pStyle w:val="SingleTxt"/>
        <w:rPr>
          <w:lang w:val="en-GB"/>
        </w:rPr>
      </w:pPr>
      <w:r w:rsidRPr="00DF37A3">
        <w:rPr>
          <w:lang w:val="en-GB"/>
        </w:rPr>
        <w:t>34.</w:t>
      </w:r>
      <w:r>
        <w:rPr>
          <w:lang w:val="en-GB"/>
        </w:rPr>
        <w:tab/>
      </w:r>
      <w:r w:rsidRPr="00DF37A3">
        <w:rPr>
          <w:lang w:val="en-GB"/>
        </w:rPr>
        <w:t xml:space="preserve">In accordance with the aforementioned Act of 17 November 2016, article 1551 was added to the Criminal Code, which states that parents (persons in loco parentis) of persons in respect of whom a religious ceremony of marriage has been performed, persons who have performed a religious ceremony of marriage and adult persons in respect of whom a religious ceremony of marriage with a minor has been performed in violation of the law on marriage age are subject to punishment in the form of imprisonment for a term of three to five years. Article 14, paragraph 3, of the Family Code contains a provision stipulating that persons guilty of violating the requirements of the Code on the age of marriage are criminally liable under Kyrgyz law. </w:t>
      </w:r>
    </w:p>
    <w:p w14:paraId="561067AB" w14:textId="77777777" w:rsidR="004A3AB4" w:rsidRPr="00CE1E3F" w:rsidRDefault="004A3AB4" w:rsidP="004A3AB4">
      <w:pPr>
        <w:pStyle w:val="SingleTxt"/>
        <w:spacing w:after="0" w:line="120" w:lineRule="exact"/>
        <w:rPr>
          <w:sz w:val="10"/>
          <w:lang w:val="en-GB"/>
        </w:rPr>
      </w:pPr>
    </w:p>
    <w:p w14:paraId="4E65E2DD" w14:textId="77777777" w:rsidR="004A3AB4" w:rsidRPr="00DF37A3" w:rsidRDefault="004A3AB4" w:rsidP="004A3AB4">
      <w:pPr>
        <w:pStyle w:val="SingleTxt"/>
        <w:spacing w:after="0"/>
        <w:rPr>
          <w:lang w:val="en-GB"/>
        </w:rPr>
      </w:pPr>
      <w:r w:rsidRPr="00DF37A3">
        <w:rPr>
          <w:lang w:val="en-GB"/>
        </w:rPr>
        <w:t>Table 8</w:t>
      </w:r>
    </w:p>
    <w:p w14:paraId="35BD06A9" w14:textId="77777777" w:rsidR="004A3AB4" w:rsidRPr="00DF37A3" w:rsidRDefault="004A3AB4" w:rsidP="00AE1D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930" w:hanging="1267"/>
      </w:pPr>
      <w:r>
        <w:tab/>
      </w:r>
      <w:r>
        <w:tab/>
      </w:r>
      <w:r w:rsidRPr="00DF37A3">
        <w:t>Data from the Judicial Department of the Supreme Court of the Kyrgyz Republic regarding the work of courts of the first instance in criminal matters</w:t>
      </w:r>
    </w:p>
    <w:p w14:paraId="2FB55B16" w14:textId="77777777" w:rsidR="004A3AB4" w:rsidRPr="00CE1E3F" w:rsidRDefault="004A3AB4" w:rsidP="004A3AB4">
      <w:pPr>
        <w:pStyle w:val="SingleTxt"/>
        <w:spacing w:after="0" w:line="120" w:lineRule="exact"/>
        <w:rPr>
          <w:sz w:val="10"/>
          <w:lang w:val="en-GB"/>
        </w:rPr>
      </w:pPr>
    </w:p>
    <w:tbl>
      <w:tblPr>
        <w:tblStyle w:val="TableGrid"/>
        <w:tblW w:w="8607"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3"/>
        <w:gridCol w:w="1020"/>
        <w:gridCol w:w="1020"/>
        <w:gridCol w:w="1020"/>
        <w:gridCol w:w="900"/>
        <w:gridCol w:w="1140"/>
        <w:gridCol w:w="1020"/>
        <w:gridCol w:w="630"/>
        <w:gridCol w:w="630"/>
        <w:gridCol w:w="784"/>
      </w:tblGrid>
      <w:tr w:rsidR="004A3AB4" w:rsidRPr="00CE1E3F" w14:paraId="1B579F44" w14:textId="77777777" w:rsidTr="003C23CC">
        <w:trPr>
          <w:tblHeader/>
        </w:trPr>
        <w:tc>
          <w:tcPr>
            <w:tcW w:w="443" w:type="dxa"/>
            <w:vMerge w:val="restart"/>
            <w:tcBorders>
              <w:top w:val="single" w:sz="4" w:space="0" w:color="auto"/>
            </w:tcBorders>
            <w:shd w:val="clear" w:color="auto" w:fill="auto"/>
            <w:vAlign w:val="bottom"/>
          </w:tcPr>
          <w:p w14:paraId="5B741EBA" w14:textId="77777777" w:rsidR="004A3AB4" w:rsidRPr="00CE1E3F"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CE1E3F">
              <w:rPr>
                <w:i/>
                <w:sz w:val="14"/>
                <w:lang w:val="en-GB"/>
              </w:rPr>
              <w:t>Years</w:t>
            </w:r>
          </w:p>
        </w:tc>
        <w:tc>
          <w:tcPr>
            <w:tcW w:w="1020" w:type="dxa"/>
            <w:vMerge w:val="restart"/>
            <w:tcBorders>
              <w:top w:val="single" w:sz="4" w:space="0" w:color="auto"/>
            </w:tcBorders>
            <w:shd w:val="clear" w:color="auto" w:fill="auto"/>
            <w:vAlign w:val="bottom"/>
          </w:tcPr>
          <w:p w14:paraId="10CBA735" w14:textId="77777777" w:rsidR="004A3AB4" w:rsidRPr="00CE1E3F"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CE1E3F">
              <w:rPr>
                <w:i/>
                <w:sz w:val="14"/>
                <w:lang w:val="en-GB"/>
              </w:rPr>
              <w:t>Backlog of cases at the beginning of the period under review</w:t>
            </w:r>
          </w:p>
        </w:tc>
        <w:tc>
          <w:tcPr>
            <w:tcW w:w="1020" w:type="dxa"/>
            <w:vMerge w:val="restart"/>
            <w:tcBorders>
              <w:top w:val="single" w:sz="4" w:space="0" w:color="auto"/>
            </w:tcBorders>
            <w:shd w:val="clear" w:color="auto" w:fill="auto"/>
            <w:vAlign w:val="bottom"/>
          </w:tcPr>
          <w:p w14:paraId="6FDA435D" w14:textId="77777777" w:rsidR="004A3AB4" w:rsidRPr="00CE1E3F"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CE1E3F">
              <w:rPr>
                <w:i/>
                <w:sz w:val="14"/>
                <w:lang w:val="en-GB"/>
              </w:rPr>
              <w:t>New cases during the period under review</w:t>
            </w:r>
          </w:p>
        </w:tc>
        <w:tc>
          <w:tcPr>
            <w:tcW w:w="1020" w:type="dxa"/>
            <w:vMerge w:val="restart"/>
            <w:tcBorders>
              <w:top w:val="single" w:sz="4" w:space="0" w:color="auto"/>
            </w:tcBorders>
            <w:shd w:val="clear" w:color="auto" w:fill="auto"/>
            <w:vAlign w:val="bottom"/>
          </w:tcPr>
          <w:p w14:paraId="23573FF2" w14:textId="77777777" w:rsidR="004A3AB4" w:rsidRPr="00CE1E3F"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CE1E3F">
              <w:rPr>
                <w:i/>
                <w:sz w:val="14"/>
                <w:lang w:val="en-GB"/>
              </w:rPr>
              <w:t>Cases considered leading to a judgment</w:t>
            </w:r>
          </w:p>
        </w:tc>
        <w:tc>
          <w:tcPr>
            <w:tcW w:w="900" w:type="dxa"/>
            <w:vMerge w:val="restart"/>
            <w:tcBorders>
              <w:top w:val="single" w:sz="4" w:space="0" w:color="auto"/>
            </w:tcBorders>
            <w:shd w:val="clear" w:color="auto" w:fill="auto"/>
            <w:vAlign w:val="bottom"/>
          </w:tcPr>
          <w:p w14:paraId="653CF5D0" w14:textId="77777777" w:rsidR="004A3AB4" w:rsidRPr="00CE1E3F"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CE1E3F">
              <w:rPr>
                <w:i/>
                <w:sz w:val="14"/>
                <w:lang w:val="en-GB"/>
              </w:rPr>
              <w:t>Cases terminated</w:t>
            </w:r>
          </w:p>
        </w:tc>
        <w:tc>
          <w:tcPr>
            <w:tcW w:w="1140" w:type="dxa"/>
            <w:vMerge w:val="restart"/>
            <w:tcBorders>
              <w:top w:val="single" w:sz="4" w:space="0" w:color="auto"/>
            </w:tcBorders>
            <w:shd w:val="clear" w:color="auto" w:fill="auto"/>
            <w:vAlign w:val="bottom"/>
          </w:tcPr>
          <w:p w14:paraId="6EAF10AA" w14:textId="77777777" w:rsidR="004A3AB4" w:rsidRPr="00CE1E3F"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CE1E3F">
              <w:rPr>
                <w:i/>
                <w:sz w:val="14"/>
                <w:lang w:val="en-GB"/>
              </w:rPr>
              <w:t>Cases remanded to the Office of the Procurator</w:t>
            </w:r>
          </w:p>
        </w:tc>
        <w:tc>
          <w:tcPr>
            <w:tcW w:w="1020" w:type="dxa"/>
            <w:vMerge w:val="restart"/>
            <w:tcBorders>
              <w:top w:val="single" w:sz="4" w:space="0" w:color="auto"/>
            </w:tcBorders>
            <w:shd w:val="clear" w:color="auto" w:fill="auto"/>
            <w:vAlign w:val="bottom"/>
          </w:tcPr>
          <w:p w14:paraId="4D1F3D5F" w14:textId="77777777" w:rsidR="004A3AB4" w:rsidRPr="00CE1E3F"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CE1E3F">
              <w:rPr>
                <w:i/>
                <w:sz w:val="14"/>
                <w:lang w:val="en-GB"/>
              </w:rPr>
              <w:t>Total cases completed</w:t>
            </w:r>
          </w:p>
        </w:tc>
        <w:tc>
          <w:tcPr>
            <w:tcW w:w="2044" w:type="dxa"/>
            <w:gridSpan w:val="3"/>
            <w:tcBorders>
              <w:top w:val="single" w:sz="4" w:space="0" w:color="auto"/>
              <w:bottom w:val="single" w:sz="4" w:space="0" w:color="auto"/>
            </w:tcBorders>
            <w:shd w:val="clear" w:color="auto" w:fill="auto"/>
            <w:vAlign w:val="bottom"/>
          </w:tcPr>
          <w:p w14:paraId="428249D7" w14:textId="77777777" w:rsidR="004A3AB4" w:rsidRPr="00CE1E3F"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center"/>
              <w:rPr>
                <w:i/>
                <w:sz w:val="14"/>
                <w:lang w:val="en-GB"/>
              </w:rPr>
            </w:pPr>
            <w:r w:rsidRPr="00CE1E3F">
              <w:rPr>
                <w:i/>
                <w:sz w:val="14"/>
                <w:lang w:val="en-GB"/>
              </w:rPr>
              <w:t>Data on individuals</w:t>
            </w:r>
          </w:p>
        </w:tc>
      </w:tr>
      <w:tr w:rsidR="004A3AB4" w:rsidRPr="00CE1E3F" w14:paraId="6C30A7FE" w14:textId="77777777" w:rsidTr="003C23CC">
        <w:trPr>
          <w:tblHeader/>
        </w:trPr>
        <w:tc>
          <w:tcPr>
            <w:tcW w:w="443" w:type="dxa"/>
            <w:vMerge/>
            <w:shd w:val="clear" w:color="auto" w:fill="auto"/>
            <w:vAlign w:val="bottom"/>
          </w:tcPr>
          <w:p w14:paraId="0B85A53C" w14:textId="77777777" w:rsidR="004A3AB4" w:rsidRPr="00CE1E3F"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p>
        </w:tc>
        <w:tc>
          <w:tcPr>
            <w:tcW w:w="1020" w:type="dxa"/>
            <w:vMerge/>
            <w:shd w:val="clear" w:color="auto" w:fill="auto"/>
            <w:vAlign w:val="bottom"/>
          </w:tcPr>
          <w:p w14:paraId="2120A4BF" w14:textId="77777777" w:rsidR="004A3AB4" w:rsidRPr="00CE1E3F"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c>
          <w:tcPr>
            <w:tcW w:w="1020" w:type="dxa"/>
            <w:vMerge/>
            <w:shd w:val="clear" w:color="auto" w:fill="auto"/>
            <w:vAlign w:val="bottom"/>
          </w:tcPr>
          <w:p w14:paraId="7C5D04D5" w14:textId="77777777" w:rsidR="004A3AB4" w:rsidRPr="00CE1E3F"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c>
          <w:tcPr>
            <w:tcW w:w="1020" w:type="dxa"/>
            <w:vMerge/>
            <w:shd w:val="clear" w:color="auto" w:fill="auto"/>
            <w:vAlign w:val="bottom"/>
          </w:tcPr>
          <w:p w14:paraId="178F4A3B" w14:textId="77777777" w:rsidR="004A3AB4" w:rsidRPr="00CE1E3F"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c>
          <w:tcPr>
            <w:tcW w:w="900" w:type="dxa"/>
            <w:vMerge/>
            <w:shd w:val="clear" w:color="auto" w:fill="auto"/>
            <w:vAlign w:val="bottom"/>
          </w:tcPr>
          <w:p w14:paraId="6F1F6DCE" w14:textId="77777777" w:rsidR="004A3AB4" w:rsidRPr="00CE1E3F"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c>
          <w:tcPr>
            <w:tcW w:w="1140" w:type="dxa"/>
            <w:vMerge/>
            <w:shd w:val="clear" w:color="auto" w:fill="auto"/>
            <w:vAlign w:val="bottom"/>
          </w:tcPr>
          <w:p w14:paraId="23C476C4" w14:textId="77777777" w:rsidR="004A3AB4" w:rsidRPr="00CE1E3F"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c>
          <w:tcPr>
            <w:tcW w:w="1020" w:type="dxa"/>
            <w:vMerge/>
            <w:shd w:val="clear" w:color="auto" w:fill="auto"/>
            <w:vAlign w:val="bottom"/>
          </w:tcPr>
          <w:p w14:paraId="430D0BA7" w14:textId="77777777" w:rsidR="004A3AB4" w:rsidRPr="00CE1E3F"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c>
          <w:tcPr>
            <w:tcW w:w="1260" w:type="dxa"/>
            <w:gridSpan w:val="2"/>
            <w:tcBorders>
              <w:top w:val="single" w:sz="4" w:space="0" w:color="auto"/>
              <w:bottom w:val="single" w:sz="4" w:space="0" w:color="auto"/>
            </w:tcBorders>
            <w:shd w:val="clear" w:color="auto" w:fill="auto"/>
            <w:vAlign w:val="bottom"/>
          </w:tcPr>
          <w:p w14:paraId="6684E653" w14:textId="77777777" w:rsidR="004A3AB4" w:rsidRPr="00CE1E3F"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center"/>
              <w:rPr>
                <w:i/>
                <w:sz w:val="14"/>
                <w:lang w:val="en-GB"/>
              </w:rPr>
            </w:pPr>
            <w:r w:rsidRPr="00CE1E3F">
              <w:rPr>
                <w:i/>
                <w:sz w:val="14"/>
                <w:lang w:val="en-GB"/>
              </w:rPr>
              <w:t>Convictions by sex</w:t>
            </w:r>
          </w:p>
        </w:tc>
        <w:tc>
          <w:tcPr>
            <w:tcW w:w="784" w:type="dxa"/>
            <w:vMerge w:val="restart"/>
            <w:tcBorders>
              <w:top w:val="single" w:sz="4" w:space="0" w:color="auto"/>
            </w:tcBorders>
            <w:shd w:val="clear" w:color="auto" w:fill="auto"/>
            <w:vAlign w:val="bottom"/>
          </w:tcPr>
          <w:p w14:paraId="1384E422" w14:textId="77777777" w:rsidR="004A3AB4" w:rsidRPr="00CE1E3F"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72" w:right="40"/>
              <w:jc w:val="right"/>
              <w:rPr>
                <w:i/>
                <w:sz w:val="14"/>
                <w:lang w:val="en-GB"/>
              </w:rPr>
            </w:pPr>
            <w:r w:rsidRPr="00CE1E3F">
              <w:rPr>
                <w:i/>
                <w:sz w:val="14"/>
                <w:lang w:val="en-GB"/>
              </w:rPr>
              <w:t>Criminal cases terminated</w:t>
            </w:r>
          </w:p>
        </w:tc>
      </w:tr>
      <w:tr w:rsidR="004A3AB4" w:rsidRPr="00CE1E3F" w14:paraId="75FB12FC" w14:textId="77777777" w:rsidTr="003C23CC">
        <w:trPr>
          <w:trHeight w:val="521"/>
          <w:tblHeader/>
        </w:trPr>
        <w:tc>
          <w:tcPr>
            <w:tcW w:w="443" w:type="dxa"/>
            <w:vMerge/>
            <w:tcBorders>
              <w:bottom w:val="single" w:sz="12" w:space="0" w:color="auto"/>
            </w:tcBorders>
            <w:shd w:val="clear" w:color="auto" w:fill="auto"/>
            <w:vAlign w:val="bottom"/>
          </w:tcPr>
          <w:p w14:paraId="21A9AB98" w14:textId="77777777" w:rsidR="004A3AB4" w:rsidRPr="00CE1E3F"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p>
        </w:tc>
        <w:tc>
          <w:tcPr>
            <w:tcW w:w="1020" w:type="dxa"/>
            <w:vMerge/>
            <w:tcBorders>
              <w:bottom w:val="single" w:sz="12" w:space="0" w:color="auto"/>
            </w:tcBorders>
            <w:shd w:val="clear" w:color="auto" w:fill="auto"/>
            <w:vAlign w:val="bottom"/>
          </w:tcPr>
          <w:p w14:paraId="0528A47D" w14:textId="77777777" w:rsidR="004A3AB4" w:rsidRPr="00CE1E3F"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c>
          <w:tcPr>
            <w:tcW w:w="1020" w:type="dxa"/>
            <w:vMerge/>
            <w:tcBorders>
              <w:bottom w:val="single" w:sz="12" w:space="0" w:color="auto"/>
            </w:tcBorders>
            <w:shd w:val="clear" w:color="auto" w:fill="auto"/>
            <w:vAlign w:val="bottom"/>
          </w:tcPr>
          <w:p w14:paraId="033B00B8" w14:textId="77777777" w:rsidR="004A3AB4" w:rsidRPr="00CE1E3F"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c>
          <w:tcPr>
            <w:tcW w:w="1020" w:type="dxa"/>
            <w:vMerge/>
            <w:tcBorders>
              <w:bottom w:val="single" w:sz="12" w:space="0" w:color="auto"/>
            </w:tcBorders>
            <w:shd w:val="clear" w:color="auto" w:fill="auto"/>
            <w:vAlign w:val="bottom"/>
          </w:tcPr>
          <w:p w14:paraId="099733E4" w14:textId="77777777" w:rsidR="004A3AB4" w:rsidRPr="00CE1E3F"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c>
          <w:tcPr>
            <w:tcW w:w="900" w:type="dxa"/>
            <w:vMerge/>
            <w:tcBorders>
              <w:bottom w:val="single" w:sz="12" w:space="0" w:color="auto"/>
            </w:tcBorders>
            <w:shd w:val="clear" w:color="auto" w:fill="auto"/>
            <w:vAlign w:val="bottom"/>
          </w:tcPr>
          <w:p w14:paraId="08AE6948" w14:textId="77777777" w:rsidR="004A3AB4" w:rsidRPr="00CE1E3F"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c>
          <w:tcPr>
            <w:tcW w:w="1140" w:type="dxa"/>
            <w:vMerge/>
            <w:tcBorders>
              <w:bottom w:val="single" w:sz="12" w:space="0" w:color="auto"/>
            </w:tcBorders>
            <w:shd w:val="clear" w:color="auto" w:fill="auto"/>
            <w:vAlign w:val="bottom"/>
          </w:tcPr>
          <w:p w14:paraId="2609A326" w14:textId="77777777" w:rsidR="004A3AB4" w:rsidRPr="00CE1E3F"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c>
          <w:tcPr>
            <w:tcW w:w="1020" w:type="dxa"/>
            <w:vMerge/>
            <w:tcBorders>
              <w:bottom w:val="single" w:sz="12" w:space="0" w:color="auto"/>
            </w:tcBorders>
            <w:shd w:val="clear" w:color="auto" w:fill="auto"/>
            <w:vAlign w:val="bottom"/>
          </w:tcPr>
          <w:p w14:paraId="5AC4B5A2" w14:textId="77777777" w:rsidR="004A3AB4" w:rsidRPr="00CE1E3F"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c>
          <w:tcPr>
            <w:tcW w:w="630" w:type="dxa"/>
            <w:tcBorders>
              <w:top w:val="single" w:sz="4" w:space="0" w:color="auto"/>
              <w:bottom w:val="single" w:sz="12" w:space="0" w:color="auto"/>
            </w:tcBorders>
            <w:shd w:val="clear" w:color="auto" w:fill="auto"/>
            <w:vAlign w:val="bottom"/>
          </w:tcPr>
          <w:p w14:paraId="4778F014" w14:textId="77777777" w:rsidR="004A3AB4" w:rsidRPr="00CE1E3F"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CE1E3F">
              <w:rPr>
                <w:i/>
                <w:sz w:val="14"/>
                <w:lang w:val="en-GB"/>
              </w:rPr>
              <w:t>m</w:t>
            </w:r>
          </w:p>
        </w:tc>
        <w:tc>
          <w:tcPr>
            <w:tcW w:w="630" w:type="dxa"/>
            <w:tcBorders>
              <w:top w:val="single" w:sz="4" w:space="0" w:color="auto"/>
              <w:bottom w:val="single" w:sz="12" w:space="0" w:color="auto"/>
            </w:tcBorders>
            <w:shd w:val="clear" w:color="auto" w:fill="auto"/>
            <w:vAlign w:val="bottom"/>
          </w:tcPr>
          <w:p w14:paraId="059EFC25" w14:textId="77777777" w:rsidR="004A3AB4" w:rsidRPr="00CE1E3F"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CE1E3F">
              <w:rPr>
                <w:i/>
                <w:sz w:val="14"/>
                <w:lang w:val="en-GB"/>
              </w:rPr>
              <w:t>f</w:t>
            </w:r>
          </w:p>
        </w:tc>
        <w:tc>
          <w:tcPr>
            <w:tcW w:w="784" w:type="dxa"/>
            <w:vMerge/>
            <w:tcBorders>
              <w:bottom w:val="single" w:sz="12" w:space="0" w:color="auto"/>
            </w:tcBorders>
            <w:shd w:val="clear" w:color="auto" w:fill="auto"/>
            <w:vAlign w:val="bottom"/>
          </w:tcPr>
          <w:p w14:paraId="3F3BD8DB" w14:textId="77777777" w:rsidR="004A3AB4" w:rsidRPr="00CE1E3F"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r>
      <w:tr w:rsidR="004A3AB4" w:rsidRPr="00CE1E3F" w14:paraId="0978F86E" w14:textId="77777777" w:rsidTr="003C23CC">
        <w:trPr>
          <w:trHeight w:hRule="exact" w:val="115"/>
          <w:tblHeader/>
        </w:trPr>
        <w:tc>
          <w:tcPr>
            <w:tcW w:w="443" w:type="dxa"/>
            <w:tcBorders>
              <w:top w:val="single" w:sz="12" w:space="0" w:color="auto"/>
            </w:tcBorders>
            <w:shd w:val="clear" w:color="auto" w:fill="auto"/>
            <w:vAlign w:val="bottom"/>
          </w:tcPr>
          <w:p w14:paraId="3C144E0D" w14:textId="77777777" w:rsidR="004A3AB4" w:rsidRPr="00CE1E3F"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1020" w:type="dxa"/>
            <w:tcBorders>
              <w:top w:val="single" w:sz="12" w:space="0" w:color="auto"/>
            </w:tcBorders>
            <w:shd w:val="clear" w:color="auto" w:fill="auto"/>
            <w:vAlign w:val="bottom"/>
          </w:tcPr>
          <w:p w14:paraId="72030FFA" w14:textId="77777777" w:rsidR="004A3AB4" w:rsidRPr="00CE1E3F"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020" w:type="dxa"/>
            <w:tcBorders>
              <w:top w:val="single" w:sz="12" w:space="0" w:color="auto"/>
            </w:tcBorders>
            <w:shd w:val="clear" w:color="auto" w:fill="auto"/>
            <w:vAlign w:val="bottom"/>
          </w:tcPr>
          <w:p w14:paraId="7A88E00E" w14:textId="77777777" w:rsidR="004A3AB4" w:rsidRPr="00CE1E3F"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020" w:type="dxa"/>
            <w:tcBorders>
              <w:top w:val="single" w:sz="12" w:space="0" w:color="auto"/>
            </w:tcBorders>
            <w:shd w:val="clear" w:color="auto" w:fill="auto"/>
            <w:vAlign w:val="bottom"/>
          </w:tcPr>
          <w:p w14:paraId="70086B33" w14:textId="77777777" w:rsidR="004A3AB4" w:rsidRPr="00CE1E3F"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00" w:type="dxa"/>
            <w:tcBorders>
              <w:top w:val="single" w:sz="12" w:space="0" w:color="auto"/>
            </w:tcBorders>
            <w:shd w:val="clear" w:color="auto" w:fill="auto"/>
            <w:vAlign w:val="bottom"/>
          </w:tcPr>
          <w:p w14:paraId="0E0575F2" w14:textId="77777777" w:rsidR="004A3AB4" w:rsidRPr="00CE1E3F"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140" w:type="dxa"/>
            <w:tcBorders>
              <w:top w:val="single" w:sz="12" w:space="0" w:color="auto"/>
            </w:tcBorders>
            <w:shd w:val="clear" w:color="auto" w:fill="auto"/>
            <w:vAlign w:val="bottom"/>
          </w:tcPr>
          <w:p w14:paraId="028A867B" w14:textId="77777777" w:rsidR="004A3AB4" w:rsidRPr="00CE1E3F"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020" w:type="dxa"/>
            <w:tcBorders>
              <w:top w:val="single" w:sz="12" w:space="0" w:color="auto"/>
            </w:tcBorders>
            <w:shd w:val="clear" w:color="auto" w:fill="auto"/>
            <w:vAlign w:val="bottom"/>
          </w:tcPr>
          <w:p w14:paraId="1755CDB1" w14:textId="77777777" w:rsidR="004A3AB4" w:rsidRPr="00CE1E3F"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630" w:type="dxa"/>
            <w:tcBorders>
              <w:top w:val="single" w:sz="12" w:space="0" w:color="auto"/>
            </w:tcBorders>
            <w:shd w:val="clear" w:color="auto" w:fill="auto"/>
            <w:vAlign w:val="bottom"/>
          </w:tcPr>
          <w:p w14:paraId="51C0AAD6" w14:textId="77777777" w:rsidR="004A3AB4" w:rsidRPr="00CE1E3F"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630" w:type="dxa"/>
            <w:tcBorders>
              <w:top w:val="single" w:sz="12" w:space="0" w:color="auto"/>
            </w:tcBorders>
            <w:shd w:val="clear" w:color="auto" w:fill="auto"/>
            <w:vAlign w:val="bottom"/>
          </w:tcPr>
          <w:p w14:paraId="6766B2AD" w14:textId="77777777" w:rsidR="004A3AB4" w:rsidRPr="00CE1E3F"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784" w:type="dxa"/>
            <w:tcBorders>
              <w:top w:val="single" w:sz="12" w:space="0" w:color="auto"/>
            </w:tcBorders>
            <w:shd w:val="clear" w:color="auto" w:fill="auto"/>
            <w:vAlign w:val="bottom"/>
          </w:tcPr>
          <w:p w14:paraId="69E17601" w14:textId="77777777" w:rsidR="004A3AB4" w:rsidRPr="00CE1E3F"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4A3AB4" w:rsidRPr="00CE1E3F" w14:paraId="15582807" w14:textId="77777777" w:rsidTr="003C23CC">
        <w:tc>
          <w:tcPr>
            <w:tcW w:w="443" w:type="dxa"/>
            <w:shd w:val="clear" w:color="auto" w:fill="auto"/>
            <w:vAlign w:val="bottom"/>
          </w:tcPr>
          <w:p w14:paraId="00DF554D" w14:textId="77777777" w:rsidR="004A3AB4" w:rsidRPr="00CE1E3F"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CE1E3F">
              <w:rPr>
                <w:sz w:val="17"/>
                <w:lang w:val="en-GB"/>
              </w:rPr>
              <w:t>2013</w:t>
            </w:r>
          </w:p>
        </w:tc>
        <w:tc>
          <w:tcPr>
            <w:tcW w:w="1020" w:type="dxa"/>
            <w:shd w:val="clear" w:color="auto" w:fill="auto"/>
            <w:vAlign w:val="bottom"/>
          </w:tcPr>
          <w:p w14:paraId="12D82D70" w14:textId="77777777" w:rsidR="004A3AB4" w:rsidRPr="00F762A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F762A1">
              <w:rPr>
                <w:sz w:val="17"/>
                <w:lang w:val="en-GB"/>
              </w:rPr>
              <w:t>–</w:t>
            </w:r>
          </w:p>
        </w:tc>
        <w:tc>
          <w:tcPr>
            <w:tcW w:w="1020" w:type="dxa"/>
            <w:shd w:val="clear" w:color="auto" w:fill="auto"/>
            <w:vAlign w:val="bottom"/>
          </w:tcPr>
          <w:p w14:paraId="0A53D997" w14:textId="77777777" w:rsidR="004A3AB4" w:rsidRPr="00F762A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F762A1">
              <w:rPr>
                <w:sz w:val="17"/>
                <w:lang w:val="en-GB"/>
              </w:rPr>
              <w:t>9</w:t>
            </w:r>
          </w:p>
        </w:tc>
        <w:tc>
          <w:tcPr>
            <w:tcW w:w="1020" w:type="dxa"/>
            <w:shd w:val="clear" w:color="auto" w:fill="auto"/>
            <w:vAlign w:val="bottom"/>
          </w:tcPr>
          <w:p w14:paraId="4DCF21CD" w14:textId="77777777" w:rsidR="004A3AB4" w:rsidRPr="00F762A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F762A1">
              <w:rPr>
                <w:sz w:val="17"/>
                <w:lang w:val="en-GB"/>
              </w:rPr>
              <w:t>4</w:t>
            </w:r>
          </w:p>
        </w:tc>
        <w:tc>
          <w:tcPr>
            <w:tcW w:w="900" w:type="dxa"/>
            <w:shd w:val="clear" w:color="auto" w:fill="auto"/>
            <w:vAlign w:val="bottom"/>
          </w:tcPr>
          <w:p w14:paraId="1E50908D" w14:textId="77777777" w:rsidR="004A3AB4" w:rsidRPr="00F762A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F762A1">
              <w:rPr>
                <w:sz w:val="17"/>
                <w:lang w:val="en-GB"/>
              </w:rPr>
              <w:t>1</w:t>
            </w:r>
          </w:p>
        </w:tc>
        <w:tc>
          <w:tcPr>
            <w:tcW w:w="1140" w:type="dxa"/>
            <w:shd w:val="clear" w:color="auto" w:fill="auto"/>
            <w:vAlign w:val="bottom"/>
          </w:tcPr>
          <w:p w14:paraId="13C62F91" w14:textId="77777777" w:rsidR="004A3AB4" w:rsidRPr="00F762A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F762A1">
              <w:rPr>
                <w:sz w:val="17"/>
                <w:lang w:val="en-GB"/>
              </w:rPr>
              <w:t>3</w:t>
            </w:r>
          </w:p>
        </w:tc>
        <w:tc>
          <w:tcPr>
            <w:tcW w:w="1020" w:type="dxa"/>
            <w:shd w:val="clear" w:color="auto" w:fill="auto"/>
            <w:vAlign w:val="bottom"/>
          </w:tcPr>
          <w:p w14:paraId="351B85F3" w14:textId="77777777" w:rsidR="004A3AB4" w:rsidRPr="00F762A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F762A1">
              <w:rPr>
                <w:sz w:val="17"/>
                <w:lang w:val="en-GB"/>
              </w:rPr>
              <w:t>8</w:t>
            </w:r>
          </w:p>
        </w:tc>
        <w:tc>
          <w:tcPr>
            <w:tcW w:w="630" w:type="dxa"/>
            <w:shd w:val="clear" w:color="auto" w:fill="auto"/>
            <w:vAlign w:val="bottom"/>
          </w:tcPr>
          <w:p w14:paraId="7BEE7E8F" w14:textId="77777777" w:rsidR="004A3AB4" w:rsidRPr="00F762A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F762A1">
              <w:rPr>
                <w:sz w:val="17"/>
                <w:lang w:val="en-GB"/>
              </w:rPr>
              <w:t>6</w:t>
            </w:r>
          </w:p>
        </w:tc>
        <w:tc>
          <w:tcPr>
            <w:tcW w:w="630" w:type="dxa"/>
            <w:shd w:val="clear" w:color="auto" w:fill="auto"/>
            <w:vAlign w:val="bottom"/>
          </w:tcPr>
          <w:p w14:paraId="077A3880" w14:textId="77777777" w:rsidR="004A3AB4" w:rsidRPr="00F762A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F762A1">
              <w:rPr>
                <w:sz w:val="17"/>
                <w:lang w:val="en-GB"/>
              </w:rPr>
              <w:t>1</w:t>
            </w:r>
          </w:p>
        </w:tc>
        <w:tc>
          <w:tcPr>
            <w:tcW w:w="784" w:type="dxa"/>
            <w:shd w:val="clear" w:color="auto" w:fill="auto"/>
            <w:vAlign w:val="bottom"/>
          </w:tcPr>
          <w:p w14:paraId="76D64669" w14:textId="77777777" w:rsidR="004A3AB4" w:rsidRPr="00F762A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F762A1">
              <w:rPr>
                <w:sz w:val="17"/>
                <w:lang w:val="en-GB"/>
              </w:rPr>
              <w:t>2</w:t>
            </w:r>
          </w:p>
        </w:tc>
      </w:tr>
      <w:tr w:rsidR="004A3AB4" w:rsidRPr="00CE1E3F" w14:paraId="7ACB8040" w14:textId="77777777" w:rsidTr="003C23CC">
        <w:tc>
          <w:tcPr>
            <w:tcW w:w="443" w:type="dxa"/>
            <w:shd w:val="clear" w:color="auto" w:fill="auto"/>
            <w:vAlign w:val="bottom"/>
          </w:tcPr>
          <w:p w14:paraId="72044E03" w14:textId="77777777" w:rsidR="004A3AB4" w:rsidRPr="00CE1E3F"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CE1E3F">
              <w:rPr>
                <w:sz w:val="17"/>
                <w:lang w:val="en-GB"/>
              </w:rPr>
              <w:t>2014</w:t>
            </w:r>
          </w:p>
        </w:tc>
        <w:tc>
          <w:tcPr>
            <w:tcW w:w="1020" w:type="dxa"/>
            <w:shd w:val="clear" w:color="auto" w:fill="auto"/>
            <w:vAlign w:val="bottom"/>
          </w:tcPr>
          <w:p w14:paraId="2A31AF25" w14:textId="77777777" w:rsidR="004A3AB4" w:rsidRPr="00F762A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F762A1">
              <w:rPr>
                <w:sz w:val="17"/>
                <w:lang w:val="en-GB"/>
              </w:rPr>
              <w:t>1</w:t>
            </w:r>
          </w:p>
        </w:tc>
        <w:tc>
          <w:tcPr>
            <w:tcW w:w="1020" w:type="dxa"/>
            <w:shd w:val="clear" w:color="auto" w:fill="auto"/>
            <w:vAlign w:val="bottom"/>
          </w:tcPr>
          <w:p w14:paraId="4F18E134" w14:textId="77777777" w:rsidR="004A3AB4" w:rsidRPr="00F762A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F762A1">
              <w:rPr>
                <w:sz w:val="17"/>
                <w:lang w:val="en-GB"/>
              </w:rPr>
              <w:t>6</w:t>
            </w:r>
          </w:p>
        </w:tc>
        <w:tc>
          <w:tcPr>
            <w:tcW w:w="1020" w:type="dxa"/>
            <w:shd w:val="clear" w:color="auto" w:fill="auto"/>
            <w:vAlign w:val="bottom"/>
          </w:tcPr>
          <w:p w14:paraId="08845BAA" w14:textId="77777777" w:rsidR="004A3AB4" w:rsidRPr="00F762A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F762A1">
              <w:rPr>
                <w:sz w:val="17"/>
                <w:lang w:val="en-GB"/>
              </w:rPr>
              <w:t>4</w:t>
            </w:r>
          </w:p>
        </w:tc>
        <w:tc>
          <w:tcPr>
            <w:tcW w:w="900" w:type="dxa"/>
            <w:shd w:val="clear" w:color="auto" w:fill="auto"/>
            <w:vAlign w:val="bottom"/>
          </w:tcPr>
          <w:p w14:paraId="58BD3F14" w14:textId="77777777" w:rsidR="004A3AB4" w:rsidRPr="00F762A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F762A1">
              <w:rPr>
                <w:sz w:val="17"/>
                <w:lang w:val="en-GB"/>
              </w:rPr>
              <w:t>3</w:t>
            </w:r>
          </w:p>
        </w:tc>
        <w:tc>
          <w:tcPr>
            <w:tcW w:w="1140" w:type="dxa"/>
            <w:shd w:val="clear" w:color="auto" w:fill="auto"/>
            <w:vAlign w:val="bottom"/>
          </w:tcPr>
          <w:p w14:paraId="6F29D68D" w14:textId="77777777" w:rsidR="004A3AB4" w:rsidRPr="00F762A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F762A1">
              <w:rPr>
                <w:sz w:val="17"/>
                <w:lang w:val="en-GB"/>
              </w:rPr>
              <w:t>–</w:t>
            </w:r>
          </w:p>
        </w:tc>
        <w:tc>
          <w:tcPr>
            <w:tcW w:w="1020" w:type="dxa"/>
            <w:shd w:val="clear" w:color="auto" w:fill="auto"/>
            <w:vAlign w:val="bottom"/>
          </w:tcPr>
          <w:p w14:paraId="3318DBD4" w14:textId="77777777" w:rsidR="004A3AB4" w:rsidRPr="00F762A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F762A1">
              <w:rPr>
                <w:sz w:val="17"/>
                <w:lang w:val="en-GB"/>
              </w:rPr>
              <w:t>7</w:t>
            </w:r>
          </w:p>
        </w:tc>
        <w:tc>
          <w:tcPr>
            <w:tcW w:w="630" w:type="dxa"/>
            <w:shd w:val="clear" w:color="auto" w:fill="auto"/>
            <w:vAlign w:val="bottom"/>
          </w:tcPr>
          <w:p w14:paraId="5BB6308D" w14:textId="77777777" w:rsidR="004A3AB4" w:rsidRPr="00F762A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F762A1">
              <w:rPr>
                <w:sz w:val="17"/>
                <w:lang w:val="en-GB"/>
              </w:rPr>
              <w:t>9</w:t>
            </w:r>
          </w:p>
        </w:tc>
        <w:tc>
          <w:tcPr>
            <w:tcW w:w="630" w:type="dxa"/>
            <w:shd w:val="clear" w:color="auto" w:fill="auto"/>
            <w:vAlign w:val="bottom"/>
          </w:tcPr>
          <w:p w14:paraId="77717792" w14:textId="77777777" w:rsidR="004A3AB4" w:rsidRPr="00F762A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F762A1">
              <w:rPr>
                <w:sz w:val="17"/>
                <w:lang w:val="en-GB"/>
              </w:rPr>
              <w:t>–</w:t>
            </w:r>
          </w:p>
        </w:tc>
        <w:tc>
          <w:tcPr>
            <w:tcW w:w="784" w:type="dxa"/>
            <w:shd w:val="clear" w:color="auto" w:fill="auto"/>
            <w:vAlign w:val="bottom"/>
          </w:tcPr>
          <w:p w14:paraId="570520E3" w14:textId="77777777" w:rsidR="004A3AB4" w:rsidRPr="00F762A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F762A1">
              <w:rPr>
                <w:sz w:val="17"/>
                <w:lang w:val="en-GB"/>
              </w:rPr>
              <w:t>3</w:t>
            </w:r>
          </w:p>
        </w:tc>
      </w:tr>
      <w:tr w:rsidR="004A3AB4" w:rsidRPr="00CE1E3F" w14:paraId="602C0AD5" w14:textId="77777777" w:rsidTr="003C23CC">
        <w:tc>
          <w:tcPr>
            <w:tcW w:w="443" w:type="dxa"/>
            <w:shd w:val="clear" w:color="auto" w:fill="auto"/>
            <w:vAlign w:val="bottom"/>
          </w:tcPr>
          <w:p w14:paraId="6C0404A5" w14:textId="77777777" w:rsidR="004A3AB4" w:rsidRPr="00CE1E3F"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CE1E3F">
              <w:rPr>
                <w:sz w:val="17"/>
                <w:lang w:val="en-GB"/>
              </w:rPr>
              <w:t>2015</w:t>
            </w:r>
          </w:p>
        </w:tc>
        <w:tc>
          <w:tcPr>
            <w:tcW w:w="1020" w:type="dxa"/>
            <w:shd w:val="clear" w:color="auto" w:fill="auto"/>
            <w:vAlign w:val="bottom"/>
          </w:tcPr>
          <w:p w14:paraId="71330F45" w14:textId="77777777" w:rsidR="004A3AB4" w:rsidRPr="00F762A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F762A1">
              <w:rPr>
                <w:sz w:val="17"/>
                <w:lang w:val="en-GB"/>
              </w:rPr>
              <w:t>–</w:t>
            </w:r>
          </w:p>
        </w:tc>
        <w:tc>
          <w:tcPr>
            <w:tcW w:w="1020" w:type="dxa"/>
            <w:shd w:val="clear" w:color="auto" w:fill="auto"/>
            <w:vAlign w:val="bottom"/>
          </w:tcPr>
          <w:p w14:paraId="4EDDC878" w14:textId="77777777" w:rsidR="004A3AB4" w:rsidRPr="00F762A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F762A1">
              <w:rPr>
                <w:sz w:val="17"/>
                <w:lang w:val="en-GB"/>
              </w:rPr>
              <w:t>4</w:t>
            </w:r>
          </w:p>
        </w:tc>
        <w:tc>
          <w:tcPr>
            <w:tcW w:w="1020" w:type="dxa"/>
            <w:shd w:val="clear" w:color="auto" w:fill="auto"/>
            <w:vAlign w:val="bottom"/>
          </w:tcPr>
          <w:p w14:paraId="2D608DEB" w14:textId="77777777" w:rsidR="004A3AB4" w:rsidRPr="00F762A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F762A1">
              <w:rPr>
                <w:sz w:val="17"/>
                <w:lang w:val="en-GB"/>
              </w:rPr>
              <w:t>1</w:t>
            </w:r>
          </w:p>
        </w:tc>
        <w:tc>
          <w:tcPr>
            <w:tcW w:w="900" w:type="dxa"/>
            <w:shd w:val="clear" w:color="auto" w:fill="auto"/>
            <w:vAlign w:val="bottom"/>
          </w:tcPr>
          <w:p w14:paraId="6C31408B" w14:textId="77777777" w:rsidR="004A3AB4" w:rsidRPr="00F762A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F762A1">
              <w:rPr>
                <w:sz w:val="17"/>
                <w:lang w:val="en-GB"/>
              </w:rPr>
              <w:t>1</w:t>
            </w:r>
          </w:p>
        </w:tc>
        <w:tc>
          <w:tcPr>
            <w:tcW w:w="1140" w:type="dxa"/>
            <w:shd w:val="clear" w:color="auto" w:fill="auto"/>
            <w:vAlign w:val="bottom"/>
          </w:tcPr>
          <w:p w14:paraId="3885FBF9" w14:textId="77777777" w:rsidR="004A3AB4" w:rsidRPr="00F762A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F762A1">
              <w:rPr>
                <w:sz w:val="17"/>
                <w:lang w:val="en-GB"/>
              </w:rPr>
              <w:t>2</w:t>
            </w:r>
          </w:p>
        </w:tc>
        <w:tc>
          <w:tcPr>
            <w:tcW w:w="1020" w:type="dxa"/>
            <w:shd w:val="clear" w:color="auto" w:fill="auto"/>
            <w:vAlign w:val="bottom"/>
          </w:tcPr>
          <w:p w14:paraId="07205375" w14:textId="77777777" w:rsidR="004A3AB4" w:rsidRPr="00F762A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F762A1">
              <w:rPr>
                <w:sz w:val="17"/>
                <w:lang w:val="en-GB"/>
              </w:rPr>
              <w:t>4</w:t>
            </w:r>
          </w:p>
        </w:tc>
        <w:tc>
          <w:tcPr>
            <w:tcW w:w="630" w:type="dxa"/>
            <w:shd w:val="clear" w:color="auto" w:fill="auto"/>
            <w:vAlign w:val="bottom"/>
          </w:tcPr>
          <w:p w14:paraId="7E2E545D" w14:textId="77777777" w:rsidR="004A3AB4" w:rsidRPr="00F762A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F762A1">
              <w:rPr>
                <w:sz w:val="17"/>
                <w:lang w:val="en-GB"/>
              </w:rPr>
              <w:t>2</w:t>
            </w:r>
          </w:p>
        </w:tc>
        <w:tc>
          <w:tcPr>
            <w:tcW w:w="630" w:type="dxa"/>
            <w:shd w:val="clear" w:color="auto" w:fill="auto"/>
            <w:vAlign w:val="bottom"/>
          </w:tcPr>
          <w:p w14:paraId="52678213" w14:textId="77777777" w:rsidR="004A3AB4" w:rsidRPr="00F762A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F762A1">
              <w:rPr>
                <w:sz w:val="17"/>
                <w:lang w:val="en-GB"/>
              </w:rPr>
              <w:t>–</w:t>
            </w:r>
          </w:p>
        </w:tc>
        <w:tc>
          <w:tcPr>
            <w:tcW w:w="784" w:type="dxa"/>
            <w:shd w:val="clear" w:color="auto" w:fill="auto"/>
            <w:vAlign w:val="bottom"/>
          </w:tcPr>
          <w:p w14:paraId="67F5EA57" w14:textId="77777777" w:rsidR="004A3AB4" w:rsidRPr="00F762A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F762A1">
              <w:rPr>
                <w:sz w:val="17"/>
                <w:lang w:val="en-GB"/>
              </w:rPr>
              <w:t>3</w:t>
            </w:r>
          </w:p>
        </w:tc>
      </w:tr>
      <w:tr w:rsidR="004A3AB4" w:rsidRPr="00CE1E3F" w14:paraId="62A9AB38" w14:textId="77777777" w:rsidTr="003C23CC">
        <w:tc>
          <w:tcPr>
            <w:tcW w:w="443" w:type="dxa"/>
            <w:shd w:val="clear" w:color="auto" w:fill="auto"/>
            <w:vAlign w:val="bottom"/>
          </w:tcPr>
          <w:p w14:paraId="14A8778E" w14:textId="77777777" w:rsidR="004A3AB4" w:rsidRPr="00CE1E3F"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CE1E3F">
              <w:rPr>
                <w:sz w:val="17"/>
                <w:lang w:val="en-GB"/>
              </w:rPr>
              <w:t>2016</w:t>
            </w:r>
          </w:p>
        </w:tc>
        <w:tc>
          <w:tcPr>
            <w:tcW w:w="1020" w:type="dxa"/>
            <w:shd w:val="clear" w:color="auto" w:fill="auto"/>
            <w:vAlign w:val="bottom"/>
          </w:tcPr>
          <w:p w14:paraId="1DFF44D3" w14:textId="77777777" w:rsidR="004A3AB4" w:rsidRPr="00F762A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F762A1">
              <w:rPr>
                <w:sz w:val="17"/>
                <w:lang w:val="en-GB"/>
              </w:rPr>
              <w:t>–</w:t>
            </w:r>
          </w:p>
        </w:tc>
        <w:tc>
          <w:tcPr>
            <w:tcW w:w="1020" w:type="dxa"/>
            <w:shd w:val="clear" w:color="auto" w:fill="auto"/>
            <w:vAlign w:val="bottom"/>
          </w:tcPr>
          <w:p w14:paraId="65001C01" w14:textId="77777777" w:rsidR="004A3AB4" w:rsidRPr="00F762A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F762A1">
              <w:rPr>
                <w:sz w:val="17"/>
                <w:lang w:val="en-GB"/>
              </w:rPr>
              <w:t>10</w:t>
            </w:r>
          </w:p>
        </w:tc>
        <w:tc>
          <w:tcPr>
            <w:tcW w:w="1020" w:type="dxa"/>
            <w:shd w:val="clear" w:color="auto" w:fill="auto"/>
            <w:vAlign w:val="bottom"/>
          </w:tcPr>
          <w:p w14:paraId="503F4BE5" w14:textId="77777777" w:rsidR="004A3AB4" w:rsidRPr="00F762A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F762A1">
              <w:rPr>
                <w:sz w:val="17"/>
                <w:lang w:val="en-GB"/>
              </w:rPr>
              <w:t>5</w:t>
            </w:r>
          </w:p>
        </w:tc>
        <w:tc>
          <w:tcPr>
            <w:tcW w:w="900" w:type="dxa"/>
            <w:shd w:val="clear" w:color="auto" w:fill="auto"/>
            <w:vAlign w:val="bottom"/>
          </w:tcPr>
          <w:p w14:paraId="274F81DC" w14:textId="77777777" w:rsidR="004A3AB4" w:rsidRPr="00F762A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F762A1">
              <w:rPr>
                <w:sz w:val="17"/>
                <w:lang w:val="en-GB"/>
              </w:rPr>
              <w:t>1</w:t>
            </w:r>
          </w:p>
        </w:tc>
        <w:tc>
          <w:tcPr>
            <w:tcW w:w="1140" w:type="dxa"/>
            <w:shd w:val="clear" w:color="auto" w:fill="auto"/>
            <w:vAlign w:val="bottom"/>
          </w:tcPr>
          <w:p w14:paraId="30359D74" w14:textId="77777777" w:rsidR="004A3AB4" w:rsidRPr="00F762A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F762A1">
              <w:rPr>
                <w:sz w:val="17"/>
                <w:lang w:val="en-GB"/>
              </w:rPr>
              <w:t>2</w:t>
            </w:r>
          </w:p>
        </w:tc>
        <w:tc>
          <w:tcPr>
            <w:tcW w:w="1020" w:type="dxa"/>
            <w:shd w:val="clear" w:color="auto" w:fill="auto"/>
            <w:vAlign w:val="bottom"/>
          </w:tcPr>
          <w:p w14:paraId="13E63E64" w14:textId="77777777" w:rsidR="004A3AB4" w:rsidRPr="00F762A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F762A1">
              <w:rPr>
                <w:sz w:val="17"/>
                <w:lang w:val="en-GB"/>
              </w:rPr>
              <w:t>9</w:t>
            </w:r>
          </w:p>
        </w:tc>
        <w:tc>
          <w:tcPr>
            <w:tcW w:w="630" w:type="dxa"/>
            <w:shd w:val="clear" w:color="auto" w:fill="auto"/>
            <w:vAlign w:val="bottom"/>
          </w:tcPr>
          <w:p w14:paraId="02F42E3D" w14:textId="77777777" w:rsidR="004A3AB4" w:rsidRPr="00F762A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F762A1">
              <w:rPr>
                <w:sz w:val="17"/>
                <w:lang w:val="en-GB"/>
              </w:rPr>
              <w:t>8</w:t>
            </w:r>
          </w:p>
        </w:tc>
        <w:tc>
          <w:tcPr>
            <w:tcW w:w="630" w:type="dxa"/>
            <w:shd w:val="clear" w:color="auto" w:fill="auto"/>
            <w:vAlign w:val="bottom"/>
          </w:tcPr>
          <w:p w14:paraId="6C9E9E91" w14:textId="77777777" w:rsidR="004A3AB4" w:rsidRPr="00F762A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F762A1">
              <w:rPr>
                <w:sz w:val="17"/>
                <w:lang w:val="en-GB"/>
              </w:rPr>
              <w:t>–</w:t>
            </w:r>
          </w:p>
        </w:tc>
        <w:tc>
          <w:tcPr>
            <w:tcW w:w="784" w:type="dxa"/>
            <w:shd w:val="clear" w:color="auto" w:fill="auto"/>
            <w:vAlign w:val="bottom"/>
          </w:tcPr>
          <w:p w14:paraId="1C361AAA" w14:textId="77777777" w:rsidR="004A3AB4" w:rsidRPr="00F762A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F762A1">
              <w:rPr>
                <w:sz w:val="17"/>
                <w:lang w:val="en-GB"/>
              </w:rPr>
              <w:t>3</w:t>
            </w:r>
          </w:p>
        </w:tc>
      </w:tr>
      <w:tr w:rsidR="004A3AB4" w:rsidRPr="00CE1E3F" w14:paraId="6FB31506" w14:textId="77777777" w:rsidTr="003C23CC">
        <w:tc>
          <w:tcPr>
            <w:tcW w:w="443" w:type="dxa"/>
            <w:tcBorders>
              <w:bottom w:val="single" w:sz="12" w:space="0" w:color="auto"/>
            </w:tcBorders>
            <w:shd w:val="clear" w:color="auto" w:fill="auto"/>
            <w:vAlign w:val="bottom"/>
          </w:tcPr>
          <w:p w14:paraId="221A7DC7" w14:textId="77777777" w:rsidR="004A3AB4" w:rsidRPr="00CE1E3F"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CE1E3F">
              <w:rPr>
                <w:sz w:val="17"/>
                <w:lang w:val="en-GB"/>
              </w:rPr>
              <w:t>2017</w:t>
            </w:r>
          </w:p>
        </w:tc>
        <w:tc>
          <w:tcPr>
            <w:tcW w:w="1020" w:type="dxa"/>
            <w:tcBorders>
              <w:bottom w:val="single" w:sz="12" w:space="0" w:color="auto"/>
            </w:tcBorders>
            <w:shd w:val="clear" w:color="auto" w:fill="auto"/>
            <w:vAlign w:val="bottom"/>
          </w:tcPr>
          <w:p w14:paraId="6D580D7D" w14:textId="77777777" w:rsidR="004A3AB4" w:rsidRPr="00F762A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F762A1">
              <w:rPr>
                <w:sz w:val="17"/>
                <w:lang w:val="en-GB"/>
              </w:rPr>
              <w:t>1</w:t>
            </w:r>
          </w:p>
        </w:tc>
        <w:tc>
          <w:tcPr>
            <w:tcW w:w="1020" w:type="dxa"/>
            <w:tcBorders>
              <w:bottom w:val="single" w:sz="12" w:space="0" w:color="auto"/>
            </w:tcBorders>
            <w:shd w:val="clear" w:color="auto" w:fill="auto"/>
            <w:vAlign w:val="bottom"/>
          </w:tcPr>
          <w:p w14:paraId="660A5836" w14:textId="77777777" w:rsidR="004A3AB4" w:rsidRPr="00F762A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F762A1">
              <w:rPr>
                <w:sz w:val="17"/>
                <w:lang w:val="en-GB"/>
              </w:rPr>
              <w:t>4</w:t>
            </w:r>
          </w:p>
        </w:tc>
        <w:tc>
          <w:tcPr>
            <w:tcW w:w="1020" w:type="dxa"/>
            <w:tcBorders>
              <w:bottom w:val="single" w:sz="12" w:space="0" w:color="auto"/>
            </w:tcBorders>
            <w:shd w:val="clear" w:color="auto" w:fill="auto"/>
            <w:vAlign w:val="bottom"/>
          </w:tcPr>
          <w:p w14:paraId="35E70DB9" w14:textId="77777777" w:rsidR="004A3AB4" w:rsidRPr="00F762A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F762A1">
              <w:rPr>
                <w:sz w:val="17"/>
                <w:lang w:val="en-GB"/>
              </w:rPr>
              <w:t>3</w:t>
            </w:r>
          </w:p>
        </w:tc>
        <w:tc>
          <w:tcPr>
            <w:tcW w:w="900" w:type="dxa"/>
            <w:tcBorders>
              <w:bottom w:val="single" w:sz="12" w:space="0" w:color="auto"/>
            </w:tcBorders>
            <w:shd w:val="clear" w:color="auto" w:fill="auto"/>
            <w:vAlign w:val="bottom"/>
          </w:tcPr>
          <w:p w14:paraId="7C064094" w14:textId="77777777" w:rsidR="004A3AB4" w:rsidRPr="00F762A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F762A1">
              <w:rPr>
                <w:sz w:val="17"/>
                <w:lang w:val="en-GB"/>
              </w:rPr>
              <w:t>1</w:t>
            </w:r>
          </w:p>
        </w:tc>
        <w:tc>
          <w:tcPr>
            <w:tcW w:w="1140" w:type="dxa"/>
            <w:tcBorders>
              <w:bottom w:val="single" w:sz="12" w:space="0" w:color="auto"/>
            </w:tcBorders>
            <w:shd w:val="clear" w:color="auto" w:fill="auto"/>
            <w:vAlign w:val="bottom"/>
          </w:tcPr>
          <w:p w14:paraId="16E86DD2" w14:textId="77777777" w:rsidR="004A3AB4" w:rsidRPr="00F762A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F762A1">
              <w:rPr>
                <w:sz w:val="17"/>
                <w:lang w:val="en-GB"/>
              </w:rPr>
              <w:t>1</w:t>
            </w:r>
          </w:p>
        </w:tc>
        <w:tc>
          <w:tcPr>
            <w:tcW w:w="1020" w:type="dxa"/>
            <w:tcBorders>
              <w:bottom w:val="single" w:sz="12" w:space="0" w:color="auto"/>
            </w:tcBorders>
            <w:shd w:val="clear" w:color="auto" w:fill="auto"/>
            <w:vAlign w:val="bottom"/>
          </w:tcPr>
          <w:p w14:paraId="6DC9D519" w14:textId="77777777" w:rsidR="004A3AB4" w:rsidRPr="00F762A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F762A1">
              <w:rPr>
                <w:sz w:val="17"/>
                <w:lang w:val="en-GB"/>
              </w:rPr>
              <w:t>5</w:t>
            </w:r>
          </w:p>
        </w:tc>
        <w:tc>
          <w:tcPr>
            <w:tcW w:w="630" w:type="dxa"/>
            <w:tcBorders>
              <w:bottom w:val="single" w:sz="12" w:space="0" w:color="auto"/>
            </w:tcBorders>
            <w:shd w:val="clear" w:color="auto" w:fill="auto"/>
            <w:vAlign w:val="bottom"/>
          </w:tcPr>
          <w:p w14:paraId="730108AE" w14:textId="77777777" w:rsidR="004A3AB4" w:rsidRPr="00F762A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F762A1">
              <w:rPr>
                <w:sz w:val="17"/>
                <w:lang w:val="en-GB"/>
              </w:rPr>
              <w:t>3</w:t>
            </w:r>
          </w:p>
        </w:tc>
        <w:tc>
          <w:tcPr>
            <w:tcW w:w="630" w:type="dxa"/>
            <w:tcBorders>
              <w:bottom w:val="single" w:sz="12" w:space="0" w:color="auto"/>
            </w:tcBorders>
            <w:shd w:val="clear" w:color="auto" w:fill="auto"/>
            <w:vAlign w:val="bottom"/>
          </w:tcPr>
          <w:p w14:paraId="09B6EAEF" w14:textId="77777777" w:rsidR="004A3AB4" w:rsidRPr="00F762A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F762A1">
              <w:rPr>
                <w:sz w:val="17"/>
                <w:lang w:val="en-GB"/>
              </w:rPr>
              <w:t>–</w:t>
            </w:r>
          </w:p>
        </w:tc>
        <w:tc>
          <w:tcPr>
            <w:tcW w:w="784" w:type="dxa"/>
            <w:tcBorders>
              <w:bottom w:val="single" w:sz="12" w:space="0" w:color="auto"/>
            </w:tcBorders>
            <w:shd w:val="clear" w:color="auto" w:fill="auto"/>
            <w:vAlign w:val="bottom"/>
          </w:tcPr>
          <w:p w14:paraId="495F7FB5" w14:textId="77777777" w:rsidR="004A3AB4" w:rsidRPr="00F762A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F762A1">
              <w:rPr>
                <w:sz w:val="17"/>
                <w:lang w:val="en-GB"/>
              </w:rPr>
              <w:t>3</w:t>
            </w:r>
          </w:p>
        </w:tc>
      </w:tr>
    </w:tbl>
    <w:p w14:paraId="443A71F4" w14:textId="77777777" w:rsidR="004A3AB4" w:rsidRPr="009F0FFD" w:rsidRDefault="004A3AB4" w:rsidP="004A3AB4">
      <w:pPr>
        <w:pStyle w:val="SingleTxt"/>
        <w:spacing w:after="0" w:line="120" w:lineRule="exact"/>
        <w:rPr>
          <w:sz w:val="10"/>
          <w:lang w:val="en-GB"/>
        </w:rPr>
      </w:pPr>
    </w:p>
    <w:p w14:paraId="11327157" w14:textId="77777777" w:rsidR="004A3AB4" w:rsidRPr="009F0FFD" w:rsidRDefault="004A3AB4" w:rsidP="004A3AB4">
      <w:pPr>
        <w:pStyle w:val="SingleTxt"/>
        <w:spacing w:after="0" w:line="120" w:lineRule="exact"/>
        <w:rPr>
          <w:sz w:val="10"/>
          <w:lang w:val="en-GB"/>
        </w:rPr>
      </w:pPr>
    </w:p>
    <w:p w14:paraId="5732C5F6" w14:textId="77777777" w:rsidR="004A3AB4" w:rsidRPr="00DF37A3" w:rsidRDefault="004A3AB4" w:rsidP="004A3AB4">
      <w:pPr>
        <w:pStyle w:val="SingleTxt"/>
        <w:rPr>
          <w:lang w:val="en-GB"/>
        </w:rPr>
      </w:pPr>
      <w:r w:rsidRPr="00DF37A3">
        <w:rPr>
          <w:lang w:val="en-GB"/>
        </w:rPr>
        <w:t>35.</w:t>
      </w:r>
      <w:r>
        <w:rPr>
          <w:lang w:val="en-GB"/>
        </w:rPr>
        <w:tab/>
      </w:r>
      <w:r w:rsidRPr="00DF37A3">
        <w:rPr>
          <w:lang w:val="en-GB"/>
        </w:rPr>
        <w:t>The responsible ministries and agencies have developed and approved guidance documents, which as a group constitute the organizational and legal framework for comprehensive preventive efforts, namely:</w:t>
      </w:r>
    </w:p>
    <w:p w14:paraId="51E1406A" w14:textId="77777777" w:rsidR="004A3AB4" w:rsidRPr="00DF37A3" w:rsidRDefault="004A3AB4" w:rsidP="004A3AB4">
      <w:pPr>
        <w:pStyle w:val="SingleTxt"/>
        <w:tabs>
          <w:tab w:val="right" w:pos="1685"/>
        </w:tabs>
        <w:ind w:left="1742" w:hanging="475"/>
        <w:rPr>
          <w:lang w:val="en-GB"/>
        </w:rPr>
      </w:pPr>
      <w:r>
        <w:rPr>
          <w:lang w:val="en-GB"/>
        </w:rPr>
        <w:tab/>
      </w:r>
      <w:r w:rsidRPr="00DF37A3">
        <w:rPr>
          <w:lang w:val="en-GB"/>
        </w:rPr>
        <w:t>•</w:t>
      </w:r>
      <w:r w:rsidRPr="00DF37A3">
        <w:rPr>
          <w:lang w:val="en-GB"/>
        </w:rPr>
        <w:tab/>
        <w:t xml:space="preserve">Plan for the implementation of the Preventing Early Marriage Act, approved in Joint Order No. 1084 of 21 December 2017 by eight Government agencies: the Ministries of Labour and Social Development; Internal Affairs; Education and Science; Culture, Information and Tourism; and Health; the State Commission </w:t>
      </w:r>
      <w:r w:rsidRPr="00DF37A3">
        <w:rPr>
          <w:lang w:val="en-GB"/>
        </w:rPr>
        <w:lastRenderedPageBreak/>
        <w:t>on Religious Affairs; the State Agency for Youth, Physical Education and Sports, reporting to the Government; and the Ombudsman.</w:t>
      </w:r>
    </w:p>
    <w:p w14:paraId="4970F860" w14:textId="77777777" w:rsidR="004A3AB4" w:rsidRPr="00DF37A3" w:rsidRDefault="004A3AB4" w:rsidP="004A3AB4">
      <w:pPr>
        <w:pStyle w:val="SingleTxt"/>
        <w:tabs>
          <w:tab w:val="right" w:pos="1685"/>
        </w:tabs>
        <w:ind w:left="1742" w:hanging="475"/>
        <w:rPr>
          <w:lang w:val="en-GB"/>
        </w:rPr>
      </w:pPr>
      <w:r>
        <w:rPr>
          <w:lang w:val="en-GB"/>
        </w:rPr>
        <w:tab/>
      </w:r>
      <w:r w:rsidRPr="00DF37A3">
        <w:rPr>
          <w:lang w:val="en-GB"/>
        </w:rPr>
        <w:t>•</w:t>
      </w:r>
      <w:r w:rsidRPr="00DF37A3">
        <w:rPr>
          <w:lang w:val="en-GB"/>
        </w:rPr>
        <w:tab/>
        <w:t>Order No. 410 of the Spiritual Directorate of Muslims of Kyrgyzstan, dated 21</w:t>
      </w:r>
      <w:r>
        <w:rPr>
          <w:lang w:val="en-GB"/>
        </w:rPr>
        <w:t> </w:t>
      </w:r>
      <w:r w:rsidRPr="00DF37A3">
        <w:rPr>
          <w:lang w:val="en-GB"/>
        </w:rPr>
        <w:t>December 2016, on prohibiting imams from holding a religious wedding ceremony (</w:t>
      </w:r>
      <w:r w:rsidRPr="009F0FFD">
        <w:rPr>
          <w:i/>
          <w:iCs/>
          <w:lang w:val="en-GB"/>
        </w:rPr>
        <w:t>nikah</w:t>
      </w:r>
      <w:r w:rsidRPr="00DF37A3">
        <w:rPr>
          <w:lang w:val="en-GB"/>
        </w:rPr>
        <w:t>) with persons under 18 years of age.</w:t>
      </w:r>
    </w:p>
    <w:p w14:paraId="0DF55ADD" w14:textId="77777777" w:rsidR="004A3AB4" w:rsidRPr="00DF37A3" w:rsidRDefault="004A3AB4" w:rsidP="004A3AB4">
      <w:pPr>
        <w:pStyle w:val="SingleTxt"/>
        <w:tabs>
          <w:tab w:val="right" w:pos="1685"/>
        </w:tabs>
        <w:ind w:left="1742" w:hanging="475"/>
        <w:rPr>
          <w:lang w:val="en-GB"/>
        </w:rPr>
      </w:pPr>
      <w:r>
        <w:rPr>
          <w:lang w:val="en-GB"/>
        </w:rPr>
        <w:tab/>
      </w:r>
      <w:r w:rsidRPr="00DF37A3">
        <w:rPr>
          <w:lang w:val="en-GB"/>
        </w:rPr>
        <w:t>•</w:t>
      </w:r>
      <w:r w:rsidRPr="00DF37A3">
        <w:rPr>
          <w:lang w:val="en-GB"/>
        </w:rPr>
        <w:tab/>
        <w:t>Ministry of Internal Affairs Order No. 1105 of 26 December 2017 on a methodological guide for the prevention of early marriage among minors.</w:t>
      </w:r>
    </w:p>
    <w:p w14:paraId="18AB778D" w14:textId="77777777" w:rsidR="004A3AB4" w:rsidRPr="00DF37A3" w:rsidRDefault="004A3AB4" w:rsidP="004A3AB4">
      <w:pPr>
        <w:pStyle w:val="SingleTxt"/>
        <w:tabs>
          <w:tab w:val="right" w:pos="1685"/>
        </w:tabs>
        <w:ind w:left="1742" w:hanging="475"/>
        <w:rPr>
          <w:lang w:val="en-GB"/>
        </w:rPr>
      </w:pPr>
      <w:r>
        <w:rPr>
          <w:lang w:val="en-GB"/>
        </w:rPr>
        <w:tab/>
      </w:r>
      <w:r w:rsidRPr="00DF37A3">
        <w:rPr>
          <w:lang w:val="en-GB"/>
        </w:rPr>
        <w:t>•</w:t>
      </w:r>
      <w:r w:rsidRPr="00DF37A3">
        <w:rPr>
          <w:lang w:val="en-GB"/>
        </w:rPr>
        <w:tab/>
        <w:t>Instructional letter No. 03-6/6440 of the Ministry of Education and Science, dated 9 November 2017, on the campaign aimed at students of general educational institutions on the prohibition against participating in a religious marriage ceremony (</w:t>
      </w:r>
      <w:r w:rsidRPr="009F0FFD">
        <w:rPr>
          <w:i/>
          <w:iCs/>
          <w:lang w:val="en-GB"/>
        </w:rPr>
        <w:t>nikah</w:t>
      </w:r>
      <w:r w:rsidRPr="00DF37A3">
        <w:rPr>
          <w:lang w:val="en-GB"/>
        </w:rPr>
        <w:t xml:space="preserve">) before the minimum age for marriage. </w:t>
      </w:r>
    </w:p>
    <w:p w14:paraId="05161699" w14:textId="77777777" w:rsidR="004A3AB4" w:rsidRPr="00DF37A3" w:rsidRDefault="004A3AB4" w:rsidP="004A3AB4">
      <w:pPr>
        <w:pStyle w:val="SingleTxt"/>
        <w:rPr>
          <w:lang w:val="en-GB"/>
        </w:rPr>
      </w:pPr>
      <w:r w:rsidRPr="00DF37A3">
        <w:rPr>
          <w:lang w:val="en-GB"/>
        </w:rPr>
        <w:t>36.</w:t>
      </w:r>
      <w:r>
        <w:rPr>
          <w:lang w:val="en-GB"/>
        </w:rPr>
        <w:tab/>
      </w:r>
      <w:r w:rsidRPr="00DF37A3">
        <w:rPr>
          <w:lang w:val="en-GB"/>
        </w:rPr>
        <w:t xml:space="preserve">In order to strengthen the capacity of the responsible State bodies and other law enforcement authorities through a partnership between the responsible State bodies and the Spiritual Directorate of Muslims of Kyrgyzstan, along with the League of Defenders of the Rights of the Child, which is a non-governmental foundation, and with the support of the United Nations Development Programme, training of their representatives as trainers was carried out, using a specially developed training manual, for authorized bodies and representatives of children’s and women’s organizations in the framework of the project entitled “Support for the implementation of the Act to Prevent Religious Marriages Involving Minors”. Subsequently, the trained trainers trained specialists from interested organizations in all regions of the country. </w:t>
      </w:r>
    </w:p>
    <w:p w14:paraId="3B6D8BCD" w14:textId="77777777" w:rsidR="004A3AB4" w:rsidRPr="00DF37A3" w:rsidRDefault="004A3AB4" w:rsidP="004A3AB4">
      <w:pPr>
        <w:pStyle w:val="SingleTxt"/>
        <w:rPr>
          <w:lang w:val="en-GB"/>
        </w:rPr>
      </w:pPr>
      <w:r w:rsidRPr="00DF37A3">
        <w:rPr>
          <w:lang w:val="en-GB"/>
        </w:rPr>
        <w:t>37.</w:t>
      </w:r>
      <w:r>
        <w:rPr>
          <w:lang w:val="en-GB"/>
        </w:rPr>
        <w:tab/>
      </w:r>
      <w:r w:rsidRPr="00DF37A3">
        <w:rPr>
          <w:lang w:val="en-GB"/>
        </w:rPr>
        <w:t xml:space="preserve">Work has also been carried out to publicize in the media the negative consequences and unlawful nature of bride kidnapping and early marriage, including through a practical guide specially developed by the Centre for the Study of Democratic Processes, which is a non-governmental foundation. The guide seeks to inform the public about legislation aimed at preventing the celebration of religious ceremonies with minors. From 10 to 24 June 2018, an information campaign in the form of a flash mob called </w:t>
      </w:r>
      <w:r w:rsidRPr="009F0FFD">
        <w:rPr>
          <w:i/>
          <w:iCs/>
          <w:lang w:val="en-GB"/>
        </w:rPr>
        <w:t>Alakachuu – Bull Kylmysh</w:t>
      </w:r>
      <w:r w:rsidRPr="00DF37A3">
        <w:rPr>
          <w:lang w:val="en-GB"/>
        </w:rPr>
        <w:t xml:space="preserve"> (bride abduction is a crime) was conducted at the national level among students and pupils. The use of innovative forms and methods of informational and educational work among the population, especially young people, has contributed to a noticeable public response to the problem and the activation of citizens who do not accept such negative practices. </w:t>
      </w:r>
    </w:p>
    <w:p w14:paraId="7499155B" w14:textId="77777777" w:rsidR="004A3AB4" w:rsidRPr="00DF37A3" w:rsidRDefault="004A3AB4" w:rsidP="004A3AB4">
      <w:pPr>
        <w:pStyle w:val="SingleTxt"/>
        <w:rPr>
          <w:lang w:val="en-GB"/>
        </w:rPr>
      </w:pPr>
      <w:r w:rsidRPr="00DF37A3">
        <w:rPr>
          <w:lang w:val="en-GB"/>
        </w:rPr>
        <w:t>38.</w:t>
      </w:r>
      <w:r>
        <w:rPr>
          <w:lang w:val="en-GB"/>
        </w:rPr>
        <w:tab/>
      </w:r>
      <w:r w:rsidRPr="00DF37A3">
        <w:rPr>
          <w:lang w:val="en-GB"/>
        </w:rPr>
        <w:t>Act No. 63 on Protection and Defence against Domestic Violence of 27 April 2017 defines, on the basis of international standards, the fundamental principles that are to guide those bodies responsible for the enforcement of the Act, whose number has increased and includes 11 authorized bodies. For each of them, the Act sets out specific tasks and establishes a mechanism for inter-agency coordination and cooperation in the enforcement process. In particular, it provides for the referral of victims of domestic violence to the necessary legal, medical and psychological assistance, social support and counselling services.</w:t>
      </w:r>
    </w:p>
    <w:p w14:paraId="2FD534C1" w14:textId="77777777" w:rsidR="004A3AB4" w:rsidRPr="00DF37A3" w:rsidRDefault="004A3AB4" w:rsidP="004A3AB4">
      <w:pPr>
        <w:pStyle w:val="SingleTxt"/>
        <w:rPr>
          <w:lang w:val="en-GB"/>
        </w:rPr>
      </w:pPr>
      <w:r w:rsidRPr="00DF37A3">
        <w:rPr>
          <w:lang w:val="en-GB"/>
        </w:rPr>
        <w:t>39.</w:t>
      </w:r>
      <w:r>
        <w:rPr>
          <w:lang w:val="en-GB"/>
        </w:rPr>
        <w:tab/>
      </w:r>
      <w:r w:rsidRPr="00DF37A3">
        <w:rPr>
          <w:lang w:val="en-GB"/>
        </w:rPr>
        <w:t xml:space="preserve">The Act on Protection and Defence against Domestic Violence includes various innovative norms: </w:t>
      </w:r>
    </w:p>
    <w:p w14:paraId="21558AC9" w14:textId="77777777" w:rsidR="004A3AB4" w:rsidRPr="00DF37A3" w:rsidRDefault="004A3AB4" w:rsidP="004A3AB4">
      <w:pPr>
        <w:pStyle w:val="SingleTxt"/>
        <w:tabs>
          <w:tab w:val="right" w:pos="1685"/>
        </w:tabs>
        <w:ind w:left="1742" w:hanging="475"/>
        <w:rPr>
          <w:lang w:val="en-GB"/>
        </w:rPr>
      </w:pPr>
      <w:r>
        <w:rPr>
          <w:lang w:val="en-GB"/>
        </w:rPr>
        <w:tab/>
      </w:r>
      <w:r w:rsidRPr="00DF37A3">
        <w:rPr>
          <w:lang w:val="en-GB"/>
        </w:rPr>
        <w:t>•</w:t>
      </w:r>
      <w:r w:rsidRPr="00DF37A3">
        <w:rPr>
          <w:lang w:val="en-GB"/>
        </w:rPr>
        <w:tab/>
        <w:t>The internal affairs agencies are obliged to respond without fail to complaints from any person regarding domestic violence, i.e. not only from victims.</w:t>
      </w:r>
    </w:p>
    <w:p w14:paraId="69B9FD1C" w14:textId="77777777" w:rsidR="004A3AB4" w:rsidRPr="00DF37A3" w:rsidRDefault="004A3AB4" w:rsidP="004A3AB4">
      <w:pPr>
        <w:pStyle w:val="SingleTxt"/>
        <w:tabs>
          <w:tab w:val="right" w:pos="1685"/>
        </w:tabs>
        <w:ind w:left="1742" w:hanging="475"/>
        <w:rPr>
          <w:lang w:val="en-GB"/>
        </w:rPr>
      </w:pPr>
      <w:r>
        <w:rPr>
          <w:lang w:val="en-GB"/>
        </w:rPr>
        <w:tab/>
      </w:r>
      <w:r w:rsidRPr="00DF37A3">
        <w:rPr>
          <w:lang w:val="en-GB"/>
        </w:rPr>
        <w:t>•</w:t>
      </w:r>
      <w:r w:rsidRPr="00DF37A3">
        <w:rPr>
          <w:lang w:val="en-GB"/>
        </w:rPr>
        <w:tab/>
        <w:t xml:space="preserve">Instead of two types of orders, namely, a temporary protection order and a court order, a single protection order has been introduced. </w:t>
      </w:r>
    </w:p>
    <w:p w14:paraId="1F300EF0" w14:textId="77777777" w:rsidR="004A3AB4" w:rsidRPr="00DF37A3" w:rsidRDefault="004A3AB4" w:rsidP="004A3AB4">
      <w:pPr>
        <w:pStyle w:val="SingleTxt"/>
        <w:tabs>
          <w:tab w:val="right" w:pos="1685"/>
        </w:tabs>
        <w:ind w:left="1742" w:hanging="475"/>
        <w:rPr>
          <w:lang w:val="en-GB"/>
        </w:rPr>
      </w:pPr>
      <w:r>
        <w:rPr>
          <w:lang w:val="en-GB"/>
        </w:rPr>
        <w:tab/>
      </w:r>
      <w:r w:rsidRPr="00DF37A3">
        <w:rPr>
          <w:lang w:val="en-GB"/>
        </w:rPr>
        <w:t>•</w:t>
      </w:r>
      <w:r w:rsidRPr="00DF37A3">
        <w:rPr>
          <w:lang w:val="en-GB"/>
        </w:rPr>
        <w:tab/>
        <w:t>For the first time, plans have been made to introduce re-education programmes for perpetrators of violence with the goal of changing their violent behaviour.</w:t>
      </w:r>
    </w:p>
    <w:p w14:paraId="11B9D905" w14:textId="77777777" w:rsidR="004A3AB4" w:rsidRPr="00DF37A3" w:rsidRDefault="004A3AB4" w:rsidP="004A3AB4">
      <w:pPr>
        <w:pStyle w:val="SingleTxt"/>
        <w:rPr>
          <w:lang w:val="en-GB"/>
        </w:rPr>
      </w:pPr>
      <w:r w:rsidRPr="00DF37A3">
        <w:rPr>
          <w:lang w:val="en-GB"/>
        </w:rPr>
        <w:lastRenderedPageBreak/>
        <w:t>40.</w:t>
      </w:r>
      <w:r>
        <w:rPr>
          <w:lang w:val="en-GB"/>
        </w:rPr>
        <w:tab/>
      </w:r>
      <w:r w:rsidRPr="00DF37A3">
        <w:rPr>
          <w:lang w:val="en-GB"/>
        </w:rPr>
        <w:t>The mechanism for implementing the updated legislation on law enforcement activities has been developed through a number of implementing regulations and departmental acts: Government Decision No. 642 on approval of the form of the protection order, dated 3 October 2017, and Order No. 970 of the Ministry of Internal Affairs on approval of the instruction on the organization of the activities of the internal affairs agencies of the Kyrgyz Republic regarding protection and defence against domestic violence, dated 14 November 2017. Draft decisions by the Government on a programme of remedial measures directed at perpetrators of domestic violence with a view to changing their violent behaviour and on the procedure for protecting and defending against domestic violence have also been drawn up, detailing the mechanisms for cooperation and coordination among the responsible State bodies.</w:t>
      </w:r>
    </w:p>
    <w:p w14:paraId="21C74167" w14:textId="77777777" w:rsidR="004A3AB4" w:rsidRPr="00DF37A3" w:rsidRDefault="004A3AB4" w:rsidP="004A3AB4">
      <w:pPr>
        <w:pStyle w:val="SingleTxt"/>
        <w:rPr>
          <w:lang w:val="en-GB"/>
        </w:rPr>
      </w:pPr>
      <w:r w:rsidRPr="00DF37A3">
        <w:rPr>
          <w:lang w:val="en-GB"/>
        </w:rPr>
        <w:t>41.</w:t>
      </w:r>
      <w:r>
        <w:rPr>
          <w:lang w:val="en-GB"/>
        </w:rPr>
        <w:tab/>
      </w:r>
      <w:r w:rsidRPr="00DF37A3">
        <w:rPr>
          <w:lang w:val="en-GB"/>
        </w:rPr>
        <w:t>The measures taken by the Government demonstrate a strengthened response to domestic violence. However, the number of complaints of domestic violence by citizens remains, on average, more or less constant, and the data on the number of protection orders issued and criminal proceedings instituted, etc. confirm that trend.</w:t>
      </w:r>
    </w:p>
    <w:p w14:paraId="7424C2D0" w14:textId="77777777" w:rsidR="004A3AB4" w:rsidRPr="009F0FFD" w:rsidRDefault="004A3AB4" w:rsidP="004A3AB4">
      <w:pPr>
        <w:pStyle w:val="SingleTxt"/>
        <w:spacing w:after="0" w:line="120" w:lineRule="exact"/>
        <w:rPr>
          <w:sz w:val="10"/>
          <w:lang w:val="en-GB"/>
        </w:rPr>
      </w:pPr>
    </w:p>
    <w:p w14:paraId="4152A0D2" w14:textId="77777777" w:rsidR="004A3AB4" w:rsidRPr="00DF37A3" w:rsidRDefault="004A3AB4" w:rsidP="004A3AB4">
      <w:pPr>
        <w:pStyle w:val="SingleTxt"/>
        <w:spacing w:after="0"/>
        <w:rPr>
          <w:lang w:val="en-GB"/>
        </w:rPr>
      </w:pPr>
      <w:r w:rsidRPr="00DF37A3">
        <w:rPr>
          <w:lang w:val="en-GB"/>
        </w:rPr>
        <w:t>Table 9</w:t>
      </w:r>
    </w:p>
    <w:p w14:paraId="19F06A7D" w14:textId="77777777" w:rsidR="004A3AB4" w:rsidRPr="00DF37A3" w:rsidRDefault="004A3AB4" w:rsidP="004A3A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DF37A3">
        <w:t xml:space="preserve">Information on measures taken by the internal affairs agencies to implement the requirements of Act No. 63 on Protection and Defence against Domestic Violence, dated 27 April 2017 </w:t>
      </w:r>
    </w:p>
    <w:p w14:paraId="3731FADA" w14:textId="77777777" w:rsidR="004A3AB4" w:rsidRPr="009F0FFD" w:rsidRDefault="004A3AB4" w:rsidP="004A3AB4">
      <w:pPr>
        <w:pStyle w:val="SingleTxt"/>
        <w:spacing w:after="0" w:line="120" w:lineRule="exact"/>
        <w:rPr>
          <w:sz w:val="10"/>
          <w:lang w:val="en-GB"/>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66"/>
        <w:gridCol w:w="771"/>
        <w:gridCol w:w="771"/>
        <w:gridCol w:w="771"/>
        <w:gridCol w:w="771"/>
        <w:gridCol w:w="772"/>
      </w:tblGrid>
      <w:tr w:rsidR="004A3AB4" w:rsidRPr="000F58F8" w14:paraId="19502401" w14:textId="77777777" w:rsidTr="003C23CC">
        <w:trPr>
          <w:tblHeader/>
        </w:trPr>
        <w:tc>
          <w:tcPr>
            <w:tcW w:w="3466" w:type="dxa"/>
            <w:tcBorders>
              <w:top w:val="single" w:sz="4" w:space="0" w:color="auto"/>
              <w:bottom w:val="single" w:sz="12" w:space="0" w:color="auto"/>
            </w:tcBorders>
            <w:shd w:val="clear" w:color="auto" w:fill="auto"/>
            <w:vAlign w:val="bottom"/>
          </w:tcPr>
          <w:p w14:paraId="137154F0" w14:textId="77777777" w:rsidR="004A3AB4" w:rsidRPr="000F58F8"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p>
        </w:tc>
        <w:tc>
          <w:tcPr>
            <w:tcW w:w="771" w:type="dxa"/>
            <w:tcBorders>
              <w:top w:val="single" w:sz="4" w:space="0" w:color="auto"/>
              <w:bottom w:val="single" w:sz="12" w:space="0" w:color="auto"/>
            </w:tcBorders>
            <w:shd w:val="clear" w:color="auto" w:fill="auto"/>
            <w:vAlign w:val="bottom"/>
          </w:tcPr>
          <w:p w14:paraId="7DD4498F" w14:textId="77777777" w:rsidR="004A3AB4" w:rsidRPr="000F58F8"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0F58F8">
              <w:rPr>
                <w:i/>
                <w:sz w:val="14"/>
                <w:lang w:val="en-GB"/>
              </w:rPr>
              <w:t>2014</w:t>
            </w:r>
          </w:p>
        </w:tc>
        <w:tc>
          <w:tcPr>
            <w:tcW w:w="771" w:type="dxa"/>
            <w:tcBorders>
              <w:top w:val="single" w:sz="4" w:space="0" w:color="auto"/>
              <w:bottom w:val="single" w:sz="12" w:space="0" w:color="auto"/>
            </w:tcBorders>
            <w:shd w:val="clear" w:color="auto" w:fill="auto"/>
            <w:vAlign w:val="bottom"/>
          </w:tcPr>
          <w:p w14:paraId="5416F300" w14:textId="77777777" w:rsidR="004A3AB4" w:rsidRPr="000F58F8"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0F58F8">
              <w:rPr>
                <w:i/>
                <w:sz w:val="14"/>
                <w:lang w:val="en-GB"/>
              </w:rPr>
              <w:t>2015</w:t>
            </w:r>
          </w:p>
        </w:tc>
        <w:tc>
          <w:tcPr>
            <w:tcW w:w="771" w:type="dxa"/>
            <w:tcBorders>
              <w:top w:val="single" w:sz="4" w:space="0" w:color="auto"/>
              <w:bottom w:val="single" w:sz="12" w:space="0" w:color="auto"/>
            </w:tcBorders>
            <w:shd w:val="clear" w:color="auto" w:fill="auto"/>
            <w:vAlign w:val="bottom"/>
          </w:tcPr>
          <w:p w14:paraId="0F75312D" w14:textId="77777777" w:rsidR="004A3AB4" w:rsidRPr="000F58F8"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0F58F8">
              <w:rPr>
                <w:i/>
                <w:sz w:val="14"/>
                <w:lang w:val="en-GB"/>
              </w:rPr>
              <w:t>2016</w:t>
            </w:r>
          </w:p>
        </w:tc>
        <w:tc>
          <w:tcPr>
            <w:tcW w:w="771" w:type="dxa"/>
            <w:tcBorders>
              <w:top w:val="single" w:sz="4" w:space="0" w:color="auto"/>
              <w:bottom w:val="single" w:sz="12" w:space="0" w:color="auto"/>
            </w:tcBorders>
            <w:shd w:val="clear" w:color="auto" w:fill="auto"/>
            <w:vAlign w:val="bottom"/>
          </w:tcPr>
          <w:p w14:paraId="1DEC4D96" w14:textId="77777777" w:rsidR="004A3AB4" w:rsidRPr="000F58F8"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0F58F8">
              <w:rPr>
                <w:i/>
                <w:sz w:val="14"/>
                <w:lang w:val="en-GB"/>
              </w:rPr>
              <w:t>2017</w:t>
            </w:r>
          </w:p>
        </w:tc>
        <w:tc>
          <w:tcPr>
            <w:tcW w:w="772" w:type="dxa"/>
            <w:tcBorders>
              <w:top w:val="single" w:sz="4" w:space="0" w:color="auto"/>
              <w:bottom w:val="single" w:sz="12" w:space="0" w:color="auto"/>
            </w:tcBorders>
            <w:shd w:val="clear" w:color="auto" w:fill="auto"/>
            <w:vAlign w:val="bottom"/>
          </w:tcPr>
          <w:p w14:paraId="0D693CDA" w14:textId="77777777" w:rsidR="004A3AB4" w:rsidRPr="000F58F8"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0F58F8">
              <w:rPr>
                <w:i/>
                <w:sz w:val="14"/>
                <w:lang w:val="en-GB"/>
              </w:rPr>
              <w:t xml:space="preserve">9 months of 2018 </w:t>
            </w:r>
          </w:p>
        </w:tc>
      </w:tr>
      <w:tr w:rsidR="004A3AB4" w:rsidRPr="000F58F8" w14:paraId="743BA35B" w14:textId="77777777" w:rsidTr="003C23CC">
        <w:trPr>
          <w:trHeight w:hRule="exact" w:val="115"/>
          <w:tblHeader/>
        </w:trPr>
        <w:tc>
          <w:tcPr>
            <w:tcW w:w="3466" w:type="dxa"/>
            <w:tcBorders>
              <w:top w:val="single" w:sz="12" w:space="0" w:color="auto"/>
            </w:tcBorders>
            <w:shd w:val="clear" w:color="auto" w:fill="auto"/>
            <w:vAlign w:val="bottom"/>
          </w:tcPr>
          <w:p w14:paraId="328205AB" w14:textId="77777777" w:rsidR="004A3AB4" w:rsidRPr="000F58F8"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771" w:type="dxa"/>
            <w:tcBorders>
              <w:top w:val="single" w:sz="12" w:space="0" w:color="auto"/>
            </w:tcBorders>
            <w:shd w:val="clear" w:color="auto" w:fill="auto"/>
            <w:vAlign w:val="bottom"/>
          </w:tcPr>
          <w:p w14:paraId="412039A7" w14:textId="77777777" w:rsidR="004A3AB4" w:rsidRPr="000F58F8"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771" w:type="dxa"/>
            <w:tcBorders>
              <w:top w:val="single" w:sz="12" w:space="0" w:color="auto"/>
            </w:tcBorders>
            <w:shd w:val="clear" w:color="auto" w:fill="auto"/>
            <w:vAlign w:val="bottom"/>
          </w:tcPr>
          <w:p w14:paraId="0C508EEB" w14:textId="77777777" w:rsidR="004A3AB4" w:rsidRPr="000F58F8"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771" w:type="dxa"/>
            <w:tcBorders>
              <w:top w:val="single" w:sz="12" w:space="0" w:color="auto"/>
            </w:tcBorders>
            <w:shd w:val="clear" w:color="auto" w:fill="auto"/>
            <w:vAlign w:val="bottom"/>
          </w:tcPr>
          <w:p w14:paraId="09877948" w14:textId="77777777" w:rsidR="004A3AB4" w:rsidRPr="000F58F8"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771" w:type="dxa"/>
            <w:tcBorders>
              <w:top w:val="single" w:sz="12" w:space="0" w:color="auto"/>
            </w:tcBorders>
            <w:shd w:val="clear" w:color="auto" w:fill="auto"/>
            <w:vAlign w:val="bottom"/>
          </w:tcPr>
          <w:p w14:paraId="2D448391" w14:textId="77777777" w:rsidR="004A3AB4" w:rsidRPr="000F58F8"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772" w:type="dxa"/>
            <w:tcBorders>
              <w:top w:val="single" w:sz="12" w:space="0" w:color="auto"/>
            </w:tcBorders>
            <w:shd w:val="clear" w:color="auto" w:fill="auto"/>
            <w:vAlign w:val="bottom"/>
          </w:tcPr>
          <w:p w14:paraId="3878254C" w14:textId="77777777" w:rsidR="004A3AB4" w:rsidRPr="000F58F8"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4A3AB4" w:rsidRPr="000F58F8" w14:paraId="200F6E34" w14:textId="77777777" w:rsidTr="003C23CC">
        <w:tc>
          <w:tcPr>
            <w:tcW w:w="3466" w:type="dxa"/>
            <w:shd w:val="clear" w:color="auto" w:fill="auto"/>
          </w:tcPr>
          <w:p w14:paraId="2EF6D697" w14:textId="77777777" w:rsidR="004A3AB4" w:rsidRPr="000F58F8"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0F58F8">
              <w:rPr>
                <w:sz w:val="17"/>
                <w:lang w:val="en-GB"/>
              </w:rPr>
              <w:t>Registered domestic violence cases</w:t>
            </w:r>
          </w:p>
        </w:tc>
        <w:tc>
          <w:tcPr>
            <w:tcW w:w="771" w:type="dxa"/>
            <w:shd w:val="clear" w:color="auto" w:fill="auto"/>
            <w:vAlign w:val="bottom"/>
          </w:tcPr>
          <w:p w14:paraId="4E93347F" w14:textId="77777777" w:rsidR="004A3AB4" w:rsidRPr="000F58F8"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0F58F8">
              <w:rPr>
                <w:sz w:val="17"/>
                <w:lang w:val="en-GB"/>
              </w:rPr>
              <w:t>3126</w:t>
            </w:r>
          </w:p>
        </w:tc>
        <w:tc>
          <w:tcPr>
            <w:tcW w:w="771" w:type="dxa"/>
            <w:shd w:val="clear" w:color="auto" w:fill="auto"/>
            <w:vAlign w:val="bottom"/>
          </w:tcPr>
          <w:p w14:paraId="0051DD95" w14:textId="77777777" w:rsidR="004A3AB4" w:rsidRPr="000F58F8"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0F58F8">
              <w:rPr>
                <w:sz w:val="17"/>
                <w:lang w:val="en-GB"/>
              </w:rPr>
              <w:t>3524</w:t>
            </w:r>
          </w:p>
        </w:tc>
        <w:tc>
          <w:tcPr>
            <w:tcW w:w="771" w:type="dxa"/>
            <w:shd w:val="clear" w:color="auto" w:fill="auto"/>
            <w:vAlign w:val="bottom"/>
          </w:tcPr>
          <w:p w14:paraId="5FAE50C1" w14:textId="77777777" w:rsidR="004A3AB4" w:rsidRPr="000F58F8"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0F58F8">
              <w:rPr>
                <w:sz w:val="17"/>
                <w:lang w:val="en-GB"/>
              </w:rPr>
              <w:t>7053</w:t>
            </w:r>
          </w:p>
        </w:tc>
        <w:tc>
          <w:tcPr>
            <w:tcW w:w="771" w:type="dxa"/>
            <w:shd w:val="clear" w:color="auto" w:fill="auto"/>
            <w:vAlign w:val="bottom"/>
          </w:tcPr>
          <w:p w14:paraId="3D5CDBB9" w14:textId="77777777" w:rsidR="004A3AB4" w:rsidRPr="000F58F8"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0F58F8">
              <w:rPr>
                <w:sz w:val="17"/>
                <w:lang w:val="en-GB"/>
              </w:rPr>
              <w:t>7333</w:t>
            </w:r>
          </w:p>
        </w:tc>
        <w:tc>
          <w:tcPr>
            <w:tcW w:w="772" w:type="dxa"/>
            <w:shd w:val="clear" w:color="auto" w:fill="auto"/>
            <w:vAlign w:val="bottom"/>
          </w:tcPr>
          <w:p w14:paraId="2E6627BE" w14:textId="77777777" w:rsidR="004A3AB4" w:rsidRPr="000F58F8"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0F58F8">
              <w:rPr>
                <w:sz w:val="17"/>
                <w:lang w:val="en-GB"/>
              </w:rPr>
              <w:t>5622</w:t>
            </w:r>
          </w:p>
        </w:tc>
      </w:tr>
      <w:tr w:rsidR="004A3AB4" w:rsidRPr="000F58F8" w14:paraId="2B4D65EE" w14:textId="77777777" w:rsidTr="003C23CC">
        <w:tc>
          <w:tcPr>
            <w:tcW w:w="3466" w:type="dxa"/>
            <w:shd w:val="clear" w:color="auto" w:fill="auto"/>
          </w:tcPr>
          <w:p w14:paraId="0B0393FD" w14:textId="77777777" w:rsidR="004A3AB4" w:rsidRPr="000F58F8"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0F58F8">
              <w:rPr>
                <w:sz w:val="17"/>
                <w:lang w:val="en-GB"/>
              </w:rPr>
              <w:t>Temporary protection orders issued by the internal affairs agencies of the country</w:t>
            </w:r>
          </w:p>
        </w:tc>
        <w:tc>
          <w:tcPr>
            <w:tcW w:w="771" w:type="dxa"/>
            <w:shd w:val="clear" w:color="auto" w:fill="auto"/>
            <w:vAlign w:val="bottom"/>
          </w:tcPr>
          <w:p w14:paraId="2351153F" w14:textId="77777777" w:rsidR="004A3AB4" w:rsidRPr="000F58F8"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0F58F8">
              <w:rPr>
                <w:sz w:val="17"/>
                <w:lang w:val="en-GB"/>
              </w:rPr>
              <w:t>2619</w:t>
            </w:r>
          </w:p>
        </w:tc>
        <w:tc>
          <w:tcPr>
            <w:tcW w:w="771" w:type="dxa"/>
            <w:shd w:val="clear" w:color="auto" w:fill="auto"/>
            <w:vAlign w:val="bottom"/>
          </w:tcPr>
          <w:p w14:paraId="78A8DE89" w14:textId="77777777" w:rsidR="004A3AB4" w:rsidRPr="000F58F8"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0F58F8">
              <w:rPr>
                <w:sz w:val="17"/>
                <w:lang w:val="en-GB"/>
              </w:rPr>
              <w:t>3358</w:t>
            </w:r>
          </w:p>
        </w:tc>
        <w:tc>
          <w:tcPr>
            <w:tcW w:w="771" w:type="dxa"/>
            <w:shd w:val="clear" w:color="auto" w:fill="auto"/>
            <w:vAlign w:val="bottom"/>
          </w:tcPr>
          <w:p w14:paraId="016E2702" w14:textId="77777777" w:rsidR="004A3AB4" w:rsidRPr="000F58F8"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0F58F8">
              <w:rPr>
                <w:sz w:val="17"/>
                <w:lang w:val="en-GB"/>
              </w:rPr>
              <w:t>6966</w:t>
            </w:r>
          </w:p>
        </w:tc>
        <w:tc>
          <w:tcPr>
            <w:tcW w:w="771" w:type="dxa"/>
            <w:shd w:val="clear" w:color="auto" w:fill="auto"/>
            <w:vAlign w:val="bottom"/>
          </w:tcPr>
          <w:p w14:paraId="79DB274E" w14:textId="77777777" w:rsidR="004A3AB4" w:rsidRPr="000F58F8"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0F58F8">
              <w:rPr>
                <w:sz w:val="17"/>
                <w:lang w:val="en-GB"/>
              </w:rPr>
              <w:t>7323</w:t>
            </w:r>
          </w:p>
        </w:tc>
        <w:tc>
          <w:tcPr>
            <w:tcW w:w="772" w:type="dxa"/>
            <w:shd w:val="clear" w:color="auto" w:fill="auto"/>
            <w:vAlign w:val="bottom"/>
          </w:tcPr>
          <w:p w14:paraId="677FC249" w14:textId="77777777" w:rsidR="004A3AB4" w:rsidRPr="000F58F8"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0F58F8">
              <w:rPr>
                <w:sz w:val="17"/>
                <w:lang w:val="en-GB"/>
              </w:rPr>
              <w:t>5603</w:t>
            </w:r>
          </w:p>
        </w:tc>
      </w:tr>
      <w:tr w:rsidR="004A3AB4" w:rsidRPr="000F58F8" w14:paraId="73143464" w14:textId="77777777" w:rsidTr="003C23CC">
        <w:tc>
          <w:tcPr>
            <w:tcW w:w="3466" w:type="dxa"/>
            <w:shd w:val="clear" w:color="auto" w:fill="auto"/>
          </w:tcPr>
          <w:p w14:paraId="534C1528" w14:textId="77777777" w:rsidR="004A3AB4" w:rsidRPr="000F58F8"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0F58F8">
              <w:rPr>
                <w:sz w:val="17"/>
                <w:lang w:val="en-GB"/>
              </w:rPr>
              <w:t>Criminal prosecutions brought for domestic violence</w:t>
            </w:r>
          </w:p>
        </w:tc>
        <w:tc>
          <w:tcPr>
            <w:tcW w:w="771" w:type="dxa"/>
            <w:shd w:val="clear" w:color="auto" w:fill="auto"/>
            <w:vAlign w:val="bottom"/>
          </w:tcPr>
          <w:p w14:paraId="28D47421" w14:textId="77777777" w:rsidR="004A3AB4" w:rsidRPr="000F58F8"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0F58F8">
              <w:rPr>
                <w:sz w:val="17"/>
                <w:lang w:val="en-GB"/>
              </w:rPr>
              <w:t>243</w:t>
            </w:r>
          </w:p>
        </w:tc>
        <w:tc>
          <w:tcPr>
            <w:tcW w:w="771" w:type="dxa"/>
            <w:shd w:val="clear" w:color="auto" w:fill="auto"/>
            <w:vAlign w:val="bottom"/>
          </w:tcPr>
          <w:p w14:paraId="7977CC3C" w14:textId="77777777" w:rsidR="004A3AB4" w:rsidRPr="000F58F8"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0F58F8">
              <w:rPr>
                <w:sz w:val="17"/>
                <w:lang w:val="en-GB"/>
              </w:rPr>
              <w:t>238</w:t>
            </w:r>
          </w:p>
        </w:tc>
        <w:tc>
          <w:tcPr>
            <w:tcW w:w="771" w:type="dxa"/>
            <w:shd w:val="clear" w:color="auto" w:fill="auto"/>
            <w:vAlign w:val="bottom"/>
          </w:tcPr>
          <w:p w14:paraId="03E3071F" w14:textId="77777777" w:rsidR="004A3AB4" w:rsidRPr="000F58F8"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0F58F8">
              <w:rPr>
                <w:sz w:val="17"/>
                <w:lang w:val="en-GB"/>
              </w:rPr>
              <w:t>199</w:t>
            </w:r>
          </w:p>
        </w:tc>
        <w:tc>
          <w:tcPr>
            <w:tcW w:w="771" w:type="dxa"/>
            <w:shd w:val="clear" w:color="auto" w:fill="auto"/>
            <w:vAlign w:val="bottom"/>
          </w:tcPr>
          <w:p w14:paraId="3794E456" w14:textId="77777777" w:rsidR="004A3AB4" w:rsidRPr="000F58F8"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0F58F8">
              <w:rPr>
                <w:sz w:val="17"/>
                <w:lang w:val="en-GB"/>
              </w:rPr>
              <w:t>218</w:t>
            </w:r>
          </w:p>
        </w:tc>
        <w:tc>
          <w:tcPr>
            <w:tcW w:w="772" w:type="dxa"/>
            <w:shd w:val="clear" w:color="auto" w:fill="auto"/>
            <w:vAlign w:val="bottom"/>
          </w:tcPr>
          <w:p w14:paraId="66089A4C" w14:textId="77777777" w:rsidR="004A3AB4" w:rsidRPr="000F58F8"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0F58F8">
              <w:rPr>
                <w:sz w:val="17"/>
                <w:lang w:val="en-GB"/>
              </w:rPr>
              <w:t>286</w:t>
            </w:r>
          </w:p>
        </w:tc>
      </w:tr>
      <w:tr w:rsidR="004A3AB4" w:rsidRPr="000F58F8" w14:paraId="03C723C5" w14:textId="77777777" w:rsidTr="003C23CC">
        <w:tc>
          <w:tcPr>
            <w:tcW w:w="3466" w:type="dxa"/>
            <w:shd w:val="clear" w:color="auto" w:fill="auto"/>
          </w:tcPr>
          <w:p w14:paraId="692AD7E9" w14:textId="77777777" w:rsidR="004A3AB4" w:rsidRPr="000F58F8"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0F58F8">
              <w:rPr>
                <w:sz w:val="17"/>
                <w:lang w:val="en-GB"/>
              </w:rPr>
              <w:t>Number of persons subjected to administrative action for domestic violence</w:t>
            </w:r>
          </w:p>
        </w:tc>
        <w:tc>
          <w:tcPr>
            <w:tcW w:w="771" w:type="dxa"/>
            <w:shd w:val="clear" w:color="auto" w:fill="auto"/>
            <w:vAlign w:val="bottom"/>
          </w:tcPr>
          <w:p w14:paraId="2BAA01F4" w14:textId="77777777" w:rsidR="004A3AB4" w:rsidRPr="000F58F8"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0F58F8">
              <w:rPr>
                <w:sz w:val="17"/>
                <w:lang w:val="en-GB"/>
              </w:rPr>
              <w:t>1624</w:t>
            </w:r>
          </w:p>
        </w:tc>
        <w:tc>
          <w:tcPr>
            <w:tcW w:w="771" w:type="dxa"/>
            <w:shd w:val="clear" w:color="auto" w:fill="auto"/>
            <w:vAlign w:val="bottom"/>
          </w:tcPr>
          <w:p w14:paraId="3419AE3B" w14:textId="77777777" w:rsidR="004A3AB4" w:rsidRPr="000F58F8"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0F58F8">
              <w:rPr>
                <w:sz w:val="17"/>
                <w:lang w:val="en-GB"/>
              </w:rPr>
              <w:t>2381</w:t>
            </w:r>
          </w:p>
        </w:tc>
        <w:tc>
          <w:tcPr>
            <w:tcW w:w="771" w:type="dxa"/>
            <w:shd w:val="clear" w:color="auto" w:fill="auto"/>
            <w:vAlign w:val="bottom"/>
          </w:tcPr>
          <w:p w14:paraId="583DD6F0" w14:textId="77777777" w:rsidR="004A3AB4" w:rsidRPr="000F58F8"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0F58F8">
              <w:rPr>
                <w:sz w:val="17"/>
                <w:lang w:val="en-GB"/>
              </w:rPr>
              <w:t>4901</w:t>
            </w:r>
          </w:p>
        </w:tc>
        <w:tc>
          <w:tcPr>
            <w:tcW w:w="771" w:type="dxa"/>
            <w:shd w:val="clear" w:color="auto" w:fill="auto"/>
            <w:vAlign w:val="bottom"/>
          </w:tcPr>
          <w:p w14:paraId="576B964B" w14:textId="77777777" w:rsidR="004A3AB4" w:rsidRPr="000F58F8"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0F58F8">
              <w:rPr>
                <w:sz w:val="17"/>
                <w:lang w:val="en-GB"/>
              </w:rPr>
              <w:t>4946</w:t>
            </w:r>
          </w:p>
        </w:tc>
        <w:tc>
          <w:tcPr>
            <w:tcW w:w="772" w:type="dxa"/>
            <w:shd w:val="clear" w:color="auto" w:fill="auto"/>
            <w:vAlign w:val="bottom"/>
          </w:tcPr>
          <w:p w14:paraId="5571A4AB" w14:textId="77777777" w:rsidR="004A3AB4" w:rsidRPr="000F58F8"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0F58F8">
              <w:rPr>
                <w:sz w:val="17"/>
                <w:lang w:val="en-GB"/>
              </w:rPr>
              <w:t>3185</w:t>
            </w:r>
          </w:p>
        </w:tc>
      </w:tr>
      <w:tr w:rsidR="004A3AB4" w:rsidRPr="000F58F8" w14:paraId="4A64CD35" w14:textId="77777777" w:rsidTr="003C23CC">
        <w:tc>
          <w:tcPr>
            <w:tcW w:w="3466" w:type="dxa"/>
            <w:tcBorders>
              <w:bottom w:val="single" w:sz="12" w:space="0" w:color="auto"/>
            </w:tcBorders>
            <w:shd w:val="clear" w:color="auto" w:fill="auto"/>
          </w:tcPr>
          <w:p w14:paraId="09B3E269" w14:textId="77777777" w:rsidR="004A3AB4" w:rsidRPr="000F58F8"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0F58F8">
              <w:rPr>
                <w:sz w:val="17"/>
                <w:lang w:val="en-GB"/>
              </w:rPr>
              <w:t>Number of registered internal affairs agencies dealing with offences in the field of family and domestic relations</w:t>
            </w:r>
          </w:p>
        </w:tc>
        <w:tc>
          <w:tcPr>
            <w:tcW w:w="771" w:type="dxa"/>
            <w:tcBorders>
              <w:bottom w:val="single" w:sz="12" w:space="0" w:color="auto"/>
            </w:tcBorders>
            <w:shd w:val="clear" w:color="auto" w:fill="auto"/>
            <w:vAlign w:val="bottom"/>
          </w:tcPr>
          <w:p w14:paraId="55017F34" w14:textId="77777777" w:rsidR="004A3AB4" w:rsidRPr="000F58F8"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0F58F8">
              <w:rPr>
                <w:sz w:val="17"/>
                <w:lang w:val="en-GB"/>
              </w:rPr>
              <w:t>1776</w:t>
            </w:r>
          </w:p>
        </w:tc>
        <w:tc>
          <w:tcPr>
            <w:tcW w:w="771" w:type="dxa"/>
            <w:tcBorders>
              <w:bottom w:val="single" w:sz="12" w:space="0" w:color="auto"/>
            </w:tcBorders>
            <w:shd w:val="clear" w:color="auto" w:fill="auto"/>
            <w:vAlign w:val="bottom"/>
          </w:tcPr>
          <w:p w14:paraId="3579DC69" w14:textId="77777777" w:rsidR="004A3AB4" w:rsidRPr="000F58F8"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0F58F8">
              <w:rPr>
                <w:sz w:val="17"/>
                <w:lang w:val="en-GB"/>
              </w:rPr>
              <w:t>2003</w:t>
            </w:r>
          </w:p>
        </w:tc>
        <w:tc>
          <w:tcPr>
            <w:tcW w:w="771" w:type="dxa"/>
            <w:tcBorders>
              <w:bottom w:val="single" w:sz="12" w:space="0" w:color="auto"/>
            </w:tcBorders>
            <w:shd w:val="clear" w:color="auto" w:fill="auto"/>
            <w:vAlign w:val="bottom"/>
          </w:tcPr>
          <w:p w14:paraId="1F097EEA" w14:textId="77777777" w:rsidR="004A3AB4" w:rsidRPr="000F58F8"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0F58F8">
              <w:rPr>
                <w:sz w:val="17"/>
                <w:lang w:val="en-GB"/>
              </w:rPr>
              <w:t>4111</w:t>
            </w:r>
          </w:p>
        </w:tc>
        <w:tc>
          <w:tcPr>
            <w:tcW w:w="771" w:type="dxa"/>
            <w:tcBorders>
              <w:bottom w:val="single" w:sz="12" w:space="0" w:color="auto"/>
            </w:tcBorders>
            <w:shd w:val="clear" w:color="auto" w:fill="auto"/>
            <w:vAlign w:val="bottom"/>
          </w:tcPr>
          <w:p w14:paraId="4A569785" w14:textId="77777777" w:rsidR="004A3AB4" w:rsidRPr="000F58F8"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0F58F8">
              <w:rPr>
                <w:sz w:val="17"/>
                <w:lang w:val="en-GB"/>
              </w:rPr>
              <w:t>3712</w:t>
            </w:r>
          </w:p>
        </w:tc>
        <w:tc>
          <w:tcPr>
            <w:tcW w:w="772" w:type="dxa"/>
            <w:tcBorders>
              <w:bottom w:val="single" w:sz="12" w:space="0" w:color="auto"/>
            </w:tcBorders>
            <w:shd w:val="clear" w:color="auto" w:fill="auto"/>
            <w:vAlign w:val="bottom"/>
          </w:tcPr>
          <w:p w14:paraId="76FFB237" w14:textId="77777777" w:rsidR="004A3AB4" w:rsidRPr="000F58F8"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0F58F8">
              <w:rPr>
                <w:sz w:val="17"/>
                <w:lang w:val="en-GB"/>
              </w:rPr>
              <w:t>3991</w:t>
            </w:r>
          </w:p>
        </w:tc>
      </w:tr>
    </w:tbl>
    <w:p w14:paraId="18215362" w14:textId="77777777" w:rsidR="004A3AB4" w:rsidRPr="000F58F8" w:rsidRDefault="004A3AB4" w:rsidP="004A3AB4">
      <w:pPr>
        <w:pStyle w:val="SingleTxt"/>
        <w:spacing w:after="0" w:line="120" w:lineRule="exact"/>
        <w:rPr>
          <w:sz w:val="10"/>
          <w:lang w:val="en-GB"/>
        </w:rPr>
      </w:pPr>
    </w:p>
    <w:p w14:paraId="51888402" w14:textId="77777777" w:rsidR="004A3AB4" w:rsidRPr="000F58F8" w:rsidRDefault="004A3AB4" w:rsidP="004A3AB4">
      <w:pPr>
        <w:pStyle w:val="SingleTxt"/>
        <w:spacing w:after="0" w:line="120" w:lineRule="exact"/>
        <w:rPr>
          <w:sz w:val="10"/>
          <w:lang w:val="en-GB"/>
        </w:rPr>
      </w:pPr>
    </w:p>
    <w:p w14:paraId="7D3D1D69" w14:textId="77777777" w:rsidR="004A3AB4" w:rsidRPr="00DF37A3" w:rsidRDefault="004A3AB4" w:rsidP="004A3AB4">
      <w:pPr>
        <w:pStyle w:val="SingleTxt"/>
        <w:rPr>
          <w:lang w:val="en-GB"/>
        </w:rPr>
      </w:pPr>
      <w:r w:rsidRPr="00DF37A3">
        <w:rPr>
          <w:lang w:val="en-GB"/>
        </w:rPr>
        <w:t>42.</w:t>
      </w:r>
      <w:r>
        <w:rPr>
          <w:lang w:val="en-GB"/>
        </w:rPr>
        <w:tab/>
      </w:r>
      <w:r w:rsidRPr="00DF37A3">
        <w:rPr>
          <w:lang w:val="en-GB"/>
        </w:rPr>
        <w:t>The unified State hot-line service for crisis management (System 112), run by the Ministry of Emergency Situations, receives calls from citizens about domestic and gender-based violence against women and children. All incoming calls are registered by the System 112 dispatchers and, depending on the nature of the call, are forwarded to the relevant emergency services, mainly the 102 and 103 services, for the organization of a response and, if necessary, for the provision of assistance. System 112 monitors the organization of responses to incidents.</w:t>
      </w:r>
    </w:p>
    <w:p w14:paraId="2C9E396F" w14:textId="055E753F" w:rsidR="004A3AB4" w:rsidRPr="00DF37A3" w:rsidRDefault="004A3AB4" w:rsidP="004A3AB4">
      <w:pPr>
        <w:pStyle w:val="SingleTxt"/>
        <w:rPr>
          <w:lang w:val="en-GB"/>
        </w:rPr>
      </w:pPr>
      <w:r w:rsidRPr="00DF37A3">
        <w:rPr>
          <w:lang w:val="en-GB"/>
        </w:rPr>
        <w:t>43.</w:t>
      </w:r>
      <w:r>
        <w:rPr>
          <w:lang w:val="en-GB"/>
        </w:rPr>
        <w:tab/>
      </w:r>
      <w:r w:rsidRPr="00DF37A3">
        <w:rPr>
          <w:lang w:val="en-GB"/>
        </w:rPr>
        <w:t>Statistical reporting on calls to System 112 has been maintained since 2016, given the goals and objectives of the National Plan of Action to achieve gender equality in the Kyrgyz Republic, which was approved by Government Decision No</w:t>
      </w:r>
      <w:r w:rsidR="007B5A1C" w:rsidRPr="00DF37A3">
        <w:rPr>
          <w:lang w:val="en-GB"/>
        </w:rPr>
        <w:t>.</w:t>
      </w:r>
      <w:r w:rsidR="007B5A1C">
        <w:rPr>
          <w:lang w:val="en-GB"/>
        </w:rPr>
        <w:t> </w:t>
      </w:r>
      <w:r w:rsidRPr="00DF37A3">
        <w:rPr>
          <w:lang w:val="en-GB"/>
        </w:rPr>
        <w:t xml:space="preserve">786 of 20 November 2015. In 2016, 94 calls to System 112 were registered involving various cases of gender-based violence, including 85 in respect of gender-based violence against women, 8 in respect of violence against children and 1 in respect of violence against men. In 2017, 169 calls were registered, including: gender-based violence against women </w:t>
      </w:r>
      <w:r>
        <w:rPr>
          <w:lang w:val="en-GB"/>
        </w:rPr>
        <w:t>–</w:t>
      </w:r>
      <w:r w:rsidRPr="00DF37A3">
        <w:rPr>
          <w:lang w:val="en-GB"/>
        </w:rPr>
        <w:t xml:space="preserve"> 144; violence against children </w:t>
      </w:r>
      <w:r>
        <w:rPr>
          <w:lang w:val="en-GB"/>
        </w:rPr>
        <w:t>–</w:t>
      </w:r>
      <w:r w:rsidRPr="00DF37A3">
        <w:rPr>
          <w:lang w:val="en-GB"/>
        </w:rPr>
        <w:t xml:space="preserve"> 24; violence against men </w:t>
      </w:r>
      <w:r>
        <w:rPr>
          <w:lang w:val="en-GB"/>
        </w:rPr>
        <w:t>–</w:t>
      </w:r>
      <w:r w:rsidRPr="00DF37A3">
        <w:rPr>
          <w:lang w:val="en-GB"/>
        </w:rPr>
        <w:t xml:space="preserve"> 1. In the first half of 2018, System 112 registered 79 calls, of which 61 were related to gender-based violence against women and 18 to violence against children.</w:t>
      </w:r>
    </w:p>
    <w:p w14:paraId="4D0E2D91" w14:textId="77777777" w:rsidR="004A3AB4" w:rsidRPr="00DF37A3" w:rsidRDefault="004A3AB4" w:rsidP="004A3AB4">
      <w:pPr>
        <w:pStyle w:val="SingleTxt"/>
        <w:rPr>
          <w:lang w:val="en-GB"/>
        </w:rPr>
      </w:pPr>
      <w:r w:rsidRPr="00DF37A3">
        <w:rPr>
          <w:lang w:val="en-GB"/>
        </w:rPr>
        <w:lastRenderedPageBreak/>
        <w:t>44.</w:t>
      </w:r>
      <w:r>
        <w:rPr>
          <w:lang w:val="en-GB"/>
        </w:rPr>
        <w:tab/>
      </w:r>
      <w:r w:rsidRPr="00DF37A3">
        <w:rPr>
          <w:lang w:val="en-GB"/>
        </w:rPr>
        <w:t>The analysis of citizens’ calls to System 112 relating to gender-based violence shows that there is a growing awareness among the population of the need for trained assistance from the State.</w:t>
      </w:r>
    </w:p>
    <w:p w14:paraId="33F6F023" w14:textId="77777777" w:rsidR="004A3AB4" w:rsidRPr="00DF37A3" w:rsidRDefault="004A3AB4" w:rsidP="004A3AB4">
      <w:pPr>
        <w:pStyle w:val="SingleTxt"/>
        <w:rPr>
          <w:lang w:val="en-GB"/>
        </w:rPr>
      </w:pPr>
      <w:r w:rsidRPr="00DF37A3">
        <w:rPr>
          <w:lang w:val="en-GB"/>
        </w:rPr>
        <w:t>45.</w:t>
      </w:r>
      <w:r>
        <w:rPr>
          <w:lang w:val="en-GB"/>
        </w:rPr>
        <w:tab/>
      </w:r>
      <w:r w:rsidRPr="00DF37A3">
        <w:rPr>
          <w:lang w:val="en-GB"/>
        </w:rPr>
        <w:t xml:space="preserve">In order to ensure effective implementation of the amendments to legislation, the responsible ministries and departments, as the authorized bodies, have prepared and issued a joint order under which an interdepartmental working group has been set up to develop legal mechanisms for the introduction of a sustainable system of coordination and cooperation among State bodies for the prevention and detection of and response to domestic violence and the provision of legal assistance to victims of gender-based violence. An Instruction has been drawn up on the procedure for the interaction between internal affairs agencies and health-care organizations when reports of violence are received from health-care organizations. </w:t>
      </w:r>
    </w:p>
    <w:p w14:paraId="23674E1A" w14:textId="13C4A344" w:rsidR="004A3AB4" w:rsidRPr="00DF37A3" w:rsidRDefault="004A3AB4" w:rsidP="004A3AB4">
      <w:pPr>
        <w:pStyle w:val="SingleTxt"/>
        <w:rPr>
          <w:lang w:val="en-GB"/>
        </w:rPr>
      </w:pPr>
      <w:r w:rsidRPr="00DF37A3">
        <w:rPr>
          <w:lang w:val="en-GB"/>
        </w:rPr>
        <w:t>46.</w:t>
      </w:r>
      <w:r>
        <w:rPr>
          <w:lang w:val="en-GB"/>
        </w:rPr>
        <w:tab/>
      </w:r>
      <w:r w:rsidRPr="00DF37A3">
        <w:rPr>
          <w:lang w:val="en-GB"/>
        </w:rPr>
        <w:t>In February 2018, the Interdepartmental Commission on Civil Protection approved the Regulation on the procedure for intersectoral cooperation to prevent, combat and respond to gender-based violence in emergency situations (Minutes No</w:t>
      </w:r>
      <w:r w:rsidR="00691DC2" w:rsidRPr="00DF37A3">
        <w:rPr>
          <w:lang w:val="en-GB"/>
        </w:rPr>
        <w:t>.</w:t>
      </w:r>
      <w:r w:rsidR="00691DC2">
        <w:rPr>
          <w:lang w:val="en-GB"/>
        </w:rPr>
        <w:t> </w:t>
      </w:r>
      <w:r w:rsidRPr="00DF37A3">
        <w:rPr>
          <w:lang w:val="en-GB"/>
        </w:rPr>
        <w:t>23-5 of the meeting with the Prime Minister on 28 February 2018). An important event was the adoption of the Civil Protection Act No. 54 of 24 May 2018, which includes a gender perspective that seeks to reduce the risks of violence against women and children in emergency and crisis situations (article 2, paragraph 8; article 3, paragraph 2; article 5, paragraph 2, subparagraphs (1) and (16); and article 7, paragraph 10). In order to bring the existing normative legal acts into line with the Civil Protection Act, a draft Government decision on the approval of the Regulation on cooperation between State authorities and local self-governance bodies, as well as other organizations and citizens, which is aimed at reducing the risks of violence against women and children in emergency and crisis situations, and a draft instruction on the measures/actions to be taken by management bodies and bodies within the civil protection sector dealing with the prevention and response to such situations have been developed.</w:t>
      </w:r>
    </w:p>
    <w:p w14:paraId="4D2BF7B0" w14:textId="77777777" w:rsidR="004A3AB4" w:rsidRPr="00DF37A3" w:rsidRDefault="004A3AB4" w:rsidP="004A3AB4">
      <w:pPr>
        <w:pStyle w:val="SingleTxt"/>
        <w:rPr>
          <w:lang w:val="en-GB"/>
        </w:rPr>
      </w:pPr>
      <w:r w:rsidRPr="00DF37A3">
        <w:rPr>
          <w:lang w:val="en-GB"/>
        </w:rPr>
        <w:t>47.</w:t>
      </w:r>
      <w:r>
        <w:rPr>
          <w:lang w:val="en-GB"/>
        </w:rPr>
        <w:tab/>
      </w:r>
      <w:r w:rsidRPr="00DF37A3">
        <w:rPr>
          <w:lang w:val="en-GB"/>
        </w:rPr>
        <w:t>Work is continuing on the introduction of international standards for the treatment of victims of gender-based violence by State bodies, and Ombudsman (</w:t>
      </w:r>
      <w:r w:rsidRPr="00D1128F">
        <w:rPr>
          <w:i/>
          <w:iCs/>
          <w:lang w:val="en-GB"/>
        </w:rPr>
        <w:t>Akyikatchy</w:t>
      </w:r>
      <w:r w:rsidRPr="00DF37A3">
        <w:rPr>
          <w:lang w:val="en-GB"/>
        </w:rPr>
        <w:t>) Order No. 48 of 12 May 2017 approved an instruction on the organization of the work of the Office of the Ombudsman aimed at protecting victims of gender discrimination and gender-based violence. The Expert Council on the assessment of the quality of clinical guidelines/protocols adopted and approved, by Order No. 42 of the Ministry of Health, dated 17 January 2017, a practical guide for psychological assistance for victims of gender-based violence, on the basis of which training was provided to medical personnel.</w:t>
      </w:r>
    </w:p>
    <w:p w14:paraId="2AC9F647" w14:textId="77777777" w:rsidR="004A3AB4" w:rsidRPr="00DF37A3" w:rsidRDefault="004A3AB4" w:rsidP="004A3AB4">
      <w:pPr>
        <w:pStyle w:val="SingleTxt"/>
        <w:rPr>
          <w:lang w:val="en-GB"/>
        </w:rPr>
      </w:pPr>
      <w:r w:rsidRPr="00DF37A3">
        <w:rPr>
          <w:lang w:val="en-GB"/>
        </w:rPr>
        <w:t>48.</w:t>
      </w:r>
      <w:r>
        <w:rPr>
          <w:lang w:val="en-GB"/>
        </w:rPr>
        <w:tab/>
      </w:r>
      <w:r w:rsidRPr="00DF37A3">
        <w:rPr>
          <w:lang w:val="en-GB"/>
        </w:rPr>
        <w:t>In 2017, the Kyrgyz Association of Women Judges, a non-governmental association, working within the framework of the United Nations Development Programme (UNDP) project entitled “Prevention of gender-based violence in Kyrgyzstan” and with the support of the United States Department of State, prepared a report studying judicial practice in Kyrgyzstan with regard to crimes against women and girls during the period 2012 to 2015. This report, based on the analysis of deficiencies in the work of law enforcement agencies, also recommends improving the qualifications of responsible staff through extensive training.</w:t>
      </w:r>
    </w:p>
    <w:p w14:paraId="20F9C561" w14:textId="77777777" w:rsidR="004A3AB4" w:rsidRPr="00DF37A3" w:rsidRDefault="004A3AB4" w:rsidP="004A3AB4">
      <w:pPr>
        <w:pStyle w:val="SingleTxt"/>
        <w:rPr>
          <w:lang w:val="en-GB"/>
        </w:rPr>
      </w:pPr>
      <w:r w:rsidRPr="00DF37A3">
        <w:rPr>
          <w:lang w:val="en-GB"/>
        </w:rPr>
        <w:t>49.</w:t>
      </w:r>
      <w:r>
        <w:rPr>
          <w:lang w:val="en-GB"/>
        </w:rPr>
        <w:tab/>
      </w:r>
      <w:r w:rsidRPr="00DF37A3">
        <w:rPr>
          <w:lang w:val="en-GB"/>
        </w:rPr>
        <w:t xml:space="preserve">As a result, more than 600 internal affairs officers, at least 100 procuratorial staff and at least 100 representatives of other bodies have been trained in the implementation of the Act on Protection and Defence against Domestic Violence. To that end, in partnership with the Centre for the Study of Democratic Processes, the following training materials have been developed and used to train internal affairs officers, prosecutors, representatives of the judiciary and other State authorities responsible for preventing and responding to gender-based violence: </w:t>
      </w:r>
    </w:p>
    <w:p w14:paraId="2915EDEF" w14:textId="77777777" w:rsidR="004A3AB4" w:rsidRPr="00DF37A3" w:rsidRDefault="004A3AB4" w:rsidP="004A3AB4">
      <w:pPr>
        <w:pStyle w:val="SingleTxt"/>
        <w:tabs>
          <w:tab w:val="right" w:pos="1685"/>
        </w:tabs>
        <w:ind w:left="1742" w:hanging="475"/>
        <w:rPr>
          <w:lang w:val="en-GB"/>
        </w:rPr>
      </w:pPr>
      <w:r>
        <w:rPr>
          <w:lang w:val="en-GB"/>
        </w:rPr>
        <w:lastRenderedPageBreak/>
        <w:tab/>
      </w:r>
      <w:r w:rsidRPr="00DF37A3">
        <w:rPr>
          <w:lang w:val="en-GB"/>
        </w:rPr>
        <w:t>•</w:t>
      </w:r>
      <w:r w:rsidRPr="00DF37A3">
        <w:rPr>
          <w:lang w:val="en-GB"/>
        </w:rPr>
        <w:tab/>
        <w:t>Practical handbook for staff of the internal affairs agencies on work with gender-based and domestic violence</w:t>
      </w:r>
    </w:p>
    <w:p w14:paraId="4955BF8B" w14:textId="77777777" w:rsidR="004A3AB4" w:rsidRPr="00DF37A3" w:rsidRDefault="004A3AB4" w:rsidP="004A3AB4">
      <w:pPr>
        <w:pStyle w:val="SingleTxt"/>
        <w:tabs>
          <w:tab w:val="right" w:pos="1685"/>
        </w:tabs>
        <w:ind w:left="1742" w:hanging="475"/>
        <w:rPr>
          <w:lang w:val="en-GB"/>
        </w:rPr>
      </w:pPr>
      <w:r>
        <w:rPr>
          <w:lang w:val="en-GB"/>
        </w:rPr>
        <w:tab/>
      </w:r>
      <w:r w:rsidRPr="00DF37A3">
        <w:rPr>
          <w:lang w:val="en-GB"/>
        </w:rPr>
        <w:t>•</w:t>
      </w:r>
      <w:r w:rsidRPr="00DF37A3">
        <w:rPr>
          <w:lang w:val="en-GB"/>
        </w:rPr>
        <w:tab/>
        <w:t>Training and methodological package entitled “Implementation of prosecutorial oversight in the field of combating gender-based violence”</w:t>
      </w:r>
    </w:p>
    <w:p w14:paraId="79A2098A" w14:textId="77777777" w:rsidR="004A3AB4" w:rsidRPr="00DF37A3" w:rsidRDefault="004A3AB4" w:rsidP="004A3AB4">
      <w:pPr>
        <w:pStyle w:val="SingleTxt"/>
        <w:tabs>
          <w:tab w:val="right" w:pos="1685"/>
        </w:tabs>
        <w:ind w:left="1742" w:hanging="475"/>
        <w:rPr>
          <w:lang w:val="en-GB"/>
        </w:rPr>
      </w:pPr>
      <w:r>
        <w:rPr>
          <w:lang w:val="en-GB"/>
        </w:rPr>
        <w:tab/>
      </w:r>
      <w:r w:rsidRPr="00DF37A3">
        <w:rPr>
          <w:lang w:val="en-GB"/>
        </w:rPr>
        <w:t>•</w:t>
      </w:r>
      <w:r w:rsidRPr="00DF37A3">
        <w:rPr>
          <w:lang w:val="en-GB"/>
        </w:rPr>
        <w:tab/>
        <w:t>Teaching aid entitled “Prevention of gender-based violence against women”</w:t>
      </w:r>
    </w:p>
    <w:p w14:paraId="5854EF5D" w14:textId="77777777" w:rsidR="004A3AB4" w:rsidRPr="00DF37A3" w:rsidRDefault="004A3AB4" w:rsidP="004A3AB4">
      <w:pPr>
        <w:pStyle w:val="SingleTxt"/>
        <w:tabs>
          <w:tab w:val="right" w:pos="1685"/>
        </w:tabs>
        <w:ind w:left="1742" w:hanging="475"/>
        <w:rPr>
          <w:lang w:val="en-GB"/>
        </w:rPr>
      </w:pPr>
      <w:r>
        <w:rPr>
          <w:lang w:val="en-GB"/>
        </w:rPr>
        <w:tab/>
      </w:r>
      <w:r w:rsidRPr="00DF37A3">
        <w:rPr>
          <w:lang w:val="en-GB"/>
        </w:rPr>
        <w:t>•</w:t>
      </w:r>
      <w:r w:rsidRPr="00DF37A3">
        <w:rPr>
          <w:lang w:val="en-GB"/>
        </w:rPr>
        <w:tab/>
        <w:t>Practical handbook for juvenile affairs inspectors of the internal affairs agencies on the prevention of family and gender violence against minors</w:t>
      </w:r>
    </w:p>
    <w:p w14:paraId="4D6FA2EB" w14:textId="77777777" w:rsidR="004A3AB4" w:rsidRPr="00DF37A3" w:rsidRDefault="004A3AB4" w:rsidP="004A3AB4">
      <w:pPr>
        <w:pStyle w:val="SingleTxt"/>
        <w:tabs>
          <w:tab w:val="right" w:pos="1685"/>
        </w:tabs>
        <w:ind w:left="1742" w:hanging="475"/>
        <w:rPr>
          <w:lang w:val="en-GB"/>
        </w:rPr>
      </w:pPr>
      <w:r>
        <w:rPr>
          <w:lang w:val="en-GB"/>
        </w:rPr>
        <w:tab/>
      </w:r>
      <w:r w:rsidRPr="00DF37A3">
        <w:rPr>
          <w:lang w:val="en-GB"/>
        </w:rPr>
        <w:t>•</w:t>
      </w:r>
      <w:r w:rsidRPr="00DF37A3">
        <w:rPr>
          <w:lang w:val="en-GB"/>
        </w:rPr>
        <w:tab/>
        <w:t>Practical handbook for staff of the investigative services of the internal affairs agencies of Kyrgyzstan on the effective investigation of gender crimes committed against women and minors.</w:t>
      </w:r>
    </w:p>
    <w:p w14:paraId="4EC9ECEF" w14:textId="77777777" w:rsidR="004A3AB4" w:rsidRPr="00DF37A3" w:rsidRDefault="004A3AB4" w:rsidP="004A3AB4">
      <w:pPr>
        <w:pStyle w:val="SingleTxt"/>
        <w:rPr>
          <w:lang w:val="en-GB"/>
        </w:rPr>
      </w:pPr>
      <w:r w:rsidRPr="00DF37A3">
        <w:rPr>
          <w:lang w:val="en-GB"/>
        </w:rPr>
        <w:t>50.</w:t>
      </w:r>
      <w:r>
        <w:rPr>
          <w:lang w:val="en-GB"/>
        </w:rPr>
        <w:tab/>
      </w:r>
      <w:r w:rsidRPr="00DF37A3">
        <w:rPr>
          <w:lang w:val="en-GB"/>
        </w:rPr>
        <w:t xml:space="preserve">In 2017, for the first time, an analysis of State and administrative (departmental) statistics on gender discrimination was carried out, with a focus on violence and human trafficking. Based on the results of the analysis, the forms for recording and reporting such acts were improved in the Ministry of Internal Affairs, the Office of the Procurator, the Judicial Department of the Supreme Court and the National Statistical Committee. Updated reporting forms have been introduced through the following departmental acts: </w:t>
      </w:r>
    </w:p>
    <w:p w14:paraId="33936551" w14:textId="77777777" w:rsidR="004A3AB4" w:rsidRPr="00DF37A3" w:rsidRDefault="004A3AB4" w:rsidP="004A3AB4">
      <w:pPr>
        <w:pStyle w:val="SingleTxt"/>
        <w:tabs>
          <w:tab w:val="right" w:pos="1685"/>
        </w:tabs>
        <w:ind w:left="1742" w:hanging="475"/>
        <w:rPr>
          <w:lang w:val="en-GB"/>
        </w:rPr>
      </w:pPr>
      <w:r>
        <w:rPr>
          <w:lang w:val="en-GB"/>
        </w:rPr>
        <w:tab/>
      </w:r>
      <w:r w:rsidRPr="00DF37A3">
        <w:rPr>
          <w:lang w:val="en-GB"/>
        </w:rPr>
        <w:t>•</w:t>
      </w:r>
      <w:r w:rsidRPr="00DF37A3">
        <w:rPr>
          <w:lang w:val="en-GB"/>
        </w:rPr>
        <w:tab/>
        <w:t>Ministry of Internal Affairs Order No. 963 of 13 November 2017 approving the forms for departmental reporting on protection orders that have been issued in respect of perpetrators of domestic violence and victims of domestic violence, and instructions on how to prepare departmental statistical reports on protection orders that have been issued and on perpetrators of domestic violence and victims of domestic violence.</w:t>
      </w:r>
    </w:p>
    <w:p w14:paraId="38A29BC2" w14:textId="77777777" w:rsidR="004A3AB4" w:rsidRPr="00DF37A3" w:rsidRDefault="004A3AB4" w:rsidP="004A3AB4">
      <w:pPr>
        <w:pStyle w:val="SingleTxt"/>
        <w:tabs>
          <w:tab w:val="right" w:pos="1685"/>
        </w:tabs>
        <w:ind w:left="1742" w:hanging="475"/>
        <w:rPr>
          <w:lang w:val="en-GB"/>
        </w:rPr>
      </w:pPr>
      <w:r>
        <w:rPr>
          <w:lang w:val="en-GB"/>
        </w:rPr>
        <w:tab/>
      </w:r>
      <w:r w:rsidRPr="00DF37A3">
        <w:rPr>
          <w:lang w:val="en-GB"/>
        </w:rPr>
        <w:t>•</w:t>
      </w:r>
      <w:r w:rsidRPr="00DF37A3">
        <w:rPr>
          <w:lang w:val="en-GB"/>
        </w:rPr>
        <w:tab/>
        <w:t>Decision No. 17 of 9 November 2017 of the National Statistical Committee on the approval of State statistical reporting on crime statistics.</w:t>
      </w:r>
    </w:p>
    <w:p w14:paraId="513E3851" w14:textId="77777777" w:rsidR="004A3AB4" w:rsidRPr="00DF37A3" w:rsidRDefault="004A3AB4" w:rsidP="004A3AB4">
      <w:pPr>
        <w:pStyle w:val="SingleTxt"/>
        <w:rPr>
          <w:lang w:val="en-GB"/>
        </w:rPr>
      </w:pPr>
      <w:r w:rsidRPr="00DF37A3">
        <w:rPr>
          <w:lang w:val="en-GB"/>
        </w:rPr>
        <w:t>51.</w:t>
      </w:r>
      <w:r>
        <w:rPr>
          <w:lang w:val="en-GB"/>
        </w:rPr>
        <w:tab/>
      </w:r>
      <w:r w:rsidRPr="00DF37A3">
        <w:rPr>
          <w:lang w:val="en-GB"/>
        </w:rPr>
        <w:t>In 2018, staff of the statistical services of internal affairs agencies, the National Statistical Committee, crisis centres, elders’ (</w:t>
      </w:r>
      <w:r w:rsidRPr="00DE5238">
        <w:rPr>
          <w:i/>
          <w:iCs/>
          <w:lang w:val="en-GB"/>
        </w:rPr>
        <w:t>aksakal</w:t>
      </w:r>
      <w:r w:rsidRPr="00DF37A3">
        <w:rPr>
          <w:lang w:val="en-GB"/>
        </w:rPr>
        <w:t>) courts and charitable foundations were trained to collect statistics on gender, domestic violence and human trafficking using manuals that had been developed on data collection for employees of territorial State statistical bodies and organizations providing social services and assistance to the population, employees of internal affairs agencies and employees of health-care and judicial system organizations.</w:t>
      </w:r>
    </w:p>
    <w:p w14:paraId="5B036945" w14:textId="77777777" w:rsidR="004A3AB4" w:rsidRPr="00DF37A3" w:rsidRDefault="004A3AB4" w:rsidP="004A3AB4">
      <w:pPr>
        <w:pStyle w:val="SingleTxt"/>
        <w:rPr>
          <w:lang w:val="en-GB"/>
        </w:rPr>
      </w:pPr>
      <w:r w:rsidRPr="00DF37A3">
        <w:rPr>
          <w:lang w:val="en-GB"/>
        </w:rPr>
        <w:t>52.</w:t>
      </w:r>
      <w:r>
        <w:rPr>
          <w:lang w:val="en-GB"/>
        </w:rPr>
        <w:tab/>
      </w:r>
      <w:r w:rsidRPr="00DF37A3">
        <w:rPr>
          <w:lang w:val="en-GB"/>
        </w:rPr>
        <w:t>Efforts are being made by educational organizations to increase gender sensitivity and eliminate gender prejudices and stereotypes. In particular, the set of courses covering general humanitarian and socioeconomic disciplines includes courses on gender policy, gender sociology, women’s studies, gender policy in Central Asia, the sociology of sex and gender, problems of gender relations, family studies, the sociology of the family, and human beings and society. The number of hours devoted to gender considerations varies from 34 to 136 hours, depending on the specifics of the curriculum. Targeted seminars on the subject of gender-sensitivity training and education for teachers and heads of general education establishments are being systematically held at several higher education institutions.</w:t>
      </w:r>
    </w:p>
    <w:p w14:paraId="2CEA60D9" w14:textId="77777777" w:rsidR="004A3AB4" w:rsidRPr="00DF37A3" w:rsidRDefault="004A3AB4" w:rsidP="004A3AB4">
      <w:pPr>
        <w:pStyle w:val="SingleTxt"/>
        <w:rPr>
          <w:lang w:val="en-GB"/>
        </w:rPr>
      </w:pPr>
      <w:r w:rsidRPr="00DF37A3">
        <w:rPr>
          <w:lang w:val="en-GB"/>
        </w:rPr>
        <w:t>53.</w:t>
      </w:r>
      <w:r>
        <w:rPr>
          <w:lang w:val="en-GB"/>
        </w:rPr>
        <w:tab/>
      </w:r>
      <w:r w:rsidRPr="00DF37A3">
        <w:rPr>
          <w:lang w:val="en-GB"/>
        </w:rPr>
        <w:t>The Kyrgyz Academy of Education has developed and incorporated 72 hours of thematic courses on gender matters as part of the professional development of teachers at various levels. With the support of international organizations (UNESCO and UNDP), a model programme for teaching gender theory and model gender curriculums in various disciplines have been developed, and libraries with information and reference literature on gender have been set up in central and regional universities. A gender collection has been set up at the National Library of Kyrgyzstan.</w:t>
      </w:r>
    </w:p>
    <w:p w14:paraId="36922413" w14:textId="77777777" w:rsidR="004A3AB4" w:rsidRPr="00DF37A3" w:rsidRDefault="004A3AB4" w:rsidP="004A3AB4">
      <w:pPr>
        <w:pStyle w:val="SingleTxt"/>
        <w:rPr>
          <w:lang w:val="en-GB"/>
        </w:rPr>
      </w:pPr>
      <w:r w:rsidRPr="00DF37A3">
        <w:rPr>
          <w:lang w:val="en-GB"/>
        </w:rPr>
        <w:lastRenderedPageBreak/>
        <w:t>54.</w:t>
      </w:r>
      <w:r>
        <w:rPr>
          <w:lang w:val="en-GB"/>
        </w:rPr>
        <w:tab/>
      </w:r>
      <w:r w:rsidRPr="00DF37A3">
        <w:rPr>
          <w:lang w:val="en-GB"/>
        </w:rPr>
        <w:t>Both the informal and the formal education systems have been involved in efforts to change the stereotypes influencing the role and place of women in society, politics and family life. In the sector of informal education, there are currently 12 adult education centres in all regions of Kyrgyzstan and they offer a wide range of opportunities, ranging from communication and personal development, vocational education and supplementary training and courses to complete basic education and other courses, after which a certificate is issued, which leads to full participation in society and integration through adult education. The topics of the courses for women include the following: “Public speaking and self-confidence are key to success”, “Women and discrimination”, “Women as leaders”, “Women in social development”, “School of democracy”, “Life and politics”, and “From conflict to cooperation”.</w:t>
      </w:r>
    </w:p>
    <w:p w14:paraId="1F7EAC12" w14:textId="381E268D" w:rsidR="004A3AB4" w:rsidRPr="00DF37A3" w:rsidRDefault="004A3AB4" w:rsidP="004A3AB4">
      <w:pPr>
        <w:pStyle w:val="SingleTxt"/>
        <w:rPr>
          <w:lang w:val="en-GB"/>
        </w:rPr>
      </w:pPr>
      <w:r w:rsidRPr="00DF37A3">
        <w:rPr>
          <w:lang w:val="en-GB"/>
        </w:rPr>
        <w:t>55.</w:t>
      </w:r>
      <w:r>
        <w:rPr>
          <w:lang w:val="en-GB"/>
        </w:rPr>
        <w:tab/>
      </w:r>
      <w:r w:rsidRPr="00DF37A3">
        <w:rPr>
          <w:lang w:val="en-GB"/>
        </w:rPr>
        <w:t>In order to promote the proper understanding of maternity as a social function and recognition of the common responsibility of men and women for the upbringing and development of their children, the Ministry of Education and Science, together with non-governmental organizations and with the support of the United Nations Population Fund, has set up “paternity schools” in various regions of the country using innovative forms and methods of work and colourful materials. A national campaign entitled “Vigilant Husband” has been mounted to help identify the dangerous signs of deterioration in children</w:t>
      </w:r>
      <w:r w:rsidR="00CD2BEB">
        <w:rPr>
          <w:lang w:val="en-GB"/>
        </w:rPr>
        <w:t>’</w:t>
      </w:r>
      <w:r w:rsidRPr="00DF37A3">
        <w:rPr>
          <w:lang w:val="en-GB"/>
        </w:rPr>
        <w:t>s health. Between 2017 and 2018, the Ministry of Health implemented a project to raise awareness of reproductive health, family planning and safe abortion among women of reproductive age (5,000 women under 49 years of age and 2,000 girls aged 13</w:t>
      </w:r>
      <w:r>
        <w:rPr>
          <w:lang w:val="en-GB"/>
        </w:rPr>
        <w:t>–</w:t>
      </w:r>
      <w:r w:rsidRPr="00DF37A3">
        <w:rPr>
          <w:lang w:val="en-GB"/>
        </w:rPr>
        <w:t>16 years).</w:t>
      </w:r>
    </w:p>
    <w:p w14:paraId="599BE6BC" w14:textId="77777777" w:rsidR="004A3AB4" w:rsidRPr="00DF37A3" w:rsidRDefault="004A3AB4" w:rsidP="004A3AB4">
      <w:pPr>
        <w:pStyle w:val="SingleTxt"/>
        <w:rPr>
          <w:lang w:val="en-GB"/>
        </w:rPr>
      </w:pPr>
      <w:r w:rsidRPr="00DF37A3">
        <w:rPr>
          <w:lang w:val="en-GB"/>
        </w:rPr>
        <w:t>56.</w:t>
      </w:r>
      <w:r>
        <w:rPr>
          <w:lang w:val="en-GB"/>
        </w:rPr>
        <w:tab/>
      </w:r>
      <w:r w:rsidRPr="00DF37A3">
        <w:rPr>
          <w:lang w:val="en-GB"/>
        </w:rPr>
        <w:t xml:space="preserve">Throughout the reporting period, as in previous years, the annual “16 Days without Violence” campaign was carried out. In 2018, in order to draw public attention to the problem of gender-based violence through the joint efforts of the Ministry of Labour and Social Development, local authorities and self-government bodies, and non-governmental and international organizations, numerous informational and other special events were held throughout the country. The campaign in 2018 gained particular attention owing to the death of Burulai Turdaaly Kyzy, a student at a medical college, in the building of the district internal affairs agency. At the end of the trial in connection with her death, her acquaintance, who had kidnapped her for the purpose of marriage, was sentenced to 20 years’ imprisonment with confiscation of property for murder. As part of the campaign, special banners were prepared on the subject of domestic violence and forced and early marriage, which were posted on the streets of cities. The Ministry of Education and Science and the Ministry of Internal Affairs, in partnership with NGOs and international organizations, have given lectures at vocational high schools and higher education institutions and have broadcast, in conjunction with the Public Television and Radio Broadcasting Company of Kyrgyzstan, the Pyramid television channel and a number of regional channels, special programmes, including a film entitled </w:t>
      </w:r>
      <w:r w:rsidRPr="00DE5238">
        <w:rPr>
          <w:i/>
          <w:iCs/>
          <w:lang w:val="en-GB"/>
        </w:rPr>
        <w:t xml:space="preserve">Ala-kachuu </w:t>
      </w:r>
      <w:r w:rsidRPr="00DF37A3">
        <w:rPr>
          <w:lang w:val="en-GB"/>
        </w:rPr>
        <w:t xml:space="preserve">(bride abduction) and a music video with the theme song </w:t>
      </w:r>
      <w:r w:rsidRPr="00DE5238">
        <w:rPr>
          <w:i/>
          <w:iCs/>
          <w:lang w:val="en-GB"/>
        </w:rPr>
        <w:t>Kyz Kadyry</w:t>
      </w:r>
      <w:r w:rsidRPr="00DF37A3">
        <w:rPr>
          <w:lang w:val="en-GB"/>
        </w:rPr>
        <w:t>, performed by a well-known singer. It should be pointed out that innovative forms and methods are being used in awareness-raising activities with the involvement of new technologies (for example, the special mobile application for smartphones called “Circle of Safety”, developed during the hackathon organized by “Open Line”, which is a non-governmental foundation) and using modern methods for mobilizing activities (for example, street art conducted by the Women’s Help Centre, which is a non-governmental organization, and dedicated to the memory of Burulai, whose death led to the launching of the “16 Days without Violence” campaign in 2018).</w:t>
      </w:r>
    </w:p>
    <w:p w14:paraId="4CEF9CFA" w14:textId="77777777" w:rsidR="004A3AB4" w:rsidRPr="00DE5238" w:rsidRDefault="004A3AB4" w:rsidP="004A3AB4">
      <w:pPr>
        <w:pStyle w:val="SingleTxt"/>
        <w:spacing w:after="0" w:line="120" w:lineRule="exact"/>
        <w:rPr>
          <w:sz w:val="10"/>
          <w:lang w:val="en-GB"/>
        </w:rPr>
      </w:pPr>
    </w:p>
    <w:p w14:paraId="1F660521" w14:textId="77777777" w:rsidR="004A3AB4" w:rsidRPr="00DE5238" w:rsidRDefault="004A3AB4" w:rsidP="004A3AB4">
      <w:pPr>
        <w:pStyle w:val="SingleTxt"/>
        <w:spacing w:after="0" w:line="120" w:lineRule="exact"/>
        <w:rPr>
          <w:sz w:val="10"/>
          <w:lang w:val="en-GB"/>
        </w:rPr>
      </w:pPr>
    </w:p>
    <w:p w14:paraId="27DF8274" w14:textId="77777777" w:rsidR="004A3AB4" w:rsidRPr="00DF37A3" w:rsidRDefault="004A3AB4" w:rsidP="004A3AB4">
      <w:pPr>
        <w:pStyle w:val="H1"/>
        <w:ind w:right="1260"/>
        <w:rPr>
          <w:lang w:val="en-GB"/>
        </w:rPr>
      </w:pPr>
      <w:r w:rsidRPr="00DF37A3">
        <w:rPr>
          <w:lang w:val="en-GB"/>
        </w:rPr>
        <w:lastRenderedPageBreak/>
        <w:tab/>
      </w:r>
      <w:r w:rsidRPr="00DF37A3">
        <w:rPr>
          <w:lang w:val="en-GB"/>
        </w:rPr>
        <w:tab/>
        <w:t>Article 6</w:t>
      </w:r>
    </w:p>
    <w:p w14:paraId="449C7036" w14:textId="77777777" w:rsidR="004A3AB4" w:rsidRPr="00DE5238" w:rsidRDefault="004A3AB4" w:rsidP="004A3AB4">
      <w:pPr>
        <w:pStyle w:val="SingleTxt"/>
        <w:keepNext/>
        <w:keepLines/>
        <w:spacing w:after="0" w:line="120" w:lineRule="exact"/>
        <w:rPr>
          <w:sz w:val="10"/>
          <w:lang w:val="en-GB"/>
        </w:rPr>
      </w:pPr>
    </w:p>
    <w:p w14:paraId="408999D0" w14:textId="77777777" w:rsidR="004A3AB4" w:rsidRPr="00DE5238" w:rsidRDefault="004A3AB4" w:rsidP="004A3AB4">
      <w:pPr>
        <w:pStyle w:val="SingleTxt"/>
        <w:keepNext/>
        <w:keepLines/>
        <w:spacing w:after="0" w:line="120" w:lineRule="exact"/>
        <w:rPr>
          <w:sz w:val="10"/>
          <w:lang w:val="en-GB"/>
        </w:rPr>
      </w:pPr>
    </w:p>
    <w:p w14:paraId="79DEA45D" w14:textId="77777777" w:rsidR="004A3AB4" w:rsidRPr="00DF37A3" w:rsidRDefault="004A3AB4" w:rsidP="004A3AB4">
      <w:pPr>
        <w:pStyle w:val="SingleTxt"/>
        <w:keepNext/>
        <w:keepLines/>
        <w:rPr>
          <w:lang w:val="en-GB"/>
        </w:rPr>
      </w:pPr>
      <w:r w:rsidRPr="00DF37A3">
        <w:rPr>
          <w:lang w:val="en-GB"/>
        </w:rPr>
        <w:t>57.</w:t>
      </w:r>
      <w:r>
        <w:rPr>
          <w:lang w:val="en-GB"/>
        </w:rPr>
        <w:tab/>
      </w:r>
      <w:r w:rsidRPr="00DF37A3">
        <w:rPr>
          <w:lang w:val="en-GB"/>
        </w:rPr>
        <w:t>In Kyrgyzstan, activities to combat trafficking in persons are regulated by the Constitution, international instruments ratified by the country and national normative acts: the United Nations Convention against Transnational Organized Crime of 15</w:t>
      </w:r>
      <w:r>
        <w:rPr>
          <w:lang w:val="en-GB"/>
        </w:rPr>
        <w:t> </w:t>
      </w:r>
      <w:r w:rsidRPr="00DF37A3">
        <w:rPr>
          <w:lang w:val="en-GB"/>
        </w:rPr>
        <w:t>November 2000, the Protocol to Prevent, Suppress and Punish Trafficking in Persons, Especially Women and Children of 15 December 2000, supplementing the United Nations Convention against Transnational Organized Crime, and the Protocol against the Smuggling of Migrants by Land, Sea and Air of 15 December 2000, supplementing the United Nations Convention against Transnational Organized Crime (ratified by Act No. 74 of 15 April 2003); the Agreement of 25 November 2005 on the cooperation among member States of the Commonwealth of Independent States in combating trafficking in persons, human organs and tissues, concluded in Moscow (ratified by Act No. 193 of 5 December 2006); article 171 of the Criminal Code; and article 122 of the Code of Offences; Government Decision No. 743 of 15</w:t>
      </w:r>
      <w:r>
        <w:rPr>
          <w:lang w:val="en-GB"/>
        </w:rPr>
        <w:t> </w:t>
      </w:r>
      <w:r w:rsidRPr="00DF37A3">
        <w:rPr>
          <w:lang w:val="en-GB"/>
        </w:rPr>
        <w:t>November 2017 on the Programme of the Government of the Kyrgyz Republic on combating human trafficking in the Kyrgyz Republic for the period 2017</w:t>
      </w:r>
      <w:r>
        <w:rPr>
          <w:lang w:val="en-GB"/>
        </w:rPr>
        <w:t>–</w:t>
      </w:r>
      <w:r w:rsidRPr="00DF37A3">
        <w:rPr>
          <w:lang w:val="en-GB"/>
        </w:rPr>
        <w:t>2020 (this is the third such programme, the previous two decisions were implemented over the periods 2002–2005 and 2008–2011), and the Act on Preventing and Combating Human Trafficking, which designates the State Migration Services, reporting to the Government of the Kyrgyz Republic, as the authorized body responsible for coordinating activities to prevent and combat human trafficking.</w:t>
      </w:r>
    </w:p>
    <w:p w14:paraId="6D5481E3" w14:textId="77777777" w:rsidR="004A3AB4" w:rsidRPr="00DF37A3" w:rsidRDefault="004A3AB4" w:rsidP="004A3AB4">
      <w:pPr>
        <w:pStyle w:val="SingleTxt"/>
        <w:rPr>
          <w:lang w:val="en-GB"/>
        </w:rPr>
      </w:pPr>
      <w:r w:rsidRPr="00DF37A3">
        <w:rPr>
          <w:lang w:val="en-GB"/>
        </w:rPr>
        <w:t>58.</w:t>
      </w:r>
      <w:r>
        <w:rPr>
          <w:lang w:val="en-GB"/>
        </w:rPr>
        <w:tab/>
      </w:r>
      <w:r w:rsidRPr="00DF37A3">
        <w:rPr>
          <w:lang w:val="en-GB"/>
        </w:rPr>
        <w:t>The Ministry of Internal Affairs, together with the International Organization for Migration, has developed: draft Criteria for the Identification of Victims of Trafficking in Persons and a number of instructions regulating the mechanism for the referral of victims of trafficking in persons, and a draft Government Decision on the establishment of a National Referral Mechanism for Victims of Trafficking in Persons. The approval of these normative documents will complete the formation of a unified legal framework for the creation and functioning of a referral mechanism for victims of human trafficking. In 2018, the Ministry of Internal Affairs’ statistical machinery on trafficking in persons was improved; in particular, it became possible to collect data on criminal cases involving labour and sexual exploitation. The facts relating to trafficking in children are taken into account separately.</w:t>
      </w:r>
    </w:p>
    <w:p w14:paraId="5E07D647" w14:textId="77777777" w:rsidR="004A3AB4" w:rsidRPr="00DF37A3" w:rsidRDefault="004A3AB4" w:rsidP="004A3AB4">
      <w:pPr>
        <w:pStyle w:val="SingleTxt"/>
        <w:rPr>
          <w:lang w:val="en-GB"/>
        </w:rPr>
      </w:pPr>
      <w:r w:rsidRPr="00DF37A3">
        <w:rPr>
          <w:lang w:val="en-GB"/>
        </w:rPr>
        <w:t>59.</w:t>
      </w:r>
      <w:r>
        <w:rPr>
          <w:lang w:val="en-GB"/>
        </w:rPr>
        <w:tab/>
      </w:r>
      <w:r w:rsidRPr="00DF37A3">
        <w:rPr>
          <w:lang w:val="en-GB"/>
        </w:rPr>
        <w:t>The Global Programme against Trafficking in Persons and the Global Programme against the Smuggling of Migrants, initiated by the United Nations Office on Drugs and Crime in cooperation with the European Commission, continue to be implemented. Kyrgyzstan has been selected as one of the countries implementing the programmes.</w:t>
      </w:r>
    </w:p>
    <w:p w14:paraId="6DB44286" w14:textId="77777777" w:rsidR="004A3AB4" w:rsidRPr="00DF37A3" w:rsidRDefault="004A3AB4" w:rsidP="004A3AB4">
      <w:pPr>
        <w:pStyle w:val="SingleTxt"/>
        <w:rPr>
          <w:lang w:val="en-GB"/>
        </w:rPr>
      </w:pPr>
      <w:r w:rsidRPr="00DF37A3">
        <w:rPr>
          <w:lang w:val="en-GB"/>
        </w:rPr>
        <w:t>60.</w:t>
      </w:r>
      <w:r>
        <w:rPr>
          <w:lang w:val="en-GB"/>
        </w:rPr>
        <w:tab/>
      </w:r>
      <w:r w:rsidRPr="00DF37A3">
        <w:rPr>
          <w:lang w:val="en-GB"/>
        </w:rPr>
        <w:t>The State Migration Service, which reports to the Government, has held field working meetings in all provinces of the country, whose main task has been to establish coordination councils on preventing and combating trafficking in persons at the regional level and to present a model regulation for a coordination council. The coordination councils include representatives of the entities referred to in article 9 of the Act on Preventing and Combating Trafficking in Persons, representatives of the Ombudsman (</w:t>
      </w:r>
      <w:r w:rsidRPr="00DE5238">
        <w:rPr>
          <w:i/>
          <w:iCs/>
          <w:lang w:val="en-GB"/>
        </w:rPr>
        <w:t>Akyikatchy</w:t>
      </w:r>
      <w:r w:rsidRPr="00DF37A3">
        <w:rPr>
          <w:lang w:val="en-GB"/>
        </w:rPr>
        <w:t xml:space="preserve">) in each province, and representatives of international and non-governmental organizations and local youth organizations. For the first time, religious leaders have been involved in the work of the coordination councils. </w:t>
      </w:r>
    </w:p>
    <w:p w14:paraId="3768FBA0" w14:textId="77777777" w:rsidR="004A3AB4" w:rsidRPr="00DF37A3" w:rsidRDefault="004A3AB4" w:rsidP="004A3AB4">
      <w:pPr>
        <w:pStyle w:val="SingleTxt"/>
        <w:rPr>
          <w:lang w:val="en-GB"/>
        </w:rPr>
      </w:pPr>
      <w:r w:rsidRPr="00DF37A3">
        <w:rPr>
          <w:lang w:val="en-GB"/>
        </w:rPr>
        <w:t>61.</w:t>
      </w:r>
      <w:r>
        <w:rPr>
          <w:lang w:val="en-GB"/>
        </w:rPr>
        <w:tab/>
      </w:r>
      <w:r w:rsidRPr="00DF37A3">
        <w:rPr>
          <w:lang w:val="en-GB"/>
        </w:rPr>
        <w:t xml:space="preserve">Information and awareness-raising activities aimed at preventing trafficking in persons are being carried out on an ongoing basis. For example, in 2018, awareness-raising seminars were held in all regions of the country (covering 32 districts) and in the city of Bishkek, with the main objective of raising awareness of government bodies and non-governmental organizations in the field of preventing trafficking in </w:t>
      </w:r>
      <w:r w:rsidRPr="00DF37A3">
        <w:rPr>
          <w:lang w:val="en-GB"/>
        </w:rPr>
        <w:lastRenderedPageBreak/>
        <w:t>persons, as well as of strengthening their cooperation and cooperation. A total of about 200 personnel of State bodies participated in the seminars, including the staff of authorized representatives of the Government in the provinces, provincial procuratorial and internal affairs bodies, national security agencies, border services, labour and social development departments, family medicine centres, pedagogical centres, the office of the mayor of Bishkek, and regional centres, as well as representatives of the Ombudsman and the Spiritual Directorate of Muslims in the regions and 36 non-governmental organizations.</w:t>
      </w:r>
    </w:p>
    <w:p w14:paraId="518A0729" w14:textId="77777777" w:rsidR="004A3AB4" w:rsidRPr="00DF37A3" w:rsidRDefault="004A3AB4" w:rsidP="004A3AB4">
      <w:pPr>
        <w:pStyle w:val="SingleTxt"/>
        <w:rPr>
          <w:lang w:val="en-GB"/>
        </w:rPr>
      </w:pPr>
      <w:r w:rsidRPr="00DF37A3">
        <w:rPr>
          <w:lang w:val="en-GB"/>
        </w:rPr>
        <w:t>62.</w:t>
      </w:r>
      <w:r>
        <w:rPr>
          <w:lang w:val="en-GB"/>
        </w:rPr>
        <w:tab/>
      </w:r>
      <w:r w:rsidRPr="00DF37A3">
        <w:rPr>
          <w:lang w:val="en-GB"/>
        </w:rPr>
        <w:t>As part of the training, five information and reference guides containing materials on victims of trafficking in persons, international and national legislation, resources on trafficking in persons and information materials developed by non</w:t>
      </w:r>
      <w:r>
        <w:rPr>
          <w:lang w:val="en-GB"/>
        </w:rPr>
        <w:noBreakHyphen/>
      </w:r>
      <w:r w:rsidRPr="00DF37A3">
        <w:rPr>
          <w:lang w:val="en-GB"/>
        </w:rPr>
        <w:t>governmental organizations were prepared and distributed to interested organizations and institutions.</w:t>
      </w:r>
    </w:p>
    <w:p w14:paraId="37418829" w14:textId="77777777" w:rsidR="004A3AB4" w:rsidRPr="00DF37A3" w:rsidRDefault="004A3AB4" w:rsidP="004A3AB4">
      <w:pPr>
        <w:pStyle w:val="SingleTxt"/>
        <w:rPr>
          <w:lang w:val="en-GB"/>
        </w:rPr>
      </w:pPr>
      <w:r w:rsidRPr="00DF37A3">
        <w:rPr>
          <w:lang w:val="en-GB"/>
        </w:rPr>
        <w:t>63.</w:t>
      </w:r>
      <w:r>
        <w:rPr>
          <w:lang w:val="en-GB"/>
        </w:rPr>
        <w:tab/>
      </w:r>
      <w:r w:rsidRPr="00DF37A3">
        <w:rPr>
          <w:lang w:val="en-GB"/>
        </w:rPr>
        <w:t>In order to minimize the negative consequences of trafficking in persons, ongoing efforts have sought to inform the population about the risks of illegal migration and trafficking in persons, and information and education work is being carried out among State officials on combating trafficking in persons. Law enforcement agencies have also been working effectively to combat trafficking in persons, with the establishment of mechanisms for the exchange of information on traffickers and their methods of work, and the strengthening of inter-State cooperation on the protection of the rights of victims of trafficking.</w:t>
      </w:r>
    </w:p>
    <w:p w14:paraId="681165AF" w14:textId="77777777" w:rsidR="004A3AB4" w:rsidRPr="00DF37A3" w:rsidRDefault="004A3AB4" w:rsidP="004A3AB4">
      <w:pPr>
        <w:pStyle w:val="SingleTxt"/>
        <w:rPr>
          <w:lang w:val="en-GB"/>
        </w:rPr>
      </w:pPr>
      <w:r w:rsidRPr="00DF37A3">
        <w:rPr>
          <w:lang w:val="en-GB"/>
        </w:rPr>
        <w:t>64.</w:t>
      </w:r>
      <w:r>
        <w:rPr>
          <w:lang w:val="en-GB"/>
        </w:rPr>
        <w:tab/>
      </w:r>
      <w:r w:rsidRPr="00DF37A3">
        <w:rPr>
          <w:lang w:val="en-GB"/>
        </w:rPr>
        <w:t xml:space="preserve">According to the Ministry of Internal Affairs, six criminal cases of trafficking in persons were opened in 2013, 18 in 2014, 10 in 2015, 8 in 2016, 7 in 2017, and 1 in the first half of 2018. The cases registered include: the sale of a child (60 per cent), labour exploitation (23 per cent) and sexual exploitation (17 per cent). </w:t>
      </w:r>
    </w:p>
    <w:p w14:paraId="7E76CDC7" w14:textId="77777777" w:rsidR="004A3AB4" w:rsidRPr="00DF37A3" w:rsidRDefault="004A3AB4" w:rsidP="004A3AB4">
      <w:pPr>
        <w:pStyle w:val="SingleTxt"/>
        <w:rPr>
          <w:lang w:val="en-GB"/>
        </w:rPr>
      </w:pPr>
      <w:r w:rsidRPr="00DF37A3">
        <w:rPr>
          <w:lang w:val="en-GB"/>
        </w:rPr>
        <w:t>65.</w:t>
      </w:r>
      <w:r>
        <w:rPr>
          <w:lang w:val="en-GB"/>
        </w:rPr>
        <w:tab/>
      </w:r>
      <w:r w:rsidRPr="00DF37A3">
        <w:rPr>
          <w:lang w:val="en-GB"/>
        </w:rPr>
        <w:t>During the reporting period, the Ministry of Foreign Affairs and the Office of the Procurator acted on requests for mutual legal assistance in accordance with the Minsk Convention on Legal Assistance and Legal Relations in Civil, Family and Criminal Matters of 22 January 1993 and the Chisinau Convention on Legal Assistance and Legal Relations in Civil, Family and Criminal Matters of 7 October 2002. For example, in the first half of 2018, eight international investigation requests from the law enforcement agencies of Kyrgyzstan were transmitted through the diplomatic channel to the competent authorities of foreign States (Turkey, China, Belgium and the United Arab Emirates). In turn, materials received from the competent Estonian authorities at the request of the Military Prosecution Office of the Osh garrison in Kyrgyzstan have been forwarded to the Office of the Prosecutor of the Kyrgyz Republic.</w:t>
      </w:r>
    </w:p>
    <w:p w14:paraId="2EC13804" w14:textId="77777777" w:rsidR="004A3AB4" w:rsidRPr="00DF37A3" w:rsidRDefault="004A3AB4" w:rsidP="004A3AB4">
      <w:pPr>
        <w:pStyle w:val="SingleTxt"/>
        <w:rPr>
          <w:lang w:val="en-GB"/>
        </w:rPr>
      </w:pPr>
      <w:r w:rsidRPr="00DF37A3">
        <w:rPr>
          <w:lang w:val="en-GB"/>
        </w:rPr>
        <w:t>66.</w:t>
      </w:r>
      <w:r>
        <w:rPr>
          <w:lang w:val="en-GB"/>
        </w:rPr>
        <w:tab/>
      </w:r>
      <w:r w:rsidRPr="00DF37A3">
        <w:rPr>
          <w:lang w:val="en-GB"/>
        </w:rPr>
        <w:t>Diplomatic missions and consular offices of Kyrgyzstan have established close cooperation with the competent authorities of foreign countries, as well as with practicing lawyers and lawyers’ offices on the protection of the rights and legitimate interests of Kyrgyz nationals. The Ministry of Foreign Affairs provides ongoing political and diplomatic assistance through intergovernmental agreements on mutual legal assistance in criminal and civil matters.</w:t>
      </w:r>
    </w:p>
    <w:p w14:paraId="458EBA82" w14:textId="77777777" w:rsidR="004A3AB4" w:rsidRPr="00DF37A3" w:rsidRDefault="004A3AB4" w:rsidP="004A3AB4">
      <w:pPr>
        <w:pStyle w:val="SingleTxt"/>
        <w:rPr>
          <w:lang w:val="en-GB"/>
        </w:rPr>
      </w:pPr>
      <w:r w:rsidRPr="00DF37A3">
        <w:rPr>
          <w:lang w:val="en-GB"/>
        </w:rPr>
        <w:t>67.</w:t>
      </w:r>
      <w:r>
        <w:rPr>
          <w:lang w:val="en-GB"/>
        </w:rPr>
        <w:tab/>
      </w:r>
      <w:r w:rsidRPr="00DF37A3">
        <w:rPr>
          <w:lang w:val="en-GB"/>
        </w:rPr>
        <w:t xml:space="preserve">The main countries to which Kyrgyz nationals travel in search of work are the Russian Federation, Kazakhstan, Turkey and the United Arab Emirates. Kyrgyz nationals who have been victims of trafficking or are in a difficult situation in their lives have, in cooperation with the law enforcement agencies of their country of residence and with the assistance of the International Organization for Migration, received assistance up to and including return to their home country. </w:t>
      </w:r>
    </w:p>
    <w:p w14:paraId="0F95EAE4" w14:textId="77777777" w:rsidR="004A3AB4" w:rsidRPr="00DF37A3" w:rsidRDefault="004A3AB4" w:rsidP="004A3AB4">
      <w:pPr>
        <w:pStyle w:val="SingleTxt"/>
        <w:rPr>
          <w:lang w:val="en-GB"/>
        </w:rPr>
      </w:pPr>
      <w:r w:rsidRPr="00DF37A3">
        <w:rPr>
          <w:lang w:val="en-GB"/>
        </w:rPr>
        <w:t>68.</w:t>
      </w:r>
      <w:r>
        <w:rPr>
          <w:lang w:val="en-GB"/>
        </w:rPr>
        <w:tab/>
      </w:r>
      <w:r w:rsidRPr="00DF37A3">
        <w:rPr>
          <w:lang w:val="en-GB"/>
        </w:rPr>
        <w:t>In the first half of 2018, 37 Kyrgyz nationals (25 women and 12 men) and 13</w:t>
      </w:r>
      <w:r>
        <w:rPr>
          <w:lang w:val="en-GB"/>
        </w:rPr>
        <w:t> </w:t>
      </w:r>
      <w:r w:rsidRPr="00DF37A3">
        <w:rPr>
          <w:lang w:val="en-GB"/>
        </w:rPr>
        <w:t xml:space="preserve">children received assistance: </w:t>
      </w:r>
    </w:p>
    <w:p w14:paraId="70D49EA5" w14:textId="72BB0A34" w:rsidR="004A3AB4" w:rsidRPr="00DF37A3" w:rsidRDefault="00D1128F" w:rsidP="00D112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GB"/>
        </w:rPr>
        <w:lastRenderedPageBreak/>
        <w:tab/>
      </w:r>
      <w:r>
        <w:rPr>
          <w:lang w:val="en-GB"/>
        </w:rPr>
        <w:tab/>
      </w:r>
      <w:r w:rsidR="004A3AB4" w:rsidRPr="00D1128F">
        <w:rPr>
          <w:b w:val="0"/>
          <w:bCs/>
          <w:lang w:val="en-GB"/>
        </w:rPr>
        <w:t>Table 10</w:t>
      </w:r>
      <w:r>
        <w:rPr>
          <w:lang w:val="en-GB"/>
        </w:rPr>
        <w:br/>
      </w:r>
      <w:r w:rsidR="004A3AB4" w:rsidRPr="00DF37A3">
        <w:t>Data on assistance received in 2018</w:t>
      </w:r>
    </w:p>
    <w:p w14:paraId="27D70146" w14:textId="77777777" w:rsidR="004A3AB4" w:rsidRPr="004C3A7A" w:rsidRDefault="004A3AB4" w:rsidP="004A3AB4">
      <w:pPr>
        <w:pStyle w:val="SingleTxt"/>
        <w:spacing w:after="0" w:line="120" w:lineRule="exact"/>
        <w:rPr>
          <w:sz w:val="10"/>
          <w:lang w:val="en-GB"/>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53"/>
        <w:gridCol w:w="2467"/>
      </w:tblGrid>
      <w:tr w:rsidR="004A3AB4" w:rsidRPr="004C3A7A" w14:paraId="08721AD4" w14:textId="77777777" w:rsidTr="003C23CC">
        <w:trPr>
          <w:tblHeader/>
        </w:trPr>
        <w:tc>
          <w:tcPr>
            <w:tcW w:w="4853" w:type="dxa"/>
            <w:tcBorders>
              <w:top w:val="single" w:sz="4" w:space="0" w:color="auto"/>
              <w:bottom w:val="single" w:sz="12" w:space="0" w:color="auto"/>
            </w:tcBorders>
            <w:shd w:val="clear" w:color="auto" w:fill="auto"/>
            <w:vAlign w:val="bottom"/>
          </w:tcPr>
          <w:p w14:paraId="7E58B278" w14:textId="77777777" w:rsidR="004A3AB4" w:rsidRPr="004C3A7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4C3A7A">
              <w:rPr>
                <w:i/>
                <w:sz w:val="14"/>
                <w:lang w:val="en-GB"/>
              </w:rPr>
              <w:t>Victims of trafficking in persons and the number of women in that group</w:t>
            </w:r>
          </w:p>
        </w:tc>
        <w:tc>
          <w:tcPr>
            <w:tcW w:w="2467" w:type="dxa"/>
            <w:tcBorders>
              <w:top w:val="single" w:sz="4" w:space="0" w:color="auto"/>
              <w:bottom w:val="single" w:sz="12" w:space="0" w:color="auto"/>
            </w:tcBorders>
            <w:shd w:val="clear" w:color="auto" w:fill="auto"/>
            <w:vAlign w:val="bottom"/>
          </w:tcPr>
          <w:p w14:paraId="2BC38FD8" w14:textId="77777777" w:rsidR="004A3AB4" w:rsidRPr="004C3A7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4C3A7A">
              <w:rPr>
                <w:i/>
                <w:sz w:val="14"/>
                <w:lang w:val="en-GB"/>
              </w:rPr>
              <w:t>7/7</w:t>
            </w:r>
          </w:p>
        </w:tc>
      </w:tr>
      <w:tr w:rsidR="004A3AB4" w:rsidRPr="004C3A7A" w14:paraId="42C5DF89" w14:textId="77777777" w:rsidTr="003C23CC">
        <w:trPr>
          <w:trHeight w:hRule="exact" w:val="115"/>
          <w:tblHeader/>
        </w:trPr>
        <w:tc>
          <w:tcPr>
            <w:tcW w:w="4853" w:type="dxa"/>
            <w:tcBorders>
              <w:top w:val="single" w:sz="12" w:space="0" w:color="auto"/>
            </w:tcBorders>
            <w:shd w:val="clear" w:color="auto" w:fill="auto"/>
            <w:vAlign w:val="bottom"/>
          </w:tcPr>
          <w:p w14:paraId="1C7BE3D3" w14:textId="77777777" w:rsidR="004A3AB4" w:rsidRPr="004C3A7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2467" w:type="dxa"/>
            <w:tcBorders>
              <w:top w:val="single" w:sz="12" w:space="0" w:color="auto"/>
            </w:tcBorders>
            <w:shd w:val="clear" w:color="auto" w:fill="auto"/>
            <w:vAlign w:val="bottom"/>
          </w:tcPr>
          <w:p w14:paraId="57DFE0F4" w14:textId="77777777" w:rsidR="004A3AB4" w:rsidRPr="004C3A7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4A3AB4" w:rsidRPr="004C3A7A" w14:paraId="705F50FA" w14:textId="77777777" w:rsidTr="003C23CC">
        <w:tc>
          <w:tcPr>
            <w:tcW w:w="4853" w:type="dxa"/>
            <w:shd w:val="clear" w:color="auto" w:fill="auto"/>
            <w:vAlign w:val="bottom"/>
          </w:tcPr>
          <w:p w14:paraId="3C1D5E04" w14:textId="77777777" w:rsidR="004A3AB4" w:rsidRPr="004C3A7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4C3A7A">
              <w:rPr>
                <w:sz w:val="17"/>
                <w:lang w:val="en-GB"/>
              </w:rPr>
              <w:t>Sexual slavery</w:t>
            </w:r>
          </w:p>
        </w:tc>
        <w:tc>
          <w:tcPr>
            <w:tcW w:w="2467" w:type="dxa"/>
            <w:shd w:val="clear" w:color="auto" w:fill="auto"/>
            <w:vAlign w:val="bottom"/>
          </w:tcPr>
          <w:p w14:paraId="4DAC91B9" w14:textId="77777777" w:rsidR="004A3AB4" w:rsidRPr="004C3A7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C3A7A">
              <w:rPr>
                <w:sz w:val="17"/>
                <w:lang w:val="en-GB"/>
              </w:rPr>
              <w:t>3</w:t>
            </w:r>
          </w:p>
        </w:tc>
      </w:tr>
      <w:tr w:rsidR="004A3AB4" w:rsidRPr="004C3A7A" w14:paraId="3555A9A9" w14:textId="77777777" w:rsidTr="003C23CC">
        <w:tc>
          <w:tcPr>
            <w:tcW w:w="4853" w:type="dxa"/>
            <w:shd w:val="clear" w:color="auto" w:fill="auto"/>
            <w:vAlign w:val="bottom"/>
          </w:tcPr>
          <w:p w14:paraId="13B280CE" w14:textId="77777777" w:rsidR="004A3AB4" w:rsidRPr="004C3A7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4C3A7A">
              <w:rPr>
                <w:sz w:val="17"/>
                <w:lang w:val="en-GB"/>
              </w:rPr>
              <w:t>Labour slavery</w:t>
            </w:r>
          </w:p>
        </w:tc>
        <w:tc>
          <w:tcPr>
            <w:tcW w:w="2467" w:type="dxa"/>
            <w:shd w:val="clear" w:color="auto" w:fill="auto"/>
            <w:vAlign w:val="bottom"/>
          </w:tcPr>
          <w:p w14:paraId="42042D96" w14:textId="77777777" w:rsidR="004A3AB4" w:rsidRPr="004C3A7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C3A7A">
              <w:rPr>
                <w:sz w:val="17"/>
                <w:lang w:val="en-GB"/>
              </w:rPr>
              <w:t>3</w:t>
            </w:r>
          </w:p>
        </w:tc>
      </w:tr>
      <w:tr w:rsidR="004A3AB4" w:rsidRPr="004C3A7A" w14:paraId="07B7AC54" w14:textId="77777777" w:rsidTr="003C23CC">
        <w:tc>
          <w:tcPr>
            <w:tcW w:w="4853" w:type="dxa"/>
            <w:shd w:val="clear" w:color="auto" w:fill="auto"/>
            <w:vAlign w:val="bottom"/>
          </w:tcPr>
          <w:p w14:paraId="325A8DE4" w14:textId="77777777" w:rsidR="004A3AB4" w:rsidRPr="004C3A7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4C3A7A">
              <w:rPr>
                <w:sz w:val="17"/>
                <w:lang w:val="en-GB"/>
              </w:rPr>
              <w:t>Forced marriage</w:t>
            </w:r>
          </w:p>
        </w:tc>
        <w:tc>
          <w:tcPr>
            <w:tcW w:w="2467" w:type="dxa"/>
            <w:shd w:val="clear" w:color="auto" w:fill="auto"/>
            <w:vAlign w:val="bottom"/>
          </w:tcPr>
          <w:p w14:paraId="570220F8" w14:textId="77777777" w:rsidR="004A3AB4" w:rsidRPr="004C3A7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C3A7A">
              <w:rPr>
                <w:sz w:val="17"/>
                <w:lang w:val="en-GB"/>
              </w:rPr>
              <w:t>1</w:t>
            </w:r>
          </w:p>
        </w:tc>
      </w:tr>
      <w:tr w:rsidR="004A3AB4" w:rsidRPr="004C3A7A" w14:paraId="38363DFB" w14:textId="77777777" w:rsidTr="003C23CC">
        <w:tc>
          <w:tcPr>
            <w:tcW w:w="4853" w:type="dxa"/>
            <w:shd w:val="clear" w:color="auto" w:fill="auto"/>
            <w:vAlign w:val="bottom"/>
          </w:tcPr>
          <w:p w14:paraId="2C5ACB03" w14:textId="77777777" w:rsidR="004A3AB4" w:rsidRPr="004C3A7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4C3A7A">
              <w:rPr>
                <w:sz w:val="17"/>
                <w:lang w:val="en-GB"/>
              </w:rPr>
              <w:t>In Turkey</w:t>
            </w:r>
          </w:p>
        </w:tc>
        <w:tc>
          <w:tcPr>
            <w:tcW w:w="2467" w:type="dxa"/>
            <w:shd w:val="clear" w:color="auto" w:fill="auto"/>
            <w:vAlign w:val="bottom"/>
          </w:tcPr>
          <w:p w14:paraId="322B0A48" w14:textId="77777777" w:rsidR="004A3AB4" w:rsidRPr="004C3A7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C3A7A">
              <w:rPr>
                <w:sz w:val="17"/>
                <w:lang w:val="en-GB"/>
              </w:rPr>
              <w:t>4</w:t>
            </w:r>
          </w:p>
        </w:tc>
      </w:tr>
      <w:tr w:rsidR="004A3AB4" w:rsidRPr="004C3A7A" w14:paraId="1A334BE3" w14:textId="77777777" w:rsidTr="003C23CC">
        <w:tc>
          <w:tcPr>
            <w:tcW w:w="4853" w:type="dxa"/>
            <w:shd w:val="clear" w:color="auto" w:fill="auto"/>
            <w:vAlign w:val="bottom"/>
          </w:tcPr>
          <w:p w14:paraId="13F48726" w14:textId="77777777" w:rsidR="004A3AB4" w:rsidRPr="004C3A7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4C3A7A">
              <w:rPr>
                <w:sz w:val="17"/>
                <w:lang w:val="en-GB"/>
              </w:rPr>
              <w:t>In Russia</w:t>
            </w:r>
          </w:p>
        </w:tc>
        <w:tc>
          <w:tcPr>
            <w:tcW w:w="2467" w:type="dxa"/>
            <w:shd w:val="clear" w:color="auto" w:fill="auto"/>
            <w:vAlign w:val="bottom"/>
          </w:tcPr>
          <w:p w14:paraId="26F182CA" w14:textId="77777777" w:rsidR="004A3AB4" w:rsidRPr="004C3A7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C3A7A">
              <w:rPr>
                <w:sz w:val="17"/>
                <w:lang w:val="en-GB"/>
              </w:rPr>
              <w:t>2</w:t>
            </w:r>
          </w:p>
        </w:tc>
      </w:tr>
      <w:tr w:rsidR="004A3AB4" w:rsidRPr="004C3A7A" w14:paraId="61CDBD9F" w14:textId="77777777" w:rsidTr="003C23CC">
        <w:tc>
          <w:tcPr>
            <w:tcW w:w="4853" w:type="dxa"/>
            <w:shd w:val="clear" w:color="auto" w:fill="auto"/>
            <w:vAlign w:val="bottom"/>
          </w:tcPr>
          <w:p w14:paraId="3CF30866" w14:textId="77777777" w:rsidR="004A3AB4" w:rsidRPr="004C3A7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4C3A7A">
              <w:rPr>
                <w:sz w:val="17"/>
                <w:lang w:val="en-GB"/>
              </w:rPr>
              <w:t>Internal migrants</w:t>
            </w:r>
          </w:p>
        </w:tc>
        <w:tc>
          <w:tcPr>
            <w:tcW w:w="2467" w:type="dxa"/>
            <w:shd w:val="clear" w:color="auto" w:fill="auto"/>
            <w:vAlign w:val="bottom"/>
          </w:tcPr>
          <w:p w14:paraId="52960F17" w14:textId="77777777" w:rsidR="004A3AB4" w:rsidRPr="004C3A7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C3A7A">
              <w:rPr>
                <w:sz w:val="17"/>
                <w:lang w:val="en-GB"/>
              </w:rPr>
              <w:t>1</w:t>
            </w:r>
          </w:p>
        </w:tc>
      </w:tr>
      <w:tr w:rsidR="004A3AB4" w:rsidRPr="004C3A7A" w14:paraId="25847352" w14:textId="77777777" w:rsidTr="003C23CC">
        <w:tc>
          <w:tcPr>
            <w:tcW w:w="4853" w:type="dxa"/>
            <w:shd w:val="clear" w:color="auto" w:fill="auto"/>
            <w:vAlign w:val="bottom"/>
          </w:tcPr>
          <w:p w14:paraId="2CF0558E" w14:textId="77777777" w:rsidR="004A3AB4" w:rsidRPr="004C3A7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4C3A7A">
              <w:rPr>
                <w:sz w:val="17"/>
                <w:lang w:val="en-GB"/>
              </w:rPr>
              <w:t>Vulnerable migrants and the number of women in that group</w:t>
            </w:r>
          </w:p>
        </w:tc>
        <w:tc>
          <w:tcPr>
            <w:tcW w:w="2467" w:type="dxa"/>
            <w:shd w:val="clear" w:color="auto" w:fill="auto"/>
            <w:vAlign w:val="bottom"/>
          </w:tcPr>
          <w:p w14:paraId="1B0EE56E" w14:textId="77777777" w:rsidR="004A3AB4" w:rsidRPr="004C3A7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C3A7A">
              <w:rPr>
                <w:sz w:val="17"/>
                <w:lang w:val="en-GB"/>
              </w:rPr>
              <w:t>30/18</w:t>
            </w:r>
          </w:p>
        </w:tc>
      </w:tr>
      <w:tr w:rsidR="004A3AB4" w:rsidRPr="004C3A7A" w14:paraId="788990E2" w14:textId="77777777" w:rsidTr="003C23CC">
        <w:tc>
          <w:tcPr>
            <w:tcW w:w="4853" w:type="dxa"/>
            <w:shd w:val="clear" w:color="auto" w:fill="auto"/>
            <w:vAlign w:val="bottom"/>
          </w:tcPr>
          <w:p w14:paraId="6548D9C4" w14:textId="77777777" w:rsidR="004A3AB4" w:rsidRPr="004C3A7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4C3A7A">
              <w:rPr>
                <w:sz w:val="17"/>
                <w:lang w:val="en-GB"/>
              </w:rPr>
              <w:t>In Russia</w:t>
            </w:r>
          </w:p>
        </w:tc>
        <w:tc>
          <w:tcPr>
            <w:tcW w:w="2467" w:type="dxa"/>
            <w:shd w:val="clear" w:color="auto" w:fill="auto"/>
            <w:vAlign w:val="bottom"/>
          </w:tcPr>
          <w:p w14:paraId="36D73142" w14:textId="77777777" w:rsidR="004A3AB4" w:rsidRPr="004C3A7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C3A7A">
              <w:rPr>
                <w:sz w:val="17"/>
                <w:lang w:val="en-GB"/>
              </w:rPr>
              <w:t>19</w:t>
            </w:r>
          </w:p>
        </w:tc>
      </w:tr>
      <w:tr w:rsidR="004A3AB4" w:rsidRPr="004C3A7A" w14:paraId="66BB79FA" w14:textId="77777777" w:rsidTr="003C23CC">
        <w:tc>
          <w:tcPr>
            <w:tcW w:w="4853" w:type="dxa"/>
            <w:shd w:val="clear" w:color="auto" w:fill="auto"/>
            <w:vAlign w:val="bottom"/>
          </w:tcPr>
          <w:p w14:paraId="50881B1F" w14:textId="77777777" w:rsidR="004A3AB4" w:rsidRPr="004C3A7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4C3A7A">
              <w:rPr>
                <w:sz w:val="17"/>
                <w:lang w:val="en-GB"/>
              </w:rPr>
              <w:t>In Turkey</w:t>
            </w:r>
          </w:p>
        </w:tc>
        <w:tc>
          <w:tcPr>
            <w:tcW w:w="2467" w:type="dxa"/>
            <w:shd w:val="clear" w:color="auto" w:fill="auto"/>
            <w:vAlign w:val="bottom"/>
          </w:tcPr>
          <w:p w14:paraId="10855931" w14:textId="77777777" w:rsidR="004A3AB4" w:rsidRPr="004C3A7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C3A7A">
              <w:rPr>
                <w:sz w:val="17"/>
                <w:lang w:val="en-GB"/>
              </w:rPr>
              <w:t>5</w:t>
            </w:r>
          </w:p>
        </w:tc>
      </w:tr>
      <w:tr w:rsidR="004A3AB4" w:rsidRPr="004C3A7A" w14:paraId="54D20A89" w14:textId="77777777" w:rsidTr="003C23CC">
        <w:tc>
          <w:tcPr>
            <w:tcW w:w="4853" w:type="dxa"/>
            <w:shd w:val="clear" w:color="auto" w:fill="auto"/>
            <w:vAlign w:val="bottom"/>
          </w:tcPr>
          <w:p w14:paraId="4143491B" w14:textId="77777777" w:rsidR="004A3AB4" w:rsidRPr="004C3A7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4C3A7A">
              <w:rPr>
                <w:sz w:val="17"/>
                <w:lang w:val="en-GB"/>
              </w:rPr>
              <w:t>In Finland, Germany, Kazakhstan</w:t>
            </w:r>
          </w:p>
        </w:tc>
        <w:tc>
          <w:tcPr>
            <w:tcW w:w="2467" w:type="dxa"/>
            <w:shd w:val="clear" w:color="auto" w:fill="auto"/>
            <w:vAlign w:val="bottom"/>
          </w:tcPr>
          <w:p w14:paraId="4D58701E" w14:textId="77777777" w:rsidR="004A3AB4" w:rsidRPr="004C3A7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C3A7A">
              <w:rPr>
                <w:sz w:val="17"/>
                <w:lang w:val="en-GB"/>
              </w:rPr>
              <w:t>1 each</w:t>
            </w:r>
          </w:p>
        </w:tc>
      </w:tr>
      <w:tr w:rsidR="004A3AB4" w:rsidRPr="004C3A7A" w14:paraId="74099428" w14:textId="77777777" w:rsidTr="003C23CC">
        <w:tc>
          <w:tcPr>
            <w:tcW w:w="4853" w:type="dxa"/>
            <w:tcBorders>
              <w:bottom w:val="single" w:sz="12" w:space="0" w:color="auto"/>
            </w:tcBorders>
            <w:shd w:val="clear" w:color="auto" w:fill="auto"/>
            <w:vAlign w:val="bottom"/>
          </w:tcPr>
          <w:p w14:paraId="18EB093B" w14:textId="77777777" w:rsidR="004A3AB4" w:rsidRPr="004C3A7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4C3A7A">
              <w:rPr>
                <w:sz w:val="17"/>
                <w:lang w:val="en-GB"/>
              </w:rPr>
              <w:t>Internal migrants</w:t>
            </w:r>
          </w:p>
        </w:tc>
        <w:tc>
          <w:tcPr>
            <w:tcW w:w="2467" w:type="dxa"/>
            <w:tcBorders>
              <w:bottom w:val="single" w:sz="12" w:space="0" w:color="auto"/>
            </w:tcBorders>
            <w:shd w:val="clear" w:color="auto" w:fill="auto"/>
            <w:vAlign w:val="bottom"/>
          </w:tcPr>
          <w:p w14:paraId="0BCDDFA6" w14:textId="77777777" w:rsidR="004A3AB4" w:rsidRPr="004C3A7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C3A7A">
              <w:rPr>
                <w:sz w:val="17"/>
                <w:lang w:val="en-GB"/>
              </w:rPr>
              <w:t>3</w:t>
            </w:r>
          </w:p>
        </w:tc>
      </w:tr>
    </w:tbl>
    <w:p w14:paraId="2E85ACDB" w14:textId="77777777" w:rsidR="004A3AB4" w:rsidRPr="004C3A7A" w:rsidRDefault="004A3AB4" w:rsidP="004A3AB4">
      <w:pPr>
        <w:pStyle w:val="SingleTxt"/>
        <w:spacing w:after="0" w:line="120" w:lineRule="exact"/>
        <w:rPr>
          <w:sz w:val="10"/>
          <w:lang w:val="en-GB"/>
        </w:rPr>
      </w:pPr>
    </w:p>
    <w:p w14:paraId="59451DCE" w14:textId="77777777" w:rsidR="004A3AB4" w:rsidRPr="004C3A7A" w:rsidRDefault="004A3AB4" w:rsidP="004A3AB4">
      <w:pPr>
        <w:pStyle w:val="SingleTxt"/>
        <w:spacing w:after="0" w:line="120" w:lineRule="exact"/>
        <w:rPr>
          <w:sz w:val="10"/>
          <w:lang w:val="en-GB"/>
        </w:rPr>
      </w:pPr>
    </w:p>
    <w:p w14:paraId="4B955648" w14:textId="77777777" w:rsidR="004A3AB4" w:rsidRPr="00DF37A3" w:rsidRDefault="004A3AB4" w:rsidP="004A3AB4">
      <w:pPr>
        <w:pStyle w:val="SingleTxt"/>
        <w:rPr>
          <w:lang w:val="en-GB"/>
        </w:rPr>
      </w:pPr>
      <w:r w:rsidRPr="00DF37A3">
        <w:rPr>
          <w:lang w:val="en-GB"/>
        </w:rPr>
        <w:t>69.</w:t>
      </w:r>
      <w:r>
        <w:rPr>
          <w:lang w:val="en-GB"/>
        </w:rPr>
        <w:tab/>
      </w:r>
      <w:r w:rsidRPr="00DF37A3">
        <w:rPr>
          <w:lang w:val="en-GB"/>
        </w:rPr>
        <w:t>Comprehensive assistance has been provided to all victims, including the provision of safe housing (for those who wish), as well as rehabilitation and reintegration assistance. Multiple consultations with a psychologist, psychotherapist or lawyer, as well as classes providing group psychological support, art and occupational therapy, have been conducted.</w:t>
      </w:r>
    </w:p>
    <w:p w14:paraId="3B1BD7F5" w14:textId="77777777" w:rsidR="004A3AB4" w:rsidRPr="00DF37A3" w:rsidRDefault="004A3AB4" w:rsidP="004A3AB4">
      <w:pPr>
        <w:pStyle w:val="SingleTxt"/>
        <w:rPr>
          <w:lang w:val="en-GB"/>
        </w:rPr>
      </w:pPr>
      <w:r w:rsidRPr="00DF37A3">
        <w:rPr>
          <w:lang w:val="en-GB"/>
        </w:rPr>
        <w:t>70.</w:t>
      </w:r>
      <w:r>
        <w:rPr>
          <w:lang w:val="en-GB"/>
        </w:rPr>
        <w:tab/>
      </w:r>
      <w:r w:rsidRPr="00DF37A3">
        <w:rPr>
          <w:lang w:val="en-GB"/>
        </w:rPr>
        <w:t>In accordance with Regulation No. 571 on the return to the Kyrgyz Republic of Kyrgyz children who find themselves outside Kyrgyzstan without parental care, which was approved on 21 October 2013, during the period 2011</w:t>
      </w:r>
      <w:r>
        <w:rPr>
          <w:lang w:val="en-GB"/>
        </w:rPr>
        <w:t>–</w:t>
      </w:r>
      <w:r w:rsidRPr="00DF37A3">
        <w:rPr>
          <w:lang w:val="en-GB"/>
        </w:rPr>
        <w:t>2018, the Ministry of Labour and Social Development returned 89 children who found themselves without parental care in the Russian Federation.</w:t>
      </w:r>
    </w:p>
    <w:p w14:paraId="363896A4" w14:textId="77777777" w:rsidR="004A3AB4" w:rsidRPr="00DF37A3" w:rsidRDefault="004A3AB4" w:rsidP="004A3AB4">
      <w:pPr>
        <w:pStyle w:val="SingleTxt"/>
        <w:rPr>
          <w:lang w:val="en-GB"/>
        </w:rPr>
      </w:pPr>
      <w:r w:rsidRPr="00DF37A3">
        <w:rPr>
          <w:lang w:val="en-GB"/>
        </w:rPr>
        <w:t>71.</w:t>
      </w:r>
      <w:r>
        <w:rPr>
          <w:lang w:val="en-GB"/>
        </w:rPr>
        <w:tab/>
      </w:r>
      <w:r w:rsidRPr="00DF37A3">
        <w:rPr>
          <w:lang w:val="en-GB"/>
        </w:rPr>
        <w:t>Bearing in mind paragraph 22 (c) of the Committee’s concluding observations on the fourth periodic report of Kyrgyzstan on the implementation of the Convention, the Office of the Procurator has verified the existence of registered statements and complaints regarding violence by police officers against women engaged in prostitution, including forced testing for HIV and other sexually transmitted diseases. A check showed that no such complaints had been received. However, unofficial information provided by organizations defending the interests of women who are subject to intersecting forms of discrimination has been taken into account; those organizations stress that the women concerned do not file such complaints with law enforcement agencies because they are afraid and distrustful.</w:t>
      </w:r>
    </w:p>
    <w:p w14:paraId="33F7D3BE" w14:textId="77777777" w:rsidR="004A3AB4" w:rsidRPr="00DF37A3" w:rsidRDefault="004A3AB4" w:rsidP="004A3AB4">
      <w:pPr>
        <w:pStyle w:val="SingleTxt"/>
        <w:rPr>
          <w:lang w:val="en-GB"/>
        </w:rPr>
      </w:pPr>
      <w:r w:rsidRPr="00DF37A3">
        <w:rPr>
          <w:lang w:val="en-GB"/>
        </w:rPr>
        <w:t>72.</w:t>
      </w:r>
      <w:r>
        <w:rPr>
          <w:lang w:val="en-GB"/>
        </w:rPr>
        <w:tab/>
      </w:r>
      <w:r w:rsidRPr="00DF37A3">
        <w:rPr>
          <w:lang w:val="en-GB"/>
        </w:rPr>
        <w:t>The Office of the Procurator has developed guidelines for prosecutors on how to ensure the precise and uniform implementation of the Act on HIV/AIDS in the Kyrgyz Republic, which also deals with the issues of forced HIV testing, and the stigmatization of and discrimination against persons living with HIV/AIDS.</w:t>
      </w:r>
    </w:p>
    <w:p w14:paraId="4582E269" w14:textId="77777777" w:rsidR="004A3AB4" w:rsidRPr="00DF37A3" w:rsidRDefault="004A3AB4" w:rsidP="004A3AB4">
      <w:pPr>
        <w:pStyle w:val="SingleTxt"/>
        <w:rPr>
          <w:lang w:val="en-GB"/>
        </w:rPr>
      </w:pPr>
      <w:r w:rsidRPr="00DF37A3">
        <w:rPr>
          <w:lang w:val="en-GB"/>
        </w:rPr>
        <w:t>73.</w:t>
      </w:r>
      <w:r>
        <w:rPr>
          <w:lang w:val="en-GB"/>
        </w:rPr>
        <w:tab/>
      </w:r>
      <w:r w:rsidRPr="00DF37A3">
        <w:rPr>
          <w:lang w:val="en-GB"/>
        </w:rPr>
        <w:t xml:space="preserve">In order to implement paragraph 22 (c) of the concluding observations, the Ministry of Internal Affairs issued Order No. 946-r of 14 December 2017 on improving the activities of the internal affairs agencies of the Kyrgyz Republic when working with representatives of vulnerable groups of the population. The Order sets out, in particular, the following requirements: </w:t>
      </w:r>
    </w:p>
    <w:p w14:paraId="4934AD70" w14:textId="77777777" w:rsidR="004A3AB4" w:rsidRPr="00DF37A3" w:rsidRDefault="004A3AB4" w:rsidP="004A3AB4">
      <w:pPr>
        <w:pStyle w:val="SingleTxt"/>
        <w:tabs>
          <w:tab w:val="right" w:pos="1685"/>
        </w:tabs>
        <w:ind w:left="1742" w:hanging="475"/>
        <w:rPr>
          <w:lang w:val="en-GB"/>
        </w:rPr>
      </w:pPr>
      <w:r>
        <w:rPr>
          <w:lang w:val="en-GB"/>
        </w:rPr>
        <w:tab/>
      </w:r>
      <w:r w:rsidRPr="00DF37A3">
        <w:rPr>
          <w:lang w:val="en-GB"/>
        </w:rPr>
        <w:t>•</w:t>
      </w:r>
      <w:r w:rsidRPr="00DF37A3">
        <w:rPr>
          <w:lang w:val="en-GB"/>
        </w:rPr>
        <w:tab/>
        <w:t>To strengthen efforts, in the course of preventive activities, raids and investigative measures, to monitor procedures aimed at informing victims from vulnerable groups about their right to submit appeals to crisis centres and relevant public organizations, and to explain the security issues involved.</w:t>
      </w:r>
    </w:p>
    <w:p w14:paraId="04EE6C9F" w14:textId="77777777" w:rsidR="004A3AB4" w:rsidRPr="00DF37A3" w:rsidRDefault="004A3AB4" w:rsidP="004A3AB4">
      <w:pPr>
        <w:pStyle w:val="SingleTxt"/>
        <w:tabs>
          <w:tab w:val="right" w:pos="1685"/>
        </w:tabs>
        <w:ind w:left="1742" w:hanging="475"/>
        <w:rPr>
          <w:lang w:val="en-GB"/>
        </w:rPr>
      </w:pPr>
      <w:r>
        <w:rPr>
          <w:lang w:val="en-GB"/>
        </w:rPr>
        <w:lastRenderedPageBreak/>
        <w:tab/>
      </w:r>
      <w:r w:rsidRPr="00DF37A3">
        <w:rPr>
          <w:lang w:val="en-GB"/>
        </w:rPr>
        <w:t>•</w:t>
      </w:r>
      <w:r w:rsidRPr="00DF37A3">
        <w:rPr>
          <w:lang w:val="en-GB"/>
        </w:rPr>
        <w:tab/>
        <w:t>To ensure strict compliance with the norms of Instruction No. 49 of 21 January 2014 on efforts to prevent HIV infection carried out by the authorized State bodies of the Ministry of Internal Affairs, and on drug control and the enforcement of sentences, with mandatory explanation of the right to voluntary treatment in institutions in the field of HIV prevention in the Kyrgyz Republic.</w:t>
      </w:r>
    </w:p>
    <w:p w14:paraId="49C9B573" w14:textId="77777777" w:rsidR="004A3AB4" w:rsidRPr="00DF37A3" w:rsidRDefault="004A3AB4" w:rsidP="004A3AB4">
      <w:pPr>
        <w:pStyle w:val="SingleTxt"/>
        <w:tabs>
          <w:tab w:val="right" w:pos="1685"/>
        </w:tabs>
        <w:ind w:left="1742" w:hanging="475"/>
        <w:rPr>
          <w:lang w:val="en-GB"/>
        </w:rPr>
      </w:pPr>
      <w:r>
        <w:rPr>
          <w:lang w:val="en-GB"/>
        </w:rPr>
        <w:tab/>
      </w:r>
      <w:r w:rsidRPr="00DF37A3">
        <w:rPr>
          <w:lang w:val="en-GB"/>
        </w:rPr>
        <w:t>•</w:t>
      </w:r>
      <w:r w:rsidRPr="00DF37A3">
        <w:rPr>
          <w:lang w:val="en-GB"/>
        </w:rPr>
        <w:tab/>
        <w:t>When collecting primary information in response to a request, to use only non</w:t>
      </w:r>
      <w:r>
        <w:rPr>
          <w:lang w:val="en-GB"/>
        </w:rPr>
        <w:noBreakHyphen/>
      </w:r>
      <w:r w:rsidRPr="00DF37A3">
        <w:rPr>
          <w:lang w:val="en-GB"/>
        </w:rPr>
        <w:t>discriminatory and non-stigmatizing language in communications, to fully implement measures provided for by the legislation of the country to prevent violence, and to ensure the safety and protection of victims who belong to vulnerable groups.</w:t>
      </w:r>
    </w:p>
    <w:p w14:paraId="5A42E4A0" w14:textId="77777777" w:rsidR="004A3AB4" w:rsidRDefault="004A3AB4" w:rsidP="004A3AB4">
      <w:pPr>
        <w:pStyle w:val="SingleTxt"/>
        <w:rPr>
          <w:lang w:val="en-GB"/>
        </w:rPr>
      </w:pPr>
      <w:r w:rsidRPr="00DF37A3">
        <w:rPr>
          <w:lang w:val="en-GB"/>
        </w:rPr>
        <w:t>74.</w:t>
      </w:r>
      <w:r>
        <w:rPr>
          <w:lang w:val="en-GB"/>
        </w:rPr>
        <w:tab/>
      </w:r>
      <w:r w:rsidRPr="00DF37A3">
        <w:rPr>
          <w:lang w:val="en-GB"/>
        </w:rPr>
        <w:t>The Order was studied in conjunction with other normative acts on the elimination of all forms of discrimination against women through a process of cascading training sessions that were conducted in 2018 throughout the country, covering more than 600 employees.</w:t>
      </w:r>
    </w:p>
    <w:p w14:paraId="5349C4E3" w14:textId="77777777" w:rsidR="004A3AB4" w:rsidRPr="004C3A7A" w:rsidRDefault="004A3AB4" w:rsidP="004A3AB4">
      <w:pPr>
        <w:pStyle w:val="SingleTxt"/>
        <w:spacing w:after="0" w:line="120" w:lineRule="exact"/>
        <w:rPr>
          <w:sz w:val="10"/>
          <w:lang w:val="en-GB"/>
        </w:rPr>
      </w:pPr>
    </w:p>
    <w:p w14:paraId="50130E7B" w14:textId="77777777" w:rsidR="004A3AB4" w:rsidRPr="004C3A7A" w:rsidRDefault="004A3AB4" w:rsidP="004A3AB4">
      <w:pPr>
        <w:pStyle w:val="SingleTxt"/>
        <w:spacing w:after="0" w:line="120" w:lineRule="exact"/>
        <w:rPr>
          <w:sz w:val="10"/>
          <w:lang w:val="en-GB"/>
        </w:rPr>
      </w:pPr>
    </w:p>
    <w:p w14:paraId="061F729B" w14:textId="77777777" w:rsidR="004A3AB4" w:rsidRPr="00DF37A3" w:rsidRDefault="004A3AB4" w:rsidP="004A3AB4">
      <w:pPr>
        <w:pStyle w:val="H1"/>
        <w:ind w:right="1260"/>
        <w:rPr>
          <w:lang w:val="en-GB"/>
        </w:rPr>
      </w:pPr>
      <w:r>
        <w:rPr>
          <w:lang w:val="en-GB"/>
        </w:rPr>
        <w:tab/>
      </w:r>
      <w:r>
        <w:rPr>
          <w:lang w:val="en-GB"/>
        </w:rPr>
        <w:tab/>
      </w:r>
      <w:r w:rsidRPr="00DF37A3">
        <w:rPr>
          <w:lang w:val="en-GB"/>
        </w:rPr>
        <w:t>Article 7</w:t>
      </w:r>
    </w:p>
    <w:p w14:paraId="7F7C69B0" w14:textId="77777777" w:rsidR="004A3AB4" w:rsidRPr="004C3A7A" w:rsidRDefault="004A3AB4" w:rsidP="004A3AB4">
      <w:pPr>
        <w:pStyle w:val="SingleTxt"/>
        <w:spacing w:after="0" w:line="120" w:lineRule="exact"/>
        <w:rPr>
          <w:sz w:val="10"/>
          <w:lang w:val="en-GB"/>
        </w:rPr>
      </w:pPr>
    </w:p>
    <w:p w14:paraId="62EF8CC8" w14:textId="77777777" w:rsidR="004A3AB4" w:rsidRPr="004C3A7A" w:rsidRDefault="004A3AB4" w:rsidP="004A3AB4">
      <w:pPr>
        <w:pStyle w:val="SingleTxt"/>
        <w:spacing w:after="0" w:line="120" w:lineRule="exact"/>
        <w:rPr>
          <w:sz w:val="10"/>
          <w:lang w:val="en-GB"/>
        </w:rPr>
      </w:pPr>
    </w:p>
    <w:p w14:paraId="1AF8BAA3" w14:textId="77777777" w:rsidR="004A3AB4" w:rsidRPr="00DF37A3" w:rsidRDefault="004A3AB4" w:rsidP="004A3AB4">
      <w:pPr>
        <w:pStyle w:val="SingleTxt"/>
        <w:rPr>
          <w:lang w:val="en-GB"/>
        </w:rPr>
      </w:pPr>
      <w:r w:rsidRPr="00DF37A3">
        <w:rPr>
          <w:lang w:val="en-GB"/>
        </w:rPr>
        <w:t>75.</w:t>
      </w:r>
      <w:r>
        <w:rPr>
          <w:lang w:val="en-GB"/>
        </w:rPr>
        <w:tab/>
      </w:r>
      <w:r w:rsidRPr="00DF37A3">
        <w:rPr>
          <w:lang w:val="en-GB"/>
        </w:rPr>
        <w:t>Article 4 of the State Civil Service and Municipal Civil Service Act enshrines the principle of equal access for citizens to employment, regardless of sex, race, language, disability, ethnicity, religion, political or other opinion, origin, property or other status. Article 23 of the Act establishes the rule that competition for vacant posts must ensure equal access for all citizens to the State and municipal civil services.</w:t>
      </w:r>
    </w:p>
    <w:p w14:paraId="531CBADB" w14:textId="77777777" w:rsidR="004A3AB4" w:rsidRPr="00DF37A3" w:rsidRDefault="004A3AB4" w:rsidP="004A3AB4">
      <w:pPr>
        <w:pStyle w:val="SingleTxt"/>
        <w:rPr>
          <w:lang w:val="en-GB"/>
        </w:rPr>
      </w:pPr>
      <w:r w:rsidRPr="00DF37A3">
        <w:rPr>
          <w:lang w:val="en-GB"/>
        </w:rPr>
        <w:t>76.</w:t>
      </w:r>
      <w:r>
        <w:rPr>
          <w:lang w:val="en-GB"/>
        </w:rPr>
        <w:tab/>
      </w:r>
      <w:r w:rsidRPr="00DF37A3">
        <w:rPr>
          <w:lang w:val="en-GB"/>
        </w:rPr>
        <w:t>This norm has been implemented in Regulation No. 706 on the procedure for the civil service competitions and career development in the State and municipal civil services of the Kyrgyz Republic, which was approved by the Government on 29</w:t>
      </w:r>
      <w:r>
        <w:rPr>
          <w:lang w:val="en-GB"/>
        </w:rPr>
        <w:t> </w:t>
      </w:r>
      <w:r w:rsidRPr="00DF37A3">
        <w:rPr>
          <w:lang w:val="en-GB"/>
        </w:rPr>
        <w:t>December 2016. If candidates receive an equal number of points, the commission established for the competition shall recommend a candidate of an ethnic origin or gender that is less well represented in the State or local government body concerned. In cases where candidates with equal number of points represent the same ethnicity and gender, the decision shall be made by a simple majority vote of the commission members present at the meeting (para. 50). We will provide further information on measures taken to raise awareness among employees, employers and their organizations about equality in employment and occupation.</w:t>
      </w:r>
    </w:p>
    <w:p w14:paraId="103953E1" w14:textId="77777777" w:rsidR="004A3AB4" w:rsidRPr="00DF37A3" w:rsidRDefault="004A3AB4" w:rsidP="004A3AB4">
      <w:pPr>
        <w:pStyle w:val="SingleTxt"/>
        <w:rPr>
          <w:lang w:val="en-GB"/>
        </w:rPr>
      </w:pPr>
      <w:r w:rsidRPr="00DF37A3">
        <w:rPr>
          <w:lang w:val="en-GB"/>
        </w:rPr>
        <w:t>77.</w:t>
      </w:r>
      <w:r>
        <w:rPr>
          <w:lang w:val="en-GB"/>
        </w:rPr>
        <w:tab/>
      </w:r>
      <w:r w:rsidRPr="00DF37A3">
        <w:rPr>
          <w:lang w:val="en-GB"/>
        </w:rPr>
        <w:t>The State Personnel Service is a State body charged with developing, implementing and ensuring the sustainable functioning of the unified State personnel policy in the bodies of State administration and local self-government of Kyrgyzstan.</w:t>
      </w:r>
    </w:p>
    <w:p w14:paraId="02539CEF" w14:textId="77777777" w:rsidR="004A3AB4" w:rsidRPr="00DF37A3" w:rsidRDefault="004A3AB4" w:rsidP="004A3AB4">
      <w:pPr>
        <w:pStyle w:val="SingleTxt"/>
        <w:rPr>
          <w:lang w:val="en-GB"/>
        </w:rPr>
      </w:pPr>
      <w:r w:rsidRPr="00DF37A3">
        <w:rPr>
          <w:lang w:val="en-GB"/>
        </w:rPr>
        <w:t>78.</w:t>
      </w:r>
      <w:r>
        <w:rPr>
          <w:lang w:val="en-GB"/>
        </w:rPr>
        <w:tab/>
      </w:r>
      <w:r w:rsidRPr="00DF37A3">
        <w:rPr>
          <w:lang w:val="en-GB"/>
        </w:rPr>
        <w:t xml:space="preserve">The principle of equal access for citizens, regardless of gender, race, disability, ethnicity, religion, political or other beliefs, origin or property status, provided that they meet the qualification requirements, and the principles of transparency, impartiality and openness are also reflected in the procedure for the staffing of the National Civil Service and Municipal Service Personnel Reserve of the Kyrgyz Republic. </w:t>
      </w:r>
    </w:p>
    <w:p w14:paraId="5CB82728" w14:textId="77777777" w:rsidR="004A3AB4" w:rsidRPr="00DF37A3" w:rsidRDefault="004A3AB4" w:rsidP="004A3AB4">
      <w:pPr>
        <w:pStyle w:val="SingleTxt"/>
        <w:rPr>
          <w:lang w:val="en-GB"/>
        </w:rPr>
      </w:pPr>
      <w:r w:rsidRPr="00DF37A3">
        <w:rPr>
          <w:lang w:val="en-GB"/>
        </w:rPr>
        <w:t>79.</w:t>
      </w:r>
      <w:r>
        <w:rPr>
          <w:lang w:val="en-GB"/>
        </w:rPr>
        <w:tab/>
      </w:r>
      <w:r w:rsidRPr="00DF37A3">
        <w:rPr>
          <w:lang w:val="en-GB"/>
        </w:rPr>
        <w:t xml:space="preserve">In the area of departmental training for State and municipal civil servants, advanced training courses have been planned and organized independently by the State and local authorities in accordance with the requirements for the post, taking into account the specifics of the service concerned. The State Personnel Service organizes the development of relevant information, as well as training and methodological materials, and provides for distance learning within the framework of the State’s staffing needs. In 2017, 3,736 civil servants, 2,496 of whom were men and 1,240 women, were trained under Government orders for the training of State and municipal civil servants. </w:t>
      </w:r>
    </w:p>
    <w:p w14:paraId="1FC31B6D" w14:textId="77777777" w:rsidR="004A3AB4" w:rsidRPr="00DF37A3" w:rsidRDefault="004A3AB4" w:rsidP="00D1128F">
      <w:pPr>
        <w:pStyle w:val="H1"/>
        <w:ind w:right="1260"/>
        <w:rPr>
          <w:lang w:val="en-GB"/>
        </w:rPr>
      </w:pPr>
      <w:r w:rsidRPr="00DF37A3">
        <w:rPr>
          <w:lang w:val="en-GB"/>
        </w:rPr>
        <w:lastRenderedPageBreak/>
        <w:tab/>
      </w:r>
      <w:r w:rsidRPr="00DF37A3">
        <w:rPr>
          <w:lang w:val="en-GB"/>
        </w:rPr>
        <w:tab/>
        <w:t>Article 8</w:t>
      </w:r>
    </w:p>
    <w:p w14:paraId="1AFFF2AD" w14:textId="77777777" w:rsidR="004A3AB4" w:rsidRPr="004B3ABA" w:rsidRDefault="004A3AB4" w:rsidP="004A3AB4">
      <w:pPr>
        <w:pStyle w:val="SingleTxt"/>
        <w:spacing w:after="0" w:line="120" w:lineRule="exact"/>
        <w:rPr>
          <w:sz w:val="10"/>
          <w:lang w:val="en-GB"/>
        </w:rPr>
      </w:pPr>
    </w:p>
    <w:p w14:paraId="680D94A9" w14:textId="77777777" w:rsidR="004A3AB4" w:rsidRPr="004B3ABA" w:rsidRDefault="004A3AB4" w:rsidP="004A3AB4">
      <w:pPr>
        <w:pStyle w:val="SingleTxt"/>
        <w:spacing w:after="0" w:line="120" w:lineRule="exact"/>
        <w:rPr>
          <w:sz w:val="10"/>
          <w:lang w:val="en-GB"/>
        </w:rPr>
      </w:pPr>
    </w:p>
    <w:p w14:paraId="6C0D11FA" w14:textId="77777777" w:rsidR="004A3AB4" w:rsidRPr="00DF37A3" w:rsidRDefault="004A3AB4" w:rsidP="004A3AB4">
      <w:pPr>
        <w:pStyle w:val="SingleTxt"/>
        <w:rPr>
          <w:lang w:val="en-GB"/>
        </w:rPr>
      </w:pPr>
      <w:r w:rsidRPr="00DF37A3">
        <w:rPr>
          <w:lang w:val="en-GB"/>
        </w:rPr>
        <w:t>80.</w:t>
      </w:r>
      <w:r>
        <w:rPr>
          <w:lang w:val="en-GB"/>
        </w:rPr>
        <w:tab/>
      </w:r>
      <w:r w:rsidRPr="00DF37A3">
        <w:rPr>
          <w:lang w:val="en-GB"/>
        </w:rPr>
        <w:t xml:space="preserve">In the leadership of the Ministry of Foreign Affairs (minister, three deputies and a state secretary), the first deputy minister is a woman, which amounts to 20 per cent. Three of the 29 heads of foreign missions of Kyrgyzstan are women, or 10.3 per cent. Three of the 19 heads of the structural units of the Ministry of Foreign Affairs are women, i.e. 15.7 per cent. Thus, women make up l3.2 per cent of the senior staff of the diplomatic service (7 out of 53 senior positions are held by women), which is almost three times higher than the number recommended in the concluding observations on the fourth periodic report of Kyrgyzstan. The overall ratio of women to men in the Ministry is 40 per cent to 60 per cent, respectively; for foreign missions of Kyrgyzstan the ratio is 36 per cent to 64 per cent. </w:t>
      </w:r>
    </w:p>
    <w:p w14:paraId="4C7783F4" w14:textId="77777777" w:rsidR="004A3AB4" w:rsidRPr="004B3ABA" w:rsidRDefault="004A3AB4" w:rsidP="004A3AB4">
      <w:pPr>
        <w:pStyle w:val="SingleTxt"/>
        <w:spacing w:after="0" w:line="120" w:lineRule="exact"/>
        <w:rPr>
          <w:sz w:val="10"/>
          <w:lang w:val="en-GB"/>
        </w:rPr>
      </w:pPr>
    </w:p>
    <w:p w14:paraId="200E0348" w14:textId="77777777" w:rsidR="004A3AB4" w:rsidRPr="004B3ABA" w:rsidRDefault="004A3AB4" w:rsidP="004A3AB4">
      <w:pPr>
        <w:pStyle w:val="SingleTxt"/>
        <w:spacing w:after="0" w:line="120" w:lineRule="exact"/>
        <w:rPr>
          <w:sz w:val="10"/>
          <w:lang w:val="en-GB"/>
        </w:rPr>
      </w:pPr>
    </w:p>
    <w:p w14:paraId="54A09A40" w14:textId="77777777" w:rsidR="004A3AB4" w:rsidRPr="00DF37A3" w:rsidRDefault="004A3AB4" w:rsidP="004A3AB4">
      <w:pPr>
        <w:pStyle w:val="H1"/>
        <w:ind w:right="1260"/>
        <w:rPr>
          <w:lang w:val="en-GB"/>
        </w:rPr>
      </w:pPr>
      <w:r w:rsidRPr="00DF37A3">
        <w:rPr>
          <w:lang w:val="en-GB"/>
        </w:rPr>
        <w:tab/>
      </w:r>
      <w:r w:rsidRPr="00DF37A3">
        <w:rPr>
          <w:lang w:val="en-GB"/>
        </w:rPr>
        <w:tab/>
        <w:t>Article 9</w:t>
      </w:r>
    </w:p>
    <w:p w14:paraId="304A72D3" w14:textId="77777777" w:rsidR="004A3AB4" w:rsidRPr="004B3ABA" w:rsidRDefault="004A3AB4" w:rsidP="004A3AB4">
      <w:pPr>
        <w:pStyle w:val="SingleTxt"/>
        <w:spacing w:after="0" w:line="120" w:lineRule="exact"/>
        <w:rPr>
          <w:sz w:val="10"/>
          <w:lang w:val="en-GB"/>
        </w:rPr>
      </w:pPr>
    </w:p>
    <w:p w14:paraId="3323DFDF" w14:textId="77777777" w:rsidR="004A3AB4" w:rsidRPr="004B3ABA" w:rsidRDefault="004A3AB4" w:rsidP="004A3AB4">
      <w:pPr>
        <w:pStyle w:val="SingleTxt"/>
        <w:spacing w:after="0" w:line="120" w:lineRule="exact"/>
        <w:rPr>
          <w:sz w:val="10"/>
          <w:lang w:val="en-GB"/>
        </w:rPr>
      </w:pPr>
    </w:p>
    <w:p w14:paraId="025031FA" w14:textId="77777777" w:rsidR="004A3AB4" w:rsidRPr="00DF37A3" w:rsidRDefault="004A3AB4" w:rsidP="004A3AB4">
      <w:pPr>
        <w:pStyle w:val="SingleTxt"/>
        <w:rPr>
          <w:lang w:val="en-GB"/>
        </w:rPr>
      </w:pPr>
      <w:r w:rsidRPr="00DF37A3">
        <w:rPr>
          <w:lang w:val="en-GB"/>
        </w:rPr>
        <w:t>81.</w:t>
      </w:r>
      <w:r>
        <w:rPr>
          <w:lang w:val="en-GB"/>
        </w:rPr>
        <w:tab/>
      </w:r>
      <w:r w:rsidRPr="00DF37A3">
        <w:rPr>
          <w:lang w:val="en-GB"/>
        </w:rPr>
        <w:t>Under article 14 of the Citizenship Act, ethnic Kyrgyz who are foreign nationals or are stateless, former Kyrgyz nationals returning to Kyrgyzstan for permanent residence, and foreign-national or stateless women married to a Kyrgyz national and arriving for permanent residence in Kyrgyzstan are granted Kyrgyz nationality under a privileged procedure.</w:t>
      </w:r>
    </w:p>
    <w:p w14:paraId="5999EDA1" w14:textId="77777777" w:rsidR="004A3AB4" w:rsidRPr="00DF37A3" w:rsidRDefault="004A3AB4" w:rsidP="004A3AB4">
      <w:pPr>
        <w:pStyle w:val="SingleTxt"/>
        <w:rPr>
          <w:lang w:val="en-GB"/>
        </w:rPr>
      </w:pPr>
      <w:r w:rsidRPr="00DF37A3">
        <w:rPr>
          <w:lang w:val="en-GB"/>
        </w:rPr>
        <w:t>82.</w:t>
      </w:r>
      <w:r>
        <w:rPr>
          <w:lang w:val="en-GB"/>
        </w:rPr>
        <w:tab/>
      </w:r>
      <w:r w:rsidRPr="00DF37A3">
        <w:rPr>
          <w:lang w:val="en-GB"/>
        </w:rPr>
        <w:t>Kyrgyz nationality is also retained by a child under the tutorship or guardianship of Kyrgyz nationals, if the parents or one of the parents of that child residing in the territory of Kyrgyzstan relinquishes or loses Kyrgyz nationality and does not participate in the upbringing of the child.</w:t>
      </w:r>
    </w:p>
    <w:p w14:paraId="013E20F9" w14:textId="77777777" w:rsidR="004A3AB4" w:rsidRPr="004B3ABA" w:rsidRDefault="004A3AB4" w:rsidP="004A3AB4">
      <w:pPr>
        <w:pStyle w:val="SingleTxt"/>
        <w:spacing w:after="0" w:line="120" w:lineRule="exact"/>
        <w:rPr>
          <w:sz w:val="10"/>
          <w:lang w:val="en-GB"/>
        </w:rPr>
      </w:pPr>
    </w:p>
    <w:p w14:paraId="47838EA7" w14:textId="77777777" w:rsidR="004A3AB4" w:rsidRPr="004B3ABA" w:rsidRDefault="004A3AB4" w:rsidP="004A3AB4">
      <w:pPr>
        <w:pStyle w:val="SingleTxt"/>
        <w:spacing w:after="0" w:line="120" w:lineRule="exact"/>
        <w:rPr>
          <w:sz w:val="10"/>
          <w:lang w:val="en-GB"/>
        </w:rPr>
      </w:pPr>
    </w:p>
    <w:p w14:paraId="1D047E3A" w14:textId="77777777" w:rsidR="004A3AB4" w:rsidRPr="00DF37A3" w:rsidRDefault="004A3AB4" w:rsidP="004A3AB4">
      <w:pPr>
        <w:pStyle w:val="H1"/>
        <w:ind w:right="1260"/>
        <w:rPr>
          <w:lang w:val="en-GB"/>
        </w:rPr>
      </w:pPr>
      <w:r w:rsidRPr="00DF37A3">
        <w:rPr>
          <w:lang w:val="en-GB"/>
        </w:rPr>
        <w:tab/>
      </w:r>
      <w:r w:rsidRPr="00DF37A3">
        <w:rPr>
          <w:lang w:val="en-GB"/>
        </w:rPr>
        <w:tab/>
        <w:t>Article 10</w:t>
      </w:r>
    </w:p>
    <w:p w14:paraId="506B490B" w14:textId="77777777" w:rsidR="004A3AB4" w:rsidRPr="004B3ABA" w:rsidRDefault="004A3AB4" w:rsidP="004A3AB4">
      <w:pPr>
        <w:pStyle w:val="SingleTxt"/>
        <w:spacing w:after="0" w:line="120" w:lineRule="exact"/>
        <w:rPr>
          <w:sz w:val="10"/>
          <w:lang w:val="en-GB"/>
        </w:rPr>
      </w:pPr>
    </w:p>
    <w:p w14:paraId="3EDDF9E5" w14:textId="77777777" w:rsidR="004A3AB4" w:rsidRPr="004B3ABA" w:rsidRDefault="004A3AB4" w:rsidP="004A3AB4">
      <w:pPr>
        <w:pStyle w:val="SingleTxt"/>
        <w:spacing w:after="0" w:line="120" w:lineRule="exact"/>
        <w:rPr>
          <w:sz w:val="10"/>
          <w:lang w:val="en-GB"/>
        </w:rPr>
      </w:pPr>
    </w:p>
    <w:p w14:paraId="64C8AA4B" w14:textId="77777777" w:rsidR="004A3AB4" w:rsidRPr="00DF37A3" w:rsidRDefault="004A3AB4" w:rsidP="004A3AB4">
      <w:pPr>
        <w:pStyle w:val="SingleTxt"/>
        <w:rPr>
          <w:lang w:val="en-GB"/>
        </w:rPr>
      </w:pPr>
      <w:r w:rsidRPr="00DF37A3">
        <w:rPr>
          <w:lang w:val="en-GB"/>
        </w:rPr>
        <w:t>83.</w:t>
      </w:r>
      <w:r>
        <w:rPr>
          <w:lang w:val="en-GB"/>
        </w:rPr>
        <w:tab/>
      </w:r>
      <w:r w:rsidRPr="00DF37A3">
        <w:rPr>
          <w:lang w:val="en-GB"/>
        </w:rPr>
        <w:t xml:space="preserve">According to the norms of the Education Act, all citizens of the Republic have equal rights to receive free basic, general secondary and higher professional education. Kyrgyz legislation stipulates the same conditions for the choice of a profession or specialization by men and women, as well as access to education in educational institutions of all categories. </w:t>
      </w:r>
    </w:p>
    <w:p w14:paraId="0139F2DD" w14:textId="77777777" w:rsidR="004A3AB4" w:rsidRPr="00DF37A3" w:rsidRDefault="004A3AB4" w:rsidP="004A3AB4">
      <w:pPr>
        <w:pStyle w:val="SingleTxt"/>
        <w:rPr>
          <w:lang w:val="en-GB"/>
        </w:rPr>
      </w:pPr>
      <w:r w:rsidRPr="00DF37A3">
        <w:rPr>
          <w:lang w:val="en-GB"/>
        </w:rPr>
        <w:t>84.</w:t>
      </w:r>
      <w:r>
        <w:rPr>
          <w:lang w:val="en-GB"/>
        </w:rPr>
        <w:tab/>
      </w:r>
      <w:r w:rsidRPr="00DF37A3">
        <w:rPr>
          <w:lang w:val="en-GB"/>
        </w:rPr>
        <w:t xml:space="preserve">Currently, there are 1,390 preschool educational establishments operating in the country (compared to 927 in 2013), which are raising 187.1 thousand children, or 23.5 per cent of that age group. The coverage of preschool education in urban areas is 34.2 per cent, in rural areas </w:t>
      </w:r>
      <w:r>
        <w:rPr>
          <w:lang w:val="en-GB"/>
        </w:rPr>
        <w:t>–</w:t>
      </w:r>
      <w:r w:rsidRPr="00DF37A3">
        <w:rPr>
          <w:lang w:val="en-GB"/>
        </w:rPr>
        <w:t xml:space="preserve"> 17.9 per cent.</w:t>
      </w:r>
    </w:p>
    <w:p w14:paraId="2726C62E" w14:textId="77777777" w:rsidR="004A3AB4" w:rsidRPr="004B3ABA" w:rsidRDefault="004A3AB4" w:rsidP="004A3AB4">
      <w:pPr>
        <w:pStyle w:val="SingleTxt"/>
        <w:spacing w:after="0" w:line="120" w:lineRule="exact"/>
        <w:rPr>
          <w:sz w:val="10"/>
          <w:lang w:val="en-GB"/>
        </w:rPr>
      </w:pPr>
    </w:p>
    <w:p w14:paraId="158D878A" w14:textId="77777777" w:rsidR="004A3AB4" w:rsidRPr="00DF37A3" w:rsidRDefault="004A3AB4" w:rsidP="004A3AB4">
      <w:pPr>
        <w:pStyle w:val="SingleTxt"/>
        <w:spacing w:after="0"/>
        <w:rPr>
          <w:lang w:val="en-GB"/>
        </w:rPr>
      </w:pPr>
      <w:r w:rsidRPr="00DF37A3">
        <w:rPr>
          <w:lang w:val="en-GB"/>
        </w:rPr>
        <w:t>Table 11</w:t>
      </w:r>
    </w:p>
    <w:p w14:paraId="71957A48" w14:textId="103C6BB4" w:rsidR="004A3AB4" w:rsidRPr="00DF37A3" w:rsidRDefault="004A3AB4" w:rsidP="00D60F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480" w:hanging="1267"/>
      </w:pPr>
      <w:r>
        <w:tab/>
      </w:r>
      <w:r>
        <w:tab/>
      </w:r>
      <w:r w:rsidRPr="00DF37A3">
        <w:t>Number of children in pre-school establishments, broken down by place of</w:t>
      </w:r>
      <w:r w:rsidR="00D60F97">
        <w:t xml:space="preserve"> </w:t>
      </w:r>
      <w:r w:rsidRPr="00DF37A3">
        <w:t>residence</w:t>
      </w:r>
    </w:p>
    <w:p w14:paraId="0E8106BF" w14:textId="77777777" w:rsidR="004A3AB4" w:rsidRPr="004B3ABA" w:rsidRDefault="004A3AB4" w:rsidP="004A3AB4">
      <w:pPr>
        <w:pStyle w:val="SingleTxt"/>
        <w:spacing w:after="0" w:line="120" w:lineRule="exact"/>
        <w:rPr>
          <w:sz w:val="10"/>
          <w:lang w:val="en-GB"/>
        </w:rPr>
      </w:pPr>
    </w:p>
    <w:tbl>
      <w:tblPr>
        <w:tblStyle w:val="TableGrid"/>
        <w:tblW w:w="8612"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65"/>
        <w:gridCol w:w="1307"/>
        <w:gridCol w:w="1392"/>
        <w:gridCol w:w="1344"/>
        <w:gridCol w:w="115"/>
        <w:gridCol w:w="1197"/>
        <w:gridCol w:w="1292"/>
      </w:tblGrid>
      <w:tr w:rsidR="004A3AB4" w:rsidRPr="004B3ABA" w14:paraId="40FC6507" w14:textId="77777777" w:rsidTr="003C23CC">
        <w:trPr>
          <w:tblHeader/>
        </w:trPr>
        <w:tc>
          <w:tcPr>
            <w:tcW w:w="1965" w:type="dxa"/>
            <w:vMerge w:val="restart"/>
            <w:tcBorders>
              <w:top w:val="single" w:sz="4" w:space="0" w:color="auto"/>
            </w:tcBorders>
            <w:shd w:val="clear" w:color="auto" w:fill="auto"/>
            <w:vAlign w:val="bottom"/>
          </w:tcPr>
          <w:p w14:paraId="06EC7C85"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p>
        </w:tc>
        <w:tc>
          <w:tcPr>
            <w:tcW w:w="1307" w:type="dxa"/>
            <w:vMerge w:val="restart"/>
            <w:tcBorders>
              <w:top w:val="single" w:sz="4" w:space="0" w:color="auto"/>
            </w:tcBorders>
            <w:shd w:val="clear" w:color="auto" w:fill="auto"/>
            <w:vAlign w:val="bottom"/>
          </w:tcPr>
          <w:p w14:paraId="3971B775"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4B3ABA">
              <w:rPr>
                <w:i/>
                <w:sz w:val="14"/>
                <w:lang w:val="en-GB"/>
              </w:rPr>
              <w:t>Total</w:t>
            </w:r>
          </w:p>
        </w:tc>
        <w:tc>
          <w:tcPr>
            <w:tcW w:w="2736" w:type="dxa"/>
            <w:gridSpan w:val="2"/>
            <w:tcBorders>
              <w:top w:val="single" w:sz="4" w:space="0" w:color="auto"/>
              <w:bottom w:val="single" w:sz="4" w:space="0" w:color="auto"/>
            </w:tcBorders>
            <w:shd w:val="clear" w:color="auto" w:fill="auto"/>
            <w:vAlign w:val="bottom"/>
          </w:tcPr>
          <w:p w14:paraId="5A97E5BC"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center"/>
              <w:rPr>
                <w:i/>
                <w:sz w:val="14"/>
                <w:lang w:val="en-GB"/>
              </w:rPr>
            </w:pPr>
            <w:r w:rsidRPr="004B3ABA">
              <w:rPr>
                <w:i/>
                <w:sz w:val="14"/>
                <w:lang w:val="en-GB"/>
              </w:rPr>
              <w:t>Urban areas</w:t>
            </w:r>
          </w:p>
        </w:tc>
        <w:tc>
          <w:tcPr>
            <w:tcW w:w="115" w:type="dxa"/>
            <w:tcBorders>
              <w:top w:val="single" w:sz="4" w:space="0" w:color="auto"/>
            </w:tcBorders>
            <w:shd w:val="clear" w:color="auto" w:fill="auto"/>
            <w:vAlign w:val="bottom"/>
          </w:tcPr>
          <w:p w14:paraId="10553C29"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c>
          <w:tcPr>
            <w:tcW w:w="2489" w:type="dxa"/>
            <w:gridSpan w:val="2"/>
            <w:tcBorders>
              <w:top w:val="single" w:sz="4" w:space="0" w:color="auto"/>
              <w:bottom w:val="single" w:sz="4" w:space="0" w:color="auto"/>
            </w:tcBorders>
            <w:shd w:val="clear" w:color="auto" w:fill="auto"/>
            <w:vAlign w:val="bottom"/>
          </w:tcPr>
          <w:p w14:paraId="30F1A2B9"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center"/>
              <w:rPr>
                <w:i/>
                <w:sz w:val="14"/>
                <w:lang w:val="en-GB"/>
              </w:rPr>
            </w:pPr>
            <w:r w:rsidRPr="004B3ABA">
              <w:rPr>
                <w:i/>
                <w:sz w:val="14"/>
                <w:lang w:val="en-GB"/>
              </w:rPr>
              <w:t>Rural areas</w:t>
            </w:r>
          </w:p>
        </w:tc>
      </w:tr>
      <w:tr w:rsidR="004A3AB4" w:rsidRPr="004B3ABA" w14:paraId="77256C9A" w14:textId="77777777" w:rsidTr="003C23CC">
        <w:trPr>
          <w:tblHeader/>
        </w:trPr>
        <w:tc>
          <w:tcPr>
            <w:tcW w:w="1965" w:type="dxa"/>
            <w:vMerge/>
            <w:tcBorders>
              <w:bottom w:val="single" w:sz="12" w:space="0" w:color="auto"/>
            </w:tcBorders>
            <w:shd w:val="clear" w:color="auto" w:fill="auto"/>
            <w:vAlign w:val="bottom"/>
          </w:tcPr>
          <w:p w14:paraId="2DBCA4DF"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p>
        </w:tc>
        <w:tc>
          <w:tcPr>
            <w:tcW w:w="1307" w:type="dxa"/>
            <w:vMerge/>
            <w:tcBorders>
              <w:bottom w:val="single" w:sz="12" w:space="0" w:color="auto"/>
            </w:tcBorders>
            <w:shd w:val="clear" w:color="auto" w:fill="auto"/>
            <w:vAlign w:val="bottom"/>
          </w:tcPr>
          <w:p w14:paraId="390DC4FF"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c>
          <w:tcPr>
            <w:tcW w:w="1392" w:type="dxa"/>
            <w:tcBorders>
              <w:top w:val="single" w:sz="4" w:space="0" w:color="auto"/>
              <w:bottom w:val="single" w:sz="12" w:space="0" w:color="auto"/>
            </w:tcBorders>
            <w:shd w:val="clear" w:color="auto" w:fill="auto"/>
            <w:vAlign w:val="bottom"/>
          </w:tcPr>
          <w:p w14:paraId="604B3723"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4B3ABA">
              <w:rPr>
                <w:i/>
                <w:sz w:val="14"/>
                <w:lang w:val="en-GB"/>
              </w:rPr>
              <w:t>Girls</w:t>
            </w:r>
          </w:p>
        </w:tc>
        <w:tc>
          <w:tcPr>
            <w:tcW w:w="1344" w:type="dxa"/>
            <w:tcBorders>
              <w:top w:val="single" w:sz="4" w:space="0" w:color="auto"/>
              <w:bottom w:val="single" w:sz="12" w:space="0" w:color="auto"/>
            </w:tcBorders>
            <w:shd w:val="clear" w:color="auto" w:fill="auto"/>
            <w:vAlign w:val="bottom"/>
          </w:tcPr>
          <w:p w14:paraId="408F2503"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4B3ABA">
              <w:rPr>
                <w:i/>
                <w:sz w:val="14"/>
                <w:lang w:val="en-GB"/>
              </w:rPr>
              <w:t>Boys</w:t>
            </w:r>
          </w:p>
        </w:tc>
        <w:tc>
          <w:tcPr>
            <w:tcW w:w="115" w:type="dxa"/>
            <w:tcBorders>
              <w:bottom w:val="single" w:sz="12" w:space="0" w:color="auto"/>
            </w:tcBorders>
            <w:shd w:val="clear" w:color="auto" w:fill="auto"/>
            <w:vAlign w:val="bottom"/>
          </w:tcPr>
          <w:p w14:paraId="4E8BC220"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c>
          <w:tcPr>
            <w:tcW w:w="1197" w:type="dxa"/>
            <w:tcBorders>
              <w:top w:val="single" w:sz="4" w:space="0" w:color="auto"/>
              <w:bottom w:val="single" w:sz="12" w:space="0" w:color="auto"/>
            </w:tcBorders>
            <w:shd w:val="clear" w:color="auto" w:fill="auto"/>
            <w:vAlign w:val="bottom"/>
          </w:tcPr>
          <w:p w14:paraId="62A31DE4"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4B3ABA">
              <w:rPr>
                <w:i/>
                <w:sz w:val="14"/>
                <w:lang w:val="en-GB"/>
              </w:rPr>
              <w:t>Girls</w:t>
            </w:r>
          </w:p>
        </w:tc>
        <w:tc>
          <w:tcPr>
            <w:tcW w:w="1292" w:type="dxa"/>
            <w:tcBorders>
              <w:top w:val="single" w:sz="4" w:space="0" w:color="auto"/>
              <w:bottom w:val="single" w:sz="12" w:space="0" w:color="auto"/>
            </w:tcBorders>
            <w:shd w:val="clear" w:color="auto" w:fill="auto"/>
            <w:vAlign w:val="bottom"/>
          </w:tcPr>
          <w:p w14:paraId="26BE8C9F"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4B3ABA">
              <w:rPr>
                <w:i/>
                <w:sz w:val="14"/>
                <w:lang w:val="en-GB"/>
              </w:rPr>
              <w:t>Boys</w:t>
            </w:r>
          </w:p>
        </w:tc>
      </w:tr>
      <w:tr w:rsidR="004A3AB4" w:rsidRPr="004B3ABA" w14:paraId="02CFAE14" w14:textId="77777777" w:rsidTr="003C23CC">
        <w:trPr>
          <w:trHeight w:hRule="exact" w:val="115"/>
          <w:tblHeader/>
        </w:trPr>
        <w:tc>
          <w:tcPr>
            <w:tcW w:w="1965" w:type="dxa"/>
            <w:tcBorders>
              <w:top w:val="single" w:sz="12" w:space="0" w:color="auto"/>
            </w:tcBorders>
            <w:shd w:val="clear" w:color="auto" w:fill="auto"/>
            <w:vAlign w:val="bottom"/>
          </w:tcPr>
          <w:p w14:paraId="71C43CAA"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1307" w:type="dxa"/>
            <w:tcBorders>
              <w:top w:val="single" w:sz="12" w:space="0" w:color="auto"/>
            </w:tcBorders>
            <w:shd w:val="clear" w:color="auto" w:fill="auto"/>
            <w:vAlign w:val="bottom"/>
          </w:tcPr>
          <w:p w14:paraId="1058352E"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392" w:type="dxa"/>
            <w:tcBorders>
              <w:top w:val="single" w:sz="12" w:space="0" w:color="auto"/>
            </w:tcBorders>
            <w:shd w:val="clear" w:color="auto" w:fill="auto"/>
            <w:vAlign w:val="bottom"/>
          </w:tcPr>
          <w:p w14:paraId="22FCDD16"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344" w:type="dxa"/>
            <w:tcBorders>
              <w:top w:val="single" w:sz="12" w:space="0" w:color="auto"/>
            </w:tcBorders>
            <w:shd w:val="clear" w:color="auto" w:fill="auto"/>
            <w:vAlign w:val="bottom"/>
          </w:tcPr>
          <w:p w14:paraId="59BA5162"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312" w:type="dxa"/>
            <w:gridSpan w:val="2"/>
            <w:tcBorders>
              <w:top w:val="single" w:sz="12" w:space="0" w:color="auto"/>
            </w:tcBorders>
            <w:shd w:val="clear" w:color="auto" w:fill="auto"/>
            <w:vAlign w:val="bottom"/>
          </w:tcPr>
          <w:p w14:paraId="5BD105E0"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292" w:type="dxa"/>
            <w:tcBorders>
              <w:top w:val="single" w:sz="12" w:space="0" w:color="auto"/>
            </w:tcBorders>
            <w:shd w:val="clear" w:color="auto" w:fill="auto"/>
            <w:vAlign w:val="bottom"/>
          </w:tcPr>
          <w:p w14:paraId="7CDB4414"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4A3AB4" w:rsidRPr="004B3ABA" w14:paraId="798B2997" w14:textId="77777777" w:rsidTr="003C23CC">
        <w:tc>
          <w:tcPr>
            <w:tcW w:w="1965" w:type="dxa"/>
            <w:shd w:val="clear" w:color="auto" w:fill="auto"/>
            <w:vAlign w:val="bottom"/>
          </w:tcPr>
          <w:p w14:paraId="7455DDA6"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4B3ABA">
              <w:rPr>
                <w:sz w:val="17"/>
                <w:lang w:val="en-GB"/>
              </w:rPr>
              <w:t>2013</w:t>
            </w:r>
          </w:p>
        </w:tc>
        <w:tc>
          <w:tcPr>
            <w:tcW w:w="1307" w:type="dxa"/>
            <w:shd w:val="clear" w:color="auto" w:fill="auto"/>
            <w:vAlign w:val="bottom"/>
          </w:tcPr>
          <w:p w14:paraId="1D2525D7"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B3ABA">
              <w:rPr>
                <w:sz w:val="17"/>
                <w:lang w:val="en-GB"/>
              </w:rPr>
              <w:t>132 481</w:t>
            </w:r>
          </w:p>
        </w:tc>
        <w:tc>
          <w:tcPr>
            <w:tcW w:w="1392" w:type="dxa"/>
            <w:shd w:val="clear" w:color="auto" w:fill="auto"/>
            <w:vAlign w:val="bottom"/>
          </w:tcPr>
          <w:p w14:paraId="35296F50"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B3ABA">
              <w:rPr>
                <w:sz w:val="17"/>
                <w:lang w:val="en-GB"/>
              </w:rPr>
              <w:t>37 137</w:t>
            </w:r>
          </w:p>
        </w:tc>
        <w:tc>
          <w:tcPr>
            <w:tcW w:w="1344" w:type="dxa"/>
            <w:shd w:val="clear" w:color="auto" w:fill="auto"/>
            <w:vAlign w:val="bottom"/>
          </w:tcPr>
          <w:p w14:paraId="11A03179"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B3ABA">
              <w:rPr>
                <w:sz w:val="17"/>
                <w:lang w:val="en-GB"/>
              </w:rPr>
              <w:t>39 938</w:t>
            </w:r>
          </w:p>
        </w:tc>
        <w:tc>
          <w:tcPr>
            <w:tcW w:w="1312" w:type="dxa"/>
            <w:gridSpan w:val="2"/>
            <w:shd w:val="clear" w:color="auto" w:fill="auto"/>
            <w:vAlign w:val="bottom"/>
          </w:tcPr>
          <w:p w14:paraId="4996A787"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B3ABA">
              <w:rPr>
                <w:sz w:val="17"/>
                <w:lang w:val="en-GB"/>
              </w:rPr>
              <w:t>27 681</w:t>
            </w:r>
          </w:p>
        </w:tc>
        <w:tc>
          <w:tcPr>
            <w:tcW w:w="1292" w:type="dxa"/>
            <w:shd w:val="clear" w:color="auto" w:fill="auto"/>
            <w:vAlign w:val="bottom"/>
          </w:tcPr>
          <w:p w14:paraId="33A5C534"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B3ABA">
              <w:rPr>
                <w:sz w:val="17"/>
                <w:lang w:val="en-GB"/>
              </w:rPr>
              <w:t>27 725</w:t>
            </w:r>
          </w:p>
        </w:tc>
      </w:tr>
      <w:tr w:rsidR="004A3AB4" w:rsidRPr="004B3ABA" w14:paraId="10B86EAB" w14:textId="77777777" w:rsidTr="003C23CC">
        <w:tc>
          <w:tcPr>
            <w:tcW w:w="1965" w:type="dxa"/>
            <w:shd w:val="clear" w:color="auto" w:fill="auto"/>
            <w:vAlign w:val="bottom"/>
          </w:tcPr>
          <w:p w14:paraId="6AC76D8E"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4B3ABA">
              <w:rPr>
                <w:sz w:val="17"/>
                <w:lang w:val="en-GB"/>
              </w:rPr>
              <w:t>2014</w:t>
            </w:r>
          </w:p>
        </w:tc>
        <w:tc>
          <w:tcPr>
            <w:tcW w:w="1307" w:type="dxa"/>
            <w:shd w:val="clear" w:color="auto" w:fill="auto"/>
            <w:vAlign w:val="bottom"/>
          </w:tcPr>
          <w:p w14:paraId="7FC2C968"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B3ABA">
              <w:rPr>
                <w:sz w:val="17"/>
                <w:lang w:val="en-GB"/>
              </w:rPr>
              <w:t>152 216</w:t>
            </w:r>
          </w:p>
        </w:tc>
        <w:tc>
          <w:tcPr>
            <w:tcW w:w="1392" w:type="dxa"/>
            <w:shd w:val="clear" w:color="auto" w:fill="auto"/>
            <w:vAlign w:val="bottom"/>
          </w:tcPr>
          <w:p w14:paraId="6EB59F7A"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B3ABA">
              <w:rPr>
                <w:sz w:val="17"/>
                <w:lang w:val="en-GB"/>
              </w:rPr>
              <w:t>40 184</w:t>
            </w:r>
          </w:p>
        </w:tc>
        <w:tc>
          <w:tcPr>
            <w:tcW w:w="1344" w:type="dxa"/>
            <w:shd w:val="clear" w:color="auto" w:fill="auto"/>
            <w:vAlign w:val="bottom"/>
          </w:tcPr>
          <w:p w14:paraId="48B3FF89"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B3ABA">
              <w:rPr>
                <w:sz w:val="17"/>
                <w:lang w:val="en-GB"/>
              </w:rPr>
              <w:t>42 768</w:t>
            </w:r>
          </w:p>
        </w:tc>
        <w:tc>
          <w:tcPr>
            <w:tcW w:w="1312" w:type="dxa"/>
            <w:gridSpan w:val="2"/>
            <w:shd w:val="clear" w:color="auto" w:fill="auto"/>
            <w:vAlign w:val="bottom"/>
          </w:tcPr>
          <w:p w14:paraId="3C5EFA1F"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B3ABA">
              <w:rPr>
                <w:sz w:val="17"/>
                <w:lang w:val="en-GB"/>
              </w:rPr>
              <w:t>34 515</w:t>
            </w:r>
          </w:p>
        </w:tc>
        <w:tc>
          <w:tcPr>
            <w:tcW w:w="1292" w:type="dxa"/>
            <w:shd w:val="clear" w:color="auto" w:fill="auto"/>
            <w:vAlign w:val="bottom"/>
          </w:tcPr>
          <w:p w14:paraId="22AE3874"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B3ABA">
              <w:rPr>
                <w:sz w:val="17"/>
                <w:lang w:val="en-GB"/>
              </w:rPr>
              <w:t>34 749</w:t>
            </w:r>
          </w:p>
        </w:tc>
      </w:tr>
      <w:tr w:rsidR="004A3AB4" w:rsidRPr="004B3ABA" w14:paraId="5AC0624A" w14:textId="77777777" w:rsidTr="003C23CC">
        <w:tc>
          <w:tcPr>
            <w:tcW w:w="1965" w:type="dxa"/>
            <w:shd w:val="clear" w:color="auto" w:fill="auto"/>
            <w:vAlign w:val="bottom"/>
          </w:tcPr>
          <w:p w14:paraId="0E7A5643"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4B3ABA">
              <w:rPr>
                <w:sz w:val="17"/>
                <w:lang w:val="en-GB"/>
              </w:rPr>
              <w:t>2015</w:t>
            </w:r>
          </w:p>
        </w:tc>
        <w:tc>
          <w:tcPr>
            <w:tcW w:w="1307" w:type="dxa"/>
            <w:shd w:val="clear" w:color="auto" w:fill="auto"/>
            <w:vAlign w:val="bottom"/>
          </w:tcPr>
          <w:p w14:paraId="064C0E67"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B3ABA">
              <w:rPr>
                <w:sz w:val="17"/>
                <w:lang w:val="en-GB"/>
              </w:rPr>
              <w:t>161 380</w:t>
            </w:r>
          </w:p>
        </w:tc>
        <w:tc>
          <w:tcPr>
            <w:tcW w:w="1392" w:type="dxa"/>
            <w:shd w:val="clear" w:color="auto" w:fill="auto"/>
            <w:vAlign w:val="bottom"/>
          </w:tcPr>
          <w:p w14:paraId="2ED13287"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B3ABA">
              <w:rPr>
                <w:sz w:val="17"/>
                <w:lang w:val="en-GB"/>
              </w:rPr>
              <w:t>41 673</w:t>
            </w:r>
          </w:p>
        </w:tc>
        <w:tc>
          <w:tcPr>
            <w:tcW w:w="1344" w:type="dxa"/>
            <w:shd w:val="clear" w:color="auto" w:fill="auto"/>
            <w:vAlign w:val="bottom"/>
          </w:tcPr>
          <w:p w14:paraId="2A8C25DC"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B3ABA">
              <w:rPr>
                <w:sz w:val="17"/>
                <w:lang w:val="en-GB"/>
              </w:rPr>
              <w:t>43 654</w:t>
            </w:r>
          </w:p>
        </w:tc>
        <w:tc>
          <w:tcPr>
            <w:tcW w:w="1312" w:type="dxa"/>
            <w:gridSpan w:val="2"/>
            <w:shd w:val="clear" w:color="auto" w:fill="auto"/>
            <w:vAlign w:val="bottom"/>
          </w:tcPr>
          <w:p w14:paraId="5D9520F7"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B3ABA">
              <w:rPr>
                <w:sz w:val="17"/>
                <w:lang w:val="en-GB"/>
              </w:rPr>
              <w:t>37 914</w:t>
            </w:r>
          </w:p>
        </w:tc>
        <w:tc>
          <w:tcPr>
            <w:tcW w:w="1292" w:type="dxa"/>
            <w:shd w:val="clear" w:color="auto" w:fill="auto"/>
            <w:vAlign w:val="bottom"/>
          </w:tcPr>
          <w:p w14:paraId="3D1E9ED7"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B3ABA">
              <w:rPr>
                <w:sz w:val="17"/>
                <w:lang w:val="en-GB"/>
              </w:rPr>
              <w:t>38 139</w:t>
            </w:r>
          </w:p>
        </w:tc>
      </w:tr>
      <w:tr w:rsidR="004A3AB4" w:rsidRPr="004B3ABA" w14:paraId="0B984F6A" w14:textId="77777777" w:rsidTr="003C23CC">
        <w:tc>
          <w:tcPr>
            <w:tcW w:w="1965" w:type="dxa"/>
            <w:shd w:val="clear" w:color="auto" w:fill="auto"/>
            <w:vAlign w:val="bottom"/>
          </w:tcPr>
          <w:p w14:paraId="218795F7"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4B3ABA">
              <w:rPr>
                <w:sz w:val="17"/>
                <w:lang w:val="en-GB"/>
              </w:rPr>
              <w:t>2016</w:t>
            </w:r>
          </w:p>
        </w:tc>
        <w:tc>
          <w:tcPr>
            <w:tcW w:w="1307" w:type="dxa"/>
            <w:shd w:val="clear" w:color="auto" w:fill="auto"/>
            <w:vAlign w:val="bottom"/>
          </w:tcPr>
          <w:p w14:paraId="6990D97A"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B3ABA">
              <w:rPr>
                <w:sz w:val="17"/>
                <w:lang w:val="en-GB"/>
              </w:rPr>
              <w:t>173 633</w:t>
            </w:r>
          </w:p>
        </w:tc>
        <w:tc>
          <w:tcPr>
            <w:tcW w:w="1392" w:type="dxa"/>
            <w:shd w:val="clear" w:color="auto" w:fill="auto"/>
            <w:vAlign w:val="bottom"/>
          </w:tcPr>
          <w:p w14:paraId="74F418B9"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B3ABA">
              <w:rPr>
                <w:sz w:val="17"/>
                <w:lang w:val="en-GB"/>
              </w:rPr>
              <w:t>42 935</w:t>
            </w:r>
          </w:p>
        </w:tc>
        <w:tc>
          <w:tcPr>
            <w:tcW w:w="1344" w:type="dxa"/>
            <w:shd w:val="clear" w:color="auto" w:fill="auto"/>
            <w:vAlign w:val="bottom"/>
          </w:tcPr>
          <w:p w14:paraId="536577A1"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B3ABA">
              <w:rPr>
                <w:sz w:val="17"/>
                <w:lang w:val="en-GB"/>
              </w:rPr>
              <w:t>45 611</w:t>
            </w:r>
          </w:p>
        </w:tc>
        <w:tc>
          <w:tcPr>
            <w:tcW w:w="1312" w:type="dxa"/>
            <w:gridSpan w:val="2"/>
            <w:shd w:val="clear" w:color="auto" w:fill="auto"/>
            <w:vAlign w:val="bottom"/>
          </w:tcPr>
          <w:p w14:paraId="76AB303B"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B3ABA">
              <w:rPr>
                <w:sz w:val="17"/>
                <w:lang w:val="en-GB"/>
              </w:rPr>
              <w:t>42 269</w:t>
            </w:r>
          </w:p>
        </w:tc>
        <w:tc>
          <w:tcPr>
            <w:tcW w:w="1292" w:type="dxa"/>
            <w:shd w:val="clear" w:color="auto" w:fill="auto"/>
            <w:vAlign w:val="bottom"/>
          </w:tcPr>
          <w:p w14:paraId="206631FC"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B3ABA">
              <w:rPr>
                <w:sz w:val="17"/>
                <w:lang w:val="en-GB"/>
              </w:rPr>
              <w:t>42 818</w:t>
            </w:r>
          </w:p>
        </w:tc>
      </w:tr>
      <w:tr w:rsidR="004A3AB4" w:rsidRPr="004B3ABA" w14:paraId="5B5B1F94" w14:textId="77777777" w:rsidTr="003C23CC">
        <w:tc>
          <w:tcPr>
            <w:tcW w:w="1965" w:type="dxa"/>
            <w:tcBorders>
              <w:bottom w:val="single" w:sz="12" w:space="0" w:color="auto"/>
            </w:tcBorders>
            <w:shd w:val="clear" w:color="auto" w:fill="auto"/>
            <w:vAlign w:val="bottom"/>
          </w:tcPr>
          <w:p w14:paraId="6D2B5831"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4B3ABA">
              <w:rPr>
                <w:sz w:val="17"/>
                <w:lang w:val="en-GB"/>
              </w:rPr>
              <w:t>2017</w:t>
            </w:r>
          </w:p>
        </w:tc>
        <w:tc>
          <w:tcPr>
            <w:tcW w:w="1307" w:type="dxa"/>
            <w:tcBorders>
              <w:bottom w:val="single" w:sz="12" w:space="0" w:color="auto"/>
            </w:tcBorders>
            <w:shd w:val="clear" w:color="auto" w:fill="auto"/>
            <w:vAlign w:val="bottom"/>
          </w:tcPr>
          <w:p w14:paraId="32E342F7"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B3ABA">
              <w:rPr>
                <w:sz w:val="17"/>
                <w:lang w:val="en-GB"/>
              </w:rPr>
              <w:t>187 078</w:t>
            </w:r>
          </w:p>
        </w:tc>
        <w:tc>
          <w:tcPr>
            <w:tcW w:w="1392" w:type="dxa"/>
            <w:tcBorders>
              <w:bottom w:val="single" w:sz="12" w:space="0" w:color="auto"/>
            </w:tcBorders>
            <w:shd w:val="clear" w:color="auto" w:fill="auto"/>
            <w:vAlign w:val="bottom"/>
          </w:tcPr>
          <w:p w14:paraId="538CDE9D"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B3ABA">
              <w:rPr>
                <w:sz w:val="17"/>
                <w:lang w:val="en-GB"/>
              </w:rPr>
              <w:t>44 831</w:t>
            </w:r>
          </w:p>
        </w:tc>
        <w:tc>
          <w:tcPr>
            <w:tcW w:w="1344" w:type="dxa"/>
            <w:tcBorders>
              <w:bottom w:val="single" w:sz="12" w:space="0" w:color="auto"/>
            </w:tcBorders>
            <w:shd w:val="clear" w:color="auto" w:fill="auto"/>
            <w:vAlign w:val="bottom"/>
          </w:tcPr>
          <w:p w14:paraId="5E45018E"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B3ABA">
              <w:rPr>
                <w:sz w:val="17"/>
                <w:lang w:val="en-GB"/>
              </w:rPr>
              <w:t>48 412</w:t>
            </w:r>
          </w:p>
        </w:tc>
        <w:tc>
          <w:tcPr>
            <w:tcW w:w="1312" w:type="dxa"/>
            <w:gridSpan w:val="2"/>
            <w:tcBorders>
              <w:bottom w:val="single" w:sz="12" w:space="0" w:color="auto"/>
            </w:tcBorders>
            <w:shd w:val="clear" w:color="auto" w:fill="auto"/>
            <w:vAlign w:val="bottom"/>
          </w:tcPr>
          <w:p w14:paraId="18597A3B"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B3ABA">
              <w:rPr>
                <w:sz w:val="17"/>
                <w:lang w:val="en-GB"/>
              </w:rPr>
              <w:t>46 123</w:t>
            </w:r>
          </w:p>
        </w:tc>
        <w:tc>
          <w:tcPr>
            <w:tcW w:w="1292" w:type="dxa"/>
            <w:tcBorders>
              <w:bottom w:val="single" w:sz="12" w:space="0" w:color="auto"/>
            </w:tcBorders>
            <w:shd w:val="clear" w:color="auto" w:fill="auto"/>
            <w:vAlign w:val="bottom"/>
          </w:tcPr>
          <w:p w14:paraId="3BB2F483"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B3ABA">
              <w:rPr>
                <w:sz w:val="17"/>
                <w:lang w:val="en-GB"/>
              </w:rPr>
              <w:t>47 712</w:t>
            </w:r>
          </w:p>
        </w:tc>
      </w:tr>
    </w:tbl>
    <w:p w14:paraId="51D75060" w14:textId="77777777" w:rsidR="004A3AB4" w:rsidRPr="004B3ABA" w:rsidRDefault="004A3AB4" w:rsidP="004A3AB4">
      <w:pPr>
        <w:pStyle w:val="SingleTxt"/>
        <w:spacing w:after="0" w:line="120" w:lineRule="exact"/>
        <w:rPr>
          <w:sz w:val="10"/>
          <w:lang w:val="en-GB"/>
        </w:rPr>
      </w:pPr>
    </w:p>
    <w:p w14:paraId="4C334406" w14:textId="77777777" w:rsidR="004A3AB4" w:rsidRPr="004B3ABA" w:rsidRDefault="004A3AB4" w:rsidP="004A3AB4">
      <w:pPr>
        <w:pStyle w:val="SingleTxt"/>
        <w:spacing w:after="0" w:line="120" w:lineRule="exact"/>
        <w:rPr>
          <w:sz w:val="10"/>
          <w:lang w:val="en-GB"/>
        </w:rPr>
      </w:pPr>
    </w:p>
    <w:p w14:paraId="65C56927" w14:textId="77777777" w:rsidR="004A3AB4" w:rsidRPr="00DF37A3" w:rsidRDefault="004A3AB4" w:rsidP="004A3AB4">
      <w:pPr>
        <w:pStyle w:val="SingleTxt"/>
        <w:rPr>
          <w:lang w:val="en-GB"/>
        </w:rPr>
      </w:pPr>
      <w:r w:rsidRPr="00DF37A3">
        <w:rPr>
          <w:lang w:val="en-GB"/>
        </w:rPr>
        <w:t>85.</w:t>
      </w:r>
      <w:r>
        <w:rPr>
          <w:lang w:val="en-GB"/>
        </w:rPr>
        <w:tab/>
      </w:r>
      <w:r w:rsidRPr="00DF37A3">
        <w:rPr>
          <w:lang w:val="en-GB"/>
        </w:rPr>
        <w:t>The number of pupils enrolled in first grade grows every year:</w:t>
      </w:r>
    </w:p>
    <w:p w14:paraId="615FE83D" w14:textId="77777777" w:rsidR="004A3AB4" w:rsidRPr="00DF37A3" w:rsidRDefault="004A3AB4" w:rsidP="00D60F97">
      <w:pPr>
        <w:pStyle w:val="SingleTxt"/>
        <w:keepNext/>
        <w:spacing w:after="0"/>
        <w:rPr>
          <w:lang w:val="en-GB"/>
        </w:rPr>
      </w:pPr>
      <w:r w:rsidRPr="00DF37A3">
        <w:rPr>
          <w:lang w:val="en-GB"/>
        </w:rPr>
        <w:lastRenderedPageBreak/>
        <w:t>Table 12</w:t>
      </w:r>
    </w:p>
    <w:p w14:paraId="375D5BA8" w14:textId="77777777" w:rsidR="004A3AB4" w:rsidRPr="00DF37A3" w:rsidRDefault="004A3AB4" w:rsidP="00D60F97">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DF37A3">
        <w:t>Number of pupils enrolled in first grade</w:t>
      </w:r>
    </w:p>
    <w:p w14:paraId="1391FA4D" w14:textId="77777777" w:rsidR="004A3AB4" w:rsidRPr="004B3ABA" w:rsidRDefault="004A3AB4" w:rsidP="004A3AB4">
      <w:pPr>
        <w:pStyle w:val="SingleTxt"/>
        <w:spacing w:after="0" w:line="120" w:lineRule="exact"/>
        <w:rPr>
          <w:sz w:val="10"/>
          <w:lang w:val="en-GB"/>
        </w:rPr>
      </w:pPr>
    </w:p>
    <w:tbl>
      <w:tblPr>
        <w:tblStyle w:val="TableGrid"/>
        <w:tblW w:w="8646"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82"/>
        <w:gridCol w:w="1079"/>
        <w:gridCol w:w="1513"/>
        <w:gridCol w:w="1513"/>
        <w:gridCol w:w="115"/>
        <w:gridCol w:w="1721"/>
        <w:gridCol w:w="1697"/>
        <w:gridCol w:w="26"/>
      </w:tblGrid>
      <w:tr w:rsidR="004A3AB4" w:rsidRPr="004B3ABA" w14:paraId="69E32255" w14:textId="77777777" w:rsidTr="003C23CC">
        <w:trPr>
          <w:tblHeader/>
        </w:trPr>
        <w:tc>
          <w:tcPr>
            <w:tcW w:w="983" w:type="dxa"/>
            <w:vMerge w:val="restart"/>
            <w:tcBorders>
              <w:top w:val="single" w:sz="4" w:space="0" w:color="auto"/>
            </w:tcBorders>
            <w:shd w:val="clear" w:color="auto" w:fill="auto"/>
            <w:vAlign w:val="bottom"/>
          </w:tcPr>
          <w:p w14:paraId="623C0D46"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4B3ABA">
              <w:rPr>
                <w:i/>
                <w:sz w:val="14"/>
                <w:lang w:val="en-GB"/>
              </w:rPr>
              <w:t>Years</w:t>
            </w:r>
          </w:p>
        </w:tc>
        <w:tc>
          <w:tcPr>
            <w:tcW w:w="1080" w:type="dxa"/>
            <w:vMerge w:val="restart"/>
            <w:tcBorders>
              <w:top w:val="single" w:sz="4" w:space="0" w:color="auto"/>
            </w:tcBorders>
            <w:shd w:val="clear" w:color="auto" w:fill="auto"/>
            <w:vAlign w:val="bottom"/>
          </w:tcPr>
          <w:p w14:paraId="34D62433"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4B3ABA">
              <w:rPr>
                <w:i/>
                <w:sz w:val="14"/>
                <w:lang w:val="en-GB"/>
              </w:rPr>
              <w:t>Total children</w:t>
            </w:r>
          </w:p>
        </w:tc>
        <w:tc>
          <w:tcPr>
            <w:tcW w:w="3026" w:type="dxa"/>
            <w:gridSpan w:val="2"/>
            <w:tcBorders>
              <w:top w:val="single" w:sz="4" w:space="0" w:color="auto"/>
              <w:bottom w:val="single" w:sz="4" w:space="0" w:color="auto"/>
            </w:tcBorders>
            <w:shd w:val="clear" w:color="auto" w:fill="auto"/>
            <w:vAlign w:val="bottom"/>
          </w:tcPr>
          <w:p w14:paraId="16379657"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center"/>
              <w:rPr>
                <w:i/>
                <w:sz w:val="14"/>
                <w:lang w:val="en-GB"/>
              </w:rPr>
            </w:pPr>
            <w:r w:rsidRPr="004B3ABA">
              <w:rPr>
                <w:i/>
                <w:sz w:val="14"/>
                <w:lang w:val="en-GB"/>
              </w:rPr>
              <w:t>Including</w:t>
            </w:r>
          </w:p>
        </w:tc>
        <w:tc>
          <w:tcPr>
            <w:tcW w:w="115" w:type="dxa"/>
            <w:tcBorders>
              <w:top w:val="single" w:sz="4" w:space="0" w:color="auto"/>
            </w:tcBorders>
            <w:shd w:val="clear" w:color="auto" w:fill="auto"/>
            <w:vAlign w:val="bottom"/>
          </w:tcPr>
          <w:p w14:paraId="6D8F4AF7"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c>
          <w:tcPr>
            <w:tcW w:w="3442" w:type="dxa"/>
            <w:gridSpan w:val="3"/>
            <w:tcBorders>
              <w:top w:val="single" w:sz="4" w:space="0" w:color="auto"/>
              <w:bottom w:val="single" w:sz="4" w:space="0" w:color="auto"/>
            </w:tcBorders>
            <w:shd w:val="clear" w:color="auto" w:fill="auto"/>
            <w:vAlign w:val="bottom"/>
          </w:tcPr>
          <w:p w14:paraId="2D3BCAE3"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center"/>
              <w:rPr>
                <w:i/>
                <w:sz w:val="14"/>
                <w:lang w:val="en-GB"/>
              </w:rPr>
            </w:pPr>
            <w:r w:rsidRPr="004B3ABA">
              <w:rPr>
                <w:i/>
                <w:sz w:val="14"/>
                <w:lang w:val="en-GB"/>
              </w:rPr>
              <w:t>Proportion of each sex in the overall number of pupils</w:t>
            </w:r>
          </w:p>
        </w:tc>
      </w:tr>
      <w:tr w:rsidR="004A3AB4" w:rsidRPr="004B3ABA" w14:paraId="037B468E" w14:textId="77777777" w:rsidTr="003C23CC">
        <w:trPr>
          <w:tblHeader/>
        </w:trPr>
        <w:tc>
          <w:tcPr>
            <w:tcW w:w="983" w:type="dxa"/>
            <w:vMerge/>
            <w:tcBorders>
              <w:bottom w:val="single" w:sz="12" w:space="0" w:color="auto"/>
            </w:tcBorders>
            <w:shd w:val="clear" w:color="auto" w:fill="auto"/>
            <w:vAlign w:val="bottom"/>
          </w:tcPr>
          <w:p w14:paraId="49A8F5BD"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p>
        </w:tc>
        <w:tc>
          <w:tcPr>
            <w:tcW w:w="1080" w:type="dxa"/>
            <w:vMerge/>
            <w:tcBorders>
              <w:bottom w:val="single" w:sz="12" w:space="0" w:color="auto"/>
            </w:tcBorders>
            <w:shd w:val="clear" w:color="auto" w:fill="auto"/>
            <w:vAlign w:val="bottom"/>
          </w:tcPr>
          <w:p w14:paraId="71E82BD9"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c>
          <w:tcPr>
            <w:tcW w:w="1513" w:type="dxa"/>
            <w:tcBorders>
              <w:top w:val="single" w:sz="4" w:space="0" w:color="auto"/>
              <w:bottom w:val="single" w:sz="12" w:space="0" w:color="auto"/>
            </w:tcBorders>
            <w:shd w:val="clear" w:color="auto" w:fill="auto"/>
            <w:vAlign w:val="bottom"/>
          </w:tcPr>
          <w:p w14:paraId="72E71C04"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4B3ABA">
              <w:rPr>
                <w:i/>
                <w:sz w:val="14"/>
                <w:lang w:val="en-GB"/>
              </w:rPr>
              <w:t>Girls</w:t>
            </w:r>
          </w:p>
        </w:tc>
        <w:tc>
          <w:tcPr>
            <w:tcW w:w="1513" w:type="dxa"/>
            <w:tcBorders>
              <w:top w:val="single" w:sz="4" w:space="0" w:color="auto"/>
              <w:bottom w:val="single" w:sz="12" w:space="0" w:color="auto"/>
            </w:tcBorders>
            <w:shd w:val="clear" w:color="auto" w:fill="auto"/>
            <w:vAlign w:val="bottom"/>
          </w:tcPr>
          <w:p w14:paraId="272AACC8"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4B3ABA">
              <w:rPr>
                <w:i/>
                <w:sz w:val="14"/>
                <w:lang w:val="en-GB"/>
              </w:rPr>
              <w:t>Boys</w:t>
            </w:r>
          </w:p>
        </w:tc>
        <w:tc>
          <w:tcPr>
            <w:tcW w:w="115" w:type="dxa"/>
            <w:tcBorders>
              <w:bottom w:val="single" w:sz="12" w:space="0" w:color="auto"/>
            </w:tcBorders>
            <w:shd w:val="clear" w:color="auto" w:fill="auto"/>
            <w:vAlign w:val="bottom"/>
          </w:tcPr>
          <w:p w14:paraId="2B333AB7"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c>
          <w:tcPr>
            <w:tcW w:w="1721" w:type="dxa"/>
            <w:tcBorders>
              <w:top w:val="single" w:sz="4" w:space="0" w:color="auto"/>
              <w:bottom w:val="single" w:sz="12" w:space="0" w:color="auto"/>
            </w:tcBorders>
            <w:shd w:val="clear" w:color="auto" w:fill="auto"/>
            <w:vAlign w:val="bottom"/>
          </w:tcPr>
          <w:p w14:paraId="676051F3"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4B3ABA">
              <w:rPr>
                <w:i/>
                <w:sz w:val="14"/>
                <w:lang w:val="en-GB"/>
              </w:rPr>
              <w:t>Girls</w:t>
            </w:r>
          </w:p>
        </w:tc>
        <w:tc>
          <w:tcPr>
            <w:tcW w:w="1721" w:type="dxa"/>
            <w:gridSpan w:val="2"/>
            <w:tcBorders>
              <w:top w:val="single" w:sz="4" w:space="0" w:color="auto"/>
              <w:bottom w:val="single" w:sz="12" w:space="0" w:color="auto"/>
            </w:tcBorders>
            <w:shd w:val="clear" w:color="auto" w:fill="auto"/>
            <w:vAlign w:val="bottom"/>
          </w:tcPr>
          <w:p w14:paraId="7534BE73"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4B3ABA">
              <w:rPr>
                <w:i/>
                <w:sz w:val="14"/>
                <w:lang w:val="en-GB"/>
              </w:rPr>
              <w:t>Boys</w:t>
            </w:r>
          </w:p>
        </w:tc>
      </w:tr>
      <w:tr w:rsidR="004A3AB4" w:rsidRPr="004B3ABA" w14:paraId="42F19095" w14:textId="77777777" w:rsidTr="003C23CC">
        <w:trPr>
          <w:gridAfter w:val="1"/>
          <w:wAfter w:w="26" w:type="dxa"/>
          <w:trHeight w:hRule="exact" w:val="115"/>
          <w:tblHeader/>
        </w:trPr>
        <w:tc>
          <w:tcPr>
            <w:tcW w:w="983" w:type="dxa"/>
            <w:tcBorders>
              <w:top w:val="single" w:sz="12" w:space="0" w:color="auto"/>
            </w:tcBorders>
            <w:shd w:val="clear" w:color="auto" w:fill="auto"/>
            <w:vAlign w:val="bottom"/>
          </w:tcPr>
          <w:p w14:paraId="2B4E63F8"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1080" w:type="dxa"/>
            <w:tcBorders>
              <w:top w:val="single" w:sz="12" w:space="0" w:color="auto"/>
            </w:tcBorders>
            <w:shd w:val="clear" w:color="auto" w:fill="auto"/>
            <w:vAlign w:val="bottom"/>
          </w:tcPr>
          <w:p w14:paraId="795DE546"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513" w:type="dxa"/>
            <w:tcBorders>
              <w:top w:val="single" w:sz="12" w:space="0" w:color="auto"/>
            </w:tcBorders>
            <w:shd w:val="clear" w:color="auto" w:fill="auto"/>
            <w:vAlign w:val="bottom"/>
          </w:tcPr>
          <w:p w14:paraId="2231B9E0"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513" w:type="dxa"/>
            <w:tcBorders>
              <w:top w:val="single" w:sz="12" w:space="0" w:color="auto"/>
            </w:tcBorders>
            <w:shd w:val="clear" w:color="auto" w:fill="auto"/>
            <w:vAlign w:val="bottom"/>
          </w:tcPr>
          <w:p w14:paraId="68B47B33"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834" w:type="dxa"/>
            <w:gridSpan w:val="2"/>
            <w:tcBorders>
              <w:top w:val="single" w:sz="12" w:space="0" w:color="auto"/>
            </w:tcBorders>
            <w:shd w:val="clear" w:color="auto" w:fill="auto"/>
            <w:vAlign w:val="bottom"/>
          </w:tcPr>
          <w:p w14:paraId="6EE72F89"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697" w:type="dxa"/>
            <w:tcBorders>
              <w:top w:val="single" w:sz="12" w:space="0" w:color="auto"/>
            </w:tcBorders>
            <w:shd w:val="clear" w:color="auto" w:fill="auto"/>
            <w:vAlign w:val="bottom"/>
          </w:tcPr>
          <w:p w14:paraId="36179D12"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4A3AB4" w:rsidRPr="004B3ABA" w14:paraId="5A6F2248" w14:textId="77777777" w:rsidTr="003C23CC">
        <w:trPr>
          <w:gridAfter w:val="1"/>
          <w:wAfter w:w="26" w:type="dxa"/>
        </w:trPr>
        <w:tc>
          <w:tcPr>
            <w:tcW w:w="983" w:type="dxa"/>
            <w:shd w:val="clear" w:color="auto" w:fill="auto"/>
            <w:vAlign w:val="bottom"/>
          </w:tcPr>
          <w:p w14:paraId="48448430"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4B3ABA">
              <w:rPr>
                <w:sz w:val="17"/>
                <w:lang w:val="en-GB"/>
              </w:rPr>
              <w:t>2013/2014</w:t>
            </w:r>
          </w:p>
        </w:tc>
        <w:tc>
          <w:tcPr>
            <w:tcW w:w="1080" w:type="dxa"/>
            <w:shd w:val="clear" w:color="auto" w:fill="auto"/>
            <w:vAlign w:val="bottom"/>
          </w:tcPr>
          <w:p w14:paraId="078FFA09"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B3ABA">
              <w:rPr>
                <w:sz w:val="17"/>
                <w:lang w:val="en-GB"/>
              </w:rPr>
              <w:t>113 891</w:t>
            </w:r>
          </w:p>
        </w:tc>
        <w:tc>
          <w:tcPr>
            <w:tcW w:w="1513" w:type="dxa"/>
            <w:shd w:val="clear" w:color="auto" w:fill="auto"/>
            <w:vAlign w:val="bottom"/>
          </w:tcPr>
          <w:p w14:paraId="3977E185"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B3ABA">
              <w:rPr>
                <w:sz w:val="17"/>
                <w:lang w:val="en-GB"/>
              </w:rPr>
              <w:t>55 359</w:t>
            </w:r>
          </w:p>
        </w:tc>
        <w:tc>
          <w:tcPr>
            <w:tcW w:w="1513" w:type="dxa"/>
            <w:shd w:val="clear" w:color="auto" w:fill="auto"/>
            <w:vAlign w:val="bottom"/>
          </w:tcPr>
          <w:p w14:paraId="47137246"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B3ABA">
              <w:rPr>
                <w:sz w:val="17"/>
                <w:lang w:val="en-GB"/>
              </w:rPr>
              <w:t>58 532</w:t>
            </w:r>
          </w:p>
        </w:tc>
        <w:tc>
          <w:tcPr>
            <w:tcW w:w="1834" w:type="dxa"/>
            <w:gridSpan w:val="2"/>
            <w:shd w:val="clear" w:color="auto" w:fill="auto"/>
            <w:vAlign w:val="bottom"/>
          </w:tcPr>
          <w:p w14:paraId="5013C1CB"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B3ABA">
              <w:rPr>
                <w:sz w:val="17"/>
                <w:lang w:val="en-GB"/>
              </w:rPr>
              <w:t>48.6</w:t>
            </w:r>
          </w:p>
        </w:tc>
        <w:tc>
          <w:tcPr>
            <w:tcW w:w="1697" w:type="dxa"/>
            <w:shd w:val="clear" w:color="auto" w:fill="auto"/>
            <w:vAlign w:val="bottom"/>
          </w:tcPr>
          <w:p w14:paraId="20FE64D6"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B3ABA">
              <w:rPr>
                <w:sz w:val="17"/>
                <w:lang w:val="en-GB"/>
              </w:rPr>
              <w:t>51.4</w:t>
            </w:r>
          </w:p>
        </w:tc>
      </w:tr>
      <w:tr w:rsidR="004A3AB4" w:rsidRPr="004B3ABA" w14:paraId="297FF16F" w14:textId="77777777" w:rsidTr="003C23CC">
        <w:trPr>
          <w:gridAfter w:val="1"/>
          <w:wAfter w:w="26" w:type="dxa"/>
        </w:trPr>
        <w:tc>
          <w:tcPr>
            <w:tcW w:w="983" w:type="dxa"/>
            <w:shd w:val="clear" w:color="auto" w:fill="auto"/>
            <w:vAlign w:val="bottom"/>
          </w:tcPr>
          <w:p w14:paraId="74831B5D"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4B3ABA">
              <w:rPr>
                <w:sz w:val="17"/>
                <w:lang w:val="en-GB"/>
              </w:rPr>
              <w:t>2014/2015</w:t>
            </w:r>
          </w:p>
        </w:tc>
        <w:tc>
          <w:tcPr>
            <w:tcW w:w="1080" w:type="dxa"/>
            <w:shd w:val="clear" w:color="auto" w:fill="auto"/>
            <w:vAlign w:val="bottom"/>
          </w:tcPr>
          <w:p w14:paraId="64BDBE9C"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B3ABA">
              <w:rPr>
                <w:sz w:val="17"/>
                <w:lang w:val="en-GB"/>
              </w:rPr>
              <w:t>120 881</w:t>
            </w:r>
          </w:p>
        </w:tc>
        <w:tc>
          <w:tcPr>
            <w:tcW w:w="1513" w:type="dxa"/>
            <w:shd w:val="clear" w:color="auto" w:fill="auto"/>
            <w:vAlign w:val="bottom"/>
          </w:tcPr>
          <w:p w14:paraId="5E466261"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B3ABA">
              <w:rPr>
                <w:sz w:val="17"/>
                <w:lang w:val="en-GB"/>
              </w:rPr>
              <w:t>59 031</w:t>
            </w:r>
          </w:p>
        </w:tc>
        <w:tc>
          <w:tcPr>
            <w:tcW w:w="1513" w:type="dxa"/>
            <w:shd w:val="clear" w:color="auto" w:fill="auto"/>
            <w:vAlign w:val="bottom"/>
          </w:tcPr>
          <w:p w14:paraId="4D38F8CE"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B3ABA">
              <w:rPr>
                <w:sz w:val="17"/>
                <w:lang w:val="en-GB"/>
              </w:rPr>
              <w:t>61 850</w:t>
            </w:r>
          </w:p>
        </w:tc>
        <w:tc>
          <w:tcPr>
            <w:tcW w:w="1834" w:type="dxa"/>
            <w:gridSpan w:val="2"/>
            <w:shd w:val="clear" w:color="auto" w:fill="auto"/>
            <w:vAlign w:val="bottom"/>
          </w:tcPr>
          <w:p w14:paraId="1DADE150"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B3ABA">
              <w:rPr>
                <w:sz w:val="17"/>
                <w:lang w:val="en-GB"/>
              </w:rPr>
              <w:t>48.8</w:t>
            </w:r>
          </w:p>
        </w:tc>
        <w:tc>
          <w:tcPr>
            <w:tcW w:w="1697" w:type="dxa"/>
            <w:shd w:val="clear" w:color="auto" w:fill="auto"/>
            <w:vAlign w:val="bottom"/>
          </w:tcPr>
          <w:p w14:paraId="32A971CF"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B3ABA">
              <w:rPr>
                <w:sz w:val="17"/>
                <w:lang w:val="en-GB"/>
              </w:rPr>
              <w:t>51.2</w:t>
            </w:r>
          </w:p>
        </w:tc>
      </w:tr>
      <w:tr w:rsidR="004A3AB4" w:rsidRPr="004B3ABA" w14:paraId="76AE42B0" w14:textId="77777777" w:rsidTr="003C23CC">
        <w:trPr>
          <w:gridAfter w:val="1"/>
          <w:wAfter w:w="26" w:type="dxa"/>
        </w:trPr>
        <w:tc>
          <w:tcPr>
            <w:tcW w:w="983" w:type="dxa"/>
            <w:shd w:val="clear" w:color="auto" w:fill="auto"/>
            <w:vAlign w:val="bottom"/>
          </w:tcPr>
          <w:p w14:paraId="2C5E03FF"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4B3ABA">
              <w:rPr>
                <w:sz w:val="17"/>
                <w:lang w:val="en-GB"/>
              </w:rPr>
              <w:t>2015/2016</w:t>
            </w:r>
          </w:p>
        </w:tc>
        <w:tc>
          <w:tcPr>
            <w:tcW w:w="1080" w:type="dxa"/>
            <w:shd w:val="clear" w:color="auto" w:fill="auto"/>
            <w:vAlign w:val="bottom"/>
          </w:tcPr>
          <w:p w14:paraId="2DCC0ADB"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B3ABA">
              <w:rPr>
                <w:sz w:val="17"/>
                <w:lang w:val="en-GB"/>
              </w:rPr>
              <w:t>129 426</w:t>
            </w:r>
          </w:p>
        </w:tc>
        <w:tc>
          <w:tcPr>
            <w:tcW w:w="1513" w:type="dxa"/>
            <w:shd w:val="clear" w:color="auto" w:fill="auto"/>
            <w:vAlign w:val="bottom"/>
          </w:tcPr>
          <w:p w14:paraId="07C93666"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B3ABA">
              <w:rPr>
                <w:sz w:val="17"/>
                <w:lang w:val="en-GB"/>
              </w:rPr>
              <w:t>62 922</w:t>
            </w:r>
          </w:p>
        </w:tc>
        <w:tc>
          <w:tcPr>
            <w:tcW w:w="1513" w:type="dxa"/>
            <w:shd w:val="clear" w:color="auto" w:fill="auto"/>
            <w:vAlign w:val="bottom"/>
          </w:tcPr>
          <w:p w14:paraId="4D389B6E"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B3ABA">
              <w:rPr>
                <w:sz w:val="17"/>
                <w:lang w:val="en-GB"/>
              </w:rPr>
              <w:t>66 504</w:t>
            </w:r>
          </w:p>
        </w:tc>
        <w:tc>
          <w:tcPr>
            <w:tcW w:w="1834" w:type="dxa"/>
            <w:gridSpan w:val="2"/>
            <w:shd w:val="clear" w:color="auto" w:fill="auto"/>
            <w:vAlign w:val="bottom"/>
          </w:tcPr>
          <w:p w14:paraId="0FAFA388"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B3ABA">
              <w:rPr>
                <w:sz w:val="17"/>
                <w:lang w:val="en-GB"/>
              </w:rPr>
              <w:t>48.6</w:t>
            </w:r>
          </w:p>
        </w:tc>
        <w:tc>
          <w:tcPr>
            <w:tcW w:w="1697" w:type="dxa"/>
            <w:shd w:val="clear" w:color="auto" w:fill="auto"/>
            <w:vAlign w:val="bottom"/>
          </w:tcPr>
          <w:p w14:paraId="60214057"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B3ABA">
              <w:rPr>
                <w:sz w:val="17"/>
                <w:lang w:val="en-GB"/>
              </w:rPr>
              <w:t>51.4</w:t>
            </w:r>
          </w:p>
        </w:tc>
      </w:tr>
      <w:tr w:rsidR="004A3AB4" w:rsidRPr="004B3ABA" w14:paraId="5B183399" w14:textId="77777777" w:rsidTr="003C23CC">
        <w:trPr>
          <w:gridAfter w:val="1"/>
          <w:wAfter w:w="26" w:type="dxa"/>
        </w:trPr>
        <w:tc>
          <w:tcPr>
            <w:tcW w:w="983" w:type="dxa"/>
            <w:shd w:val="clear" w:color="auto" w:fill="auto"/>
            <w:vAlign w:val="bottom"/>
          </w:tcPr>
          <w:p w14:paraId="16414829"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4B3ABA">
              <w:rPr>
                <w:sz w:val="17"/>
                <w:lang w:val="en-GB"/>
              </w:rPr>
              <w:t>2016/2017</w:t>
            </w:r>
          </w:p>
        </w:tc>
        <w:tc>
          <w:tcPr>
            <w:tcW w:w="1080" w:type="dxa"/>
            <w:shd w:val="clear" w:color="auto" w:fill="auto"/>
            <w:vAlign w:val="bottom"/>
          </w:tcPr>
          <w:p w14:paraId="617A07DD"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B3ABA">
              <w:rPr>
                <w:sz w:val="17"/>
                <w:lang w:val="en-GB"/>
              </w:rPr>
              <w:t>139 968</w:t>
            </w:r>
          </w:p>
        </w:tc>
        <w:tc>
          <w:tcPr>
            <w:tcW w:w="1513" w:type="dxa"/>
            <w:shd w:val="clear" w:color="auto" w:fill="auto"/>
            <w:vAlign w:val="bottom"/>
          </w:tcPr>
          <w:p w14:paraId="218C8141"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B3ABA">
              <w:rPr>
                <w:sz w:val="17"/>
                <w:lang w:val="en-GB"/>
              </w:rPr>
              <w:t>68 442</w:t>
            </w:r>
          </w:p>
        </w:tc>
        <w:tc>
          <w:tcPr>
            <w:tcW w:w="1513" w:type="dxa"/>
            <w:shd w:val="clear" w:color="auto" w:fill="auto"/>
            <w:vAlign w:val="bottom"/>
          </w:tcPr>
          <w:p w14:paraId="26475788"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B3ABA">
              <w:rPr>
                <w:sz w:val="17"/>
                <w:lang w:val="en-GB"/>
              </w:rPr>
              <w:t>71 526</w:t>
            </w:r>
          </w:p>
        </w:tc>
        <w:tc>
          <w:tcPr>
            <w:tcW w:w="1834" w:type="dxa"/>
            <w:gridSpan w:val="2"/>
            <w:shd w:val="clear" w:color="auto" w:fill="auto"/>
            <w:vAlign w:val="bottom"/>
          </w:tcPr>
          <w:p w14:paraId="19F5C9BC"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B3ABA">
              <w:rPr>
                <w:sz w:val="17"/>
                <w:lang w:val="en-GB"/>
              </w:rPr>
              <w:t>48.9</w:t>
            </w:r>
          </w:p>
        </w:tc>
        <w:tc>
          <w:tcPr>
            <w:tcW w:w="1697" w:type="dxa"/>
            <w:shd w:val="clear" w:color="auto" w:fill="auto"/>
            <w:vAlign w:val="bottom"/>
          </w:tcPr>
          <w:p w14:paraId="0548F629"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B3ABA">
              <w:rPr>
                <w:sz w:val="17"/>
                <w:lang w:val="en-GB"/>
              </w:rPr>
              <w:t>51.1</w:t>
            </w:r>
          </w:p>
        </w:tc>
      </w:tr>
      <w:tr w:rsidR="004A3AB4" w:rsidRPr="004B3ABA" w14:paraId="58EFF60B" w14:textId="77777777" w:rsidTr="003C23CC">
        <w:trPr>
          <w:gridAfter w:val="1"/>
          <w:wAfter w:w="26" w:type="dxa"/>
        </w:trPr>
        <w:tc>
          <w:tcPr>
            <w:tcW w:w="983" w:type="dxa"/>
            <w:tcBorders>
              <w:bottom w:val="single" w:sz="12" w:space="0" w:color="auto"/>
            </w:tcBorders>
            <w:shd w:val="clear" w:color="auto" w:fill="auto"/>
            <w:vAlign w:val="bottom"/>
          </w:tcPr>
          <w:p w14:paraId="4A8050F8"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4B3ABA">
              <w:rPr>
                <w:sz w:val="17"/>
                <w:lang w:val="en-GB"/>
              </w:rPr>
              <w:t>2017/2018</w:t>
            </w:r>
          </w:p>
        </w:tc>
        <w:tc>
          <w:tcPr>
            <w:tcW w:w="1080" w:type="dxa"/>
            <w:tcBorders>
              <w:bottom w:val="single" w:sz="12" w:space="0" w:color="auto"/>
            </w:tcBorders>
            <w:shd w:val="clear" w:color="auto" w:fill="auto"/>
            <w:vAlign w:val="bottom"/>
          </w:tcPr>
          <w:p w14:paraId="37AF1283"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B3ABA">
              <w:rPr>
                <w:sz w:val="17"/>
                <w:lang w:val="en-GB"/>
              </w:rPr>
              <w:t>140 799</w:t>
            </w:r>
          </w:p>
        </w:tc>
        <w:tc>
          <w:tcPr>
            <w:tcW w:w="1513" w:type="dxa"/>
            <w:tcBorders>
              <w:bottom w:val="single" w:sz="12" w:space="0" w:color="auto"/>
            </w:tcBorders>
            <w:shd w:val="clear" w:color="auto" w:fill="auto"/>
            <w:vAlign w:val="bottom"/>
          </w:tcPr>
          <w:p w14:paraId="5265EBF4"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B3ABA">
              <w:rPr>
                <w:sz w:val="17"/>
                <w:lang w:val="en-GB"/>
              </w:rPr>
              <w:t>68 495</w:t>
            </w:r>
          </w:p>
        </w:tc>
        <w:tc>
          <w:tcPr>
            <w:tcW w:w="1513" w:type="dxa"/>
            <w:tcBorders>
              <w:bottom w:val="single" w:sz="12" w:space="0" w:color="auto"/>
            </w:tcBorders>
            <w:shd w:val="clear" w:color="auto" w:fill="auto"/>
            <w:vAlign w:val="bottom"/>
          </w:tcPr>
          <w:p w14:paraId="2B19CA9B"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B3ABA">
              <w:rPr>
                <w:sz w:val="17"/>
                <w:lang w:val="en-GB"/>
              </w:rPr>
              <w:t>72 304</w:t>
            </w:r>
          </w:p>
        </w:tc>
        <w:tc>
          <w:tcPr>
            <w:tcW w:w="1834" w:type="dxa"/>
            <w:gridSpan w:val="2"/>
            <w:tcBorders>
              <w:bottom w:val="single" w:sz="12" w:space="0" w:color="auto"/>
            </w:tcBorders>
            <w:shd w:val="clear" w:color="auto" w:fill="auto"/>
            <w:vAlign w:val="bottom"/>
          </w:tcPr>
          <w:p w14:paraId="177E636B"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B3ABA">
              <w:rPr>
                <w:sz w:val="17"/>
                <w:lang w:val="en-GB"/>
              </w:rPr>
              <w:t>48.6</w:t>
            </w:r>
          </w:p>
        </w:tc>
        <w:tc>
          <w:tcPr>
            <w:tcW w:w="1697" w:type="dxa"/>
            <w:tcBorders>
              <w:bottom w:val="single" w:sz="12" w:space="0" w:color="auto"/>
            </w:tcBorders>
            <w:shd w:val="clear" w:color="auto" w:fill="auto"/>
            <w:vAlign w:val="bottom"/>
          </w:tcPr>
          <w:p w14:paraId="66B8C1CE" w14:textId="77777777" w:rsidR="004A3AB4" w:rsidRPr="004B3ABA"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4B3ABA">
              <w:rPr>
                <w:sz w:val="17"/>
                <w:lang w:val="en-GB"/>
              </w:rPr>
              <w:t>51.4</w:t>
            </w:r>
          </w:p>
        </w:tc>
      </w:tr>
    </w:tbl>
    <w:p w14:paraId="08BEE7A8" w14:textId="77777777" w:rsidR="004A3AB4" w:rsidRPr="00217CA0" w:rsidRDefault="004A3AB4" w:rsidP="004A3AB4">
      <w:pPr>
        <w:pStyle w:val="SingleTxt"/>
        <w:spacing w:after="0" w:line="120" w:lineRule="exact"/>
        <w:rPr>
          <w:sz w:val="10"/>
          <w:lang w:val="en-GB"/>
        </w:rPr>
      </w:pPr>
    </w:p>
    <w:p w14:paraId="1EC9BB7A" w14:textId="77777777" w:rsidR="004A3AB4" w:rsidRPr="00217CA0" w:rsidRDefault="004A3AB4" w:rsidP="004A3AB4">
      <w:pPr>
        <w:pStyle w:val="SingleTxt"/>
        <w:spacing w:after="0" w:line="120" w:lineRule="exact"/>
        <w:rPr>
          <w:sz w:val="10"/>
          <w:lang w:val="en-GB"/>
        </w:rPr>
      </w:pPr>
    </w:p>
    <w:p w14:paraId="3C29E793" w14:textId="77777777" w:rsidR="004A3AB4" w:rsidRPr="00DF37A3" w:rsidRDefault="004A3AB4" w:rsidP="004A3AB4">
      <w:pPr>
        <w:pStyle w:val="SingleTxt"/>
        <w:rPr>
          <w:lang w:val="en-GB"/>
        </w:rPr>
      </w:pPr>
      <w:r w:rsidRPr="00DF37A3">
        <w:rPr>
          <w:lang w:val="en-GB"/>
        </w:rPr>
        <w:t>86.</w:t>
      </w:r>
      <w:r>
        <w:rPr>
          <w:lang w:val="en-GB"/>
        </w:rPr>
        <w:tab/>
      </w:r>
      <w:r w:rsidRPr="00DF37A3">
        <w:rPr>
          <w:lang w:val="en-GB"/>
        </w:rPr>
        <w:t>There are some differences in the enrolment of girls and boys. The ratio of girls to boys in primary and basic education shows that girls are less likely to enrol in lower secondary school (grades 1</w:t>
      </w:r>
      <w:r>
        <w:rPr>
          <w:lang w:val="en-GB"/>
        </w:rPr>
        <w:t>–</w:t>
      </w:r>
      <w:r w:rsidRPr="00DF37A3">
        <w:rPr>
          <w:lang w:val="en-GB"/>
        </w:rPr>
        <w:t>9) than boys. However, girls are more likely to be enrolled in upper secondary education (grades 10</w:t>
      </w:r>
      <w:r>
        <w:rPr>
          <w:lang w:val="en-GB"/>
        </w:rPr>
        <w:t>–</w:t>
      </w:r>
      <w:r w:rsidRPr="00DF37A3">
        <w:rPr>
          <w:lang w:val="en-GB"/>
        </w:rPr>
        <w:t>11), while boys drop out after grade 9. That is due to the increase in the number of young people who are forced to enter a profession at an earlier age for financial reasons. Some young people move on to vocational schools, secondary vocational schools or short-term courses that prepare them for entering the labour market as soon as possible.</w:t>
      </w:r>
    </w:p>
    <w:p w14:paraId="2EA5CB58" w14:textId="77777777" w:rsidR="004A3AB4" w:rsidRPr="00DF37A3" w:rsidRDefault="004A3AB4" w:rsidP="004A3AB4">
      <w:pPr>
        <w:pStyle w:val="SingleTxt"/>
        <w:rPr>
          <w:lang w:val="en-GB"/>
        </w:rPr>
      </w:pPr>
      <w:r w:rsidRPr="00DF37A3">
        <w:rPr>
          <w:lang w:val="en-GB"/>
        </w:rPr>
        <w:t>87. At the beginning of the 2017/2018 academic year, 53.2 per cent of students in higher educational institutions were women. As in the past, a high proportion of those who enrolled in the following areas were women: 86.6 per cent in teacher training, 79.8 per cent in journalism and information, 76.8 per cent in the humanities, 75.1 per cent in physical sciences, 67.7 per cent in life sciences, 66.6 per cent in services, 59.9</w:t>
      </w:r>
      <w:r>
        <w:rPr>
          <w:lang w:val="en-GB"/>
        </w:rPr>
        <w:t> </w:t>
      </w:r>
      <w:r w:rsidRPr="00DF37A3">
        <w:rPr>
          <w:lang w:val="en-GB"/>
        </w:rPr>
        <w:t>per cent in social and behavioural sciences, 55.6 per cent in mathematics and statistics, 54.9 per cent in business and management and 50.1 per cent in health care.</w:t>
      </w:r>
    </w:p>
    <w:p w14:paraId="2976B9C0" w14:textId="77777777" w:rsidR="004A3AB4" w:rsidRPr="00B4076C" w:rsidRDefault="004A3AB4" w:rsidP="004A3AB4">
      <w:pPr>
        <w:pStyle w:val="SingleTxt"/>
        <w:spacing w:after="0" w:line="120" w:lineRule="exact"/>
        <w:rPr>
          <w:sz w:val="10"/>
          <w:lang w:val="en-GB"/>
        </w:rPr>
      </w:pPr>
    </w:p>
    <w:p w14:paraId="4AC0B8DD" w14:textId="77777777" w:rsidR="004A3AB4" w:rsidRPr="00DF37A3" w:rsidRDefault="004A3AB4" w:rsidP="004A3AB4">
      <w:pPr>
        <w:pStyle w:val="SingleTxt"/>
        <w:spacing w:after="0"/>
        <w:rPr>
          <w:lang w:val="en-GB"/>
        </w:rPr>
      </w:pPr>
      <w:r w:rsidRPr="00DF37A3">
        <w:rPr>
          <w:lang w:val="en-GB"/>
        </w:rPr>
        <w:t>Table 13</w:t>
      </w:r>
    </w:p>
    <w:p w14:paraId="5E80E660" w14:textId="77777777" w:rsidR="004A3AB4" w:rsidRPr="00217CA0" w:rsidRDefault="004A3AB4" w:rsidP="004A3A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DF37A3">
        <w:t>Distribution of students at training institutions for higher professional training by specialization</w:t>
      </w:r>
      <w:r>
        <w:t xml:space="preserve"> </w:t>
      </w:r>
      <w:r w:rsidRPr="00DF37A3">
        <w:rPr>
          <w:lang w:val="en-GB"/>
        </w:rPr>
        <w:t>(as of the beginning of the 2017</w:t>
      </w:r>
      <w:r>
        <w:rPr>
          <w:lang w:val="en-GB"/>
        </w:rPr>
        <w:t>–</w:t>
      </w:r>
      <w:r w:rsidRPr="00DF37A3">
        <w:rPr>
          <w:lang w:val="en-GB"/>
        </w:rPr>
        <w:t>2018 school year)</w:t>
      </w:r>
    </w:p>
    <w:p w14:paraId="1212E6E4" w14:textId="77777777" w:rsidR="004A3AB4" w:rsidRPr="00217CA0" w:rsidRDefault="004A3AB4" w:rsidP="004A3AB4">
      <w:pPr>
        <w:pStyle w:val="SingleTxt"/>
        <w:spacing w:after="0" w:line="120" w:lineRule="exact"/>
        <w:rPr>
          <w:sz w:val="10"/>
          <w:lang w:val="en-GB"/>
        </w:rPr>
      </w:pPr>
    </w:p>
    <w:tbl>
      <w:tblPr>
        <w:tblStyle w:val="TableGrid"/>
        <w:tblW w:w="8633"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10"/>
        <w:gridCol w:w="1174"/>
        <w:gridCol w:w="1174"/>
        <w:gridCol w:w="115"/>
        <w:gridCol w:w="1180"/>
        <w:gridCol w:w="1080"/>
      </w:tblGrid>
      <w:tr w:rsidR="004A3AB4" w:rsidRPr="005021F1" w14:paraId="697AB322" w14:textId="77777777" w:rsidTr="003C23CC">
        <w:trPr>
          <w:tblHeader/>
        </w:trPr>
        <w:tc>
          <w:tcPr>
            <w:tcW w:w="3910" w:type="dxa"/>
            <w:tcBorders>
              <w:top w:val="single" w:sz="4" w:space="0" w:color="auto"/>
            </w:tcBorders>
            <w:shd w:val="clear" w:color="auto" w:fill="auto"/>
            <w:vAlign w:val="bottom"/>
          </w:tcPr>
          <w:p w14:paraId="7A306F86"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p>
        </w:tc>
        <w:tc>
          <w:tcPr>
            <w:tcW w:w="2348" w:type="dxa"/>
            <w:gridSpan w:val="2"/>
            <w:tcBorders>
              <w:top w:val="single" w:sz="4" w:space="0" w:color="auto"/>
              <w:bottom w:val="single" w:sz="4" w:space="0" w:color="auto"/>
            </w:tcBorders>
            <w:shd w:val="clear" w:color="auto" w:fill="auto"/>
            <w:vAlign w:val="bottom"/>
          </w:tcPr>
          <w:p w14:paraId="2F335873"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lang w:val="en-GB"/>
              </w:rPr>
            </w:pPr>
            <w:r w:rsidRPr="005021F1">
              <w:rPr>
                <w:i/>
                <w:sz w:val="14"/>
                <w:lang w:val="en-GB"/>
              </w:rPr>
              <w:t>As a percentage of the whole</w:t>
            </w:r>
          </w:p>
        </w:tc>
        <w:tc>
          <w:tcPr>
            <w:tcW w:w="115" w:type="dxa"/>
            <w:tcBorders>
              <w:top w:val="single" w:sz="4" w:space="0" w:color="auto"/>
            </w:tcBorders>
            <w:shd w:val="clear" w:color="auto" w:fill="auto"/>
            <w:vAlign w:val="bottom"/>
          </w:tcPr>
          <w:p w14:paraId="5FD4F57D"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center"/>
              <w:rPr>
                <w:i/>
                <w:sz w:val="14"/>
                <w:lang w:val="en-GB"/>
              </w:rPr>
            </w:pPr>
          </w:p>
        </w:tc>
        <w:tc>
          <w:tcPr>
            <w:tcW w:w="2260" w:type="dxa"/>
            <w:gridSpan w:val="2"/>
            <w:tcBorders>
              <w:top w:val="single" w:sz="4" w:space="0" w:color="auto"/>
              <w:bottom w:val="single" w:sz="4" w:space="0" w:color="auto"/>
            </w:tcBorders>
            <w:shd w:val="clear" w:color="auto" w:fill="auto"/>
            <w:vAlign w:val="bottom"/>
          </w:tcPr>
          <w:p w14:paraId="07DAA1B8"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center"/>
              <w:rPr>
                <w:i/>
                <w:sz w:val="14"/>
                <w:lang w:val="en-GB"/>
              </w:rPr>
            </w:pPr>
            <w:r w:rsidRPr="005021F1">
              <w:rPr>
                <w:i/>
                <w:sz w:val="14"/>
                <w:lang w:val="en-GB"/>
              </w:rPr>
              <w:t>Proportional representation</w:t>
            </w:r>
          </w:p>
        </w:tc>
      </w:tr>
      <w:tr w:rsidR="004A3AB4" w:rsidRPr="005021F1" w14:paraId="590E99BE" w14:textId="77777777" w:rsidTr="003C23CC">
        <w:trPr>
          <w:tblHeader/>
        </w:trPr>
        <w:tc>
          <w:tcPr>
            <w:tcW w:w="3910" w:type="dxa"/>
            <w:tcBorders>
              <w:bottom w:val="single" w:sz="12" w:space="0" w:color="auto"/>
            </w:tcBorders>
            <w:shd w:val="clear" w:color="auto" w:fill="auto"/>
            <w:vAlign w:val="bottom"/>
          </w:tcPr>
          <w:p w14:paraId="23370E66"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p>
        </w:tc>
        <w:tc>
          <w:tcPr>
            <w:tcW w:w="1174" w:type="dxa"/>
            <w:tcBorders>
              <w:top w:val="single" w:sz="4" w:space="0" w:color="auto"/>
              <w:bottom w:val="single" w:sz="12" w:space="0" w:color="auto"/>
            </w:tcBorders>
            <w:shd w:val="clear" w:color="auto" w:fill="auto"/>
            <w:vAlign w:val="bottom"/>
          </w:tcPr>
          <w:p w14:paraId="123019E0"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5021F1">
              <w:rPr>
                <w:i/>
                <w:sz w:val="14"/>
                <w:lang w:val="en-GB"/>
              </w:rPr>
              <w:t>Women</w:t>
            </w:r>
          </w:p>
        </w:tc>
        <w:tc>
          <w:tcPr>
            <w:tcW w:w="1174" w:type="dxa"/>
            <w:tcBorders>
              <w:top w:val="single" w:sz="4" w:space="0" w:color="auto"/>
              <w:bottom w:val="single" w:sz="12" w:space="0" w:color="auto"/>
            </w:tcBorders>
            <w:shd w:val="clear" w:color="auto" w:fill="auto"/>
            <w:vAlign w:val="bottom"/>
          </w:tcPr>
          <w:p w14:paraId="5A5D7067"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5021F1">
              <w:rPr>
                <w:i/>
                <w:sz w:val="14"/>
                <w:lang w:val="en-GB"/>
              </w:rPr>
              <w:t>Men</w:t>
            </w:r>
          </w:p>
        </w:tc>
        <w:tc>
          <w:tcPr>
            <w:tcW w:w="115" w:type="dxa"/>
            <w:tcBorders>
              <w:bottom w:val="single" w:sz="12" w:space="0" w:color="auto"/>
            </w:tcBorders>
            <w:shd w:val="clear" w:color="auto" w:fill="auto"/>
            <w:vAlign w:val="bottom"/>
          </w:tcPr>
          <w:p w14:paraId="4DAE0AF1"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c>
          <w:tcPr>
            <w:tcW w:w="1180" w:type="dxa"/>
            <w:tcBorders>
              <w:top w:val="single" w:sz="4" w:space="0" w:color="auto"/>
              <w:bottom w:val="single" w:sz="12" w:space="0" w:color="auto"/>
            </w:tcBorders>
            <w:shd w:val="clear" w:color="auto" w:fill="auto"/>
            <w:vAlign w:val="bottom"/>
          </w:tcPr>
          <w:p w14:paraId="28E68C21"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5021F1">
              <w:rPr>
                <w:i/>
                <w:sz w:val="14"/>
                <w:lang w:val="en-GB"/>
              </w:rPr>
              <w:t>Women</w:t>
            </w:r>
          </w:p>
        </w:tc>
        <w:tc>
          <w:tcPr>
            <w:tcW w:w="1080" w:type="dxa"/>
            <w:tcBorders>
              <w:top w:val="single" w:sz="4" w:space="0" w:color="auto"/>
              <w:bottom w:val="single" w:sz="12" w:space="0" w:color="auto"/>
            </w:tcBorders>
            <w:shd w:val="clear" w:color="auto" w:fill="auto"/>
            <w:vAlign w:val="bottom"/>
          </w:tcPr>
          <w:p w14:paraId="2F9A99E4"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5021F1">
              <w:rPr>
                <w:i/>
                <w:sz w:val="14"/>
                <w:lang w:val="en-GB"/>
              </w:rPr>
              <w:t>Men</w:t>
            </w:r>
          </w:p>
        </w:tc>
      </w:tr>
      <w:tr w:rsidR="004A3AB4" w:rsidRPr="005021F1" w14:paraId="3E4D23FE" w14:textId="77777777" w:rsidTr="003C23CC">
        <w:trPr>
          <w:trHeight w:hRule="exact" w:val="115"/>
          <w:tblHeader/>
        </w:trPr>
        <w:tc>
          <w:tcPr>
            <w:tcW w:w="3910" w:type="dxa"/>
            <w:tcBorders>
              <w:top w:val="single" w:sz="12" w:space="0" w:color="auto"/>
            </w:tcBorders>
            <w:shd w:val="clear" w:color="auto" w:fill="auto"/>
            <w:vAlign w:val="bottom"/>
          </w:tcPr>
          <w:p w14:paraId="202CE6AA"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1174" w:type="dxa"/>
            <w:tcBorders>
              <w:top w:val="single" w:sz="12" w:space="0" w:color="auto"/>
            </w:tcBorders>
            <w:shd w:val="clear" w:color="auto" w:fill="auto"/>
            <w:vAlign w:val="bottom"/>
          </w:tcPr>
          <w:p w14:paraId="7599DD06"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174" w:type="dxa"/>
            <w:tcBorders>
              <w:top w:val="single" w:sz="12" w:space="0" w:color="auto"/>
            </w:tcBorders>
            <w:shd w:val="clear" w:color="auto" w:fill="auto"/>
            <w:vAlign w:val="bottom"/>
          </w:tcPr>
          <w:p w14:paraId="2AC12425"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295" w:type="dxa"/>
            <w:gridSpan w:val="2"/>
            <w:tcBorders>
              <w:top w:val="single" w:sz="12" w:space="0" w:color="auto"/>
            </w:tcBorders>
            <w:shd w:val="clear" w:color="auto" w:fill="auto"/>
            <w:vAlign w:val="bottom"/>
          </w:tcPr>
          <w:p w14:paraId="4E9467BF"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080" w:type="dxa"/>
            <w:tcBorders>
              <w:top w:val="single" w:sz="12" w:space="0" w:color="auto"/>
            </w:tcBorders>
            <w:shd w:val="clear" w:color="auto" w:fill="auto"/>
            <w:vAlign w:val="bottom"/>
          </w:tcPr>
          <w:p w14:paraId="2E5CEF17"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4A3AB4" w:rsidRPr="005021F1" w14:paraId="40503650" w14:textId="77777777" w:rsidTr="003C23CC">
        <w:tc>
          <w:tcPr>
            <w:tcW w:w="3910" w:type="dxa"/>
            <w:shd w:val="clear" w:color="auto" w:fill="auto"/>
            <w:vAlign w:val="bottom"/>
          </w:tcPr>
          <w:p w14:paraId="306A8A8F"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5021F1">
              <w:rPr>
                <w:sz w:val="17"/>
                <w:lang w:val="en-GB"/>
              </w:rPr>
              <w:t xml:space="preserve">Total </w:t>
            </w:r>
          </w:p>
        </w:tc>
        <w:tc>
          <w:tcPr>
            <w:tcW w:w="1174" w:type="dxa"/>
            <w:shd w:val="clear" w:color="auto" w:fill="auto"/>
            <w:vAlign w:val="bottom"/>
          </w:tcPr>
          <w:p w14:paraId="02526E23"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100</w:t>
            </w:r>
          </w:p>
        </w:tc>
        <w:tc>
          <w:tcPr>
            <w:tcW w:w="1174" w:type="dxa"/>
            <w:shd w:val="clear" w:color="auto" w:fill="auto"/>
            <w:vAlign w:val="bottom"/>
          </w:tcPr>
          <w:p w14:paraId="2F57F48E"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100</w:t>
            </w:r>
          </w:p>
        </w:tc>
        <w:tc>
          <w:tcPr>
            <w:tcW w:w="1295" w:type="dxa"/>
            <w:gridSpan w:val="2"/>
            <w:shd w:val="clear" w:color="auto" w:fill="auto"/>
            <w:vAlign w:val="bottom"/>
          </w:tcPr>
          <w:p w14:paraId="5C4DBC23"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53.2</w:t>
            </w:r>
          </w:p>
        </w:tc>
        <w:tc>
          <w:tcPr>
            <w:tcW w:w="1080" w:type="dxa"/>
            <w:shd w:val="clear" w:color="auto" w:fill="auto"/>
            <w:vAlign w:val="bottom"/>
          </w:tcPr>
          <w:p w14:paraId="2D375F4F"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46.8</w:t>
            </w:r>
          </w:p>
        </w:tc>
      </w:tr>
      <w:tr w:rsidR="004A3AB4" w:rsidRPr="005021F1" w14:paraId="2639F671" w14:textId="77777777" w:rsidTr="003C23CC">
        <w:tc>
          <w:tcPr>
            <w:tcW w:w="3910" w:type="dxa"/>
            <w:shd w:val="clear" w:color="auto" w:fill="auto"/>
            <w:vAlign w:val="bottom"/>
          </w:tcPr>
          <w:p w14:paraId="60406205"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5021F1">
              <w:rPr>
                <w:sz w:val="17"/>
                <w:lang w:val="en-GB"/>
              </w:rPr>
              <w:t>By specialization:</w:t>
            </w:r>
          </w:p>
        </w:tc>
        <w:tc>
          <w:tcPr>
            <w:tcW w:w="1174" w:type="dxa"/>
            <w:shd w:val="clear" w:color="auto" w:fill="auto"/>
            <w:vAlign w:val="bottom"/>
          </w:tcPr>
          <w:p w14:paraId="20FD342F"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1174" w:type="dxa"/>
            <w:shd w:val="clear" w:color="auto" w:fill="auto"/>
            <w:vAlign w:val="bottom"/>
          </w:tcPr>
          <w:p w14:paraId="2CC7A4CD"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1295" w:type="dxa"/>
            <w:gridSpan w:val="2"/>
            <w:shd w:val="clear" w:color="auto" w:fill="auto"/>
            <w:vAlign w:val="bottom"/>
          </w:tcPr>
          <w:p w14:paraId="020A0905"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1080" w:type="dxa"/>
            <w:shd w:val="clear" w:color="auto" w:fill="auto"/>
            <w:vAlign w:val="bottom"/>
          </w:tcPr>
          <w:p w14:paraId="5608AF4D"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r>
      <w:tr w:rsidR="004A3AB4" w:rsidRPr="005021F1" w14:paraId="654F9E10" w14:textId="77777777" w:rsidTr="003C23CC">
        <w:tc>
          <w:tcPr>
            <w:tcW w:w="3910" w:type="dxa"/>
            <w:shd w:val="clear" w:color="auto" w:fill="auto"/>
            <w:vAlign w:val="bottom"/>
          </w:tcPr>
          <w:p w14:paraId="18B012E3"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Pr>
                <w:sz w:val="17"/>
                <w:lang w:val="en-GB"/>
              </w:rPr>
              <w:tab/>
            </w:r>
            <w:r w:rsidRPr="005021F1">
              <w:rPr>
                <w:sz w:val="17"/>
                <w:lang w:val="en-GB"/>
              </w:rPr>
              <w:t xml:space="preserve">Humanities </w:t>
            </w:r>
          </w:p>
        </w:tc>
        <w:tc>
          <w:tcPr>
            <w:tcW w:w="1174" w:type="dxa"/>
            <w:shd w:val="clear" w:color="auto" w:fill="auto"/>
            <w:vAlign w:val="bottom"/>
          </w:tcPr>
          <w:p w14:paraId="35D14D08"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9.7</w:t>
            </w:r>
          </w:p>
        </w:tc>
        <w:tc>
          <w:tcPr>
            <w:tcW w:w="1174" w:type="dxa"/>
            <w:shd w:val="clear" w:color="auto" w:fill="auto"/>
            <w:vAlign w:val="bottom"/>
          </w:tcPr>
          <w:p w14:paraId="3984F915"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3.3</w:t>
            </w:r>
          </w:p>
        </w:tc>
        <w:tc>
          <w:tcPr>
            <w:tcW w:w="1295" w:type="dxa"/>
            <w:gridSpan w:val="2"/>
            <w:shd w:val="clear" w:color="auto" w:fill="auto"/>
            <w:vAlign w:val="bottom"/>
          </w:tcPr>
          <w:p w14:paraId="3D5477EA"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76.8</w:t>
            </w:r>
          </w:p>
        </w:tc>
        <w:tc>
          <w:tcPr>
            <w:tcW w:w="1080" w:type="dxa"/>
            <w:shd w:val="clear" w:color="auto" w:fill="auto"/>
            <w:vAlign w:val="bottom"/>
          </w:tcPr>
          <w:p w14:paraId="6C892B50"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23.2</w:t>
            </w:r>
          </w:p>
        </w:tc>
      </w:tr>
      <w:tr w:rsidR="004A3AB4" w:rsidRPr="005021F1" w14:paraId="713CD17F" w14:textId="77777777" w:rsidTr="003C23CC">
        <w:tc>
          <w:tcPr>
            <w:tcW w:w="3910" w:type="dxa"/>
            <w:shd w:val="clear" w:color="auto" w:fill="auto"/>
            <w:vAlign w:val="bottom"/>
          </w:tcPr>
          <w:p w14:paraId="3A6FAB59"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Pr>
                <w:sz w:val="17"/>
                <w:lang w:val="en-GB"/>
              </w:rPr>
              <w:tab/>
            </w:r>
            <w:r w:rsidRPr="005021F1">
              <w:rPr>
                <w:sz w:val="17"/>
                <w:lang w:val="en-GB"/>
              </w:rPr>
              <w:t>Teacher training</w:t>
            </w:r>
          </w:p>
        </w:tc>
        <w:tc>
          <w:tcPr>
            <w:tcW w:w="1174" w:type="dxa"/>
            <w:shd w:val="clear" w:color="auto" w:fill="auto"/>
            <w:vAlign w:val="bottom"/>
          </w:tcPr>
          <w:p w14:paraId="690D3F82"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21.3</w:t>
            </w:r>
          </w:p>
        </w:tc>
        <w:tc>
          <w:tcPr>
            <w:tcW w:w="1174" w:type="dxa"/>
            <w:shd w:val="clear" w:color="auto" w:fill="auto"/>
            <w:vAlign w:val="bottom"/>
          </w:tcPr>
          <w:p w14:paraId="3C4A57B0"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3.8</w:t>
            </w:r>
          </w:p>
        </w:tc>
        <w:tc>
          <w:tcPr>
            <w:tcW w:w="1295" w:type="dxa"/>
            <w:gridSpan w:val="2"/>
            <w:shd w:val="clear" w:color="auto" w:fill="auto"/>
            <w:vAlign w:val="bottom"/>
          </w:tcPr>
          <w:p w14:paraId="0B12BF47"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86.6</w:t>
            </w:r>
          </w:p>
        </w:tc>
        <w:tc>
          <w:tcPr>
            <w:tcW w:w="1080" w:type="dxa"/>
            <w:shd w:val="clear" w:color="auto" w:fill="auto"/>
            <w:vAlign w:val="bottom"/>
          </w:tcPr>
          <w:p w14:paraId="6940AD14"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13.4</w:t>
            </w:r>
          </w:p>
        </w:tc>
      </w:tr>
      <w:tr w:rsidR="004A3AB4" w:rsidRPr="005021F1" w14:paraId="111794D8" w14:textId="77777777" w:rsidTr="003C23CC">
        <w:tc>
          <w:tcPr>
            <w:tcW w:w="3910" w:type="dxa"/>
            <w:shd w:val="clear" w:color="auto" w:fill="auto"/>
            <w:vAlign w:val="bottom"/>
          </w:tcPr>
          <w:p w14:paraId="453DF14B"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Pr>
                <w:sz w:val="17"/>
                <w:lang w:val="en-GB"/>
              </w:rPr>
              <w:tab/>
            </w:r>
            <w:r w:rsidRPr="005021F1">
              <w:rPr>
                <w:sz w:val="17"/>
                <w:lang w:val="en-GB"/>
              </w:rPr>
              <w:t>Art</w:t>
            </w:r>
          </w:p>
        </w:tc>
        <w:tc>
          <w:tcPr>
            <w:tcW w:w="1174" w:type="dxa"/>
            <w:shd w:val="clear" w:color="auto" w:fill="auto"/>
            <w:vAlign w:val="bottom"/>
          </w:tcPr>
          <w:p w14:paraId="745EA355"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4.1</w:t>
            </w:r>
          </w:p>
        </w:tc>
        <w:tc>
          <w:tcPr>
            <w:tcW w:w="1174" w:type="dxa"/>
            <w:shd w:val="clear" w:color="auto" w:fill="auto"/>
            <w:vAlign w:val="bottom"/>
          </w:tcPr>
          <w:p w14:paraId="6DACF2F4"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8.4</w:t>
            </w:r>
          </w:p>
        </w:tc>
        <w:tc>
          <w:tcPr>
            <w:tcW w:w="1295" w:type="dxa"/>
            <w:gridSpan w:val="2"/>
            <w:shd w:val="clear" w:color="auto" w:fill="auto"/>
            <w:vAlign w:val="bottom"/>
          </w:tcPr>
          <w:p w14:paraId="1EF17D3E"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35.8</w:t>
            </w:r>
          </w:p>
        </w:tc>
        <w:tc>
          <w:tcPr>
            <w:tcW w:w="1080" w:type="dxa"/>
            <w:shd w:val="clear" w:color="auto" w:fill="auto"/>
            <w:vAlign w:val="bottom"/>
          </w:tcPr>
          <w:p w14:paraId="315E7E14"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64.2</w:t>
            </w:r>
          </w:p>
        </w:tc>
      </w:tr>
      <w:tr w:rsidR="004A3AB4" w:rsidRPr="005021F1" w14:paraId="5753ACB9" w14:textId="77777777" w:rsidTr="003C23CC">
        <w:tc>
          <w:tcPr>
            <w:tcW w:w="3910" w:type="dxa"/>
            <w:shd w:val="clear" w:color="auto" w:fill="auto"/>
            <w:vAlign w:val="bottom"/>
          </w:tcPr>
          <w:p w14:paraId="50B5D233"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Pr>
                <w:sz w:val="17"/>
                <w:lang w:val="en-GB"/>
              </w:rPr>
              <w:tab/>
            </w:r>
            <w:r w:rsidRPr="005021F1">
              <w:rPr>
                <w:sz w:val="17"/>
                <w:lang w:val="en-GB"/>
              </w:rPr>
              <w:t xml:space="preserve">Agriculture </w:t>
            </w:r>
          </w:p>
        </w:tc>
        <w:tc>
          <w:tcPr>
            <w:tcW w:w="1174" w:type="dxa"/>
            <w:shd w:val="clear" w:color="auto" w:fill="auto"/>
            <w:vAlign w:val="bottom"/>
          </w:tcPr>
          <w:p w14:paraId="6A4DBD0D"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0.5</w:t>
            </w:r>
          </w:p>
        </w:tc>
        <w:tc>
          <w:tcPr>
            <w:tcW w:w="1174" w:type="dxa"/>
            <w:shd w:val="clear" w:color="auto" w:fill="auto"/>
            <w:vAlign w:val="bottom"/>
          </w:tcPr>
          <w:p w14:paraId="435A8359"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0.8</w:t>
            </w:r>
          </w:p>
        </w:tc>
        <w:tc>
          <w:tcPr>
            <w:tcW w:w="1295" w:type="dxa"/>
            <w:gridSpan w:val="2"/>
            <w:shd w:val="clear" w:color="auto" w:fill="auto"/>
            <w:vAlign w:val="bottom"/>
          </w:tcPr>
          <w:p w14:paraId="026DCF31"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39.9</w:t>
            </w:r>
          </w:p>
        </w:tc>
        <w:tc>
          <w:tcPr>
            <w:tcW w:w="1080" w:type="dxa"/>
            <w:shd w:val="clear" w:color="auto" w:fill="auto"/>
            <w:vAlign w:val="bottom"/>
          </w:tcPr>
          <w:p w14:paraId="49B246D1"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60.1</w:t>
            </w:r>
          </w:p>
        </w:tc>
      </w:tr>
      <w:tr w:rsidR="004A3AB4" w:rsidRPr="005021F1" w14:paraId="28E46FBE" w14:textId="77777777" w:rsidTr="003C23CC">
        <w:tc>
          <w:tcPr>
            <w:tcW w:w="3910" w:type="dxa"/>
            <w:shd w:val="clear" w:color="auto" w:fill="auto"/>
            <w:vAlign w:val="bottom"/>
          </w:tcPr>
          <w:p w14:paraId="40161C29"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Pr>
                <w:sz w:val="17"/>
                <w:lang w:val="en-GB"/>
              </w:rPr>
              <w:tab/>
            </w:r>
            <w:r w:rsidRPr="005021F1">
              <w:rPr>
                <w:sz w:val="17"/>
                <w:lang w:val="en-GB"/>
              </w:rPr>
              <w:t>Social and behavioural sciences</w:t>
            </w:r>
          </w:p>
        </w:tc>
        <w:tc>
          <w:tcPr>
            <w:tcW w:w="1174" w:type="dxa"/>
            <w:shd w:val="clear" w:color="auto" w:fill="auto"/>
            <w:vAlign w:val="bottom"/>
          </w:tcPr>
          <w:p w14:paraId="2B431A67"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19.9</w:t>
            </w:r>
          </w:p>
        </w:tc>
        <w:tc>
          <w:tcPr>
            <w:tcW w:w="1174" w:type="dxa"/>
            <w:shd w:val="clear" w:color="auto" w:fill="auto"/>
            <w:vAlign w:val="bottom"/>
          </w:tcPr>
          <w:p w14:paraId="48589C29"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15.2</w:t>
            </w:r>
          </w:p>
        </w:tc>
        <w:tc>
          <w:tcPr>
            <w:tcW w:w="1295" w:type="dxa"/>
            <w:gridSpan w:val="2"/>
            <w:shd w:val="clear" w:color="auto" w:fill="auto"/>
            <w:vAlign w:val="bottom"/>
          </w:tcPr>
          <w:p w14:paraId="0A6BBA52"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59.9</w:t>
            </w:r>
          </w:p>
        </w:tc>
        <w:tc>
          <w:tcPr>
            <w:tcW w:w="1080" w:type="dxa"/>
            <w:shd w:val="clear" w:color="auto" w:fill="auto"/>
            <w:vAlign w:val="bottom"/>
          </w:tcPr>
          <w:p w14:paraId="61D7A511"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40.1</w:t>
            </w:r>
          </w:p>
        </w:tc>
      </w:tr>
      <w:tr w:rsidR="004A3AB4" w:rsidRPr="005021F1" w14:paraId="3EA67A9C" w14:textId="77777777" w:rsidTr="003C23CC">
        <w:tc>
          <w:tcPr>
            <w:tcW w:w="3910" w:type="dxa"/>
            <w:shd w:val="clear" w:color="auto" w:fill="auto"/>
            <w:vAlign w:val="bottom"/>
          </w:tcPr>
          <w:p w14:paraId="5E9F9B72"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Pr>
                <w:sz w:val="17"/>
                <w:lang w:val="en-GB"/>
              </w:rPr>
              <w:tab/>
            </w:r>
            <w:r w:rsidRPr="005021F1">
              <w:rPr>
                <w:sz w:val="17"/>
                <w:lang w:val="en-GB"/>
              </w:rPr>
              <w:t>Journalism and communications technology</w:t>
            </w:r>
          </w:p>
        </w:tc>
        <w:tc>
          <w:tcPr>
            <w:tcW w:w="1174" w:type="dxa"/>
            <w:shd w:val="clear" w:color="auto" w:fill="auto"/>
            <w:vAlign w:val="bottom"/>
          </w:tcPr>
          <w:p w14:paraId="2C1B52EF"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1.9</w:t>
            </w:r>
          </w:p>
        </w:tc>
        <w:tc>
          <w:tcPr>
            <w:tcW w:w="1174" w:type="dxa"/>
            <w:shd w:val="clear" w:color="auto" w:fill="auto"/>
            <w:vAlign w:val="bottom"/>
          </w:tcPr>
          <w:p w14:paraId="2F497198"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0.6</w:t>
            </w:r>
          </w:p>
        </w:tc>
        <w:tc>
          <w:tcPr>
            <w:tcW w:w="1295" w:type="dxa"/>
            <w:gridSpan w:val="2"/>
            <w:shd w:val="clear" w:color="auto" w:fill="auto"/>
            <w:vAlign w:val="bottom"/>
          </w:tcPr>
          <w:p w14:paraId="2F9794BC"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79.8</w:t>
            </w:r>
          </w:p>
        </w:tc>
        <w:tc>
          <w:tcPr>
            <w:tcW w:w="1080" w:type="dxa"/>
            <w:shd w:val="clear" w:color="auto" w:fill="auto"/>
            <w:vAlign w:val="bottom"/>
          </w:tcPr>
          <w:p w14:paraId="6531B2D5"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20.2</w:t>
            </w:r>
          </w:p>
        </w:tc>
      </w:tr>
      <w:tr w:rsidR="004A3AB4" w:rsidRPr="005021F1" w14:paraId="00DB7C59" w14:textId="77777777" w:rsidTr="003C23CC">
        <w:tc>
          <w:tcPr>
            <w:tcW w:w="3910" w:type="dxa"/>
            <w:shd w:val="clear" w:color="auto" w:fill="auto"/>
            <w:vAlign w:val="bottom"/>
          </w:tcPr>
          <w:p w14:paraId="13BA755C"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Pr>
                <w:sz w:val="17"/>
                <w:lang w:val="en-GB"/>
              </w:rPr>
              <w:tab/>
            </w:r>
            <w:r w:rsidRPr="005021F1">
              <w:rPr>
                <w:sz w:val="17"/>
                <w:lang w:val="en-GB"/>
              </w:rPr>
              <w:t>Business and management</w:t>
            </w:r>
          </w:p>
        </w:tc>
        <w:tc>
          <w:tcPr>
            <w:tcW w:w="1174" w:type="dxa"/>
            <w:shd w:val="clear" w:color="auto" w:fill="auto"/>
            <w:vAlign w:val="bottom"/>
          </w:tcPr>
          <w:p w14:paraId="73351738"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4.7</w:t>
            </w:r>
          </w:p>
        </w:tc>
        <w:tc>
          <w:tcPr>
            <w:tcW w:w="1174" w:type="dxa"/>
            <w:shd w:val="clear" w:color="auto" w:fill="auto"/>
            <w:vAlign w:val="bottom"/>
          </w:tcPr>
          <w:p w14:paraId="56C8C683"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4.4</w:t>
            </w:r>
          </w:p>
        </w:tc>
        <w:tc>
          <w:tcPr>
            <w:tcW w:w="1295" w:type="dxa"/>
            <w:gridSpan w:val="2"/>
            <w:shd w:val="clear" w:color="auto" w:fill="auto"/>
            <w:vAlign w:val="bottom"/>
          </w:tcPr>
          <w:p w14:paraId="6F748380"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54.9</w:t>
            </w:r>
          </w:p>
        </w:tc>
        <w:tc>
          <w:tcPr>
            <w:tcW w:w="1080" w:type="dxa"/>
            <w:shd w:val="clear" w:color="auto" w:fill="auto"/>
            <w:vAlign w:val="bottom"/>
          </w:tcPr>
          <w:p w14:paraId="63E5C5A0"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45.1</w:t>
            </w:r>
          </w:p>
        </w:tc>
      </w:tr>
      <w:tr w:rsidR="004A3AB4" w:rsidRPr="005021F1" w14:paraId="4C1A5410" w14:textId="77777777" w:rsidTr="003C23CC">
        <w:tc>
          <w:tcPr>
            <w:tcW w:w="3910" w:type="dxa"/>
            <w:shd w:val="clear" w:color="auto" w:fill="auto"/>
            <w:vAlign w:val="bottom"/>
          </w:tcPr>
          <w:p w14:paraId="7F3E010D"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Pr>
                <w:sz w:val="17"/>
                <w:lang w:val="en-GB"/>
              </w:rPr>
              <w:tab/>
            </w:r>
            <w:r w:rsidRPr="005021F1">
              <w:rPr>
                <w:sz w:val="17"/>
                <w:lang w:val="en-GB"/>
              </w:rPr>
              <w:t>Law</w:t>
            </w:r>
          </w:p>
        </w:tc>
        <w:tc>
          <w:tcPr>
            <w:tcW w:w="1174" w:type="dxa"/>
            <w:shd w:val="clear" w:color="auto" w:fill="auto"/>
            <w:vAlign w:val="bottom"/>
          </w:tcPr>
          <w:p w14:paraId="08BB3BB3"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6.6</w:t>
            </w:r>
          </w:p>
        </w:tc>
        <w:tc>
          <w:tcPr>
            <w:tcW w:w="1174" w:type="dxa"/>
            <w:shd w:val="clear" w:color="auto" w:fill="auto"/>
            <w:vAlign w:val="bottom"/>
          </w:tcPr>
          <w:p w14:paraId="11EDF74E"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14.8</w:t>
            </w:r>
          </w:p>
        </w:tc>
        <w:tc>
          <w:tcPr>
            <w:tcW w:w="1295" w:type="dxa"/>
            <w:gridSpan w:val="2"/>
            <w:shd w:val="clear" w:color="auto" w:fill="auto"/>
            <w:vAlign w:val="bottom"/>
          </w:tcPr>
          <w:p w14:paraId="7135246E"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33.5</w:t>
            </w:r>
          </w:p>
        </w:tc>
        <w:tc>
          <w:tcPr>
            <w:tcW w:w="1080" w:type="dxa"/>
            <w:shd w:val="clear" w:color="auto" w:fill="auto"/>
            <w:vAlign w:val="bottom"/>
          </w:tcPr>
          <w:p w14:paraId="1EC3798A"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66.5</w:t>
            </w:r>
          </w:p>
        </w:tc>
      </w:tr>
      <w:tr w:rsidR="004A3AB4" w:rsidRPr="005021F1" w14:paraId="770EB83A" w14:textId="77777777" w:rsidTr="003C23CC">
        <w:tc>
          <w:tcPr>
            <w:tcW w:w="3910" w:type="dxa"/>
            <w:shd w:val="clear" w:color="auto" w:fill="auto"/>
            <w:vAlign w:val="bottom"/>
          </w:tcPr>
          <w:p w14:paraId="2917B4BE"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Pr>
                <w:sz w:val="17"/>
                <w:lang w:val="en-GB"/>
              </w:rPr>
              <w:tab/>
            </w:r>
            <w:r w:rsidRPr="005021F1">
              <w:rPr>
                <w:sz w:val="17"/>
                <w:lang w:val="en-GB"/>
              </w:rPr>
              <w:t>Life sciences</w:t>
            </w:r>
          </w:p>
        </w:tc>
        <w:tc>
          <w:tcPr>
            <w:tcW w:w="1174" w:type="dxa"/>
            <w:shd w:val="clear" w:color="auto" w:fill="auto"/>
            <w:vAlign w:val="bottom"/>
          </w:tcPr>
          <w:p w14:paraId="0D7DA914"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2.0</w:t>
            </w:r>
          </w:p>
        </w:tc>
        <w:tc>
          <w:tcPr>
            <w:tcW w:w="1174" w:type="dxa"/>
            <w:shd w:val="clear" w:color="auto" w:fill="auto"/>
            <w:vAlign w:val="bottom"/>
          </w:tcPr>
          <w:p w14:paraId="28CC25C1"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1.1</w:t>
            </w:r>
          </w:p>
        </w:tc>
        <w:tc>
          <w:tcPr>
            <w:tcW w:w="1295" w:type="dxa"/>
            <w:gridSpan w:val="2"/>
            <w:shd w:val="clear" w:color="auto" w:fill="auto"/>
            <w:vAlign w:val="bottom"/>
          </w:tcPr>
          <w:p w14:paraId="3AD12D83"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67.7</w:t>
            </w:r>
          </w:p>
        </w:tc>
        <w:tc>
          <w:tcPr>
            <w:tcW w:w="1080" w:type="dxa"/>
            <w:shd w:val="clear" w:color="auto" w:fill="auto"/>
            <w:vAlign w:val="bottom"/>
          </w:tcPr>
          <w:p w14:paraId="05CBD09D"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32.3</w:t>
            </w:r>
          </w:p>
        </w:tc>
      </w:tr>
      <w:tr w:rsidR="004A3AB4" w:rsidRPr="005021F1" w14:paraId="2858C817" w14:textId="77777777" w:rsidTr="003C23CC">
        <w:tc>
          <w:tcPr>
            <w:tcW w:w="3910" w:type="dxa"/>
            <w:shd w:val="clear" w:color="auto" w:fill="auto"/>
            <w:vAlign w:val="bottom"/>
          </w:tcPr>
          <w:p w14:paraId="0ABE74D2"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Pr>
                <w:sz w:val="17"/>
                <w:lang w:val="en-GB"/>
              </w:rPr>
              <w:tab/>
            </w:r>
            <w:r w:rsidRPr="005021F1">
              <w:rPr>
                <w:sz w:val="17"/>
                <w:lang w:val="en-GB"/>
              </w:rPr>
              <w:t>Physics</w:t>
            </w:r>
          </w:p>
        </w:tc>
        <w:tc>
          <w:tcPr>
            <w:tcW w:w="1174" w:type="dxa"/>
            <w:shd w:val="clear" w:color="auto" w:fill="auto"/>
            <w:vAlign w:val="bottom"/>
          </w:tcPr>
          <w:p w14:paraId="4794578F"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1.1</w:t>
            </w:r>
          </w:p>
        </w:tc>
        <w:tc>
          <w:tcPr>
            <w:tcW w:w="1174" w:type="dxa"/>
            <w:shd w:val="clear" w:color="auto" w:fill="auto"/>
            <w:vAlign w:val="bottom"/>
          </w:tcPr>
          <w:p w14:paraId="20EFD66D"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0.4</w:t>
            </w:r>
          </w:p>
        </w:tc>
        <w:tc>
          <w:tcPr>
            <w:tcW w:w="1295" w:type="dxa"/>
            <w:gridSpan w:val="2"/>
            <w:shd w:val="clear" w:color="auto" w:fill="auto"/>
            <w:vAlign w:val="bottom"/>
          </w:tcPr>
          <w:p w14:paraId="2C01E665"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75.1</w:t>
            </w:r>
          </w:p>
        </w:tc>
        <w:tc>
          <w:tcPr>
            <w:tcW w:w="1080" w:type="dxa"/>
            <w:shd w:val="clear" w:color="auto" w:fill="auto"/>
            <w:vAlign w:val="bottom"/>
          </w:tcPr>
          <w:p w14:paraId="5FF07F84"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24.9</w:t>
            </w:r>
          </w:p>
        </w:tc>
      </w:tr>
      <w:tr w:rsidR="004A3AB4" w:rsidRPr="005021F1" w14:paraId="68B78724" w14:textId="77777777" w:rsidTr="003C23CC">
        <w:tc>
          <w:tcPr>
            <w:tcW w:w="3910" w:type="dxa"/>
            <w:shd w:val="clear" w:color="auto" w:fill="auto"/>
            <w:vAlign w:val="bottom"/>
          </w:tcPr>
          <w:p w14:paraId="7100EBBA"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Pr>
                <w:sz w:val="17"/>
                <w:lang w:val="en-GB"/>
              </w:rPr>
              <w:tab/>
            </w:r>
            <w:r w:rsidRPr="005021F1">
              <w:rPr>
                <w:sz w:val="17"/>
                <w:lang w:val="en-GB"/>
              </w:rPr>
              <w:t>Mathematics and statistics</w:t>
            </w:r>
          </w:p>
        </w:tc>
        <w:tc>
          <w:tcPr>
            <w:tcW w:w="1174" w:type="dxa"/>
            <w:shd w:val="clear" w:color="auto" w:fill="auto"/>
            <w:vAlign w:val="bottom"/>
          </w:tcPr>
          <w:p w14:paraId="4B602273"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2.6</w:t>
            </w:r>
          </w:p>
        </w:tc>
        <w:tc>
          <w:tcPr>
            <w:tcW w:w="1174" w:type="dxa"/>
            <w:shd w:val="clear" w:color="auto" w:fill="auto"/>
            <w:vAlign w:val="bottom"/>
          </w:tcPr>
          <w:p w14:paraId="42167490"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2.4</w:t>
            </w:r>
          </w:p>
        </w:tc>
        <w:tc>
          <w:tcPr>
            <w:tcW w:w="1295" w:type="dxa"/>
            <w:gridSpan w:val="2"/>
            <w:shd w:val="clear" w:color="auto" w:fill="auto"/>
            <w:vAlign w:val="bottom"/>
          </w:tcPr>
          <w:p w14:paraId="72828988"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55.6</w:t>
            </w:r>
          </w:p>
        </w:tc>
        <w:tc>
          <w:tcPr>
            <w:tcW w:w="1080" w:type="dxa"/>
            <w:shd w:val="clear" w:color="auto" w:fill="auto"/>
            <w:vAlign w:val="bottom"/>
          </w:tcPr>
          <w:p w14:paraId="14E322B7"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44.4</w:t>
            </w:r>
          </w:p>
        </w:tc>
      </w:tr>
      <w:tr w:rsidR="004A3AB4" w:rsidRPr="005021F1" w14:paraId="2F64FC3A" w14:textId="77777777" w:rsidTr="003C23CC">
        <w:tc>
          <w:tcPr>
            <w:tcW w:w="3910" w:type="dxa"/>
            <w:shd w:val="clear" w:color="auto" w:fill="auto"/>
            <w:vAlign w:val="bottom"/>
          </w:tcPr>
          <w:p w14:paraId="63C866EA"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Pr>
                <w:sz w:val="17"/>
                <w:lang w:val="en-GB"/>
              </w:rPr>
              <w:tab/>
            </w:r>
            <w:r w:rsidRPr="005021F1">
              <w:rPr>
                <w:sz w:val="17"/>
                <w:lang w:val="en-GB"/>
              </w:rPr>
              <w:t>Computer science</w:t>
            </w:r>
          </w:p>
        </w:tc>
        <w:tc>
          <w:tcPr>
            <w:tcW w:w="1174" w:type="dxa"/>
            <w:shd w:val="clear" w:color="auto" w:fill="auto"/>
            <w:vAlign w:val="bottom"/>
          </w:tcPr>
          <w:p w14:paraId="1A20FBFF"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1.1</w:t>
            </w:r>
          </w:p>
        </w:tc>
        <w:tc>
          <w:tcPr>
            <w:tcW w:w="1174" w:type="dxa"/>
            <w:shd w:val="clear" w:color="auto" w:fill="auto"/>
            <w:vAlign w:val="bottom"/>
          </w:tcPr>
          <w:p w14:paraId="7E702912"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2.9</w:t>
            </w:r>
          </w:p>
        </w:tc>
        <w:tc>
          <w:tcPr>
            <w:tcW w:w="1295" w:type="dxa"/>
            <w:gridSpan w:val="2"/>
            <w:shd w:val="clear" w:color="auto" w:fill="auto"/>
            <w:vAlign w:val="bottom"/>
          </w:tcPr>
          <w:p w14:paraId="2FE483A9"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29.5</w:t>
            </w:r>
          </w:p>
        </w:tc>
        <w:tc>
          <w:tcPr>
            <w:tcW w:w="1080" w:type="dxa"/>
            <w:shd w:val="clear" w:color="auto" w:fill="auto"/>
            <w:vAlign w:val="bottom"/>
          </w:tcPr>
          <w:p w14:paraId="6C9BC86D"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70.5</w:t>
            </w:r>
          </w:p>
        </w:tc>
      </w:tr>
      <w:tr w:rsidR="004A3AB4" w:rsidRPr="005021F1" w14:paraId="78C68DB9" w14:textId="77777777" w:rsidTr="003C23CC">
        <w:tc>
          <w:tcPr>
            <w:tcW w:w="3910" w:type="dxa"/>
            <w:shd w:val="clear" w:color="auto" w:fill="auto"/>
            <w:vAlign w:val="bottom"/>
          </w:tcPr>
          <w:p w14:paraId="502D1602"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Pr>
                <w:sz w:val="17"/>
                <w:lang w:val="en-GB"/>
              </w:rPr>
              <w:tab/>
            </w:r>
            <w:r w:rsidRPr="005021F1">
              <w:rPr>
                <w:sz w:val="17"/>
                <w:lang w:val="en-GB"/>
              </w:rPr>
              <w:t>Engineering</w:t>
            </w:r>
          </w:p>
        </w:tc>
        <w:tc>
          <w:tcPr>
            <w:tcW w:w="1174" w:type="dxa"/>
            <w:shd w:val="clear" w:color="auto" w:fill="auto"/>
            <w:vAlign w:val="bottom"/>
          </w:tcPr>
          <w:p w14:paraId="6CB23BDE"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5.5</w:t>
            </w:r>
          </w:p>
        </w:tc>
        <w:tc>
          <w:tcPr>
            <w:tcW w:w="1174" w:type="dxa"/>
            <w:shd w:val="clear" w:color="auto" w:fill="auto"/>
            <w:vAlign w:val="bottom"/>
          </w:tcPr>
          <w:p w14:paraId="0CAF9821"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13.8</w:t>
            </w:r>
          </w:p>
        </w:tc>
        <w:tc>
          <w:tcPr>
            <w:tcW w:w="1295" w:type="dxa"/>
            <w:gridSpan w:val="2"/>
            <w:shd w:val="clear" w:color="auto" w:fill="auto"/>
            <w:vAlign w:val="bottom"/>
          </w:tcPr>
          <w:p w14:paraId="476BF3CB"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31.0</w:t>
            </w:r>
          </w:p>
        </w:tc>
        <w:tc>
          <w:tcPr>
            <w:tcW w:w="1080" w:type="dxa"/>
            <w:shd w:val="clear" w:color="auto" w:fill="auto"/>
            <w:vAlign w:val="bottom"/>
          </w:tcPr>
          <w:p w14:paraId="1374895E"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69.0</w:t>
            </w:r>
          </w:p>
        </w:tc>
      </w:tr>
      <w:tr w:rsidR="004A3AB4" w:rsidRPr="005021F1" w14:paraId="2FCDF2F6" w14:textId="77777777" w:rsidTr="003C23CC">
        <w:tc>
          <w:tcPr>
            <w:tcW w:w="3910" w:type="dxa"/>
            <w:shd w:val="clear" w:color="auto" w:fill="auto"/>
            <w:vAlign w:val="bottom"/>
          </w:tcPr>
          <w:p w14:paraId="7437E359"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Pr>
                <w:sz w:val="17"/>
                <w:lang w:val="en-GB"/>
              </w:rPr>
              <w:lastRenderedPageBreak/>
              <w:tab/>
            </w:r>
            <w:r w:rsidRPr="005021F1">
              <w:rPr>
                <w:sz w:val="17"/>
                <w:lang w:val="en-GB"/>
              </w:rPr>
              <w:t>Production and reprocessing</w:t>
            </w:r>
          </w:p>
        </w:tc>
        <w:tc>
          <w:tcPr>
            <w:tcW w:w="1174" w:type="dxa"/>
            <w:shd w:val="clear" w:color="auto" w:fill="auto"/>
            <w:vAlign w:val="bottom"/>
          </w:tcPr>
          <w:p w14:paraId="1F19B1F7"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0.8</w:t>
            </w:r>
          </w:p>
        </w:tc>
        <w:tc>
          <w:tcPr>
            <w:tcW w:w="1174" w:type="dxa"/>
            <w:shd w:val="clear" w:color="auto" w:fill="auto"/>
            <w:vAlign w:val="bottom"/>
          </w:tcPr>
          <w:p w14:paraId="37CD021C"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2.6</w:t>
            </w:r>
          </w:p>
        </w:tc>
        <w:tc>
          <w:tcPr>
            <w:tcW w:w="1295" w:type="dxa"/>
            <w:gridSpan w:val="2"/>
            <w:shd w:val="clear" w:color="auto" w:fill="auto"/>
            <w:vAlign w:val="bottom"/>
          </w:tcPr>
          <w:p w14:paraId="4ED6BA8C"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26.1</w:t>
            </w:r>
          </w:p>
        </w:tc>
        <w:tc>
          <w:tcPr>
            <w:tcW w:w="1080" w:type="dxa"/>
            <w:shd w:val="clear" w:color="auto" w:fill="auto"/>
            <w:vAlign w:val="bottom"/>
          </w:tcPr>
          <w:p w14:paraId="1EBF668D"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73.9</w:t>
            </w:r>
          </w:p>
        </w:tc>
      </w:tr>
      <w:tr w:rsidR="004A3AB4" w:rsidRPr="005021F1" w14:paraId="4CFBE722" w14:textId="77777777" w:rsidTr="003C23CC">
        <w:tc>
          <w:tcPr>
            <w:tcW w:w="3910" w:type="dxa"/>
            <w:shd w:val="clear" w:color="auto" w:fill="auto"/>
            <w:vAlign w:val="bottom"/>
          </w:tcPr>
          <w:p w14:paraId="0AEE82A4"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Pr>
                <w:sz w:val="17"/>
                <w:lang w:val="en-GB"/>
              </w:rPr>
              <w:tab/>
            </w:r>
            <w:r w:rsidRPr="005021F1">
              <w:rPr>
                <w:sz w:val="17"/>
                <w:lang w:val="en-GB"/>
              </w:rPr>
              <w:t>Architecture and construction</w:t>
            </w:r>
          </w:p>
        </w:tc>
        <w:tc>
          <w:tcPr>
            <w:tcW w:w="1174" w:type="dxa"/>
            <w:shd w:val="clear" w:color="auto" w:fill="auto"/>
            <w:vAlign w:val="bottom"/>
          </w:tcPr>
          <w:p w14:paraId="7B1674B0"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1.7</w:t>
            </w:r>
          </w:p>
        </w:tc>
        <w:tc>
          <w:tcPr>
            <w:tcW w:w="1174" w:type="dxa"/>
            <w:shd w:val="clear" w:color="auto" w:fill="auto"/>
            <w:vAlign w:val="bottom"/>
          </w:tcPr>
          <w:p w14:paraId="27877D19"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6.4</w:t>
            </w:r>
          </w:p>
        </w:tc>
        <w:tc>
          <w:tcPr>
            <w:tcW w:w="1295" w:type="dxa"/>
            <w:gridSpan w:val="2"/>
            <w:shd w:val="clear" w:color="auto" w:fill="auto"/>
            <w:vAlign w:val="bottom"/>
          </w:tcPr>
          <w:p w14:paraId="13D6F6FC"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23.5</w:t>
            </w:r>
          </w:p>
        </w:tc>
        <w:tc>
          <w:tcPr>
            <w:tcW w:w="1080" w:type="dxa"/>
            <w:shd w:val="clear" w:color="auto" w:fill="auto"/>
            <w:vAlign w:val="bottom"/>
          </w:tcPr>
          <w:p w14:paraId="38CDDF4A"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76.5</w:t>
            </w:r>
          </w:p>
        </w:tc>
      </w:tr>
      <w:tr w:rsidR="004A3AB4" w:rsidRPr="005021F1" w14:paraId="2F3F5B91" w14:textId="77777777" w:rsidTr="003C23CC">
        <w:tc>
          <w:tcPr>
            <w:tcW w:w="3910" w:type="dxa"/>
            <w:shd w:val="clear" w:color="auto" w:fill="auto"/>
            <w:vAlign w:val="bottom"/>
          </w:tcPr>
          <w:p w14:paraId="76DEE79A"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Pr>
                <w:sz w:val="17"/>
                <w:lang w:val="en-GB"/>
              </w:rPr>
              <w:tab/>
            </w:r>
            <w:r w:rsidRPr="005021F1">
              <w:rPr>
                <w:sz w:val="17"/>
                <w:lang w:val="en-GB"/>
              </w:rPr>
              <w:t>Veterinary science</w:t>
            </w:r>
          </w:p>
        </w:tc>
        <w:tc>
          <w:tcPr>
            <w:tcW w:w="1174" w:type="dxa"/>
            <w:shd w:val="clear" w:color="auto" w:fill="auto"/>
            <w:vAlign w:val="bottom"/>
          </w:tcPr>
          <w:p w14:paraId="6068007F"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0.2</w:t>
            </w:r>
          </w:p>
        </w:tc>
        <w:tc>
          <w:tcPr>
            <w:tcW w:w="1174" w:type="dxa"/>
            <w:shd w:val="clear" w:color="auto" w:fill="auto"/>
            <w:vAlign w:val="bottom"/>
          </w:tcPr>
          <w:p w14:paraId="10E7E43A"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0.9</w:t>
            </w:r>
          </w:p>
        </w:tc>
        <w:tc>
          <w:tcPr>
            <w:tcW w:w="1295" w:type="dxa"/>
            <w:gridSpan w:val="2"/>
            <w:shd w:val="clear" w:color="auto" w:fill="auto"/>
            <w:vAlign w:val="bottom"/>
          </w:tcPr>
          <w:p w14:paraId="2B2B419D"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17.3</w:t>
            </w:r>
          </w:p>
        </w:tc>
        <w:tc>
          <w:tcPr>
            <w:tcW w:w="1080" w:type="dxa"/>
            <w:shd w:val="clear" w:color="auto" w:fill="auto"/>
            <w:vAlign w:val="bottom"/>
          </w:tcPr>
          <w:p w14:paraId="3580F4E2"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82.7</w:t>
            </w:r>
          </w:p>
        </w:tc>
      </w:tr>
      <w:tr w:rsidR="004A3AB4" w:rsidRPr="005021F1" w14:paraId="2C841203" w14:textId="77777777" w:rsidTr="003C23CC">
        <w:tc>
          <w:tcPr>
            <w:tcW w:w="3910" w:type="dxa"/>
            <w:shd w:val="clear" w:color="auto" w:fill="auto"/>
            <w:vAlign w:val="bottom"/>
          </w:tcPr>
          <w:p w14:paraId="2CA89EDF"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Pr>
                <w:sz w:val="17"/>
                <w:lang w:val="en-GB"/>
              </w:rPr>
              <w:tab/>
            </w:r>
            <w:r w:rsidRPr="005021F1">
              <w:rPr>
                <w:sz w:val="17"/>
                <w:lang w:val="en-GB"/>
              </w:rPr>
              <w:t xml:space="preserve">Health care </w:t>
            </w:r>
          </w:p>
        </w:tc>
        <w:tc>
          <w:tcPr>
            <w:tcW w:w="1174" w:type="dxa"/>
            <w:shd w:val="clear" w:color="auto" w:fill="auto"/>
            <w:vAlign w:val="bottom"/>
          </w:tcPr>
          <w:p w14:paraId="5BE398A4"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12.0</w:t>
            </w:r>
          </w:p>
        </w:tc>
        <w:tc>
          <w:tcPr>
            <w:tcW w:w="1174" w:type="dxa"/>
            <w:shd w:val="clear" w:color="auto" w:fill="auto"/>
            <w:vAlign w:val="bottom"/>
          </w:tcPr>
          <w:p w14:paraId="4563BE4B"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13.6</w:t>
            </w:r>
          </w:p>
        </w:tc>
        <w:tc>
          <w:tcPr>
            <w:tcW w:w="1295" w:type="dxa"/>
            <w:gridSpan w:val="2"/>
            <w:shd w:val="clear" w:color="auto" w:fill="auto"/>
            <w:vAlign w:val="bottom"/>
          </w:tcPr>
          <w:p w14:paraId="1E88209C"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50.1</w:t>
            </w:r>
          </w:p>
        </w:tc>
        <w:tc>
          <w:tcPr>
            <w:tcW w:w="1080" w:type="dxa"/>
            <w:shd w:val="clear" w:color="auto" w:fill="auto"/>
            <w:vAlign w:val="bottom"/>
          </w:tcPr>
          <w:p w14:paraId="6757C095"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49.9</w:t>
            </w:r>
          </w:p>
        </w:tc>
      </w:tr>
      <w:tr w:rsidR="004A3AB4" w:rsidRPr="005021F1" w14:paraId="39E3CFD5" w14:textId="77777777" w:rsidTr="003C23CC">
        <w:tc>
          <w:tcPr>
            <w:tcW w:w="3910" w:type="dxa"/>
            <w:shd w:val="clear" w:color="auto" w:fill="auto"/>
            <w:vAlign w:val="bottom"/>
          </w:tcPr>
          <w:p w14:paraId="61B3B68F"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Pr>
                <w:sz w:val="17"/>
                <w:lang w:val="en-GB"/>
              </w:rPr>
              <w:tab/>
            </w:r>
            <w:r w:rsidRPr="005021F1">
              <w:rPr>
                <w:sz w:val="17"/>
                <w:lang w:val="en-GB"/>
              </w:rPr>
              <w:t>Services</w:t>
            </w:r>
          </w:p>
        </w:tc>
        <w:tc>
          <w:tcPr>
            <w:tcW w:w="1174" w:type="dxa"/>
            <w:shd w:val="clear" w:color="auto" w:fill="auto"/>
            <w:vAlign w:val="bottom"/>
          </w:tcPr>
          <w:p w14:paraId="466F7200"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1.2</w:t>
            </w:r>
          </w:p>
        </w:tc>
        <w:tc>
          <w:tcPr>
            <w:tcW w:w="1174" w:type="dxa"/>
            <w:shd w:val="clear" w:color="auto" w:fill="auto"/>
            <w:vAlign w:val="bottom"/>
          </w:tcPr>
          <w:p w14:paraId="3C7552FA"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0.7</w:t>
            </w:r>
          </w:p>
        </w:tc>
        <w:tc>
          <w:tcPr>
            <w:tcW w:w="1295" w:type="dxa"/>
            <w:gridSpan w:val="2"/>
            <w:shd w:val="clear" w:color="auto" w:fill="auto"/>
            <w:vAlign w:val="bottom"/>
          </w:tcPr>
          <w:p w14:paraId="7BFD06A6"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66.6</w:t>
            </w:r>
          </w:p>
        </w:tc>
        <w:tc>
          <w:tcPr>
            <w:tcW w:w="1080" w:type="dxa"/>
            <w:shd w:val="clear" w:color="auto" w:fill="auto"/>
            <w:vAlign w:val="bottom"/>
          </w:tcPr>
          <w:p w14:paraId="34F51999"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33.4</w:t>
            </w:r>
          </w:p>
        </w:tc>
      </w:tr>
      <w:tr w:rsidR="004A3AB4" w:rsidRPr="005021F1" w14:paraId="47F5850C" w14:textId="77777777" w:rsidTr="003C23CC">
        <w:tc>
          <w:tcPr>
            <w:tcW w:w="3910" w:type="dxa"/>
            <w:shd w:val="clear" w:color="auto" w:fill="auto"/>
            <w:vAlign w:val="bottom"/>
          </w:tcPr>
          <w:p w14:paraId="73A902A1"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Pr>
                <w:sz w:val="17"/>
                <w:lang w:val="en-GB"/>
              </w:rPr>
              <w:tab/>
            </w:r>
            <w:r w:rsidRPr="005021F1">
              <w:rPr>
                <w:sz w:val="17"/>
                <w:lang w:val="en-GB"/>
              </w:rPr>
              <w:t>Transportation</w:t>
            </w:r>
          </w:p>
        </w:tc>
        <w:tc>
          <w:tcPr>
            <w:tcW w:w="1174" w:type="dxa"/>
            <w:shd w:val="clear" w:color="auto" w:fill="auto"/>
            <w:vAlign w:val="bottom"/>
          </w:tcPr>
          <w:p w14:paraId="35D6DC0A"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0.1</w:t>
            </w:r>
          </w:p>
        </w:tc>
        <w:tc>
          <w:tcPr>
            <w:tcW w:w="1174" w:type="dxa"/>
            <w:shd w:val="clear" w:color="auto" w:fill="auto"/>
            <w:vAlign w:val="bottom"/>
          </w:tcPr>
          <w:p w14:paraId="0EC447B9"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1.3</w:t>
            </w:r>
          </w:p>
        </w:tc>
        <w:tc>
          <w:tcPr>
            <w:tcW w:w="1295" w:type="dxa"/>
            <w:gridSpan w:val="2"/>
            <w:shd w:val="clear" w:color="auto" w:fill="auto"/>
            <w:vAlign w:val="bottom"/>
          </w:tcPr>
          <w:p w14:paraId="1B0040C0"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10.1</w:t>
            </w:r>
          </w:p>
        </w:tc>
        <w:tc>
          <w:tcPr>
            <w:tcW w:w="1080" w:type="dxa"/>
            <w:shd w:val="clear" w:color="auto" w:fill="auto"/>
            <w:vAlign w:val="bottom"/>
          </w:tcPr>
          <w:p w14:paraId="73C0D698"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89.9</w:t>
            </w:r>
          </w:p>
        </w:tc>
      </w:tr>
      <w:tr w:rsidR="004A3AB4" w:rsidRPr="005021F1" w14:paraId="39B594D5" w14:textId="77777777" w:rsidTr="003C23CC">
        <w:tc>
          <w:tcPr>
            <w:tcW w:w="3910" w:type="dxa"/>
            <w:shd w:val="clear" w:color="auto" w:fill="auto"/>
            <w:vAlign w:val="bottom"/>
          </w:tcPr>
          <w:p w14:paraId="30FDF2B4"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Pr>
                <w:sz w:val="17"/>
                <w:lang w:val="en-GB"/>
              </w:rPr>
              <w:tab/>
            </w:r>
            <w:r w:rsidRPr="005021F1">
              <w:rPr>
                <w:sz w:val="17"/>
                <w:lang w:val="en-GB"/>
              </w:rPr>
              <w:t>Environmental protection</w:t>
            </w:r>
          </w:p>
        </w:tc>
        <w:tc>
          <w:tcPr>
            <w:tcW w:w="1174" w:type="dxa"/>
            <w:shd w:val="clear" w:color="auto" w:fill="auto"/>
            <w:vAlign w:val="bottom"/>
          </w:tcPr>
          <w:p w14:paraId="1954B8F6"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0.6</w:t>
            </w:r>
          </w:p>
        </w:tc>
        <w:tc>
          <w:tcPr>
            <w:tcW w:w="1174" w:type="dxa"/>
            <w:shd w:val="clear" w:color="auto" w:fill="auto"/>
            <w:vAlign w:val="bottom"/>
          </w:tcPr>
          <w:p w14:paraId="6248797A"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1.0</w:t>
            </w:r>
          </w:p>
        </w:tc>
        <w:tc>
          <w:tcPr>
            <w:tcW w:w="1295" w:type="dxa"/>
            <w:gridSpan w:val="2"/>
            <w:shd w:val="clear" w:color="auto" w:fill="auto"/>
            <w:vAlign w:val="bottom"/>
          </w:tcPr>
          <w:p w14:paraId="11691B6F"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42.2</w:t>
            </w:r>
          </w:p>
        </w:tc>
        <w:tc>
          <w:tcPr>
            <w:tcW w:w="1080" w:type="dxa"/>
            <w:shd w:val="clear" w:color="auto" w:fill="auto"/>
            <w:vAlign w:val="bottom"/>
          </w:tcPr>
          <w:p w14:paraId="084E2A33"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57.8</w:t>
            </w:r>
          </w:p>
        </w:tc>
      </w:tr>
      <w:tr w:rsidR="004A3AB4" w:rsidRPr="005021F1" w14:paraId="6BE66172" w14:textId="77777777" w:rsidTr="003C23CC">
        <w:tc>
          <w:tcPr>
            <w:tcW w:w="3910" w:type="dxa"/>
            <w:tcBorders>
              <w:bottom w:val="single" w:sz="12" w:space="0" w:color="auto"/>
            </w:tcBorders>
            <w:shd w:val="clear" w:color="auto" w:fill="auto"/>
            <w:vAlign w:val="bottom"/>
          </w:tcPr>
          <w:p w14:paraId="061B92F6"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Pr>
                <w:sz w:val="17"/>
                <w:lang w:val="en-GB"/>
              </w:rPr>
              <w:tab/>
            </w:r>
            <w:r w:rsidRPr="005021F1">
              <w:rPr>
                <w:sz w:val="17"/>
                <w:lang w:val="en-GB"/>
              </w:rPr>
              <w:t>Security services</w:t>
            </w:r>
          </w:p>
        </w:tc>
        <w:tc>
          <w:tcPr>
            <w:tcW w:w="1174" w:type="dxa"/>
            <w:tcBorders>
              <w:bottom w:val="single" w:sz="12" w:space="0" w:color="auto"/>
            </w:tcBorders>
            <w:shd w:val="clear" w:color="auto" w:fill="auto"/>
            <w:vAlign w:val="bottom"/>
          </w:tcPr>
          <w:p w14:paraId="6AE1AA33"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0.1</w:t>
            </w:r>
          </w:p>
        </w:tc>
        <w:tc>
          <w:tcPr>
            <w:tcW w:w="1174" w:type="dxa"/>
            <w:tcBorders>
              <w:bottom w:val="single" w:sz="12" w:space="0" w:color="auto"/>
            </w:tcBorders>
            <w:shd w:val="clear" w:color="auto" w:fill="auto"/>
            <w:vAlign w:val="bottom"/>
          </w:tcPr>
          <w:p w14:paraId="6E4B67A0"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0.3</w:t>
            </w:r>
          </w:p>
        </w:tc>
        <w:tc>
          <w:tcPr>
            <w:tcW w:w="1295" w:type="dxa"/>
            <w:gridSpan w:val="2"/>
            <w:tcBorders>
              <w:bottom w:val="single" w:sz="12" w:space="0" w:color="auto"/>
            </w:tcBorders>
            <w:shd w:val="clear" w:color="auto" w:fill="auto"/>
            <w:vAlign w:val="bottom"/>
          </w:tcPr>
          <w:p w14:paraId="5DD36421"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34.6</w:t>
            </w:r>
          </w:p>
        </w:tc>
        <w:tc>
          <w:tcPr>
            <w:tcW w:w="1080" w:type="dxa"/>
            <w:tcBorders>
              <w:bottom w:val="single" w:sz="12" w:space="0" w:color="auto"/>
            </w:tcBorders>
            <w:shd w:val="clear" w:color="auto" w:fill="auto"/>
            <w:vAlign w:val="bottom"/>
          </w:tcPr>
          <w:p w14:paraId="11B51B56" w14:textId="77777777" w:rsidR="004A3AB4" w:rsidRPr="005021F1"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5021F1">
              <w:rPr>
                <w:sz w:val="17"/>
                <w:lang w:val="en-GB"/>
              </w:rPr>
              <w:t>65.4</w:t>
            </w:r>
          </w:p>
        </w:tc>
      </w:tr>
    </w:tbl>
    <w:p w14:paraId="00353CE4" w14:textId="77777777" w:rsidR="004A3AB4" w:rsidRPr="00390A86" w:rsidRDefault="004A3AB4" w:rsidP="004A3AB4">
      <w:pPr>
        <w:pStyle w:val="SingleTxt"/>
        <w:spacing w:after="0" w:line="120" w:lineRule="exact"/>
        <w:rPr>
          <w:sz w:val="10"/>
          <w:lang w:val="en-GB"/>
        </w:rPr>
      </w:pPr>
    </w:p>
    <w:p w14:paraId="156DAEA7" w14:textId="77777777" w:rsidR="004A3AB4" w:rsidRPr="00390A86" w:rsidRDefault="004A3AB4" w:rsidP="004A3AB4">
      <w:pPr>
        <w:pStyle w:val="SingleTxt"/>
        <w:spacing w:after="0" w:line="120" w:lineRule="exact"/>
        <w:rPr>
          <w:sz w:val="10"/>
          <w:lang w:val="en-GB"/>
        </w:rPr>
      </w:pPr>
    </w:p>
    <w:p w14:paraId="2BD1FC83" w14:textId="77777777" w:rsidR="004A3AB4" w:rsidRPr="00DF37A3" w:rsidRDefault="004A3AB4" w:rsidP="004A3AB4">
      <w:pPr>
        <w:pStyle w:val="SingleTxt"/>
        <w:rPr>
          <w:lang w:val="en-GB"/>
        </w:rPr>
      </w:pPr>
      <w:r w:rsidRPr="00DF37A3">
        <w:rPr>
          <w:lang w:val="en-GB"/>
        </w:rPr>
        <w:t>88.</w:t>
      </w:r>
      <w:r>
        <w:rPr>
          <w:lang w:val="en-GB"/>
        </w:rPr>
        <w:tab/>
      </w:r>
      <w:r w:rsidRPr="00DF37A3">
        <w:rPr>
          <w:lang w:val="en-GB"/>
        </w:rPr>
        <w:t>The same analysis can be applied to students working towards postgraduate degrees:</w:t>
      </w:r>
    </w:p>
    <w:p w14:paraId="31D0E625" w14:textId="77777777" w:rsidR="004A3AB4" w:rsidRPr="00B4076C" w:rsidRDefault="004A3AB4" w:rsidP="004A3AB4">
      <w:pPr>
        <w:pStyle w:val="SingleTxt"/>
        <w:spacing w:after="0" w:line="120" w:lineRule="exact"/>
        <w:rPr>
          <w:sz w:val="10"/>
          <w:lang w:val="en-GB"/>
        </w:rPr>
      </w:pPr>
    </w:p>
    <w:p w14:paraId="3619DA1B" w14:textId="77777777" w:rsidR="004A3AB4" w:rsidRPr="00DF37A3" w:rsidRDefault="004A3AB4" w:rsidP="004A3AB4">
      <w:pPr>
        <w:pStyle w:val="SingleTxt"/>
        <w:spacing w:after="0"/>
        <w:rPr>
          <w:lang w:val="en-GB"/>
        </w:rPr>
      </w:pPr>
      <w:r w:rsidRPr="00DF37A3">
        <w:rPr>
          <w:lang w:val="en-GB"/>
        </w:rPr>
        <w:t>Table 14</w:t>
      </w:r>
    </w:p>
    <w:p w14:paraId="18D10E49" w14:textId="77777777" w:rsidR="004A3AB4" w:rsidRPr="00DF37A3" w:rsidRDefault="004A3AB4" w:rsidP="004A3A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DF37A3">
        <w:t>Number of students working towards postgraduate degrees</w:t>
      </w:r>
    </w:p>
    <w:p w14:paraId="271DBD25" w14:textId="77777777" w:rsidR="004A3AB4" w:rsidRPr="00081B4C" w:rsidRDefault="004A3AB4" w:rsidP="00195C48">
      <w:pPr>
        <w:pStyle w:val="SingleTxt"/>
        <w:spacing w:after="0"/>
        <w:rPr>
          <w:sz w:val="14"/>
          <w:szCs w:val="14"/>
          <w:lang w:val="en-GB"/>
        </w:rPr>
      </w:pPr>
      <w:r w:rsidRPr="00081B4C">
        <w:rPr>
          <w:sz w:val="14"/>
          <w:szCs w:val="14"/>
          <w:lang w:val="en-GB"/>
        </w:rPr>
        <w:t>(as a percentage of the whole)</w:t>
      </w:r>
    </w:p>
    <w:p w14:paraId="3AEDF7E1" w14:textId="77777777" w:rsidR="004A3AB4" w:rsidRPr="00081B4C" w:rsidRDefault="004A3AB4" w:rsidP="004A3AB4">
      <w:pPr>
        <w:pStyle w:val="SingleTxt"/>
        <w:spacing w:after="0" w:line="120" w:lineRule="exact"/>
        <w:rPr>
          <w:sz w:val="10"/>
          <w:lang w:val="en-GB"/>
        </w:rPr>
      </w:pPr>
    </w:p>
    <w:tbl>
      <w:tblPr>
        <w:tblStyle w:val="TableGrid"/>
        <w:tblW w:w="8609"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83"/>
        <w:gridCol w:w="1165"/>
        <w:gridCol w:w="1165"/>
        <w:gridCol w:w="1165"/>
        <w:gridCol w:w="1165"/>
        <w:gridCol w:w="1166"/>
      </w:tblGrid>
      <w:tr w:rsidR="004A3AB4" w:rsidRPr="00081B4C" w14:paraId="2693792D" w14:textId="77777777" w:rsidTr="004A3AB4">
        <w:trPr>
          <w:tblHeader/>
        </w:trPr>
        <w:tc>
          <w:tcPr>
            <w:tcW w:w="2783" w:type="dxa"/>
            <w:tcBorders>
              <w:top w:val="single" w:sz="4" w:space="0" w:color="auto"/>
              <w:bottom w:val="single" w:sz="12" w:space="0" w:color="auto"/>
            </w:tcBorders>
            <w:shd w:val="clear" w:color="auto" w:fill="auto"/>
            <w:vAlign w:val="bottom"/>
          </w:tcPr>
          <w:p w14:paraId="564B387F" w14:textId="77777777" w:rsidR="004A3AB4" w:rsidRPr="00081B4C"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p>
        </w:tc>
        <w:tc>
          <w:tcPr>
            <w:tcW w:w="1165" w:type="dxa"/>
            <w:tcBorders>
              <w:top w:val="single" w:sz="4" w:space="0" w:color="auto"/>
              <w:bottom w:val="single" w:sz="12" w:space="0" w:color="auto"/>
            </w:tcBorders>
            <w:shd w:val="clear" w:color="auto" w:fill="auto"/>
            <w:vAlign w:val="bottom"/>
          </w:tcPr>
          <w:p w14:paraId="1EC33E19" w14:textId="77777777" w:rsidR="004A3AB4" w:rsidRPr="00081B4C"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081B4C">
              <w:rPr>
                <w:i/>
                <w:sz w:val="14"/>
                <w:lang w:val="en-GB"/>
              </w:rPr>
              <w:t>2013</w:t>
            </w:r>
          </w:p>
        </w:tc>
        <w:tc>
          <w:tcPr>
            <w:tcW w:w="1165" w:type="dxa"/>
            <w:tcBorders>
              <w:top w:val="single" w:sz="4" w:space="0" w:color="auto"/>
              <w:bottom w:val="single" w:sz="12" w:space="0" w:color="auto"/>
            </w:tcBorders>
            <w:shd w:val="clear" w:color="auto" w:fill="auto"/>
            <w:vAlign w:val="bottom"/>
          </w:tcPr>
          <w:p w14:paraId="43321661" w14:textId="77777777" w:rsidR="004A3AB4" w:rsidRPr="00081B4C"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081B4C">
              <w:rPr>
                <w:i/>
                <w:sz w:val="14"/>
                <w:lang w:val="en-GB"/>
              </w:rPr>
              <w:t>2014</w:t>
            </w:r>
          </w:p>
        </w:tc>
        <w:tc>
          <w:tcPr>
            <w:tcW w:w="1165" w:type="dxa"/>
            <w:tcBorders>
              <w:top w:val="single" w:sz="4" w:space="0" w:color="auto"/>
              <w:bottom w:val="single" w:sz="12" w:space="0" w:color="auto"/>
            </w:tcBorders>
            <w:shd w:val="clear" w:color="auto" w:fill="auto"/>
            <w:vAlign w:val="bottom"/>
          </w:tcPr>
          <w:p w14:paraId="73916426" w14:textId="77777777" w:rsidR="004A3AB4" w:rsidRPr="00081B4C"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081B4C">
              <w:rPr>
                <w:i/>
                <w:sz w:val="14"/>
                <w:lang w:val="en-GB"/>
              </w:rPr>
              <w:t>2015</w:t>
            </w:r>
          </w:p>
        </w:tc>
        <w:tc>
          <w:tcPr>
            <w:tcW w:w="1165" w:type="dxa"/>
            <w:tcBorders>
              <w:top w:val="single" w:sz="4" w:space="0" w:color="auto"/>
              <w:bottom w:val="single" w:sz="12" w:space="0" w:color="auto"/>
            </w:tcBorders>
            <w:shd w:val="clear" w:color="auto" w:fill="auto"/>
            <w:vAlign w:val="bottom"/>
          </w:tcPr>
          <w:p w14:paraId="2BBBE8A3" w14:textId="77777777" w:rsidR="004A3AB4" w:rsidRPr="00081B4C"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081B4C">
              <w:rPr>
                <w:i/>
                <w:sz w:val="14"/>
                <w:lang w:val="en-GB"/>
              </w:rPr>
              <w:t>2016</w:t>
            </w:r>
          </w:p>
        </w:tc>
        <w:tc>
          <w:tcPr>
            <w:tcW w:w="1166" w:type="dxa"/>
            <w:tcBorders>
              <w:top w:val="single" w:sz="4" w:space="0" w:color="auto"/>
              <w:bottom w:val="single" w:sz="12" w:space="0" w:color="auto"/>
            </w:tcBorders>
            <w:shd w:val="clear" w:color="auto" w:fill="auto"/>
            <w:vAlign w:val="bottom"/>
          </w:tcPr>
          <w:p w14:paraId="62D87F2B" w14:textId="77777777" w:rsidR="004A3AB4" w:rsidRPr="00081B4C"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081B4C">
              <w:rPr>
                <w:i/>
                <w:sz w:val="14"/>
                <w:lang w:val="en-GB"/>
              </w:rPr>
              <w:t>2017</w:t>
            </w:r>
          </w:p>
        </w:tc>
      </w:tr>
      <w:tr w:rsidR="004A3AB4" w:rsidRPr="00081B4C" w14:paraId="06646D58" w14:textId="77777777" w:rsidTr="004A3AB4">
        <w:trPr>
          <w:trHeight w:hRule="exact" w:val="115"/>
          <w:tblHeader/>
        </w:trPr>
        <w:tc>
          <w:tcPr>
            <w:tcW w:w="2783" w:type="dxa"/>
            <w:tcBorders>
              <w:top w:val="single" w:sz="12" w:space="0" w:color="auto"/>
            </w:tcBorders>
            <w:shd w:val="clear" w:color="auto" w:fill="auto"/>
            <w:vAlign w:val="bottom"/>
          </w:tcPr>
          <w:p w14:paraId="029C840D" w14:textId="77777777" w:rsidR="004A3AB4" w:rsidRPr="00081B4C"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1165" w:type="dxa"/>
            <w:tcBorders>
              <w:top w:val="single" w:sz="12" w:space="0" w:color="auto"/>
            </w:tcBorders>
            <w:shd w:val="clear" w:color="auto" w:fill="auto"/>
            <w:vAlign w:val="bottom"/>
          </w:tcPr>
          <w:p w14:paraId="49828BE3" w14:textId="77777777" w:rsidR="004A3AB4" w:rsidRPr="00081B4C"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165" w:type="dxa"/>
            <w:tcBorders>
              <w:top w:val="single" w:sz="12" w:space="0" w:color="auto"/>
            </w:tcBorders>
            <w:shd w:val="clear" w:color="auto" w:fill="auto"/>
            <w:vAlign w:val="bottom"/>
          </w:tcPr>
          <w:p w14:paraId="303D60E7" w14:textId="77777777" w:rsidR="004A3AB4" w:rsidRPr="00081B4C"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165" w:type="dxa"/>
            <w:tcBorders>
              <w:top w:val="single" w:sz="12" w:space="0" w:color="auto"/>
            </w:tcBorders>
            <w:shd w:val="clear" w:color="auto" w:fill="auto"/>
            <w:vAlign w:val="bottom"/>
          </w:tcPr>
          <w:p w14:paraId="3DBB5BCE" w14:textId="77777777" w:rsidR="004A3AB4" w:rsidRPr="00081B4C"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165" w:type="dxa"/>
            <w:tcBorders>
              <w:top w:val="single" w:sz="12" w:space="0" w:color="auto"/>
            </w:tcBorders>
            <w:shd w:val="clear" w:color="auto" w:fill="auto"/>
            <w:vAlign w:val="bottom"/>
          </w:tcPr>
          <w:p w14:paraId="57BDB82A" w14:textId="77777777" w:rsidR="004A3AB4" w:rsidRPr="00081B4C"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166" w:type="dxa"/>
            <w:tcBorders>
              <w:top w:val="single" w:sz="12" w:space="0" w:color="auto"/>
            </w:tcBorders>
            <w:shd w:val="clear" w:color="auto" w:fill="auto"/>
            <w:vAlign w:val="bottom"/>
          </w:tcPr>
          <w:p w14:paraId="244F044B" w14:textId="77777777" w:rsidR="004A3AB4" w:rsidRPr="00081B4C"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4A3AB4" w:rsidRPr="00081B4C" w14:paraId="10CC4CD2" w14:textId="77777777" w:rsidTr="004A3AB4">
        <w:tc>
          <w:tcPr>
            <w:tcW w:w="2783" w:type="dxa"/>
            <w:shd w:val="clear" w:color="auto" w:fill="auto"/>
          </w:tcPr>
          <w:p w14:paraId="55C37001" w14:textId="77777777" w:rsidR="004A3AB4" w:rsidRPr="00081B4C" w:rsidRDefault="004A3AB4" w:rsidP="004A3A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081B4C">
              <w:rPr>
                <w:sz w:val="17"/>
                <w:lang w:val="en-GB"/>
              </w:rPr>
              <w:t>Doctoral degree (</w:t>
            </w:r>
            <w:r w:rsidRPr="004A3AB4">
              <w:rPr>
                <w:i/>
                <w:iCs/>
                <w:sz w:val="17"/>
                <w:lang w:val="en-GB"/>
              </w:rPr>
              <w:t>aspirant</w:t>
            </w:r>
            <w:r w:rsidRPr="00081B4C">
              <w:rPr>
                <w:sz w:val="17"/>
                <w:lang w:val="en-GB"/>
              </w:rPr>
              <w:t>)</w:t>
            </w:r>
          </w:p>
        </w:tc>
        <w:tc>
          <w:tcPr>
            <w:tcW w:w="1165" w:type="dxa"/>
            <w:shd w:val="clear" w:color="auto" w:fill="auto"/>
            <w:vAlign w:val="bottom"/>
          </w:tcPr>
          <w:p w14:paraId="45ACC88E" w14:textId="77777777" w:rsidR="004A3AB4" w:rsidRPr="00081B4C"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1165" w:type="dxa"/>
            <w:shd w:val="clear" w:color="auto" w:fill="auto"/>
            <w:vAlign w:val="bottom"/>
          </w:tcPr>
          <w:p w14:paraId="1096C289" w14:textId="77777777" w:rsidR="004A3AB4" w:rsidRPr="00081B4C"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1165" w:type="dxa"/>
            <w:shd w:val="clear" w:color="auto" w:fill="auto"/>
            <w:vAlign w:val="bottom"/>
          </w:tcPr>
          <w:p w14:paraId="02B1B82C" w14:textId="77777777" w:rsidR="004A3AB4" w:rsidRPr="00081B4C"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1165" w:type="dxa"/>
            <w:shd w:val="clear" w:color="auto" w:fill="auto"/>
            <w:vAlign w:val="bottom"/>
          </w:tcPr>
          <w:p w14:paraId="76F31E83" w14:textId="77777777" w:rsidR="004A3AB4" w:rsidRPr="00081B4C"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1166" w:type="dxa"/>
            <w:shd w:val="clear" w:color="auto" w:fill="auto"/>
            <w:vAlign w:val="bottom"/>
          </w:tcPr>
          <w:p w14:paraId="67E68013" w14:textId="77777777" w:rsidR="004A3AB4" w:rsidRPr="00081B4C"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r>
      <w:tr w:rsidR="004A3AB4" w:rsidRPr="00081B4C" w14:paraId="14A80A3C" w14:textId="77777777" w:rsidTr="004A3AB4">
        <w:tc>
          <w:tcPr>
            <w:tcW w:w="2783" w:type="dxa"/>
            <w:shd w:val="clear" w:color="auto" w:fill="auto"/>
          </w:tcPr>
          <w:p w14:paraId="08ABC7B2" w14:textId="7E0336B9" w:rsidR="004A3AB4" w:rsidRPr="00081B4C" w:rsidRDefault="004A3AB4" w:rsidP="004A3A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Pr>
                <w:sz w:val="17"/>
                <w:lang w:val="en-GB"/>
              </w:rPr>
              <w:tab/>
            </w:r>
            <w:r w:rsidRPr="00081B4C">
              <w:rPr>
                <w:sz w:val="17"/>
                <w:lang w:val="en-GB"/>
              </w:rPr>
              <w:t>Women</w:t>
            </w:r>
          </w:p>
        </w:tc>
        <w:tc>
          <w:tcPr>
            <w:tcW w:w="1165" w:type="dxa"/>
            <w:shd w:val="clear" w:color="auto" w:fill="auto"/>
            <w:vAlign w:val="bottom"/>
          </w:tcPr>
          <w:p w14:paraId="41189C01" w14:textId="77777777" w:rsidR="004A3AB4" w:rsidRPr="00081B4C"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081B4C">
              <w:rPr>
                <w:sz w:val="17"/>
                <w:lang w:val="en-GB"/>
              </w:rPr>
              <w:t>60.9</w:t>
            </w:r>
          </w:p>
        </w:tc>
        <w:tc>
          <w:tcPr>
            <w:tcW w:w="1165" w:type="dxa"/>
            <w:shd w:val="clear" w:color="auto" w:fill="auto"/>
            <w:vAlign w:val="bottom"/>
          </w:tcPr>
          <w:p w14:paraId="6825AFDF" w14:textId="77777777" w:rsidR="004A3AB4" w:rsidRPr="00081B4C"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081B4C">
              <w:rPr>
                <w:sz w:val="17"/>
                <w:lang w:val="en-GB"/>
              </w:rPr>
              <w:t>57.7</w:t>
            </w:r>
          </w:p>
        </w:tc>
        <w:tc>
          <w:tcPr>
            <w:tcW w:w="1165" w:type="dxa"/>
            <w:shd w:val="clear" w:color="auto" w:fill="auto"/>
            <w:vAlign w:val="bottom"/>
          </w:tcPr>
          <w:p w14:paraId="08D8F23B" w14:textId="77777777" w:rsidR="004A3AB4" w:rsidRPr="00081B4C"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081B4C">
              <w:rPr>
                <w:sz w:val="17"/>
                <w:lang w:val="en-GB"/>
              </w:rPr>
              <w:t>58.0</w:t>
            </w:r>
          </w:p>
        </w:tc>
        <w:tc>
          <w:tcPr>
            <w:tcW w:w="1165" w:type="dxa"/>
            <w:shd w:val="clear" w:color="auto" w:fill="auto"/>
            <w:vAlign w:val="bottom"/>
          </w:tcPr>
          <w:p w14:paraId="05D16A59" w14:textId="77777777" w:rsidR="004A3AB4" w:rsidRPr="00081B4C"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081B4C">
              <w:rPr>
                <w:sz w:val="17"/>
                <w:lang w:val="en-GB"/>
              </w:rPr>
              <w:t>62.1</w:t>
            </w:r>
          </w:p>
        </w:tc>
        <w:tc>
          <w:tcPr>
            <w:tcW w:w="1166" w:type="dxa"/>
            <w:shd w:val="clear" w:color="auto" w:fill="auto"/>
            <w:vAlign w:val="bottom"/>
          </w:tcPr>
          <w:p w14:paraId="4DE9928D" w14:textId="77777777" w:rsidR="004A3AB4" w:rsidRPr="00081B4C"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081B4C">
              <w:rPr>
                <w:sz w:val="17"/>
                <w:lang w:val="en-GB"/>
              </w:rPr>
              <w:t>58.1</w:t>
            </w:r>
          </w:p>
        </w:tc>
      </w:tr>
      <w:tr w:rsidR="004A3AB4" w:rsidRPr="00081B4C" w14:paraId="3882236A" w14:textId="77777777" w:rsidTr="004A3AB4">
        <w:tc>
          <w:tcPr>
            <w:tcW w:w="2783" w:type="dxa"/>
            <w:shd w:val="clear" w:color="auto" w:fill="auto"/>
          </w:tcPr>
          <w:p w14:paraId="0D9D5F90" w14:textId="5C575AB4" w:rsidR="004A3AB4" w:rsidRPr="00081B4C" w:rsidRDefault="004A3AB4" w:rsidP="004A3A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Pr>
                <w:sz w:val="17"/>
                <w:lang w:val="en-GB"/>
              </w:rPr>
              <w:tab/>
            </w:r>
            <w:r w:rsidRPr="00081B4C">
              <w:rPr>
                <w:sz w:val="17"/>
                <w:lang w:val="en-GB"/>
              </w:rPr>
              <w:t>Men</w:t>
            </w:r>
          </w:p>
        </w:tc>
        <w:tc>
          <w:tcPr>
            <w:tcW w:w="1165" w:type="dxa"/>
            <w:shd w:val="clear" w:color="auto" w:fill="auto"/>
            <w:vAlign w:val="bottom"/>
          </w:tcPr>
          <w:p w14:paraId="6967E0E4" w14:textId="77777777" w:rsidR="004A3AB4" w:rsidRPr="00081B4C"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081B4C">
              <w:rPr>
                <w:sz w:val="17"/>
                <w:lang w:val="en-GB"/>
              </w:rPr>
              <w:t>39.1</w:t>
            </w:r>
          </w:p>
        </w:tc>
        <w:tc>
          <w:tcPr>
            <w:tcW w:w="1165" w:type="dxa"/>
            <w:shd w:val="clear" w:color="auto" w:fill="auto"/>
            <w:vAlign w:val="bottom"/>
          </w:tcPr>
          <w:p w14:paraId="512B72E7" w14:textId="77777777" w:rsidR="004A3AB4" w:rsidRPr="00081B4C"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081B4C">
              <w:rPr>
                <w:sz w:val="17"/>
                <w:lang w:val="en-GB"/>
              </w:rPr>
              <w:t>42.3</w:t>
            </w:r>
          </w:p>
        </w:tc>
        <w:tc>
          <w:tcPr>
            <w:tcW w:w="1165" w:type="dxa"/>
            <w:shd w:val="clear" w:color="auto" w:fill="auto"/>
            <w:vAlign w:val="bottom"/>
          </w:tcPr>
          <w:p w14:paraId="0AE3ED39" w14:textId="77777777" w:rsidR="004A3AB4" w:rsidRPr="00081B4C"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081B4C">
              <w:rPr>
                <w:sz w:val="17"/>
                <w:lang w:val="en-GB"/>
              </w:rPr>
              <w:t>42.0</w:t>
            </w:r>
          </w:p>
        </w:tc>
        <w:tc>
          <w:tcPr>
            <w:tcW w:w="1165" w:type="dxa"/>
            <w:shd w:val="clear" w:color="auto" w:fill="auto"/>
            <w:vAlign w:val="bottom"/>
          </w:tcPr>
          <w:p w14:paraId="65106D5C" w14:textId="77777777" w:rsidR="004A3AB4" w:rsidRPr="00081B4C"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081B4C">
              <w:rPr>
                <w:sz w:val="17"/>
                <w:lang w:val="en-GB"/>
              </w:rPr>
              <w:t>42.0</w:t>
            </w:r>
          </w:p>
        </w:tc>
        <w:tc>
          <w:tcPr>
            <w:tcW w:w="1166" w:type="dxa"/>
            <w:shd w:val="clear" w:color="auto" w:fill="auto"/>
            <w:vAlign w:val="bottom"/>
          </w:tcPr>
          <w:p w14:paraId="42405177" w14:textId="77777777" w:rsidR="004A3AB4" w:rsidRPr="00081B4C"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081B4C">
              <w:rPr>
                <w:sz w:val="17"/>
                <w:lang w:val="en-GB"/>
              </w:rPr>
              <w:t>41.9</w:t>
            </w:r>
          </w:p>
        </w:tc>
      </w:tr>
      <w:tr w:rsidR="004A3AB4" w:rsidRPr="00081B4C" w14:paraId="50E712B7" w14:textId="77777777" w:rsidTr="004A3AB4">
        <w:tc>
          <w:tcPr>
            <w:tcW w:w="2783" w:type="dxa"/>
            <w:shd w:val="clear" w:color="auto" w:fill="auto"/>
          </w:tcPr>
          <w:p w14:paraId="73956389" w14:textId="248ADB13" w:rsidR="004A3AB4" w:rsidRPr="00081B4C" w:rsidRDefault="004A3AB4" w:rsidP="004A3A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081B4C">
              <w:rPr>
                <w:sz w:val="17"/>
                <w:lang w:val="en-GB"/>
              </w:rPr>
              <w:t>Post-doctoral degree (</w:t>
            </w:r>
            <w:r w:rsidRPr="004A3AB4">
              <w:rPr>
                <w:i/>
                <w:iCs/>
                <w:sz w:val="17"/>
                <w:lang w:val="en-GB"/>
              </w:rPr>
              <w:t>doktorant</w:t>
            </w:r>
            <w:r w:rsidRPr="00081B4C">
              <w:rPr>
                <w:sz w:val="17"/>
                <w:lang w:val="en-GB"/>
              </w:rPr>
              <w:t>)</w:t>
            </w:r>
          </w:p>
        </w:tc>
        <w:tc>
          <w:tcPr>
            <w:tcW w:w="1165" w:type="dxa"/>
            <w:shd w:val="clear" w:color="auto" w:fill="auto"/>
            <w:vAlign w:val="bottom"/>
          </w:tcPr>
          <w:p w14:paraId="45186A4B" w14:textId="77777777" w:rsidR="004A3AB4" w:rsidRPr="00081B4C"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1165" w:type="dxa"/>
            <w:shd w:val="clear" w:color="auto" w:fill="auto"/>
            <w:vAlign w:val="bottom"/>
          </w:tcPr>
          <w:p w14:paraId="54B28BE6" w14:textId="77777777" w:rsidR="004A3AB4" w:rsidRPr="00081B4C"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1165" w:type="dxa"/>
            <w:shd w:val="clear" w:color="auto" w:fill="auto"/>
            <w:vAlign w:val="bottom"/>
          </w:tcPr>
          <w:p w14:paraId="60ADC96C" w14:textId="77777777" w:rsidR="004A3AB4" w:rsidRPr="00081B4C"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1165" w:type="dxa"/>
            <w:shd w:val="clear" w:color="auto" w:fill="auto"/>
            <w:vAlign w:val="bottom"/>
          </w:tcPr>
          <w:p w14:paraId="06153065" w14:textId="77777777" w:rsidR="004A3AB4" w:rsidRPr="00081B4C"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1166" w:type="dxa"/>
            <w:shd w:val="clear" w:color="auto" w:fill="auto"/>
            <w:vAlign w:val="bottom"/>
          </w:tcPr>
          <w:p w14:paraId="75EE4557" w14:textId="77777777" w:rsidR="004A3AB4" w:rsidRPr="00081B4C"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r>
      <w:tr w:rsidR="004A3AB4" w:rsidRPr="00081B4C" w14:paraId="306F5E0D" w14:textId="77777777" w:rsidTr="004A3AB4">
        <w:tc>
          <w:tcPr>
            <w:tcW w:w="2783" w:type="dxa"/>
            <w:shd w:val="clear" w:color="auto" w:fill="auto"/>
          </w:tcPr>
          <w:p w14:paraId="4BC5D6EA" w14:textId="1E3FA334" w:rsidR="004A3AB4" w:rsidRPr="00081B4C" w:rsidRDefault="004A3AB4" w:rsidP="004A3A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Pr>
                <w:sz w:val="17"/>
                <w:lang w:val="en-GB"/>
              </w:rPr>
              <w:tab/>
            </w:r>
            <w:r w:rsidRPr="00081B4C">
              <w:rPr>
                <w:sz w:val="17"/>
                <w:lang w:val="en-GB"/>
              </w:rPr>
              <w:t>Women</w:t>
            </w:r>
          </w:p>
        </w:tc>
        <w:tc>
          <w:tcPr>
            <w:tcW w:w="1165" w:type="dxa"/>
            <w:shd w:val="clear" w:color="auto" w:fill="auto"/>
            <w:vAlign w:val="bottom"/>
          </w:tcPr>
          <w:p w14:paraId="7FD2A014" w14:textId="77777777" w:rsidR="004A3AB4" w:rsidRPr="00081B4C"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081B4C">
              <w:rPr>
                <w:sz w:val="17"/>
                <w:lang w:val="en-GB"/>
              </w:rPr>
              <w:t>46.5</w:t>
            </w:r>
          </w:p>
        </w:tc>
        <w:tc>
          <w:tcPr>
            <w:tcW w:w="1165" w:type="dxa"/>
            <w:shd w:val="clear" w:color="auto" w:fill="auto"/>
            <w:vAlign w:val="bottom"/>
          </w:tcPr>
          <w:p w14:paraId="4E540DA2" w14:textId="77777777" w:rsidR="004A3AB4" w:rsidRPr="00081B4C"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081B4C">
              <w:rPr>
                <w:sz w:val="17"/>
                <w:lang w:val="en-GB"/>
              </w:rPr>
              <w:t>42.8</w:t>
            </w:r>
          </w:p>
        </w:tc>
        <w:tc>
          <w:tcPr>
            <w:tcW w:w="1165" w:type="dxa"/>
            <w:shd w:val="clear" w:color="auto" w:fill="auto"/>
            <w:vAlign w:val="bottom"/>
          </w:tcPr>
          <w:p w14:paraId="099BEF20" w14:textId="77777777" w:rsidR="004A3AB4" w:rsidRPr="00081B4C"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081B4C">
              <w:rPr>
                <w:sz w:val="17"/>
                <w:lang w:val="en-GB"/>
              </w:rPr>
              <w:t>51.2</w:t>
            </w:r>
          </w:p>
        </w:tc>
        <w:tc>
          <w:tcPr>
            <w:tcW w:w="1165" w:type="dxa"/>
            <w:shd w:val="clear" w:color="auto" w:fill="auto"/>
            <w:vAlign w:val="bottom"/>
          </w:tcPr>
          <w:p w14:paraId="3E3147FC" w14:textId="77777777" w:rsidR="004A3AB4" w:rsidRPr="00081B4C"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081B4C">
              <w:rPr>
                <w:sz w:val="17"/>
                <w:lang w:val="en-GB"/>
              </w:rPr>
              <w:t>59.6</w:t>
            </w:r>
          </w:p>
        </w:tc>
        <w:tc>
          <w:tcPr>
            <w:tcW w:w="1166" w:type="dxa"/>
            <w:shd w:val="clear" w:color="auto" w:fill="auto"/>
            <w:vAlign w:val="bottom"/>
          </w:tcPr>
          <w:p w14:paraId="03A37295" w14:textId="77777777" w:rsidR="004A3AB4" w:rsidRPr="00081B4C"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081B4C">
              <w:rPr>
                <w:sz w:val="17"/>
                <w:lang w:val="en-GB"/>
              </w:rPr>
              <w:t>60.0</w:t>
            </w:r>
          </w:p>
        </w:tc>
      </w:tr>
      <w:tr w:rsidR="004A3AB4" w:rsidRPr="00081B4C" w14:paraId="36B74F4B" w14:textId="77777777" w:rsidTr="004A3AB4">
        <w:tc>
          <w:tcPr>
            <w:tcW w:w="2783" w:type="dxa"/>
            <w:tcBorders>
              <w:bottom w:val="single" w:sz="12" w:space="0" w:color="auto"/>
            </w:tcBorders>
            <w:shd w:val="clear" w:color="auto" w:fill="auto"/>
          </w:tcPr>
          <w:p w14:paraId="3B77DABC" w14:textId="0A64C661" w:rsidR="004A3AB4" w:rsidRPr="00081B4C" w:rsidRDefault="004A3AB4" w:rsidP="004A3A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Pr>
                <w:sz w:val="17"/>
                <w:lang w:val="en-GB"/>
              </w:rPr>
              <w:tab/>
            </w:r>
            <w:r w:rsidRPr="00081B4C">
              <w:rPr>
                <w:sz w:val="17"/>
                <w:lang w:val="en-GB"/>
              </w:rPr>
              <w:t>Men</w:t>
            </w:r>
          </w:p>
        </w:tc>
        <w:tc>
          <w:tcPr>
            <w:tcW w:w="1165" w:type="dxa"/>
            <w:tcBorders>
              <w:bottom w:val="single" w:sz="12" w:space="0" w:color="auto"/>
            </w:tcBorders>
            <w:shd w:val="clear" w:color="auto" w:fill="auto"/>
            <w:vAlign w:val="bottom"/>
          </w:tcPr>
          <w:p w14:paraId="000F391D" w14:textId="77777777" w:rsidR="004A3AB4" w:rsidRPr="00081B4C"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081B4C">
              <w:rPr>
                <w:sz w:val="17"/>
                <w:lang w:val="en-GB"/>
              </w:rPr>
              <w:t>53.5</w:t>
            </w:r>
          </w:p>
        </w:tc>
        <w:tc>
          <w:tcPr>
            <w:tcW w:w="1165" w:type="dxa"/>
            <w:tcBorders>
              <w:bottom w:val="single" w:sz="12" w:space="0" w:color="auto"/>
            </w:tcBorders>
            <w:shd w:val="clear" w:color="auto" w:fill="auto"/>
            <w:vAlign w:val="bottom"/>
          </w:tcPr>
          <w:p w14:paraId="630EC6B4" w14:textId="77777777" w:rsidR="004A3AB4" w:rsidRPr="00081B4C"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081B4C">
              <w:rPr>
                <w:sz w:val="17"/>
                <w:lang w:val="en-GB"/>
              </w:rPr>
              <w:t>57.2</w:t>
            </w:r>
          </w:p>
        </w:tc>
        <w:tc>
          <w:tcPr>
            <w:tcW w:w="1165" w:type="dxa"/>
            <w:tcBorders>
              <w:bottom w:val="single" w:sz="12" w:space="0" w:color="auto"/>
            </w:tcBorders>
            <w:shd w:val="clear" w:color="auto" w:fill="auto"/>
            <w:vAlign w:val="bottom"/>
          </w:tcPr>
          <w:p w14:paraId="48E9D7EF" w14:textId="77777777" w:rsidR="004A3AB4" w:rsidRPr="00081B4C"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081B4C">
              <w:rPr>
                <w:sz w:val="17"/>
                <w:lang w:val="en-GB"/>
              </w:rPr>
              <w:t>48.8</w:t>
            </w:r>
          </w:p>
        </w:tc>
        <w:tc>
          <w:tcPr>
            <w:tcW w:w="1165" w:type="dxa"/>
            <w:tcBorders>
              <w:bottom w:val="single" w:sz="12" w:space="0" w:color="auto"/>
            </w:tcBorders>
            <w:shd w:val="clear" w:color="auto" w:fill="auto"/>
            <w:vAlign w:val="bottom"/>
          </w:tcPr>
          <w:p w14:paraId="4E0DCC8E" w14:textId="77777777" w:rsidR="004A3AB4" w:rsidRPr="00081B4C"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081B4C">
              <w:rPr>
                <w:sz w:val="17"/>
                <w:lang w:val="en-GB"/>
              </w:rPr>
              <w:t>40.4</w:t>
            </w:r>
          </w:p>
        </w:tc>
        <w:tc>
          <w:tcPr>
            <w:tcW w:w="1166" w:type="dxa"/>
            <w:tcBorders>
              <w:bottom w:val="single" w:sz="12" w:space="0" w:color="auto"/>
            </w:tcBorders>
            <w:shd w:val="clear" w:color="auto" w:fill="auto"/>
            <w:vAlign w:val="bottom"/>
          </w:tcPr>
          <w:p w14:paraId="026D5089" w14:textId="77777777" w:rsidR="004A3AB4" w:rsidRPr="00081B4C" w:rsidRDefault="004A3AB4" w:rsidP="003C23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081B4C">
              <w:rPr>
                <w:sz w:val="17"/>
                <w:lang w:val="en-GB"/>
              </w:rPr>
              <w:t>40.0</w:t>
            </w:r>
          </w:p>
        </w:tc>
      </w:tr>
    </w:tbl>
    <w:p w14:paraId="327A226B" w14:textId="77777777" w:rsidR="004A3AB4" w:rsidRPr="004A3AB4" w:rsidRDefault="004A3AB4" w:rsidP="004A3AB4">
      <w:pPr>
        <w:pStyle w:val="SingleTxt"/>
        <w:spacing w:after="0" w:line="120" w:lineRule="exact"/>
        <w:rPr>
          <w:sz w:val="10"/>
          <w:lang w:val="en-GB"/>
        </w:rPr>
      </w:pPr>
    </w:p>
    <w:p w14:paraId="6545B0EC" w14:textId="3DA139EE" w:rsidR="004A3AB4" w:rsidRPr="004A3AB4" w:rsidRDefault="004A3AB4" w:rsidP="004A3AB4">
      <w:pPr>
        <w:pStyle w:val="SingleTxt"/>
        <w:spacing w:after="0" w:line="120" w:lineRule="exact"/>
        <w:rPr>
          <w:sz w:val="10"/>
          <w:lang w:val="en-GB"/>
        </w:rPr>
      </w:pPr>
    </w:p>
    <w:p w14:paraId="6D384463" w14:textId="77777777" w:rsidR="004A3AB4" w:rsidRPr="004A3AB4" w:rsidRDefault="004A3AB4" w:rsidP="004A3AB4">
      <w:pPr>
        <w:pStyle w:val="SingleTxt"/>
        <w:spacing w:after="0" w:line="120" w:lineRule="exact"/>
        <w:rPr>
          <w:sz w:val="10"/>
          <w:lang w:val="en-GB"/>
        </w:rPr>
      </w:pPr>
    </w:p>
    <w:p w14:paraId="3169BA94" w14:textId="12872290" w:rsidR="004A3AB4" w:rsidRPr="00DF37A3" w:rsidRDefault="004A3AB4" w:rsidP="004A3AB4">
      <w:pPr>
        <w:pStyle w:val="H1"/>
        <w:ind w:right="1260"/>
        <w:rPr>
          <w:lang w:val="en-GB"/>
        </w:rPr>
      </w:pPr>
      <w:r w:rsidRPr="00DF37A3">
        <w:rPr>
          <w:lang w:val="en-GB"/>
        </w:rPr>
        <w:tab/>
      </w:r>
      <w:r w:rsidRPr="00DF37A3">
        <w:rPr>
          <w:lang w:val="en-GB"/>
        </w:rPr>
        <w:tab/>
        <w:t>Article 11</w:t>
      </w:r>
    </w:p>
    <w:p w14:paraId="1B6F9B4D" w14:textId="77777777" w:rsidR="004A3AB4" w:rsidRPr="004A3AB4" w:rsidRDefault="004A3AB4" w:rsidP="004A3AB4">
      <w:pPr>
        <w:pStyle w:val="SingleTxt"/>
        <w:spacing w:after="0" w:line="120" w:lineRule="exact"/>
        <w:rPr>
          <w:sz w:val="10"/>
          <w:lang w:val="en-GB"/>
        </w:rPr>
      </w:pPr>
    </w:p>
    <w:p w14:paraId="23F267F5" w14:textId="77777777" w:rsidR="004A3AB4" w:rsidRPr="004A3AB4" w:rsidRDefault="004A3AB4" w:rsidP="004A3AB4">
      <w:pPr>
        <w:pStyle w:val="SingleTxt"/>
        <w:spacing w:after="0" w:line="120" w:lineRule="exact"/>
        <w:rPr>
          <w:sz w:val="10"/>
          <w:lang w:val="en-GB"/>
        </w:rPr>
      </w:pPr>
    </w:p>
    <w:p w14:paraId="40279170" w14:textId="5963203D" w:rsidR="004A3AB4" w:rsidRPr="00DF37A3" w:rsidRDefault="004A3AB4" w:rsidP="004A3AB4">
      <w:pPr>
        <w:pStyle w:val="SingleTxt"/>
        <w:rPr>
          <w:lang w:val="en-GB"/>
        </w:rPr>
      </w:pPr>
      <w:r w:rsidRPr="00DF37A3">
        <w:rPr>
          <w:lang w:val="en-GB"/>
        </w:rPr>
        <w:t>89.</w:t>
      </w:r>
      <w:r>
        <w:rPr>
          <w:lang w:val="en-GB"/>
        </w:rPr>
        <w:tab/>
      </w:r>
      <w:r w:rsidRPr="00DF37A3">
        <w:rPr>
          <w:lang w:val="en-GB"/>
        </w:rPr>
        <w:t>The programme to promote employment and regulate internal and external labour migration until 2020 was approved by Government Decision No. 485 of 6</w:t>
      </w:r>
      <w:r>
        <w:rPr>
          <w:lang w:val="en-GB"/>
        </w:rPr>
        <w:t> </w:t>
      </w:r>
      <w:r w:rsidRPr="00DF37A3">
        <w:rPr>
          <w:lang w:val="en-GB"/>
        </w:rPr>
        <w:t>September 2013. The main objective of the programme is to create conditions for productive employment and reduce unemployment and the imbalance between supply and demand in the labour market by intensifying measures to promote employment, taking into account the fuller and more rational use of labour resources and the protection of the rights of Kyrgyz nationals working abroad.</w:t>
      </w:r>
    </w:p>
    <w:p w14:paraId="50FAA4CE" w14:textId="77777777" w:rsidR="007D09D1" w:rsidRPr="007D09D1" w:rsidRDefault="007D09D1" w:rsidP="007D09D1">
      <w:pPr>
        <w:pStyle w:val="SingleTxt"/>
        <w:spacing w:after="0" w:line="120" w:lineRule="exact"/>
        <w:rPr>
          <w:sz w:val="10"/>
          <w:lang w:val="en-GB"/>
        </w:rPr>
      </w:pPr>
    </w:p>
    <w:p w14:paraId="49034F14" w14:textId="3ACC76E9" w:rsidR="004A3AB4" w:rsidRPr="00DF37A3" w:rsidRDefault="004A3AB4" w:rsidP="00D60F97">
      <w:pPr>
        <w:pStyle w:val="SingleTxt"/>
        <w:spacing w:after="0"/>
        <w:rPr>
          <w:lang w:val="en-GB"/>
        </w:rPr>
      </w:pPr>
      <w:r w:rsidRPr="00DF37A3">
        <w:rPr>
          <w:lang w:val="en-GB"/>
        </w:rPr>
        <w:lastRenderedPageBreak/>
        <w:t>Table 15</w:t>
      </w:r>
    </w:p>
    <w:p w14:paraId="1EFD807E" w14:textId="44DF6F5C" w:rsidR="004A3AB4" w:rsidRPr="00DF37A3" w:rsidRDefault="00195C48" w:rsidP="00D60F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A3AB4" w:rsidRPr="00DF37A3">
        <w:t>Number of unemployed actively seeking employment</w:t>
      </w:r>
    </w:p>
    <w:p w14:paraId="3F26B33B" w14:textId="77777777" w:rsidR="00195C48" w:rsidRPr="00195C48" w:rsidRDefault="00195C48" w:rsidP="00D60F97">
      <w:pPr>
        <w:pStyle w:val="SingleTxt"/>
        <w:spacing w:after="0" w:line="120" w:lineRule="exact"/>
        <w:rPr>
          <w:sz w:val="10"/>
          <w:lang w:val="en-GB"/>
        </w:rPr>
      </w:pPr>
    </w:p>
    <w:tbl>
      <w:tblPr>
        <w:tblStyle w:val="TableGrid"/>
        <w:tblW w:w="8610"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13"/>
        <w:gridCol w:w="1080"/>
        <w:gridCol w:w="1890"/>
        <w:gridCol w:w="1980"/>
        <w:gridCol w:w="1620"/>
        <w:gridCol w:w="1327"/>
      </w:tblGrid>
      <w:tr w:rsidR="007D09D1" w:rsidRPr="007D09D1" w14:paraId="6E7DB3A0" w14:textId="77777777" w:rsidTr="007D09D1">
        <w:trPr>
          <w:tblHeader/>
        </w:trPr>
        <w:tc>
          <w:tcPr>
            <w:tcW w:w="713" w:type="dxa"/>
            <w:tcBorders>
              <w:top w:val="single" w:sz="4" w:space="0" w:color="auto"/>
              <w:bottom w:val="single" w:sz="12" w:space="0" w:color="auto"/>
            </w:tcBorders>
            <w:shd w:val="clear" w:color="auto" w:fill="auto"/>
            <w:vAlign w:val="bottom"/>
          </w:tcPr>
          <w:p w14:paraId="11BCA797"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7D09D1">
              <w:rPr>
                <w:i/>
                <w:sz w:val="14"/>
                <w:lang w:val="en-GB"/>
              </w:rPr>
              <w:t>No.</w:t>
            </w:r>
          </w:p>
        </w:tc>
        <w:tc>
          <w:tcPr>
            <w:tcW w:w="1080" w:type="dxa"/>
            <w:tcBorders>
              <w:top w:val="single" w:sz="4" w:space="0" w:color="auto"/>
              <w:bottom w:val="single" w:sz="12" w:space="0" w:color="auto"/>
            </w:tcBorders>
            <w:shd w:val="clear" w:color="auto" w:fill="auto"/>
            <w:vAlign w:val="bottom"/>
          </w:tcPr>
          <w:p w14:paraId="0D75F37F"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7D09D1">
              <w:rPr>
                <w:i/>
                <w:sz w:val="14"/>
                <w:lang w:val="en-GB"/>
              </w:rPr>
              <w:t>Year</w:t>
            </w:r>
          </w:p>
        </w:tc>
        <w:tc>
          <w:tcPr>
            <w:tcW w:w="1890" w:type="dxa"/>
            <w:tcBorders>
              <w:top w:val="single" w:sz="4" w:space="0" w:color="auto"/>
              <w:bottom w:val="single" w:sz="12" w:space="0" w:color="auto"/>
            </w:tcBorders>
            <w:shd w:val="clear" w:color="auto" w:fill="auto"/>
            <w:vAlign w:val="bottom"/>
          </w:tcPr>
          <w:p w14:paraId="010B05FD"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7D09D1">
              <w:rPr>
                <w:i/>
                <w:sz w:val="14"/>
                <w:lang w:val="en-GB"/>
              </w:rPr>
              <w:t>Active in the labour market</w:t>
            </w:r>
          </w:p>
        </w:tc>
        <w:tc>
          <w:tcPr>
            <w:tcW w:w="1980" w:type="dxa"/>
            <w:tcBorders>
              <w:top w:val="single" w:sz="4" w:space="0" w:color="auto"/>
              <w:bottom w:val="single" w:sz="12" w:space="0" w:color="auto"/>
            </w:tcBorders>
            <w:shd w:val="clear" w:color="auto" w:fill="auto"/>
            <w:vAlign w:val="bottom"/>
          </w:tcPr>
          <w:p w14:paraId="1EF16CE4"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7D09D1">
              <w:rPr>
                <w:i/>
                <w:sz w:val="14"/>
                <w:lang w:val="en-GB"/>
              </w:rPr>
              <w:t>Community paid employment</w:t>
            </w:r>
          </w:p>
        </w:tc>
        <w:tc>
          <w:tcPr>
            <w:tcW w:w="1620" w:type="dxa"/>
            <w:tcBorders>
              <w:top w:val="single" w:sz="4" w:space="0" w:color="auto"/>
              <w:bottom w:val="single" w:sz="12" w:space="0" w:color="auto"/>
            </w:tcBorders>
            <w:shd w:val="clear" w:color="auto" w:fill="auto"/>
            <w:vAlign w:val="bottom"/>
          </w:tcPr>
          <w:p w14:paraId="2EEB203A"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7D09D1">
              <w:rPr>
                <w:i/>
                <w:sz w:val="14"/>
                <w:lang w:val="en-GB"/>
              </w:rPr>
              <w:t>Occupational training</w:t>
            </w:r>
          </w:p>
        </w:tc>
        <w:tc>
          <w:tcPr>
            <w:tcW w:w="1327" w:type="dxa"/>
            <w:tcBorders>
              <w:top w:val="single" w:sz="4" w:space="0" w:color="auto"/>
              <w:bottom w:val="single" w:sz="12" w:space="0" w:color="auto"/>
            </w:tcBorders>
            <w:shd w:val="clear" w:color="auto" w:fill="auto"/>
            <w:vAlign w:val="bottom"/>
          </w:tcPr>
          <w:p w14:paraId="0D40154C"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7D09D1">
              <w:rPr>
                <w:i/>
                <w:sz w:val="14"/>
                <w:lang w:val="en-GB"/>
              </w:rPr>
              <w:t>Microcredit</w:t>
            </w:r>
          </w:p>
        </w:tc>
      </w:tr>
      <w:tr w:rsidR="007D09D1" w:rsidRPr="007D09D1" w14:paraId="6B8CAD66" w14:textId="77777777" w:rsidTr="007D09D1">
        <w:trPr>
          <w:trHeight w:hRule="exact" w:val="115"/>
          <w:tblHeader/>
        </w:trPr>
        <w:tc>
          <w:tcPr>
            <w:tcW w:w="713" w:type="dxa"/>
            <w:tcBorders>
              <w:top w:val="single" w:sz="12" w:space="0" w:color="auto"/>
            </w:tcBorders>
            <w:shd w:val="clear" w:color="auto" w:fill="auto"/>
            <w:vAlign w:val="bottom"/>
          </w:tcPr>
          <w:p w14:paraId="7438D615"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1080" w:type="dxa"/>
            <w:tcBorders>
              <w:top w:val="single" w:sz="12" w:space="0" w:color="auto"/>
            </w:tcBorders>
            <w:shd w:val="clear" w:color="auto" w:fill="auto"/>
            <w:vAlign w:val="bottom"/>
          </w:tcPr>
          <w:p w14:paraId="4379E375"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890" w:type="dxa"/>
            <w:tcBorders>
              <w:top w:val="single" w:sz="12" w:space="0" w:color="auto"/>
            </w:tcBorders>
            <w:shd w:val="clear" w:color="auto" w:fill="auto"/>
            <w:vAlign w:val="bottom"/>
          </w:tcPr>
          <w:p w14:paraId="3617D4D9"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980" w:type="dxa"/>
            <w:tcBorders>
              <w:top w:val="single" w:sz="12" w:space="0" w:color="auto"/>
            </w:tcBorders>
            <w:shd w:val="clear" w:color="auto" w:fill="auto"/>
            <w:vAlign w:val="bottom"/>
          </w:tcPr>
          <w:p w14:paraId="4B4D5E66"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620" w:type="dxa"/>
            <w:tcBorders>
              <w:top w:val="single" w:sz="12" w:space="0" w:color="auto"/>
            </w:tcBorders>
            <w:shd w:val="clear" w:color="auto" w:fill="auto"/>
            <w:vAlign w:val="bottom"/>
          </w:tcPr>
          <w:p w14:paraId="722B5986"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327" w:type="dxa"/>
            <w:tcBorders>
              <w:top w:val="single" w:sz="12" w:space="0" w:color="auto"/>
            </w:tcBorders>
            <w:shd w:val="clear" w:color="auto" w:fill="auto"/>
            <w:vAlign w:val="bottom"/>
          </w:tcPr>
          <w:p w14:paraId="04166E28"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7D09D1" w:rsidRPr="007D09D1" w14:paraId="6FCA2E89" w14:textId="77777777" w:rsidTr="007D09D1">
        <w:tc>
          <w:tcPr>
            <w:tcW w:w="713" w:type="dxa"/>
            <w:vMerge w:val="restart"/>
            <w:shd w:val="clear" w:color="auto" w:fill="auto"/>
          </w:tcPr>
          <w:p w14:paraId="6760ED5B"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7D09D1">
              <w:rPr>
                <w:sz w:val="17"/>
                <w:lang w:val="en-GB"/>
              </w:rPr>
              <w:t>1.</w:t>
            </w:r>
          </w:p>
        </w:tc>
        <w:tc>
          <w:tcPr>
            <w:tcW w:w="1080" w:type="dxa"/>
            <w:vMerge w:val="restart"/>
            <w:shd w:val="clear" w:color="auto" w:fill="auto"/>
          </w:tcPr>
          <w:p w14:paraId="0C7EB7C5"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7D09D1">
              <w:rPr>
                <w:sz w:val="17"/>
                <w:lang w:val="en-GB"/>
              </w:rPr>
              <w:t>2012</w:t>
            </w:r>
          </w:p>
        </w:tc>
        <w:tc>
          <w:tcPr>
            <w:tcW w:w="1890" w:type="dxa"/>
            <w:shd w:val="clear" w:color="auto" w:fill="auto"/>
            <w:vAlign w:val="bottom"/>
          </w:tcPr>
          <w:p w14:paraId="745CAFC5"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7D09D1">
              <w:rPr>
                <w:sz w:val="17"/>
                <w:lang w:val="en-GB"/>
              </w:rPr>
              <w:t>Total</w:t>
            </w:r>
          </w:p>
        </w:tc>
        <w:tc>
          <w:tcPr>
            <w:tcW w:w="1980" w:type="dxa"/>
            <w:shd w:val="clear" w:color="auto" w:fill="auto"/>
            <w:vAlign w:val="bottom"/>
          </w:tcPr>
          <w:p w14:paraId="22D0030B"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7D09D1">
              <w:rPr>
                <w:sz w:val="17"/>
                <w:lang w:val="en-GB"/>
              </w:rPr>
              <w:t>19 861</w:t>
            </w:r>
          </w:p>
        </w:tc>
        <w:tc>
          <w:tcPr>
            <w:tcW w:w="1620" w:type="dxa"/>
            <w:shd w:val="clear" w:color="auto" w:fill="auto"/>
            <w:vAlign w:val="bottom"/>
          </w:tcPr>
          <w:p w14:paraId="211174D2"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7D09D1">
              <w:rPr>
                <w:sz w:val="17"/>
                <w:lang w:val="en-GB"/>
              </w:rPr>
              <w:t>6 514</w:t>
            </w:r>
          </w:p>
        </w:tc>
        <w:tc>
          <w:tcPr>
            <w:tcW w:w="1327" w:type="dxa"/>
            <w:shd w:val="clear" w:color="auto" w:fill="auto"/>
            <w:vAlign w:val="bottom"/>
          </w:tcPr>
          <w:p w14:paraId="35BB5C21"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7D09D1">
              <w:rPr>
                <w:sz w:val="17"/>
                <w:lang w:val="en-GB"/>
              </w:rPr>
              <w:t>4 479</w:t>
            </w:r>
          </w:p>
        </w:tc>
      </w:tr>
      <w:tr w:rsidR="007D09D1" w:rsidRPr="007D09D1" w14:paraId="7FF5F124" w14:textId="77777777" w:rsidTr="007D09D1">
        <w:tc>
          <w:tcPr>
            <w:tcW w:w="713" w:type="dxa"/>
            <w:vMerge/>
            <w:shd w:val="clear" w:color="auto" w:fill="auto"/>
          </w:tcPr>
          <w:p w14:paraId="3A6821B9"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p>
        </w:tc>
        <w:tc>
          <w:tcPr>
            <w:tcW w:w="1080" w:type="dxa"/>
            <w:vMerge/>
            <w:shd w:val="clear" w:color="auto" w:fill="auto"/>
          </w:tcPr>
          <w:p w14:paraId="47E29C09"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p>
        </w:tc>
        <w:tc>
          <w:tcPr>
            <w:tcW w:w="1890" w:type="dxa"/>
            <w:shd w:val="clear" w:color="auto" w:fill="auto"/>
            <w:vAlign w:val="bottom"/>
          </w:tcPr>
          <w:p w14:paraId="5B88D956"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7D09D1">
              <w:rPr>
                <w:sz w:val="17"/>
                <w:lang w:val="en-GB"/>
              </w:rPr>
              <w:t>Women</w:t>
            </w:r>
          </w:p>
        </w:tc>
        <w:tc>
          <w:tcPr>
            <w:tcW w:w="1980" w:type="dxa"/>
            <w:shd w:val="clear" w:color="auto" w:fill="auto"/>
            <w:vAlign w:val="bottom"/>
          </w:tcPr>
          <w:p w14:paraId="2C06B0CE"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7D09D1">
              <w:rPr>
                <w:sz w:val="17"/>
                <w:lang w:val="en-GB"/>
              </w:rPr>
              <w:t>7 089</w:t>
            </w:r>
          </w:p>
        </w:tc>
        <w:tc>
          <w:tcPr>
            <w:tcW w:w="1620" w:type="dxa"/>
            <w:shd w:val="clear" w:color="auto" w:fill="auto"/>
            <w:vAlign w:val="bottom"/>
          </w:tcPr>
          <w:p w14:paraId="17B98C48"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7D09D1">
              <w:rPr>
                <w:sz w:val="17"/>
                <w:lang w:val="en-GB"/>
              </w:rPr>
              <w:t>3 726</w:t>
            </w:r>
          </w:p>
        </w:tc>
        <w:tc>
          <w:tcPr>
            <w:tcW w:w="1327" w:type="dxa"/>
            <w:shd w:val="clear" w:color="auto" w:fill="auto"/>
            <w:vAlign w:val="bottom"/>
          </w:tcPr>
          <w:p w14:paraId="44475789"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7D09D1">
              <w:rPr>
                <w:sz w:val="17"/>
                <w:lang w:val="en-GB"/>
              </w:rPr>
              <w:t>1 778</w:t>
            </w:r>
          </w:p>
        </w:tc>
      </w:tr>
      <w:tr w:rsidR="007D09D1" w:rsidRPr="007D09D1" w14:paraId="7819F3DF" w14:textId="77777777" w:rsidTr="007D09D1">
        <w:tc>
          <w:tcPr>
            <w:tcW w:w="713" w:type="dxa"/>
            <w:vMerge w:val="restart"/>
            <w:shd w:val="clear" w:color="auto" w:fill="auto"/>
          </w:tcPr>
          <w:p w14:paraId="1930F222"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7D09D1">
              <w:rPr>
                <w:sz w:val="17"/>
                <w:lang w:val="en-GB"/>
              </w:rPr>
              <w:t>2.</w:t>
            </w:r>
          </w:p>
        </w:tc>
        <w:tc>
          <w:tcPr>
            <w:tcW w:w="1080" w:type="dxa"/>
            <w:vMerge w:val="restart"/>
            <w:shd w:val="clear" w:color="auto" w:fill="auto"/>
          </w:tcPr>
          <w:p w14:paraId="05C5C62A"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7D09D1">
              <w:rPr>
                <w:sz w:val="17"/>
                <w:lang w:val="en-GB"/>
              </w:rPr>
              <w:t>2013</w:t>
            </w:r>
          </w:p>
        </w:tc>
        <w:tc>
          <w:tcPr>
            <w:tcW w:w="1890" w:type="dxa"/>
            <w:shd w:val="clear" w:color="auto" w:fill="auto"/>
            <w:vAlign w:val="bottom"/>
          </w:tcPr>
          <w:p w14:paraId="0F4FFB7F"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7D09D1">
              <w:rPr>
                <w:sz w:val="17"/>
                <w:lang w:val="en-GB"/>
              </w:rPr>
              <w:t>Total</w:t>
            </w:r>
          </w:p>
        </w:tc>
        <w:tc>
          <w:tcPr>
            <w:tcW w:w="1980" w:type="dxa"/>
            <w:shd w:val="clear" w:color="auto" w:fill="auto"/>
            <w:vAlign w:val="bottom"/>
          </w:tcPr>
          <w:p w14:paraId="0A70007F"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7D09D1">
              <w:rPr>
                <w:sz w:val="17"/>
                <w:lang w:val="en-GB"/>
              </w:rPr>
              <w:t>21 078</w:t>
            </w:r>
          </w:p>
        </w:tc>
        <w:tc>
          <w:tcPr>
            <w:tcW w:w="1620" w:type="dxa"/>
            <w:shd w:val="clear" w:color="auto" w:fill="auto"/>
            <w:vAlign w:val="bottom"/>
          </w:tcPr>
          <w:p w14:paraId="05CFB4F3"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7D09D1">
              <w:rPr>
                <w:sz w:val="17"/>
                <w:lang w:val="en-GB"/>
              </w:rPr>
              <w:t>7 335</w:t>
            </w:r>
          </w:p>
        </w:tc>
        <w:tc>
          <w:tcPr>
            <w:tcW w:w="1327" w:type="dxa"/>
            <w:shd w:val="clear" w:color="auto" w:fill="auto"/>
            <w:vAlign w:val="bottom"/>
          </w:tcPr>
          <w:p w14:paraId="0C5D7338"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7D09D1">
              <w:rPr>
                <w:sz w:val="17"/>
                <w:lang w:val="en-GB"/>
              </w:rPr>
              <w:t>2 019</w:t>
            </w:r>
          </w:p>
        </w:tc>
      </w:tr>
      <w:tr w:rsidR="007D09D1" w:rsidRPr="007D09D1" w14:paraId="6ADFCD3A" w14:textId="77777777" w:rsidTr="007D09D1">
        <w:tc>
          <w:tcPr>
            <w:tcW w:w="713" w:type="dxa"/>
            <w:vMerge/>
            <w:shd w:val="clear" w:color="auto" w:fill="auto"/>
          </w:tcPr>
          <w:p w14:paraId="16ADABA0"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p>
        </w:tc>
        <w:tc>
          <w:tcPr>
            <w:tcW w:w="1080" w:type="dxa"/>
            <w:vMerge/>
            <w:shd w:val="clear" w:color="auto" w:fill="auto"/>
          </w:tcPr>
          <w:p w14:paraId="1F9DC51C"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p>
        </w:tc>
        <w:tc>
          <w:tcPr>
            <w:tcW w:w="1890" w:type="dxa"/>
            <w:shd w:val="clear" w:color="auto" w:fill="auto"/>
            <w:vAlign w:val="bottom"/>
          </w:tcPr>
          <w:p w14:paraId="029F8E8E"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7D09D1">
              <w:rPr>
                <w:sz w:val="17"/>
                <w:lang w:val="en-GB"/>
              </w:rPr>
              <w:t>Women</w:t>
            </w:r>
          </w:p>
        </w:tc>
        <w:tc>
          <w:tcPr>
            <w:tcW w:w="1980" w:type="dxa"/>
            <w:shd w:val="clear" w:color="auto" w:fill="auto"/>
            <w:vAlign w:val="bottom"/>
          </w:tcPr>
          <w:p w14:paraId="3E2C86B9"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7D09D1">
              <w:rPr>
                <w:sz w:val="17"/>
                <w:lang w:val="en-GB"/>
              </w:rPr>
              <w:t>7 586</w:t>
            </w:r>
          </w:p>
        </w:tc>
        <w:tc>
          <w:tcPr>
            <w:tcW w:w="1620" w:type="dxa"/>
            <w:shd w:val="clear" w:color="auto" w:fill="auto"/>
            <w:vAlign w:val="bottom"/>
          </w:tcPr>
          <w:p w14:paraId="4D393655"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7D09D1">
              <w:rPr>
                <w:sz w:val="17"/>
                <w:lang w:val="en-GB"/>
              </w:rPr>
              <w:t>4 223</w:t>
            </w:r>
          </w:p>
        </w:tc>
        <w:tc>
          <w:tcPr>
            <w:tcW w:w="1327" w:type="dxa"/>
            <w:shd w:val="clear" w:color="auto" w:fill="auto"/>
            <w:vAlign w:val="bottom"/>
          </w:tcPr>
          <w:p w14:paraId="26E64488"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7D09D1">
              <w:rPr>
                <w:sz w:val="17"/>
                <w:lang w:val="en-GB"/>
              </w:rPr>
              <w:t>987</w:t>
            </w:r>
          </w:p>
        </w:tc>
      </w:tr>
      <w:tr w:rsidR="007D09D1" w:rsidRPr="007D09D1" w14:paraId="51D6938F" w14:textId="77777777" w:rsidTr="007D09D1">
        <w:tc>
          <w:tcPr>
            <w:tcW w:w="713" w:type="dxa"/>
            <w:vMerge w:val="restart"/>
            <w:shd w:val="clear" w:color="auto" w:fill="auto"/>
          </w:tcPr>
          <w:p w14:paraId="26D11046"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7D09D1">
              <w:rPr>
                <w:sz w:val="17"/>
                <w:lang w:val="en-GB"/>
              </w:rPr>
              <w:t>3.</w:t>
            </w:r>
          </w:p>
        </w:tc>
        <w:tc>
          <w:tcPr>
            <w:tcW w:w="1080" w:type="dxa"/>
            <w:vMerge w:val="restart"/>
            <w:shd w:val="clear" w:color="auto" w:fill="auto"/>
          </w:tcPr>
          <w:p w14:paraId="3D6A1DFA"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7D09D1">
              <w:rPr>
                <w:sz w:val="17"/>
                <w:lang w:val="en-GB"/>
              </w:rPr>
              <w:t>2014</w:t>
            </w:r>
          </w:p>
        </w:tc>
        <w:tc>
          <w:tcPr>
            <w:tcW w:w="1890" w:type="dxa"/>
            <w:shd w:val="clear" w:color="auto" w:fill="auto"/>
            <w:vAlign w:val="bottom"/>
          </w:tcPr>
          <w:p w14:paraId="2B0CE3C7"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7D09D1">
              <w:rPr>
                <w:sz w:val="17"/>
                <w:lang w:val="en-GB"/>
              </w:rPr>
              <w:t>Total</w:t>
            </w:r>
          </w:p>
        </w:tc>
        <w:tc>
          <w:tcPr>
            <w:tcW w:w="1980" w:type="dxa"/>
            <w:shd w:val="clear" w:color="auto" w:fill="auto"/>
            <w:vAlign w:val="bottom"/>
          </w:tcPr>
          <w:p w14:paraId="288B089C"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7D09D1">
              <w:rPr>
                <w:sz w:val="17"/>
                <w:lang w:val="en-GB"/>
              </w:rPr>
              <w:t>24 861</w:t>
            </w:r>
          </w:p>
        </w:tc>
        <w:tc>
          <w:tcPr>
            <w:tcW w:w="1620" w:type="dxa"/>
            <w:shd w:val="clear" w:color="auto" w:fill="auto"/>
            <w:vAlign w:val="bottom"/>
          </w:tcPr>
          <w:p w14:paraId="78D60ECD"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7D09D1">
              <w:rPr>
                <w:sz w:val="17"/>
                <w:lang w:val="en-GB"/>
              </w:rPr>
              <w:t>8 114</w:t>
            </w:r>
          </w:p>
        </w:tc>
        <w:tc>
          <w:tcPr>
            <w:tcW w:w="1327" w:type="dxa"/>
            <w:shd w:val="clear" w:color="auto" w:fill="auto"/>
            <w:vAlign w:val="bottom"/>
          </w:tcPr>
          <w:p w14:paraId="4702CF46"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7D09D1">
              <w:rPr>
                <w:sz w:val="17"/>
                <w:lang w:val="en-GB"/>
              </w:rPr>
              <w:t>1 294</w:t>
            </w:r>
          </w:p>
        </w:tc>
      </w:tr>
      <w:tr w:rsidR="007D09D1" w:rsidRPr="007D09D1" w14:paraId="504C9288" w14:textId="77777777" w:rsidTr="007D09D1">
        <w:tc>
          <w:tcPr>
            <w:tcW w:w="713" w:type="dxa"/>
            <w:vMerge/>
            <w:shd w:val="clear" w:color="auto" w:fill="auto"/>
          </w:tcPr>
          <w:p w14:paraId="2FE7BAB4"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p>
        </w:tc>
        <w:tc>
          <w:tcPr>
            <w:tcW w:w="1080" w:type="dxa"/>
            <w:vMerge/>
            <w:shd w:val="clear" w:color="auto" w:fill="auto"/>
          </w:tcPr>
          <w:p w14:paraId="67F2587D"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p>
        </w:tc>
        <w:tc>
          <w:tcPr>
            <w:tcW w:w="1890" w:type="dxa"/>
            <w:shd w:val="clear" w:color="auto" w:fill="auto"/>
            <w:vAlign w:val="bottom"/>
          </w:tcPr>
          <w:p w14:paraId="5739B017"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7D09D1">
              <w:rPr>
                <w:sz w:val="17"/>
                <w:lang w:val="en-GB"/>
              </w:rPr>
              <w:t>Women</w:t>
            </w:r>
          </w:p>
        </w:tc>
        <w:tc>
          <w:tcPr>
            <w:tcW w:w="1980" w:type="dxa"/>
            <w:shd w:val="clear" w:color="auto" w:fill="auto"/>
            <w:vAlign w:val="bottom"/>
          </w:tcPr>
          <w:p w14:paraId="5B2545C9"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7D09D1">
              <w:rPr>
                <w:sz w:val="17"/>
                <w:lang w:val="en-GB"/>
              </w:rPr>
              <w:t>8 894</w:t>
            </w:r>
          </w:p>
        </w:tc>
        <w:tc>
          <w:tcPr>
            <w:tcW w:w="1620" w:type="dxa"/>
            <w:shd w:val="clear" w:color="auto" w:fill="auto"/>
            <w:vAlign w:val="bottom"/>
          </w:tcPr>
          <w:p w14:paraId="3FF30B48"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7D09D1">
              <w:rPr>
                <w:sz w:val="17"/>
                <w:lang w:val="en-GB"/>
              </w:rPr>
              <w:t>4 665</w:t>
            </w:r>
          </w:p>
        </w:tc>
        <w:tc>
          <w:tcPr>
            <w:tcW w:w="1327" w:type="dxa"/>
            <w:shd w:val="clear" w:color="auto" w:fill="auto"/>
            <w:vAlign w:val="bottom"/>
          </w:tcPr>
          <w:p w14:paraId="6A04AC22"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7D09D1">
              <w:rPr>
                <w:sz w:val="17"/>
                <w:lang w:val="en-GB"/>
              </w:rPr>
              <w:t>656</w:t>
            </w:r>
          </w:p>
        </w:tc>
      </w:tr>
      <w:tr w:rsidR="007D09D1" w:rsidRPr="007D09D1" w14:paraId="2C6BD201" w14:textId="77777777" w:rsidTr="007D09D1">
        <w:tc>
          <w:tcPr>
            <w:tcW w:w="713" w:type="dxa"/>
            <w:vMerge w:val="restart"/>
            <w:shd w:val="clear" w:color="auto" w:fill="auto"/>
          </w:tcPr>
          <w:p w14:paraId="249E40C0" w14:textId="77777777" w:rsidR="007D09D1" w:rsidRPr="007D09D1" w:rsidRDefault="007D09D1" w:rsidP="00D60F97">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lang w:val="en-GB"/>
              </w:rPr>
            </w:pPr>
            <w:r w:rsidRPr="007D09D1">
              <w:rPr>
                <w:sz w:val="17"/>
                <w:lang w:val="en-GB"/>
              </w:rPr>
              <w:t>4.</w:t>
            </w:r>
          </w:p>
        </w:tc>
        <w:tc>
          <w:tcPr>
            <w:tcW w:w="1080" w:type="dxa"/>
            <w:vMerge w:val="restart"/>
            <w:shd w:val="clear" w:color="auto" w:fill="auto"/>
          </w:tcPr>
          <w:p w14:paraId="6626DB51" w14:textId="77777777" w:rsidR="007D09D1" w:rsidRPr="007D09D1" w:rsidRDefault="007D09D1" w:rsidP="00D60F97">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sz w:val="17"/>
                <w:lang w:val="en-GB"/>
              </w:rPr>
            </w:pPr>
            <w:r w:rsidRPr="007D09D1">
              <w:rPr>
                <w:sz w:val="17"/>
                <w:lang w:val="en-GB"/>
              </w:rPr>
              <w:t>2015</w:t>
            </w:r>
          </w:p>
        </w:tc>
        <w:tc>
          <w:tcPr>
            <w:tcW w:w="1890" w:type="dxa"/>
            <w:shd w:val="clear" w:color="auto" w:fill="auto"/>
            <w:vAlign w:val="bottom"/>
          </w:tcPr>
          <w:p w14:paraId="7BB89CE5" w14:textId="77777777" w:rsidR="007D09D1" w:rsidRPr="007D09D1" w:rsidRDefault="007D09D1" w:rsidP="00D60F97">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en-GB"/>
              </w:rPr>
            </w:pPr>
            <w:r w:rsidRPr="007D09D1">
              <w:rPr>
                <w:sz w:val="17"/>
                <w:lang w:val="en-GB"/>
              </w:rPr>
              <w:t>Total</w:t>
            </w:r>
          </w:p>
        </w:tc>
        <w:tc>
          <w:tcPr>
            <w:tcW w:w="1980" w:type="dxa"/>
            <w:shd w:val="clear" w:color="auto" w:fill="auto"/>
            <w:vAlign w:val="bottom"/>
          </w:tcPr>
          <w:p w14:paraId="746801A9" w14:textId="77777777" w:rsidR="007D09D1" w:rsidRPr="007D09D1" w:rsidRDefault="007D09D1" w:rsidP="00D60F97">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en-GB"/>
              </w:rPr>
            </w:pPr>
            <w:r w:rsidRPr="007D09D1">
              <w:rPr>
                <w:sz w:val="17"/>
                <w:lang w:val="en-GB"/>
              </w:rPr>
              <w:t>25 235</w:t>
            </w:r>
          </w:p>
        </w:tc>
        <w:tc>
          <w:tcPr>
            <w:tcW w:w="1620" w:type="dxa"/>
            <w:shd w:val="clear" w:color="auto" w:fill="auto"/>
            <w:vAlign w:val="bottom"/>
          </w:tcPr>
          <w:p w14:paraId="5514B5FE" w14:textId="77777777" w:rsidR="007D09D1" w:rsidRPr="007D09D1" w:rsidRDefault="007D09D1" w:rsidP="00D60F97">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en-GB"/>
              </w:rPr>
            </w:pPr>
            <w:r w:rsidRPr="007D09D1">
              <w:rPr>
                <w:sz w:val="17"/>
                <w:lang w:val="en-GB"/>
              </w:rPr>
              <w:t>8 547</w:t>
            </w:r>
          </w:p>
        </w:tc>
        <w:tc>
          <w:tcPr>
            <w:tcW w:w="1327" w:type="dxa"/>
            <w:shd w:val="clear" w:color="auto" w:fill="auto"/>
            <w:vAlign w:val="bottom"/>
          </w:tcPr>
          <w:p w14:paraId="1696A605" w14:textId="77777777" w:rsidR="007D09D1" w:rsidRPr="007D09D1" w:rsidRDefault="007D09D1" w:rsidP="00D60F97">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en-GB"/>
              </w:rPr>
            </w:pPr>
            <w:r w:rsidRPr="007D09D1">
              <w:rPr>
                <w:sz w:val="17"/>
                <w:lang w:val="en-GB"/>
              </w:rPr>
              <w:t>1 055</w:t>
            </w:r>
          </w:p>
        </w:tc>
      </w:tr>
      <w:tr w:rsidR="007D09D1" w:rsidRPr="007D09D1" w14:paraId="69CEBD8F" w14:textId="77777777" w:rsidTr="007D09D1">
        <w:tc>
          <w:tcPr>
            <w:tcW w:w="713" w:type="dxa"/>
            <w:vMerge/>
            <w:shd w:val="clear" w:color="auto" w:fill="auto"/>
          </w:tcPr>
          <w:p w14:paraId="3F642F14" w14:textId="77777777" w:rsidR="007D09D1" w:rsidRPr="007D09D1" w:rsidRDefault="007D09D1" w:rsidP="00D60F97">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lang w:val="en-GB"/>
              </w:rPr>
            </w:pPr>
          </w:p>
        </w:tc>
        <w:tc>
          <w:tcPr>
            <w:tcW w:w="1080" w:type="dxa"/>
            <w:vMerge/>
            <w:shd w:val="clear" w:color="auto" w:fill="auto"/>
          </w:tcPr>
          <w:p w14:paraId="016EED62" w14:textId="77777777" w:rsidR="007D09D1" w:rsidRPr="007D09D1" w:rsidRDefault="007D09D1" w:rsidP="00D60F97">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sz w:val="17"/>
                <w:lang w:val="en-GB"/>
              </w:rPr>
            </w:pPr>
          </w:p>
        </w:tc>
        <w:tc>
          <w:tcPr>
            <w:tcW w:w="1890" w:type="dxa"/>
            <w:shd w:val="clear" w:color="auto" w:fill="auto"/>
            <w:vAlign w:val="bottom"/>
          </w:tcPr>
          <w:p w14:paraId="17957749" w14:textId="77777777" w:rsidR="007D09D1" w:rsidRPr="007D09D1" w:rsidRDefault="007D09D1" w:rsidP="00D60F97">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en-GB"/>
              </w:rPr>
            </w:pPr>
            <w:r w:rsidRPr="007D09D1">
              <w:rPr>
                <w:sz w:val="17"/>
                <w:lang w:val="en-GB"/>
              </w:rPr>
              <w:t>Women</w:t>
            </w:r>
          </w:p>
        </w:tc>
        <w:tc>
          <w:tcPr>
            <w:tcW w:w="1980" w:type="dxa"/>
            <w:shd w:val="clear" w:color="auto" w:fill="auto"/>
            <w:vAlign w:val="bottom"/>
          </w:tcPr>
          <w:p w14:paraId="5C0DE537" w14:textId="77777777" w:rsidR="007D09D1" w:rsidRPr="007D09D1" w:rsidRDefault="007D09D1" w:rsidP="00D60F97">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en-GB"/>
              </w:rPr>
            </w:pPr>
            <w:r w:rsidRPr="007D09D1">
              <w:rPr>
                <w:sz w:val="17"/>
                <w:lang w:val="en-GB"/>
              </w:rPr>
              <w:t>8 829</w:t>
            </w:r>
          </w:p>
        </w:tc>
        <w:tc>
          <w:tcPr>
            <w:tcW w:w="1620" w:type="dxa"/>
            <w:shd w:val="clear" w:color="auto" w:fill="auto"/>
            <w:vAlign w:val="bottom"/>
          </w:tcPr>
          <w:p w14:paraId="1C1F4F14" w14:textId="77777777" w:rsidR="007D09D1" w:rsidRPr="007D09D1" w:rsidRDefault="007D09D1" w:rsidP="00D60F97">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en-GB"/>
              </w:rPr>
            </w:pPr>
            <w:r w:rsidRPr="007D09D1">
              <w:rPr>
                <w:sz w:val="17"/>
                <w:lang w:val="en-GB"/>
              </w:rPr>
              <w:t>4 920</w:t>
            </w:r>
          </w:p>
        </w:tc>
        <w:tc>
          <w:tcPr>
            <w:tcW w:w="1327" w:type="dxa"/>
            <w:shd w:val="clear" w:color="auto" w:fill="auto"/>
            <w:vAlign w:val="bottom"/>
          </w:tcPr>
          <w:p w14:paraId="78297732" w14:textId="77777777" w:rsidR="007D09D1" w:rsidRPr="007D09D1" w:rsidRDefault="007D09D1" w:rsidP="00D60F97">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en-GB"/>
              </w:rPr>
            </w:pPr>
            <w:r w:rsidRPr="007D09D1">
              <w:rPr>
                <w:sz w:val="17"/>
                <w:lang w:val="en-GB"/>
              </w:rPr>
              <w:t>566</w:t>
            </w:r>
          </w:p>
        </w:tc>
      </w:tr>
      <w:tr w:rsidR="007D09D1" w:rsidRPr="007D09D1" w14:paraId="769BF7F6" w14:textId="77777777" w:rsidTr="007D09D1">
        <w:tc>
          <w:tcPr>
            <w:tcW w:w="713" w:type="dxa"/>
            <w:vMerge w:val="restart"/>
            <w:shd w:val="clear" w:color="auto" w:fill="auto"/>
          </w:tcPr>
          <w:p w14:paraId="3B4B15A7"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7D09D1">
              <w:rPr>
                <w:sz w:val="17"/>
                <w:lang w:val="en-GB"/>
              </w:rPr>
              <w:t>5.</w:t>
            </w:r>
          </w:p>
        </w:tc>
        <w:tc>
          <w:tcPr>
            <w:tcW w:w="1080" w:type="dxa"/>
            <w:vMerge w:val="restart"/>
            <w:shd w:val="clear" w:color="auto" w:fill="auto"/>
          </w:tcPr>
          <w:p w14:paraId="4A8A876D" w14:textId="6F0E7386"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7D09D1">
              <w:rPr>
                <w:sz w:val="17"/>
                <w:lang w:val="en-GB"/>
              </w:rPr>
              <w:t>2016</w:t>
            </w:r>
          </w:p>
        </w:tc>
        <w:tc>
          <w:tcPr>
            <w:tcW w:w="1890" w:type="dxa"/>
            <w:shd w:val="clear" w:color="auto" w:fill="auto"/>
            <w:vAlign w:val="bottom"/>
          </w:tcPr>
          <w:p w14:paraId="3F7A3FAF"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7D09D1">
              <w:rPr>
                <w:sz w:val="17"/>
                <w:lang w:val="en-GB"/>
              </w:rPr>
              <w:t>Total</w:t>
            </w:r>
          </w:p>
        </w:tc>
        <w:tc>
          <w:tcPr>
            <w:tcW w:w="1980" w:type="dxa"/>
            <w:shd w:val="clear" w:color="auto" w:fill="auto"/>
            <w:vAlign w:val="bottom"/>
          </w:tcPr>
          <w:p w14:paraId="4FE9E34E"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7D09D1">
              <w:rPr>
                <w:sz w:val="17"/>
                <w:lang w:val="en-GB"/>
              </w:rPr>
              <w:t>21 076</w:t>
            </w:r>
          </w:p>
        </w:tc>
        <w:tc>
          <w:tcPr>
            <w:tcW w:w="1620" w:type="dxa"/>
            <w:shd w:val="clear" w:color="auto" w:fill="auto"/>
            <w:vAlign w:val="bottom"/>
          </w:tcPr>
          <w:p w14:paraId="5AC21328"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7D09D1">
              <w:rPr>
                <w:sz w:val="17"/>
                <w:lang w:val="en-GB"/>
              </w:rPr>
              <w:t>7 587</w:t>
            </w:r>
          </w:p>
        </w:tc>
        <w:tc>
          <w:tcPr>
            <w:tcW w:w="1327" w:type="dxa"/>
            <w:shd w:val="clear" w:color="auto" w:fill="auto"/>
            <w:vAlign w:val="bottom"/>
          </w:tcPr>
          <w:p w14:paraId="6265CDFB"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7D09D1">
              <w:rPr>
                <w:sz w:val="17"/>
                <w:lang w:val="en-GB"/>
              </w:rPr>
              <w:t>700</w:t>
            </w:r>
          </w:p>
        </w:tc>
      </w:tr>
      <w:tr w:rsidR="007D09D1" w:rsidRPr="007D09D1" w14:paraId="36295C0B" w14:textId="77777777" w:rsidTr="007D09D1">
        <w:tc>
          <w:tcPr>
            <w:tcW w:w="713" w:type="dxa"/>
            <w:vMerge/>
            <w:shd w:val="clear" w:color="auto" w:fill="auto"/>
          </w:tcPr>
          <w:p w14:paraId="58849A24"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p>
        </w:tc>
        <w:tc>
          <w:tcPr>
            <w:tcW w:w="1080" w:type="dxa"/>
            <w:vMerge/>
            <w:shd w:val="clear" w:color="auto" w:fill="auto"/>
          </w:tcPr>
          <w:p w14:paraId="721A47FE"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p>
        </w:tc>
        <w:tc>
          <w:tcPr>
            <w:tcW w:w="1890" w:type="dxa"/>
            <w:shd w:val="clear" w:color="auto" w:fill="auto"/>
            <w:vAlign w:val="bottom"/>
          </w:tcPr>
          <w:p w14:paraId="7548D135"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7D09D1">
              <w:rPr>
                <w:sz w:val="17"/>
                <w:lang w:val="en-GB"/>
              </w:rPr>
              <w:t>Women</w:t>
            </w:r>
          </w:p>
        </w:tc>
        <w:tc>
          <w:tcPr>
            <w:tcW w:w="1980" w:type="dxa"/>
            <w:shd w:val="clear" w:color="auto" w:fill="auto"/>
            <w:vAlign w:val="bottom"/>
          </w:tcPr>
          <w:p w14:paraId="058EDADD"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7D09D1">
              <w:rPr>
                <w:sz w:val="17"/>
                <w:lang w:val="en-GB"/>
              </w:rPr>
              <w:t>7 994</w:t>
            </w:r>
          </w:p>
        </w:tc>
        <w:tc>
          <w:tcPr>
            <w:tcW w:w="1620" w:type="dxa"/>
            <w:shd w:val="clear" w:color="auto" w:fill="auto"/>
            <w:vAlign w:val="bottom"/>
          </w:tcPr>
          <w:p w14:paraId="546F0675"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7D09D1">
              <w:rPr>
                <w:sz w:val="17"/>
                <w:lang w:val="en-GB"/>
              </w:rPr>
              <w:t>4 257</w:t>
            </w:r>
          </w:p>
        </w:tc>
        <w:tc>
          <w:tcPr>
            <w:tcW w:w="1327" w:type="dxa"/>
            <w:shd w:val="clear" w:color="auto" w:fill="auto"/>
            <w:vAlign w:val="bottom"/>
          </w:tcPr>
          <w:p w14:paraId="42579CDB"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7D09D1">
              <w:rPr>
                <w:sz w:val="17"/>
                <w:lang w:val="en-GB"/>
              </w:rPr>
              <w:t>369</w:t>
            </w:r>
          </w:p>
        </w:tc>
      </w:tr>
      <w:tr w:rsidR="007D09D1" w:rsidRPr="007D09D1" w14:paraId="4AB98B60" w14:textId="77777777" w:rsidTr="007D09D1">
        <w:tc>
          <w:tcPr>
            <w:tcW w:w="713" w:type="dxa"/>
            <w:vMerge w:val="restart"/>
            <w:shd w:val="clear" w:color="auto" w:fill="auto"/>
          </w:tcPr>
          <w:p w14:paraId="6BBCEDB5"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7D09D1">
              <w:rPr>
                <w:sz w:val="17"/>
                <w:lang w:val="en-GB"/>
              </w:rPr>
              <w:t>6.</w:t>
            </w:r>
          </w:p>
        </w:tc>
        <w:tc>
          <w:tcPr>
            <w:tcW w:w="1080" w:type="dxa"/>
            <w:vMerge w:val="restart"/>
            <w:shd w:val="clear" w:color="auto" w:fill="auto"/>
          </w:tcPr>
          <w:p w14:paraId="49F81F2E" w14:textId="28415EF5"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7D09D1">
              <w:rPr>
                <w:sz w:val="17"/>
                <w:lang w:val="en-GB"/>
              </w:rPr>
              <w:t>2017</w:t>
            </w:r>
          </w:p>
        </w:tc>
        <w:tc>
          <w:tcPr>
            <w:tcW w:w="1890" w:type="dxa"/>
            <w:shd w:val="clear" w:color="auto" w:fill="auto"/>
            <w:vAlign w:val="bottom"/>
          </w:tcPr>
          <w:p w14:paraId="4ED10D3D"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7D09D1">
              <w:rPr>
                <w:sz w:val="17"/>
                <w:lang w:val="en-GB"/>
              </w:rPr>
              <w:t>Total</w:t>
            </w:r>
          </w:p>
        </w:tc>
        <w:tc>
          <w:tcPr>
            <w:tcW w:w="1980" w:type="dxa"/>
            <w:shd w:val="clear" w:color="auto" w:fill="auto"/>
            <w:vAlign w:val="bottom"/>
          </w:tcPr>
          <w:p w14:paraId="44F5BBB8"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7D09D1">
              <w:rPr>
                <w:sz w:val="17"/>
                <w:lang w:val="en-GB"/>
              </w:rPr>
              <w:t>19 704</w:t>
            </w:r>
          </w:p>
        </w:tc>
        <w:tc>
          <w:tcPr>
            <w:tcW w:w="1620" w:type="dxa"/>
            <w:shd w:val="clear" w:color="auto" w:fill="auto"/>
            <w:vAlign w:val="bottom"/>
          </w:tcPr>
          <w:p w14:paraId="222F6487"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7D09D1">
              <w:rPr>
                <w:sz w:val="17"/>
                <w:lang w:val="en-GB"/>
              </w:rPr>
              <w:t>7 206</w:t>
            </w:r>
          </w:p>
        </w:tc>
        <w:tc>
          <w:tcPr>
            <w:tcW w:w="1327" w:type="dxa"/>
            <w:shd w:val="clear" w:color="auto" w:fill="auto"/>
            <w:vAlign w:val="bottom"/>
          </w:tcPr>
          <w:p w14:paraId="0F304AFD"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7D09D1">
              <w:rPr>
                <w:sz w:val="17"/>
                <w:lang w:val="en-GB"/>
              </w:rPr>
              <w:t>342</w:t>
            </w:r>
          </w:p>
        </w:tc>
      </w:tr>
      <w:tr w:rsidR="007D09D1" w:rsidRPr="007D09D1" w14:paraId="2FC3413A" w14:textId="77777777" w:rsidTr="007D09D1">
        <w:tc>
          <w:tcPr>
            <w:tcW w:w="713" w:type="dxa"/>
            <w:vMerge/>
            <w:tcBorders>
              <w:bottom w:val="single" w:sz="12" w:space="0" w:color="auto"/>
            </w:tcBorders>
            <w:shd w:val="clear" w:color="auto" w:fill="auto"/>
            <w:vAlign w:val="bottom"/>
          </w:tcPr>
          <w:p w14:paraId="4B24B5F2"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p>
        </w:tc>
        <w:tc>
          <w:tcPr>
            <w:tcW w:w="1080" w:type="dxa"/>
            <w:vMerge/>
            <w:tcBorders>
              <w:bottom w:val="single" w:sz="12" w:space="0" w:color="auto"/>
            </w:tcBorders>
            <w:shd w:val="clear" w:color="auto" w:fill="auto"/>
            <w:vAlign w:val="center"/>
          </w:tcPr>
          <w:p w14:paraId="5A64D71C"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p>
        </w:tc>
        <w:tc>
          <w:tcPr>
            <w:tcW w:w="1890" w:type="dxa"/>
            <w:tcBorders>
              <w:bottom w:val="single" w:sz="12" w:space="0" w:color="auto"/>
            </w:tcBorders>
            <w:shd w:val="clear" w:color="auto" w:fill="auto"/>
            <w:vAlign w:val="bottom"/>
          </w:tcPr>
          <w:p w14:paraId="699D30F9"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7D09D1">
              <w:rPr>
                <w:sz w:val="17"/>
                <w:lang w:val="en-GB"/>
              </w:rPr>
              <w:t>Women</w:t>
            </w:r>
          </w:p>
        </w:tc>
        <w:tc>
          <w:tcPr>
            <w:tcW w:w="1980" w:type="dxa"/>
            <w:tcBorders>
              <w:bottom w:val="single" w:sz="12" w:space="0" w:color="auto"/>
            </w:tcBorders>
            <w:shd w:val="clear" w:color="auto" w:fill="auto"/>
            <w:vAlign w:val="bottom"/>
          </w:tcPr>
          <w:p w14:paraId="4E6CBE90"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7D09D1">
              <w:rPr>
                <w:sz w:val="17"/>
                <w:lang w:val="en-GB"/>
              </w:rPr>
              <w:t>6 801</w:t>
            </w:r>
          </w:p>
        </w:tc>
        <w:tc>
          <w:tcPr>
            <w:tcW w:w="1620" w:type="dxa"/>
            <w:tcBorders>
              <w:bottom w:val="single" w:sz="12" w:space="0" w:color="auto"/>
            </w:tcBorders>
            <w:shd w:val="clear" w:color="auto" w:fill="auto"/>
            <w:vAlign w:val="bottom"/>
          </w:tcPr>
          <w:p w14:paraId="3CD768B0"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7D09D1">
              <w:rPr>
                <w:sz w:val="17"/>
                <w:lang w:val="en-GB"/>
              </w:rPr>
              <w:t>4 449</w:t>
            </w:r>
          </w:p>
        </w:tc>
        <w:tc>
          <w:tcPr>
            <w:tcW w:w="1327" w:type="dxa"/>
            <w:tcBorders>
              <w:bottom w:val="single" w:sz="12" w:space="0" w:color="auto"/>
            </w:tcBorders>
            <w:shd w:val="clear" w:color="auto" w:fill="auto"/>
            <w:vAlign w:val="bottom"/>
          </w:tcPr>
          <w:p w14:paraId="2ED801A1" w14:textId="77777777" w:rsidR="007D09D1" w:rsidRPr="007D09D1" w:rsidRDefault="007D09D1" w:rsidP="00D60F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7D09D1">
              <w:rPr>
                <w:sz w:val="17"/>
                <w:lang w:val="en-GB"/>
              </w:rPr>
              <w:t>186</w:t>
            </w:r>
          </w:p>
        </w:tc>
      </w:tr>
    </w:tbl>
    <w:p w14:paraId="5149DF2A" w14:textId="15646BC6" w:rsidR="004A3AB4" w:rsidRPr="007D09D1" w:rsidRDefault="004A3AB4" w:rsidP="007D09D1">
      <w:pPr>
        <w:pStyle w:val="SingleTxt"/>
        <w:spacing w:after="0" w:line="120" w:lineRule="exact"/>
        <w:rPr>
          <w:sz w:val="10"/>
          <w:lang w:val="en-GB"/>
        </w:rPr>
      </w:pPr>
    </w:p>
    <w:p w14:paraId="48875509" w14:textId="1D5150DF" w:rsidR="007D09D1" w:rsidRPr="007D09D1" w:rsidRDefault="007D09D1" w:rsidP="007D09D1">
      <w:pPr>
        <w:pStyle w:val="SingleTxt"/>
        <w:spacing w:after="0" w:line="120" w:lineRule="exact"/>
        <w:rPr>
          <w:sz w:val="10"/>
          <w:lang w:val="en-GB"/>
        </w:rPr>
      </w:pPr>
    </w:p>
    <w:p w14:paraId="1A032D92" w14:textId="223F4F0D" w:rsidR="004A3AB4" w:rsidRPr="00DF37A3" w:rsidRDefault="004A3AB4" w:rsidP="004A3AB4">
      <w:pPr>
        <w:pStyle w:val="SingleTxt"/>
        <w:rPr>
          <w:lang w:val="en-GB"/>
        </w:rPr>
      </w:pPr>
      <w:r w:rsidRPr="00DF37A3">
        <w:rPr>
          <w:lang w:val="en-GB"/>
        </w:rPr>
        <w:t>90.</w:t>
      </w:r>
      <w:r w:rsidR="007D09D1">
        <w:rPr>
          <w:lang w:val="en-GB"/>
        </w:rPr>
        <w:tab/>
      </w:r>
      <w:r w:rsidRPr="00DF37A3">
        <w:rPr>
          <w:lang w:val="en-GB"/>
        </w:rPr>
        <w:t>According to the above data, more than a half of those taking active measures in the labour market are women. They are mainly involved in landscaping and other lighter forms of work and account for about 35 per cent of the total number of persons involved in this type of work.</w:t>
      </w:r>
    </w:p>
    <w:p w14:paraId="06F7EF51" w14:textId="2F7FDAC7" w:rsidR="004A3AB4" w:rsidRPr="00DF37A3" w:rsidRDefault="004A3AB4" w:rsidP="004A3AB4">
      <w:pPr>
        <w:pStyle w:val="SingleTxt"/>
        <w:rPr>
          <w:lang w:val="en-GB"/>
        </w:rPr>
      </w:pPr>
      <w:r w:rsidRPr="00DF37A3">
        <w:rPr>
          <w:lang w:val="en-GB"/>
        </w:rPr>
        <w:t>91.</w:t>
      </w:r>
      <w:r w:rsidR="007D09D1">
        <w:rPr>
          <w:lang w:val="en-GB"/>
        </w:rPr>
        <w:tab/>
      </w:r>
      <w:r w:rsidRPr="00DF37A3">
        <w:rPr>
          <w:lang w:val="en-GB"/>
        </w:rPr>
        <w:t>The employment rate for 2013–2017 ranged from 35 to 37 per cent.</w:t>
      </w:r>
    </w:p>
    <w:p w14:paraId="70A4AF85" w14:textId="0A5A4A36" w:rsidR="004A3AB4" w:rsidRPr="00DF37A3" w:rsidRDefault="004A3AB4" w:rsidP="004A3AB4">
      <w:pPr>
        <w:pStyle w:val="SingleTxt"/>
        <w:rPr>
          <w:lang w:val="en-GB"/>
        </w:rPr>
      </w:pPr>
      <w:r w:rsidRPr="00DF37A3">
        <w:rPr>
          <w:lang w:val="en-GB"/>
        </w:rPr>
        <w:t>92.</w:t>
      </w:r>
      <w:r w:rsidR="00A4128F">
        <w:rPr>
          <w:lang w:val="en-GB"/>
        </w:rPr>
        <w:tab/>
      </w:r>
      <w:r w:rsidRPr="00DF37A3">
        <w:rPr>
          <w:lang w:val="en-GB"/>
        </w:rPr>
        <w:t xml:space="preserve">The distribution of female and male employment differs significantly by type of economic activity. The proportion of women among the employed population is highest in the service sector, in particular: health care and social services </w:t>
      </w:r>
      <w:r w:rsidR="00A4128F">
        <w:rPr>
          <w:lang w:val="en-GB"/>
        </w:rPr>
        <w:t>–</w:t>
      </w:r>
      <w:r w:rsidRPr="00DF37A3">
        <w:rPr>
          <w:lang w:val="en-GB"/>
        </w:rPr>
        <w:t xml:space="preserve"> 83.6 per cent, education </w:t>
      </w:r>
      <w:r w:rsidR="00A4128F">
        <w:rPr>
          <w:lang w:val="en-GB"/>
        </w:rPr>
        <w:t>–</w:t>
      </w:r>
      <w:r w:rsidRPr="00DF37A3">
        <w:rPr>
          <w:lang w:val="en-GB"/>
        </w:rPr>
        <w:t xml:space="preserve"> 80.6 per cent, hotels and restaurants </w:t>
      </w:r>
      <w:r w:rsidR="00A4128F">
        <w:rPr>
          <w:lang w:val="en-GB"/>
        </w:rPr>
        <w:t>–</w:t>
      </w:r>
      <w:r w:rsidRPr="00DF37A3">
        <w:rPr>
          <w:lang w:val="en-GB"/>
        </w:rPr>
        <w:t xml:space="preserve"> 58.4 per cent, as well as manufacturing </w:t>
      </w:r>
      <w:r w:rsidR="00A4128F">
        <w:rPr>
          <w:lang w:val="en-GB"/>
        </w:rPr>
        <w:t>–</w:t>
      </w:r>
      <w:r w:rsidRPr="00DF37A3">
        <w:rPr>
          <w:lang w:val="en-GB"/>
        </w:rPr>
        <w:t xml:space="preserve"> 47.0 per cent.</w:t>
      </w:r>
    </w:p>
    <w:p w14:paraId="78EE6AE3" w14:textId="66FD0078" w:rsidR="004A3AB4" w:rsidRPr="00DF37A3" w:rsidRDefault="004A3AB4" w:rsidP="004A3AB4">
      <w:pPr>
        <w:pStyle w:val="SingleTxt"/>
        <w:rPr>
          <w:lang w:val="en-GB"/>
        </w:rPr>
      </w:pPr>
      <w:r w:rsidRPr="00DF37A3">
        <w:rPr>
          <w:lang w:val="en-GB"/>
        </w:rPr>
        <w:t>93.</w:t>
      </w:r>
      <w:r w:rsidR="00A4128F">
        <w:rPr>
          <w:lang w:val="en-GB"/>
        </w:rPr>
        <w:tab/>
      </w:r>
      <w:r w:rsidRPr="00DF37A3">
        <w:rPr>
          <w:lang w:val="en-GB"/>
        </w:rPr>
        <w:t>Government Decision No. 203 of 26 March 2012 approved a methodology for forecasting labour market demand in order to introduce a mechanism for monitoring labour market demand and strategic planning for training and retraining. The Ministry of Labour and Social Development has prepared a forecast of labour demand (Needs Map) for the period 2018</w:t>
      </w:r>
      <w:r w:rsidR="005E7D01">
        <w:rPr>
          <w:lang w:val="en-GB"/>
        </w:rPr>
        <w:t>–</w:t>
      </w:r>
      <w:r w:rsidRPr="00DF37A3">
        <w:rPr>
          <w:lang w:val="en-GB"/>
        </w:rPr>
        <w:t>2022 on the basis of data provided by Government ministries and departments. In general, based on the updates to the Needs Map, the priority sectors continue to be industry, construction, agriculture, transportation and communications, education, services and health care.</w:t>
      </w:r>
    </w:p>
    <w:p w14:paraId="6D87841E" w14:textId="31AA516F" w:rsidR="004A3AB4" w:rsidRPr="00DF37A3" w:rsidRDefault="004A3AB4" w:rsidP="004A3AB4">
      <w:pPr>
        <w:pStyle w:val="SingleTxt"/>
        <w:rPr>
          <w:lang w:val="en-GB"/>
        </w:rPr>
      </w:pPr>
      <w:r w:rsidRPr="00DF37A3">
        <w:rPr>
          <w:lang w:val="en-GB"/>
        </w:rPr>
        <w:t>94.</w:t>
      </w:r>
      <w:r w:rsidR="005E7D01">
        <w:rPr>
          <w:lang w:val="en-GB"/>
        </w:rPr>
        <w:tab/>
      </w:r>
      <w:r w:rsidRPr="00DF37A3">
        <w:rPr>
          <w:lang w:val="en-GB"/>
        </w:rPr>
        <w:t>Government Decision No. 100 on optimizing the sponsoring activities of the Kumtor Gold closed joint stock company was adopted on 26 February 2013, as a result of which agreements on the concession of rights of claim under the previously concluded emergency loan agreements were concluded, and the right of claim was transferred from the Ala-Too Finance microcredit agency to the Aiyl Bank open joint stock company. On 24 March 2014, Government Decision No. 178 on the liquidation of the Ala-Too Finance microcredit agency, which reported to the Ministry of Youth, Labour and Employment, was adopted. In connection with the amendment to the Promotion of Employment Act No. 214 of 3 August 2015, its article 12, which establishes the procedure for the provision of financial support by the authorized State body to the officially unemployed who wish to engage in entrepreneurial activities, was declared null and void.</w:t>
      </w:r>
    </w:p>
    <w:p w14:paraId="02E46445" w14:textId="7D8A4687" w:rsidR="004A3AB4" w:rsidRPr="00DF37A3" w:rsidRDefault="004A3AB4" w:rsidP="004A3AB4">
      <w:pPr>
        <w:pStyle w:val="SingleTxt"/>
        <w:rPr>
          <w:lang w:val="en-GB"/>
        </w:rPr>
      </w:pPr>
      <w:r w:rsidRPr="00DF37A3">
        <w:rPr>
          <w:lang w:val="en-GB"/>
        </w:rPr>
        <w:t>95.</w:t>
      </w:r>
      <w:r w:rsidR="005E7D01">
        <w:rPr>
          <w:lang w:val="en-GB"/>
        </w:rPr>
        <w:tab/>
      </w:r>
      <w:r w:rsidRPr="00DF37A3">
        <w:rPr>
          <w:lang w:val="en-GB"/>
        </w:rPr>
        <w:t xml:space="preserve">During the reporting period, the State adopted a number of initiatives aimed at changing the social and cultural patterns of behaviour of men and women in order to </w:t>
      </w:r>
      <w:r w:rsidRPr="00DF37A3">
        <w:rPr>
          <w:lang w:val="en-GB"/>
        </w:rPr>
        <w:lastRenderedPageBreak/>
        <w:t>eliminate prejudices and discriminatory practices. For example, in order to eliminate discrimination and ensure respect for gender equality, the Labour Code provides for the possibility of taking leave to care for a child, which is available not only to mothers, but also to fathers, grandfathers and grandmothers, other relatives or the guardian who actually cares for the child. The introduction of such a norm has had an impact on changing the traditional cultural family roles of men and women.</w:t>
      </w:r>
    </w:p>
    <w:p w14:paraId="0EE757CD" w14:textId="665B6C75" w:rsidR="004A3AB4" w:rsidRPr="00DF37A3" w:rsidRDefault="004A3AB4" w:rsidP="004A3AB4">
      <w:pPr>
        <w:pStyle w:val="SingleTxt"/>
        <w:rPr>
          <w:lang w:val="en-GB"/>
        </w:rPr>
      </w:pPr>
      <w:r w:rsidRPr="00DF37A3">
        <w:rPr>
          <w:lang w:val="en-GB"/>
        </w:rPr>
        <w:t>96.</w:t>
      </w:r>
      <w:r w:rsidR="005E7D01">
        <w:rPr>
          <w:lang w:val="en-GB"/>
        </w:rPr>
        <w:tab/>
      </w:r>
      <w:r w:rsidRPr="00DF37A3">
        <w:rPr>
          <w:lang w:val="en-GB"/>
        </w:rPr>
        <w:t>According to unofficial data, 1 million people in Kyrgyzstan are employed in the informal sector of the economy, which, according to estimates by the National Statistical Committee, accounts for about 24.5 per cent of GDP; of the 1 million, 0.6</w:t>
      </w:r>
      <w:r w:rsidR="005E7D01">
        <w:rPr>
          <w:lang w:val="en-GB"/>
        </w:rPr>
        <w:t> </w:t>
      </w:r>
      <w:r w:rsidRPr="00DF37A3">
        <w:rPr>
          <w:lang w:val="en-GB"/>
        </w:rPr>
        <w:t>million are women, working mainly in the areas of trade, services and agriculture.</w:t>
      </w:r>
    </w:p>
    <w:p w14:paraId="5C2017CF" w14:textId="69D434E3" w:rsidR="004A3AB4" w:rsidRPr="00DF37A3" w:rsidRDefault="004A3AB4" w:rsidP="004A3AB4">
      <w:pPr>
        <w:pStyle w:val="SingleTxt"/>
        <w:rPr>
          <w:lang w:val="en-GB"/>
        </w:rPr>
      </w:pPr>
      <w:r w:rsidRPr="00DF37A3">
        <w:rPr>
          <w:lang w:val="en-GB"/>
        </w:rPr>
        <w:t>97.</w:t>
      </w:r>
      <w:r w:rsidR="005E7D01">
        <w:rPr>
          <w:lang w:val="en-GB"/>
        </w:rPr>
        <w:tab/>
      </w:r>
      <w:r w:rsidRPr="00DF37A3">
        <w:rPr>
          <w:lang w:val="en-GB"/>
        </w:rPr>
        <w:t>The issue of women’s uncounted work in the household, including during the time when they bear a reproductive burden, remains a major problem. Domestic work in Kyrgyzstan is largely female. Women spend an average of 4.2 hours a day in the household every day, spending 17.4 per cent of their time on this. For men, such activities do not exceed 5.7 per cent. It can be seen, then, that women spend 3 times more time on domestic work and 2 times more time on raising children than men. Men’s free time amount to almost a quarter of a day, which is 1.2 times more than women’s.</w:t>
      </w:r>
    </w:p>
    <w:p w14:paraId="563E43DA" w14:textId="5D1F11E8" w:rsidR="004A3AB4" w:rsidRPr="00DF37A3" w:rsidRDefault="004A3AB4" w:rsidP="004A3AB4">
      <w:pPr>
        <w:pStyle w:val="SingleTxt"/>
        <w:rPr>
          <w:lang w:val="en-GB"/>
        </w:rPr>
      </w:pPr>
      <w:r w:rsidRPr="00DF37A3">
        <w:rPr>
          <w:lang w:val="en-GB"/>
        </w:rPr>
        <w:t>98.</w:t>
      </w:r>
      <w:r w:rsidR="005E7D01">
        <w:rPr>
          <w:lang w:val="en-GB"/>
        </w:rPr>
        <w:tab/>
      </w:r>
      <w:r w:rsidRPr="00DF37A3">
        <w:rPr>
          <w:lang w:val="en-GB"/>
        </w:rPr>
        <w:t>Article 9 of the Labour Code prohibits discrimination in the field of labour, including on the basis of sex. Chapter 24 of the Labour Code also contains specific provisions on the regulation of the work of women and other persons with family responsibilities. This section of the Code provides a number of guarantees and rights to working women, including additional guarantees for pregnant women and women with children, as well as guarantees regarding the termination of employment contracts and regulations on business trips, overtime, night work, weekends and non</w:t>
      </w:r>
      <w:r w:rsidR="005E7D01">
        <w:rPr>
          <w:lang w:val="en-GB"/>
        </w:rPr>
        <w:noBreakHyphen/>
      </w:r>
      <w:r w:rsidRPr="00DF37A3">
        <w:rPr>
          <w:lang w:val="en-GB"/>
        </w:rPr>
        <w:t>working holidays, etc.</w:t>
      </w:r>
    </w:p>
    <w:p w14:paraId="2DBDF25D" w14:textId="4BFF10B0" w:rsidR="004A3AB4" w:rsidRPr="00DF37A3" w:rsidRDefault="004A3AB4" w:rsidP="004A3AB4">
      <w:pPr>
        <w:pStyle w:val="SingleTxt"/>
        <w:rPr>
          <w:lang w:val="en-GB"/>
        </w:rPr>
      </w:pPr>
      <w:r w:rsidRPr="00DF37A3">
        <w:rPr>
          <w:lang w:val="en-GB"/>
        </w:rPr>
        <w:t>99.</w:t>
      </w:r>
      <w:r w:rsidR="005E7D01">
        <w:rPr>
          <w:lang w:val="en-GB"/>
        </w:rPr>
        <w:tab/>
      </w:r>
      <w:r w:rsidRPr="00DF37A3">
        <w:rPr>
          <w:lang w:val="en-GB"/>
        </w:rPr>
        <w:t>However, there exists non-compliance with the labour regulations for women employed in State and municipal services. Women continue to work outside working hours and on public holidays without receiving the benefits or incentives provided for in the law. In addition, some pregnant women and nursing mothers, who have separate legal grounds for absence from the workplace, try not to use those protections, as such actions can cause discontent on the part of their employers.</w:t>
      </w:r>
    </w:p>
    <w:p w14:paraId="6B07B066" w14:textId="353EA59A" w:rsidR="004A3AB4" w:rsidRPr="00DF37A3" w:rsidRDefault="004A3AB4" w:rsidP="004A3AB4">
      <w:pPr>
        <w:pStyle w:val="SingleTxt"/>
        <w:rPr>
          <w:lang w:val="en-GB"/>
        </w:rPr>
      </w:pPr>
      <w:r w:rsidRPr="00DF37A3">
        <w:rPr>
          <w:lang w:val="en-GB"/>
        </w:rPr>
        <w:t>100.</w:t>
      </w:r>
      <w:r w:rsidR="005E7D01">
        <w:rPr>
          <w:lang w:val="en-GB"/>
        </w:rPr>
        <w:tab/>
      </w:r>
      <w:r w:rsidRPr="00DF37A3">
        <w:rPr>
          <w:lang w:val="en-GB"/>
        </w:rPr>
        <w:t>The State, with special concern for women’s health, prohibits the use of women’s labour in heavy and hazardous work and in harmful and/or dangerous working conditions, as well as in underground work, except for non-physical work or work in sanitary and domestic services, and provides constraints on work involving manual lifting and the moving of heavier loads exceeding the maximum permissible standards (article 303 of the Labour Code).</w:t>
      </w:r>
    </w:p>
    <w:p w14:paraId="2107385C" w14:textId="768609C1" w:rsidR="004A3AB4" w:rsidRPr="00DF37A3" w:rsidRDefault="004A3AB4" w:rsidP="004A3AB4">
      <w:pPr>
        <w:pStyle w:val="SingleTxt"/>
        <w:rPr>
          <w:lang w:val="en-GB"/>
        </w:rPr>
      </w:pPr>
      <w:r w:rsidRPr="00DF37A3">
        <w:rPr>
          <w:lang w:val="en-GB"/>
        </w:rPr>
        <w:t>101.</w:t>
      </w:r>
      <w:r w:rsidR="005E7D01">
        <w:rPr>
          <w:lang w:val="en-GB"/>
        </w:rPr>
        <w:tab/>
      </w:r>
      <w:r w:rsidRPr="00DF37A3">
        <w:rPr>
          <w:lang w:val="en-GB"/>
        </w:rPr>
        <w:t>Bodies of the State Inspectorate for Environmental and Technical Safety, which reports to the Government, carry out permanent monitoring and oversight functions to detect violations of women’s labour rights. However, no cases of violation of the labour rights of women were identified between 2013 and 2018.</w:t>
      </w:r>
    </w:p>
    <w:p w14:paraId="2D09EC47" w14:textId="6EA7F1E0" w:rsidR="004A3AB4" w:rsidRPr="00DF37A3" w:rsidRDefault="004A3AB4" w:rsidP="004A3AB4">
      <w:pPr>
        <w:pStyle w:val="SingleTxt"/>
        <w:rPr>
          <w:lang w:val="en-GB"/>
        </w:rPr>
      </w:pPr>
      <w:r w:rsidRPr="00DF37A3">
        <w:rPr>
          <w:lang w:val="en-GB"/>
        </w:rPr>
        <w:t>102.</w:t>
      </w:r>
      <w:r w:rsidR="005E7D01">
        <w:rPr>
          <w:lang w:val="en-GB"/>
        </w:rPr>
        <w:tab/>
      </w:r>
      <w:r w:rsidRPr="00DF37A3">
        <w:rPr>
          <w:lang w:val="en-GB"/>
        </w:rPr>
        <w:t>Between 2013 and 2017, 706 persons suffered from work-related accidents with loss of capacity to work for one or more days, and 117 suffered fatal accidents.</w:t>
      </w:r>
    </w:p>
    <w:p w14:paraId="10435DA0" w14:textId="77777777" w:rsidR="005E7D01" w:rsidRPr="005E7D01" w:rsidRDefault="005E7D01" w:rsidP="005E7D01">
      <w:pPr>
        <w:pStyle w:val="SingleTxt"/>
        <w:spacing w:after="0" w:line="120" w:lineRule="exact"/>
        <w:rPr>
          <w:sz w:val="10"/>
          <w:lang w:val="en-GB"/>
        </w:rPr>
      </w:pPr>
    </w:p>
    <w:p w14:paraId="4D21DE93" w14:textId="77777777" w:rsidR="005E7D01" w:rsidRPr="005E7D01" w:rsidRDefault="005E7D01" w:rsidP="005E7D01">
      <w:pPr>
        <w:pStyle w:val="SingleTxt"/>
        <w:spacing w:after="0" w:line="120" w:lineRule="exact"/>
        <w:rPr>
          <w:sz w:val="10"/>
          <w:lang w:val="en-GB"/>
        </w:rPr>
      </w:pPr>
    </w:p>
    <w:p w14:paraId="70BA24E0" w14:textId="036B7987" w:rsidR="004A3AB4" w:rsidRPr="00DF37A3" w:rsidRDefault="004A3AB4" w:rsidP="005E7D01">
      <w:pPr>
        <w:pStyle w:val="H1"/>
        <w:ind w:right="1260"/>
        <w:rPr>
          <w:lang w:val="en-GB"/>
        </w:rPr>
      </w:pPr>
      <w:r w:rsidRPr="00DF37A3">
        <w:rPr>
          <w:lang w:val="en-GB"/>
        </w:rPr>
        <w:tab/>
      </w:r>
      <w:r w:rsidRPr="00DF37A3">
        <w:rPr>
          <w:lang w:val="en-GB"/>
        </w:rPr>
        <w:tab/>
        <w:t>Article 12</w:t>
      </w:r>
    </w:p>
    <w:p w14:paraId="557D1484" w14:textId="77777777" w:rsidR="005E7D01" w:rsidRPr="005E7D01" w:rsidRDefault="005E7D01" w:rsidP="005E7D01">
      <w:pPr>
        <w:pStyle w:val="SingleTxt"/>
        <w:spacing w:after="0" w:line="120" w:lineRule="exact"/>
        <w:rPr>
          <w:sz w:val="10"/>
          <w:lang w:val="en-GB"/>
        </w:rPr>
      </w:pPr>
    </w:p>
    <w:p w14:paraId="31320AED" w14:textId="77777777" w:rsidR="005E7D01" w:rsidRPr="005E7D01" w:rsidRDefault="005E7D01" w:rsidP="005E7D01">
      <w:pPr>
        <w:pStyle w:val="SingleTxt"/>
        <w:spacing w:after="0" w:line="120" w:lineRule="exact"/>
        <w:rPr>
          <w:sz w:val="10"/>
          <w:lang w:val="en-GB"/>
        </w:rPr>
      </w:pPr>
    </w:p>
    <w:p w14:paraId="30259159" w14:textId="10142950" w:rsidR="004A3AB4" w:rsidRPr="00DF37A3" w:rsidRDefault="004A3AB4" w:rsidP="004A3AB4">
      <w:pPr>
        <w:pStyle w:val="SingleTxt"/>
        <w:rPr>
          <w:lang w:val="en-GB"/>
        </w:rPr>
      </w:pPr>
      <w:r w:rsidRPr="00DF37A3">
        <w:rPr>
          <w:lang w:val="en-GB"/>
        </w:rPr>
        <w:t>103.</w:t>
      </w:r>
      <w:r w:rsidR="005E7D01">
        <w:rPr>
          <w:lang w:val="en-GB"/>
        </w:rPr>
        <w:tab/>
      </w:r>
      <w:r w:rsidRPr="00DF37A3">
        <w:rPr>
          <w:lang w:val="en-GB"/>
        </w:rPr>
        <w:t xml:space="preserve">Various legal instruments guarantee equal access to health-care services for all citizens, both men and women, in particular the Protection of Citizens’ Health Act, the Act on the Reproductive Rights of Citizens and Guarantees of Their Implementation, the National Reproductive Health Care Strategy for the period up to </w:t>
      </w:r>
      <w:r w:rsidRPr="00DF37A3">
        <w:rPr>
          <w:lang w:val="en-GB"/>
        </w:rPr>
        <w:lastRenderedPageBreak/>
        <w:t xml:space="preserve">2015, approved by Presidential Decree No. 387 of 15 July 2006, and the </w:t>
      </w:r>
      <w:r w:rsidRPr="005E7D01">
        <w:rPr>
          <w:i/>
          <w:iCs/>
          <w:lang w:val="en-GB"/>
        </w:rPr>
        <w:t>Den Sooluk</w:t>
      </w:r>
      <w:r w:rsidRPr="00DF37A3">
        <w:rPr>
          <w:lang w:val="en-GB"/>
        </w:rPr>
        <w:t xml:space="preserve"> health-care reform programme for the period 2012</w:t>
      </w:r>
      <w:r w:rsidR="005E7D01">
        <w:rPr>
          <w:lang w:val="en-GB"/>
        </w:rPr>
        <w:t>–</w:t>
      </w:r>
      <w:r w:rsidRPr="00DF37A3">
        <w:rPr>
          <w:lang w:val="en-GB"/>
        </w:rPr>
        <w:t>2018, approved by Government Decree No. 309 of 24 May 2012.</w:t>
      </w:r>
    </w:p>
    <w:p w14:paraId="2C45D36F" w14:textId="393BE8FC" w:rsidR="004A3AB4" w:rsidRPr="00DF37A3" w:rsidRDefault="004A3AB4" w:rsidP="004A3AB4">
      <w:pPr>
        <w:pStyle w:val="SingleTxt"/>
        <w:rPr>
          <w:lang w:val="en-GB"/>
        </w:rPr>
      </w:pPr>
      <w:r w:rsidRPr="00DF37A3">
        <w:rPr>
          <w:lang w:val="en-GB"/>
        </w:rPr>
        <w:t>104.</w:t>
      </w:r>
      <w:r w:rsidR="005E7D01">
        <w:rPr>
          <w:lang w:val="en-GB"/>
        </w:rPr>
        <w:tab/>
      </w:r>
      <w:r w:rsidRPr="00DF37A3">
        <w:rPr>
          <w:lang w:val="en-GB"/>
        </w:rPr>
        <w:t>Among the sectoral policies, the National Reproductive Health Strategy for the period up to 2015 occupies an important place. Measures taken within the framework of this Strategy have contributed to the fact that more than 98 per cent of pregnant women are now registered at an early stage of pregnancy, and that 62.5 per cent of maternity hospitals have introduced effective perinatal care in accordance with the World Health Organization integrated programme for safe motherhood and effective perinatal care.</w:t>
      </w:r>
    </w:p>
    <w:p w14:paraId="0DCD0379" w14:textId="0479BE43" w:rsidR="004A3AB4" w:rsidRPr="00DF37A3" w:rsidRDefault="004A3AB4" w:rsidP="004A3AB4">
      <w:pPr>
        <w:pStyle w:val="SingleTxt"/>
        <w:rPr>
          <w:lang w:val="en-GB"/>
        </w:rPr>
      </w:pPr>
      <w:r w:rsidRPr="00DF37A3">
        <w:rPr>
          <w:lang w:val="en-GB"/>
        </w:rPr>
        <w:t>105.</w:t>
      </w:r>
      <w:r w:rsidR="005E7D01">
        <w:rPr>
          <w:lang w:val="en-GB"/>
        </w:rPr>
        <w:tab/>
      </w:r>
      <w:r w:rsidRPr="00DF37A3">
        <w:rPr>
          <w:lang w:val="en-GB"/>
        </w:rPr>
        <w:t xml:space="preserve">The implementation of the </w:t>
      </w:r>
      <w:r w:rsidRPr="005E7D01">
        <w:rPr>
          <w:i/>
          <w:iCs/>
          <w:lang w:val="en-GB"/>
        </w:rPr>
        <w:t>Den Sooluk</w:t>
      </w:r>
      <w:r w:rsidRPr="00DF37A3">
        <w:rPr>
          <w:lang w:val="en-GB"/>
        </w:rPr>
        <w:t xml:space="preserve"> health-care reform programme for the period 2012</w:t>
      </w:r>
      <w:r w:rsidR="005E7D01">
        <w:rPr>
          <w:lang w:val="en-GB"/>
        </w:rPr>
        <w:t>–</w:t>
      </w:r>
      <w:r w:rsidRPr="00DF37A3">
        <w:rPr>
          <w:lang w:val="en-GB"/>
        </w:rPr>
        <w:t>2018 provides an opportunity, based on a multisectoral approach, to carry out targeted activities to achieve the Millennium Development Goals and improve the health of the population, giving priority to the health of mothers and children, access to health services and reducing the financial burden for the most vulnerable groups of the population.</w:t>
      </w:r>
    </w:p>
    <w:p w14:paraId="0D0AEAA3" w14:textId="1881689D" w:rsidR="004A3AB4" w:rsidRPr="00DF37A3" w:rsidRDefault="004A3AB4" w:rsidP="004A3AB4">
      <w:pPr>
        <w:pStyle w:val="SingleTxt"/>
        <w:rPr>
          <w:lang w:val="en-GB"/>
        </w:rPr>
      </w:pPr>
      <w:r w:rsidRPr="00DF37A3">
        <w:rPr>
          <w:lang w:val="en-GB"/>
        </w:rPr>
        <w:t>106.</w:t>
      </w:r>
      <w:r w:rsidR="005E7D01">
        <w:rPr>
          <w:lang w:val="en-GB"/>
        </w:rPr>
        <w:tab/>
      </w:r>
      <w:r w:rsidRPr="00DF37A3">
        <w:rPr>
          <w:lang w:val="en-GB"/>
        </w:rPr>
        <w:t>The expansion of effective perinatal care is a key factor in reducing maternal and infant mortality. Ministry of Health Order No. 315 of 20 June 2008 approved the Perinatal Programme for 2008</w:t>
      </w:r>
      <w:r w:rsidR="005E7D01">
        <w:rPr>
          <w:lang w:val="en-GB"/>
        </w:rPr>
        <w:t>–</w:t>
      </w:r>
      <w:r w:rsidRPr="00DF37A3">
        <w:rPr>
          <w:lang w:val="en-GB"/>
        </w:rPr>
        <w:t>2017. However, this programme does not have specifically allocated funding.</w:t>
      </w:r>
    </w:p>
    <w:p w14:paraId="76D83319" w14:textId="3A02ADD6" w:rsidR="004A3AB4" w:rsidRPr="00DF37A3" w:rsidRDefault="004A3AB4" w:rsidP="004A3AB4">
      <w:pPr>
        <w:pStyle w:val="SingleTxt"/>
        <w:rPr>
          <w:lang w:val="en-GB"/>
        </w:rPr>
      </w:pPr>
      <w:r w:rsidRPr="00DF37A3">
        <w:rPr>
          <w:lang w:val="en-GB"/>
        </w:rPr>
        <w:t>107.</w:t>
      </w:r>
      <w:r w:rsidR="005E7D01">
        <w:rPr>
          <w:lang w:val="en-GB"/>
        </w:rPr>
        <w:tab/>
      </w:r>
      <w:r w:rsidRPr="00DF37A3">
        <w:rPr>
          <w:lang w:val="en-GB"/>
        </w:rPr>
        <w:t>Under the leadership of the Ministry of Health, measures are being taken to reduce anaemia among women and children. Vitamin A is being purchased for women in childbirth and children under 5 years of age, as well as salt iodization tests and premix for flour fortification.</w:t>
      </w:r>
    </w:p>
    <w:p w14:paraId="5F2D35A6" w14:textId="3D7FC16E" w:rsidR="004A3AB4" w:rsidRPr="00DF37A3" w:rsidRDefault="004A3AB4" w:rsidP="004A3AB4">
      <w:pPr>
        <w:pStyle w:val="SingleTxt"/>
        <w:rPr>
          <w:lang w:val="en-GB"/>
        </w:rPr>
      </w:pPr>
      <w:r w:rsidRPr="00DF37A3">
        <w:rPr>
          <w:lang w:val="en-GB"/>
        </w:rPr>
        <w:t>108.</w:t>
      </w:r>
      <w:r w:rsidR="005E7D01">
        <w:rPr>
          <w:lang w:val="en-GB"/>
        </w:rPr>
        <w:tab/>
      </w:r>
      <w:r w:rsidRPr="00DF37A3">
        <w:rPr>
          <w:lang w:val="en-GB"/>
        </w:rPr>
        <w:t>According to data from the Ministry of Health, the infant mortality rate declined from 20 per 1000 live births in 2012 to 19.9 in 2013, 20.2 in 2014, 18.0 in 2015, 16.6 in 2016 and 15.6 in 2017.</w:t>
      </w:r>
    </w:p>
    <w:p w14:paraId="6B1CFE8B" w14:textId="77777777" w:rsidR="005E7D01" w:rsidRPr="005E7D01" w:rsidRDefault="005E7D01" w:rsidP="005E7D01">
      <w:pPr>
        <w:pStyle w:val="SingleTxt"/>
        <w:spacing w:after="0" w:line="120" w:lineRule="exact"/>
        <w:rPr>
          <w:sz w:val="10"/>
          <w:lang w:val="en-GB"/>
        </w:rPr>
      </w:pPr>
    </w:p>
    <w:p w14:paraId="64700CFA" w14:textId="692C7F50" w:rsidR="004A3AB4" w:rsidRPr="00DF37A3" w:rsidRDefault="004A3AB4" w:rsidP="005E7D01">
      <w:pPr>
        <w:pStyle w:val="SingleTxt"/>
        <w:spacing w:after="0"/>
        <w:rPr>
          <w:lang w:val="en-GB"/>
        </w:rPr>
      </w:pPr>
      <w:r w:rsidRPr="00DF37A3">
        <w:rPr>
          <w:lang w:val="en-GB"/>
        </w:rPr>
        <w:t>Figure 4</w:t>
      </w:r>
    </w:p>
    <w:p w14:paraId="39AEAD56" w14:textId="2ADB01AF" w:rsidR="004A3AB4" w:rsidRDefault="005E7D01" w:rsidP="005E7D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A3AB4" w:rsidRPr="00DF37A3">
        <w:t>Infant mortality rate</w:t>
      </w:r>
    </w:p>
    <w:p w14:paraId="2EDC6E51" w14:textId="5980E7CD" w:rsidR="005E7D01" w:rsidRPr="005E7D01" w:rsidRDefault="005E7D01" w:rsidP="005E7D01">
      <w:pPr>
        <w:pStyle w:val="SingleTxt"/>
        <w:spacing w:after="0" w:line="120" w:lineRule="exact"/>
        <w:rPr>
          <w:sz w:val="10"/>
          <w:lang w:val="en-US"/>
        </w:rPr>
      </w:pPr>
    </w:p>
    <w:p w14:paraId="41497D29" w14:textId="76C5824F" w:rsidR="005E7D01" w:rsidRDefault="005E7D01" w:rsidP="008911E2">
      <w:pPr>
        <w:pStyle w:val="SingleTxt"/>
        <w:spacing w:after="0"/>
        <w:rPr>
          <w:lang w:val="en-US"/>
        </w:rPr>
      </w:pPr>
      <w:r w:rsidRPr="00455C9A">
        <w:rPr>
          <w:noProof/>
          <w:lang w:eastAsia="en-GB"/>
        </w:rPr>
        <w:drawing>
          <wp:inline distT="0" distB="0" distL="0" distR="0" wp14:anchorId="122516F9" wp14:editId="28CC3A32">
            <wp:extent cx="4920846" cy="1833880"/>
            <wp:effectExtent l="0" t="0" r="13335" b="1397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C2F2CE9" w14:textId="008386FC" w:rsidR="005E7D01" w:rsidRPr="005E7D01" w:rsidRDefault="005E7D01" w:rsidP="005E7D01">
      <w:pPr>
        <w:pStyle w:val="SingleTxt"/>
        <w:spacing w:after="0" w:line="120" w:lineRule="exact"/>
        <w:rPr>
          <w:sz w:val="10"/>
          <w:lang w:val="en-US"/>
        </w:rPr>
      </w:pPr>
    </w:p>
    <w:p w14:paraId="50DE34D5" w14:textId="779DAD90" w:rsidR="005E7D01" w:rsidRPr="005E7D01" w:rsidRDefault="005E7D01" w:rsidP="005E7D01">
      <w:pPr>
        <w:pStyle w:val="SingleTxt"/>
        <w:spacing w:after="0" w:line="120" w:lineRule="exact"/>
        <w:rPr>
          <w:sz w:val="10"/>
          <w:lang w:val="en-US"/>
        </w:rPr>
      </w:pPr>
    </w:p>
    <w:p w14:paraId="467474E0" w14:textId="3DAF2908" w:rsidR="004A3AB4" w:rsidRPr="00DF37A3" w:rsidRDefault="004A3AB4" w:rsidP="004A3AB4">
      <w:pPr>
        <w:pStyle w:val="SingleTxt"/>
        <w:rPr>
          <w:lang w:val="en-GB"/>
        </w:rPr>
      </w:pPr>
      <w:r w:rsidRPr="00DF37A3">
        <w:rPr>
          <w:lang w:val="en-GB"/>
        </w:rPr>
        <w:t>109.</w:t>
      </w:r>
      <w:r w:rsidR="005E7D01">
        <w:rPr>
          <w:lang w:val="en-GB"/>
        </w:rPr>
        <w:tab/>
      </w:r>
      <w:r w:rsidRPr="00DF37A3">
        <w:rPr>
          <w:lang w:val="en-GB"/>
        </w:rPr>
        <w:t>The under-5 child mortality rate (1</w:t>
      </w:r>
      <w:r w:rsidR="005E7D01">
        <w:rPr>
          <w:lang w:val="en-GB"/>
        </w:rPr>
        <w:t>–</w:t>
      </w:r>
      <w:r w:rsidRPr="00DF37A3">
        <w:rPr>
          <w:lang w:val="en-GB"/>
        </w:rPr>
        <w:t>4 years) has also tended to decline over the past five years. It should be noted that the causes of child mortality differ by age group. According to the Ministry of Health, the main causes of infant mortality (up to 1 year) in 2017 were perinatal conditions (62.4 per cent), birth anomalies (19.2 per cent) and respiratory diseases (16.7 per cent). From 0 to 5 years of age, the main causes are perinatal conditions</w:t>
      </w:r>
      <w:r w:rsidR="005E7D01">
        <w:rPr>
          <w:lang w:val="en-GB"/>
        </w:rPr>
        <w:t xml:space="preserve"> </w:t>
      </w:r>
      <w:r w:rsidRPr="00DF37A3">
        <w:rPr>
          <w:lang w:val="en-GB"/>
        </w:rPr>
        <w:t>– (52.4 per cent), birth anomalies (17.7 per cent), respiratory diseases (13.9 per cent), and injuries and poisoning (5.9 per cent).</w:t>
      </w:r>
    </w:p>
    <w:p w14:paraId="7CB495BB" w14:textId="5C003C3F" w:rsidR="004A3AB4" w:rsidRPr="00DF37A3" w:rsidRDefault="004A3AB4" w:rsidP="004A3AB4">
      <w:pPr>
        <w:pStyle w:val="SingleTxt"/>
        <w:rPr>
          <w:lang w:val="en-GB"/>
        </w:rPr>
      </w:pPr>
      <w:r w:rsidRPr="00DF37A3">
        <w:rPr>
          <w:lang w:val="en-GB"/>
        </w:rPr>
        <w:lastRenderedPageBreak/>
        <w:t>110.</w:t>
      </w:r>
      <w:r w:rsidR="005E7D01">
        <w:rPr>
          <w:lang w:val="en-GB"/>
        </w:rPr>
        <w:tab/>
      </w:r>
      <w:r w:rsidRPr="00DF37A3">
        <w:rPr>
          <w:lang w:val="en-GB"/>
        </w:rPr>
        <w:t xml:space="preserve">With funding from donor organizations (under the sector-wide approach), work is being carried out to improve the equipment available in regional maternity hospitals within the framework of the </w:t>
      </w:r>
      <w:r w:rsidRPr="00D1128F">
        <w:rPr>
          <w:i/>
          <w:iCs/>
          <w:lang w:val="en-GB"/>
        </w:rPr>
        <w:t>Den Sooluk</w:t>
      </w:r>
      <w:r w:rsidRPr="00DF37A3">
        <w:rPr>
          <w:lang w:val="en-GB"/>
        </w:rPr>
        <w:t xml:space="preserve"> health-care reform programme.</w:t>
      </w:r>
    </w:p>
    <w:p w14:paraId="36E11767" w14:textId="355E4BCC" w:rsidR="004A3AB4" w:rsidRPr="00DF37A3" w:rsidRDefault="004A3AB4" w:rsidP="004A3AB4">
      <w:pPr>
        <w:pStyle w:val="SingleTxt"/>
        <w:rPr>
          <w:lang w:val="en-GB"/>
        </w:rPr>
      </w:pPr>
      <w:r w:rsidRPr="00DF37A3">
        <w:rPr>
          <w:lang w:val="en-GB"/>
        </w:rPr>
        <w:t>111.</w:t>
      </w:r>
      <w:r w:rsidR="005E7D01">
        <w:rPr>
          <w:lang w:val="en-GB"/>
        </w:rPr>
        <w:tab/>
      </w:r>
      <w:r w:rsidRPr="00DF37A3">
        <w:rPr>
          <w:lang w:val="en-GB"/>
        </w:rPr>
        <w:t>According to the Ministry of Health, the maternal mortality rate in the country is characterized by a wave-like but downward trend. The maternal mortality rate per 100,000 live births was 50.3 in 2012, 39.2 in 2013, 50.7 in 2014, 38.5 in 2015, 30.3 in 2016 and 31.2 in 2017.</w:t>
      </w:r>
    </w:p>
    <w:p w14:paraId="744B969E" w14:textId="26CF5C8E" w:rsidR="004A3AB4" w:rsidRPr="00DF37A3" w:rsidRDefault="004A3AB4" w:rsidP="004A3AB4">
      <w:pPr>
        <w:pStyle w:val="SingleTxt"/>
        <w:rPr>
          <w:lang w:val="en-GB"/>
        </w:rPr>
      </w:pPr>
      <w:r w:rsidRPr="00DF37A3">
        <w:rPr>
          <w:lang w:val="en-GB"/>
        </w:rPr>
        <w:t>112</w:t>
      </w:r>
      <w:r w:rsidR="00AF39DC" w:rsidRPr="00DF37A3">
        <w:rPr>
          <w:lang w:val="en-GB"/>
        </w:rPr>
        <w:t>.</w:t>
      </w:r>
      <w:r w:rsidR="00AF39DC">
        <w:rPr>
          <w:lang w:val="en-GB"/>
        </w:rPr>
        <w:tab/>
      </w:r>
      <w:r w:rsidRPr="00DF37A3">
        <w:rPr>
          <w:lang w:val="en-GB"/>
        </w:rPr>
        <w:t>The causes of maternal mortality are diverse; they go beyond the health sector and are conditioned by a number of economic, social and cultural factors, demographic structure, behavioural skills, health literacy and others.</w:t>
      </w:r>
    </w:p>
    <w:p w14:paraId="12DE2130" w14:textId="7D8EAF97" w:rsidR="004A3AB4" w:rsidRPr="005E7D01" w:rsidRDefault="004A3AB4" w:rsidP="005E7D01">
      <w:pPr>
        <w:pStyle w:val="SingleTxt"/>
        <w:spacing w:after="0" w:line="120" w:lineRule="exact"/>
        <w:rPr>
          <w:sz w:val="10"/>
          <w:lang w:val="en-GB"/>
        </w:rPr>
      </w:pPr>
    </w:p>
    <w:p w14:paraId="6EABF697" w14:textId="77777777" w:rsidR="004A3AB4" w:rsidRPr="00DF37A3" w:rsidRDefault="004A3AB4" w:rsidP="005E7D01">
      <w:pPr>
        <w:pStyle w:val="SingleTxt"/>
        <w:spacing w:after="0"/>
        <w:rPr>
          <w:lang w:val="en-GB"/>
        </w:rPr>
      </w:pPr>
      <w:r w:rsidRPr="00DF37A3">
        <w:rPr>
          <w:lang w:val="en-GB"/>
        </w:rPr>
        <w:t>Figure 5</w:t>
      </w:r>
    </w:p>
    <w:p w14:paraId="561FFBFC" w14:textId="68717948" w:rsidR="004A3AB4" w:rsidRPr="00DF37A3" w:rsidRDefault="005E7D01" w:rsidP="008911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A3AB4" w:rsidRPr="00DF37A3">
        <w:t>Indicators for maternal mortality for the period 2012</w:t>
      </w:r>
      <w:r>
        <w:t>–</w:t>
      </w:r>
      <w:r w:rsidR="004A3AB4" w:rsidRPr="00DF37A3">
        <w:t>2017</w:t>
      </w:r>
      <w:r w:rsidR="008911E2">
        <w:br/>
      </w:r>
      <w:r w:rsidR="004A3AB4" w:rsidRPr="00DF37A3">
        <w:t>(per 100,000</w:t>
      </w:r>
      <w:r w:rsidR="008911E2">
        <w:t xml:space="preserve"> </w:t>
      </w:r>
      <w:r w:rsidR="004A3AB4" w:rsidRPr="00DF37A3">
        <w:t>live</w:t>
      </w:r>
      <w:r w:rsidR="008911E2">
        <w:t xml:space="preserve"> </w:t>
      </w:r>
      <w:r w:rsidR="004A3AB4" w:rsidRPr="00DF37A3">
        <w:t xml:space="preserve">births) </w:t>
      </w:r>
    </w:p>
    <w:p w14:paraId="0231ACE1" w14:textId="1CECB38E" w:rsidR="004A3AB4" w:rsidRPr="005E7D01" w:rsidRDefault="004A3AB4" w:rsidP="005E7D01">
      <w:pPr>
        <w:pStyle w:val="SingleTxt"/>
        <w:spacing w:after="0" w:line="120" w:lineRule="exact"/>
        <w:rPr>
          <w:sz w:val="10"/>
          <w:lang w:val="en-GB"/>
        </w:rPr>
      </w:pPr>
    </w:p>
    <w:p w14:paraId="3FB11192" w14:textId="25DED2B9" w:rsidR="005E7D01" w:rsidRPr="00DF37A3" w:rsidRDefault="008911E2" w:rsidP="008911E2">
      <w:pPr>
        <w:pStyle w:val="SingleTxt"/>
        <w:spacing w:after="0"/>
        <w:rPr>
          <w:lang w:val="en-GB"/>
        </w:rPr>
      </w:pPr>
      <w:r w:rsidRPr="00455C9A">
        <w:rPr>
          <w:noProof/>
          <w:lang w:eastAsia="en-GB"/>
        </w:rPr>
        <w:drawing>
          <wp:inline distT="0" distB="0" distL="0" distR="0" wp14:anchorId="7046B781" wp14:editId="36775E4C">
            <wp:extent cx="4947274" cy="1950368"/>
            <wp:effectExtent l="0" t="0" r="6350" b="1206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41EA4D5" w14:textId="77777777" w:rsidR="008911E2" w:rsidRPr="008911E2" w:rsidRDefault="008911E2" w:rsidP="008911E2">
      <w:pPr>
        <w:pStyle w:val="SingleTxt"/>
        <w:spacing w:after="0" w:line="120" w:lineRule="exact"/>
        <w:rPr>
          <w:sz w:val="10"/>
          <w:lang w:val="en-GB"/>
        </w:rPr>
      </w:pPr>
    </w:p>
    <w:p w14:paraId="295FEC7F" w14:textId="77777777" w:rsidR="008911E2" w:rsidRPr="008911E2" w:rsidRDefault="008911E2" w:rsidP="008911E2">
      <w:pPr>
        <w:pStyle w:val="SingleTxt"/>
        <w:spacing w:after="0" w:line="120" w:lineRule="exact"/>
        <w:rPr>
          <w:sz w:val="10"/>
          <w:lang w:val="en-GB"/>
        </w:rPr>
      </w:pPr>
    </w:p>
    <w:p w14:paraId="46C1EA5C" w14:textId="10A2A98D" w:rsidR="004A3AB4" w:rsidRPr="00DF37A3" w:rsidRDefault="004A3AB4" w:rsidP="004A3AB4">
      <w:pPr>
        <w:pStyle w:val="SingleTxt"/>
        <w:rPr>
          <w:lang w:val="en-GB"/>
        </w:rPr>
      </w:pPr>
      <w:r w:rsidRPr="00DF37A3">
        <w:rPr>
          <w:lang w:val="en-GB"/>
        </w:rPr>
        <w:t>113.</w:t>
      </w:r>
      <w:r w:rsidR="008911E2">
        <w:rPr>
          <w:lang w:val="en-GB"/>
        </w:rPr>
        <w:tab/>
      </w:r>
      <w:r w:rsidRPr="00DF37A3">
        <w:rPr>
          <w:lang w:val="en-GB"/>
        </w:rPr>
        <w:t xml:space="preserve">In general, the structure of the causes of maternal mortality has changed. In 2012, bleeding was the most prevalent cause (29.5 per cent), followed by extragenital diseases (23.1 per cent), hypertension conditions (22.6 per cent) and sepsis (21 per cent), whereas in 2017 extragenital diseases (39.6 per cent) were the leading cause, followed by sepsis (22.9 per cent) and bleeding (14.6 per cent). </w:t>
      </w:r>
    </w:p>
    <w:p w14:paraId="1848B53A" w14:textId="4B4F3880" w:rsidR="004A3AB4" w:rsidRPr="008911E2" w:rsidRDefault="004A3AB4" w:rsidP="008911E2">
      <w:pPr>
        <w:pStyle w:val="SingleTxt"/>
        <w:spacing w:after="0" w:line="120" w:lineRule="exact"/>
        <w:rPr>
          <w:sz w:val="10"/>
          <w:lang w:val="en-GB"/>
        </w:rPr>
      </w:pPr>
    </w:p>
    <w:p w14:paraId="385D2878" w14:textId="1BC8632B" w:rsidR="004A3AB4" w:rsidRPr="00DF37A3" w:rsidRDefault="004A3AB4" w:rsidP="008911E2">
      <w:pPr>
        <w:pStyle w:val="SingleTxt"/>
        <w:spacing w:after="0"/>
        <w:rPr>
          <w:lang w:val="en-GB"/>
        </w:rPr>
      </w:pPr>
      <w:r w:rsidRPr="00DF37A3">
        <w:rPr>
          <w:lang w:val="en-GB"/>
        </w:rPr>
        <w:t>Figure 6</w:t>
      </w:r>
    </w:p>
    <w:p w14:paraId="68E6587C" w14:textId="6A0BF8EE" w:rsidR="004A3AB4" w:rsidRPr="00DF37A3" w:rsidRDefault="008911E2" w:rsidP="008911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A3AB4" w:rsidRPr="00DF37A3">
        <w:t>Causes of maternal mortality from 2012 to 2017</w:t>
      </w:r>
    </w:p>
    <w:p w14:paraId="67DD8588" w14:textId="5226F820" w:rsidR="004A3AB4" w:rsidRPr="008911E2" w:rsidRDefault="004A3AB4" w:rsidP="008911E2">
      <w:pPr>
        <w:pStyle w:val="SingleTxt"/>
        <w:spacing w:after="0" w:line="120" w:lineRule="exact"/>
        <w:rPr>
          <w:sz w:val="10"/>
          <w:lang w:val="en-GB"/>
        </w:rPr>
      </w:pPr>
    </w:p>
    <w:p w14:paraId="3C09C136" w14:textId="3B9A51FF" w:rsidR="008911E2" w:rsidRPr="00DF37A3" w:rsidRDefault="008911E2" w:rsidP="008911E2">
      <w:pPr>
        <w:pStyle w:val="SingleTxt"/>
        <w:spacing w:after="0"/>
        <w:rPr>
          <w:lang w:val="en-GB"/>
        </w:rPr>
      </w:pPr>
      <w:r w:rsidRPr="00455C9A">
        <w:rPr>
          <w:noProof/>
          <w:lang w:eastAsia="en-GB"/>
        </w:rPr>
        <w:drawing>
          <wp:inline distT="0" distB="0" distL="0" distR="0" wp14:anchorId="2A487589" wp14:editId="5FE7BEDC">
            <wp:extent cx="5010700" cy="2400300"/>
            <wp:effectExtent l="0" t="0" r="0"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8588F3E" w14:textId="00C3423E" w:rsidR="004A3AB4" w:rsidRDefault="004A3AB4" w:rsidP="008911E2">
      <w:pPr>
        <w:pStyle w:val="SingleTxt"/>
        <w:spacing w:after="0" w:line="120" w:lineRule="exact"/>
        <w:rPr>
          <w:sz w:val="10"/>
          <w:lang w:val="en-GB"/>
        </w:rPr>
      </w:pPr>
    </w:p>
    <w:p w14:paraId="5DD0EA10" w14:textId="77777777" w:rsidR="008911E2" w:rsidRPr="008911E2" w:rsidRDefault="008911E2" w:rsidP="008911E2">
      <w:pPr>
        <w:pStyle w:val="SingleTxt"/>
        <w:spacing w:after="0" w:line="120" w:lineRule="exact"/>
        <w:rPr>
          <w:sz w:val="10"/>
          <w:lang w:val="en-GB"/>
        </w:rPr>
      </w:pPr>
    </w:p>
    <w:p w14:paraId="387C1963" w14:textId="2ED660AD" w:rsidR="004A3AB4" w:rsidRPr="00DF37A3" w:rsidRDefault="004A3AB4" w:rsidP="004A3AB4">
      <w:pPr>
        <w:pStyle w:val="SingleTxt"/>
        <w:rPr>
          <w:lang w:val="en-GB"/>
        </w:rPr>
      </w:pPr>
      <w:r w:rsidRPr="00DF37A3">
        <w:rPr>
          <w:lang w:val="en-GB"/>
        </w:rPr>
        <w:lastRenderedPageBreak/>
        <w:t>114.</w:t>
      </w:r>
      <w:r w:rsidR="008911E2">
        <w:rPr>
          <w:lang w:val="en-GB"/>
        </w:rPr>
        <w:tab/>
      </w:r>
      <w:r w:rsidRPr="00DF37A3">
        <w:rPr>
          <w:lang w:val="en-GB"/>
        </w:rPr>
        <w:t>In order to strengthen the provision of high-quality antenatal care, the Ministry of Health approved 42 clinical protocols on antenatal care and childbirth management, with subsequent implementation in the training of health care personnel. A particularly worrying situation is the widespread low level of availability of neonatologists, anaesthesiologists and intensive care specialists (at the regional and district administrative levels).</w:t>
      </w:r>
    </w:p>
    <w:p w14:paraId="0BE6B8F8" w14:textId="49B3EE2A" w:rsidR="004A3AB4" w:rsidRPr="00DF37A3" w:rsidRDefault="004A3AB4" w:rsidP="004A3AB4">
      <w:pPr>
        <w:pStyle w:val="SingleTxt"/>
        <w:rPr>
          <w:lang w:val="en-GB"/>
        </w:rPr>
      </w:pPr>
      <w:r w:rsidRPr="00DF37A3">
        <w:rPr>
          <w:lang w:val="en-GB"/>
        </w:rPr>
        <w:t>115.</w:t>
      </w:r>
      <w:r w:rsidR="00963A8E">
        <w:rPr>
          <w:lang w:val="en-GB"/>
        </w:rPr>
        <w:tab/>
      </w:r>
      <w:r w:rsidRPr="00DF37A3">
        <w:rPr>
          <w:lang w:val="en-GB"/>
        </w:rPr>
        <w:t>Statistics show that the incidence of anaemia among women during pregnancy was 34.9 per cent in 2012, 35.2 per cent in 2013, 34.3 per cent in 2014, 34.6 per cent in 2015, 31.2 per cent in 2016 and 33.5 per cent in 2017.</w:t>
      </w:r>
    </w:p>
    <w:p w14:paraId="2D52B8F1" w14:textId="20091677" w:rsidR="004A3AB4" w:rsidRPr="00DF37A3" w:rsidRDefault="004A3AB4" w:rsidP="004A3AB4">
      <w:pPr>
        <w:pStyle w:val="SingleTxt"/>
        <w:rPr>
          <w:lang w:val="en-GB"/>
        </w:rPr>
      </w:pPr>
      <w:r w:rsidRPr="00DF37A3">
        <w:rPr>
          <w:lang w:val="en-GB"/>
        </w:rPr>
        <w:t>116.</w:t>
      </w:r>
      <w:r w:rsidR="00963A8E">
        <w:rPr>
          <w:lang w:val="en-GB"/>
        </w:rPr>
        <w:tab/>
      </w:r>
      <w:r w:rsidRPr="00DF37A3">
        <w:rPr>
          <w:lang w:val="en-GB"/>
        </w:rPr>
        <w:t>The abortion rate in the country in 2017 was 12.3 per 1,000 women of reproductive age. The number of abortions among adolescents aged 12</w:t>
      </w:r>
      <w:r w:rsidR="00963A8E">
        <w:rPr>
          <w:lang w:val="en-GB"/>
        </w:rPr>
        <w:t>–</w:t>
      </w:r>
      <w:r w:rsidRPr="00DF37A3">
        <w:rPr>
          <w:lang w:val="en-GB"/>
        </w:rPr>
        <w:t>19 was 1,778 in 2012, 1,697 in 2013, 1,975 in 2014, 1,443 in 2015, 1,523 in 2016 and 1,454 in 2017. The data on abortion are not fully reliable owing to the problem of unreliable recording and informal payments for abortions performed in early stages of pregnancy, which do not require lengthy procedures.</w:t>
      </w:r>
    </w:p>
    <w:p w14:paraId="598DCDE4" w14:textId="3774F50B" w:rsidR="004A3AB4" w:rsidRPr="00DF37A3" w:rsidRDefault="004A3AB4" w:rsidP="004A3AB4">
      <w:pPr>
        <w:pStyle w:val="SingleTxt"/>
        <w:rPr>
          <w:lang w:val="en-GB"/>
        </w:rPr>
      </w:pPr>
      <w:r w:rsidRPr="00DF37A3">
        <w:rPr>
          <w:lang w:val="en-GB"/>
        </w:rPr>
        <w:t>117.</w:t>
      </w:r>
      <w:r w:rsidR="00963A8E">
        <w:rPr>
          <w:lang w:val="en-GB"/>
        </w:rPr>
        <w:tab/>
      </w:r>
      <w:r w:rsidRPr="00DF37A3">
        <w:rPr>
          <w:lang w:val="en-GB"/>
        </w:rPr>
        <w:t xml:space="preserve">In 2017, contraceptive prevalence in the country was 25.0 per cent for women of reproductive age. The overall contraceptive prevalence rate has fallen significantly over the past 20 years, from 60 per cent (according to the Demographic and Health Survey of 1997) to 36 per cent in 2012 (Demographic and Health Survey of 2012). Traditional methods have been reduced from 11 per cent to 2 per cent between 1997 and 2014. The intrauterine device remains the most popular method used. The total fertility rate increased by 18 per cent from 3.4 in 1997 to 4 and, accordingly, the unmet need for family planning increased by more than 60 per cent, from 11.6 per cent to 19 per cent. The proportion of women in 2015 whose birth interval was less than 3 years was 18.9 per cent, less than 2 years </w:t>
      </w:r>
      <w:r w:rsidR="00963A8E">
        <w:rPr>
          <w:lang w:val="en-GB"/>
        </w:rPr>
        <w:t>–</w:t>
      </w:r>
      <w:r w:rsidRPr="00DF37A3">
        <w:rPr>
          <w:lang w:val="en-GB"/>
        </w:rPr>
        <w:t xml:space="preserve"> 21 per cent, and less than one year </w:t>
      </w:r>
      <w:r w:rsidR="00963A8E">
        <w:rPr>
          <w:lang w:val="en-GB"/>
        </w:rPr>
        <w:t>–</w:t>
      </w:r>
      <w:r w:rsidRPr="00DF37A3">
        <w:rPr>
          <w:lang w:val="en-GB"/>
        </w:rPr>
        <w:t xml:space="preserve"> 9 per cent. Several types of contraceptives are available to women with insurance as part of the supplementary compulsory medical insurance scheme and the package that supplies drugs on preferential terms under the programme of State guarantees relating to the provision of medical and health care within the Government’s compulsory health insurance fund. Pharmacies are the main channel for the provision of contraceptives to the private sector and are used by 24 per cent of users. The public sector is still the main source of contraceptives, but over the past 15 years there has been a general shift in the supply of modern contraceptives from the public sector to the private sector. In 2018, government procurement of contraceptives for vulnerable population groups (combined oral contraceptives, intrauterine devices) was carried out using budget funds.</w:t>
      </w:r>
    </w:p>
    <w:p w14:paraId="30208396" w14:textId="464DD46A" w:rsidR="004A3AB4" w:rsidRPr="00DF37A3" w:rsidRDefault="004A3AB4" w:rsidP="004A3AB4">
      <w:pPr>
        <w:pStyle w:val="SingleTxt"/>
        <w:rPr>
          <w:lang w:val="en-GB"/>
        </w:rPr>
      </w:pPr>
      <w:r w:rsidRPr="00DF37A3">
        <w:rPr>
          <w:lang w:val="en-GB"/>
        </w:rPr>
        <w:t>118.</w:t>
      </w:r>
      <w:r w:rsidR="00963A8E">
        <w:rPr>
          <w:lang w:val="en-GB"/>
        </w:rPr>
        <w:tab/>
      </w:r>
      <w:r w:rsidRPr="00DF37A3">
        <w:rPr>
          <w:lang w:val="en-GB"/>
        </w:rPr>
        <w:t xml:space="preserve">Cervical cancer mortality rates were 7.3 in 2012, 7.4 in 2013, 7.1 in 2014, 8.6 in 2015, 7.2 in 2016 and 7.3 in 2017. </w:t>
      </w:r>
    </w:p>
    <w:p w14:paraId="6A64F093" w14:textId="0A5A474E" w:rsidR="004A3AB4" w:rsidRPr="00DF37A3" w:rsidRDefault="004A3AB4" w:rsidP="004A3AB4">
      <w:pPr>
        <w:pStyle w:val="SingleTxt"/>
        <w:rPr>
          <w:lang w:val="en-GB"/>
        </w:rPr>
      </w:pPr>
      <w:r w:rsidRPr="00DF37A3">
        <w:rPr>
          <w:lang w:val="en-GB"/>
        </w:rPr>
        <w:t>119.</w:t>
      </w:r>
      <w:r w:rsidR="00963A8E">
        <w:rPr>
          <w:lang w:val="en-GB"/>
        </w:rPr>
        <w:tab/>
      </w:r>
      <w:r w:rsidRPr="00DF37A3">
        <w:rPr>
          <w:lang w:val="en-GB"/>
        </w:rPr>
        <w:t>Breast cancer in Kyrgyzstan ranks first in the complex of malignant neoplasms and mortality among cancers affecting the female population. Over the past 10 years, these figures have tended to increase. Breast cancer incidence was 19.1 per cent in 2012, 21.6 per cent in 2013, 19.4 per cent in 2014, 18.5 per cent in 2015, 19.3 per cent in 2016 and 9.0 per cent in 2017. The one-year mortality rate for breast cancer was 16.2 per cent in 2012, 16.0 per cent in 2013, 24.4 per cent in 2014, 18.5 per cent in 2015, 16.6 per cent in 2016, and 15.0 per cent in 2017.</w:t>
      </w:r>
    </w:p>
    <w:p w14:paraId="3D6E2480" w14:textId="51EFB445" w:rsidR="004A3AB4" w:rsidRPr="00DF37A3" w:rsidRDefault="004A3AB4" w:rsidP="004A3AB4">
      <w:pPr>
        <w:pStyle w:val="SingleTxt"/>
        <w:rPr>
          <w:lang w:val="en-GB"/>
        </w:rPr>
      </w:pPr>
      <w:r w:rsidRPr="00DF37A3">
        <w:rPr>
          <w:lang w:val="en-GB"/>
        </w:rPr>
        <w:t>120.</w:t>
      </w:r>
      <w:r w:rsidR="00963A8E">
        <w:rPr>
          <w:lang w:val="en-GB"/>
        </w:rPr>
        <w:tab/>
      </w:r>
      <w:r w:rsidRPr="00DF37A3">
        <w:rPr>
          <w:lang w:val="en-GB"/>
        </w:rPr>
        <w:t xml:space="preserve">Given the high rates of morbidity, the failure to treat and the mortality from breast cancer, the lack of countrywide measures to prevent and diagnose breast cancer, low awareness among the population and the lack of oncological alertness on the part of doctors at all levels, a Breast Centre has been established at the National Centre for Oncology and Haematology. Since the beginning of 2018, the Ministry of Health, together with non-governmental and international organizations, has </w:t>
      </w:r>
      <w:r w:rsidRPr="00DF37A3">
        <w:rPr>
          <w:lang w:val="en-GB"/>
        </w:rPr>
        <w:lastRenderedPageBreak/>
        <w:t>organized field teams of specialists, including a breast examiner, to conduct ultrasound breast examinations of women living in the regions.</w:t>
      </w:r>
    </w:p>
    <w:p w14:paraId="457B07F5" w14:textId="7BF4240A" w:rsidR="004A3AB4" w:rsidRPr="00DF37A3" w:rsidRDefault="004A3AB4" w:rsidP="004A3AB4">
      <w:pPr>
        <w:pStyle w:val="SingleTxt"/>
        <w:rPr>
          <w:lang w:val="en-GB"/>
        </w:rPr>
      </w:pPr>
      <w:r w:rsidRPr="00DF37A3">
        <w:rPr>
          <w:lang w:val="en-GB"/>
        </w:rPr>
        <w:t>121.</w:t>
      </w:r>
      <w:r w:rsidR="00963A8E">
        <w:rPr>
          <w:lang w:val="en-GB"/>
        </w:rPr>
        <w:tab/>
      </w:r>
      <w:r w:rsidRPr="00DF37A3">
        <w:rPr>
          <w:lang w:val="en-GB"/>
        </w:rPr>
        <w:t>The weak infrastructure found among treatment and preventive care organizations, with their problems with the supply of hot and cold water, electricity, heating and sewage systems, has an impact on the quality of service delivery and the prevention of hospital-acquired infections. Of the country’s 147 hospitals, 112 operate in adapted buildings.</w:t>
      </w:r>
    </w:p>
    <w:p w14:paraId="1BED2A75" w14:textId="7FEBF463" w:rsidR="004A3AB4" w:rsidRPr="00DF37A3" w:rsidRDefault="004A3AB4" w:rsidP="004A3AB4">
      <w:pPr>
        <w:pStyle w:val="SingleTxt"/>
        <w:rPr>
          <w:lang w:val="en-GB"/>
        </w:rPr>
      </w:pPr>
      <w:r w:rsidRPr="00DF37A3">
        <w:rPr>
          <w:lang w:val="en-GB"/>
        </w:rPr>
        <w:t>122.</w:t>
      </w:r>
      <w:r w:rsidR="00963A8E">
        <w:rPr>
          <w:lang w:val="en-GB"/>
        </w:rPr>
        <w:tab/>
      </w:r>
      <w:r w:rsidRPr="00DF37A3">
        <w:rPr>
          <w:lang w:val="en-GB"/>
        </w:rPr>
        <w:t>Alcohol dependence among women persists. In 2017, the rate of alcoholism among women was 6.8 cases per 100,000 persons; it was 10.9 in 2012, 7.4 in 2013, 5.7 in 2014, 5.6 in 2015, and 6.4 in 2016.</w:t>
      </w:r>
    </w:p>
    <w:p w14:paraId="748285EB" w14:textId="36F5F796" w:rsidR="004A3AB4" w:rsidRPr="00DF37A3" w:rsidRDefault="004A3AB4" w:rsidP="004A3AB4">
      <w:pPr>
        <w:pStyle w:val="SingleTxt"/>
        <w:rPr>
          <w:lang w:val="en-GB"/>
        </w:rPr>
      </w:pPr>
      <w:r w:rsidRPr="00DF37A3">
        <w:rPr>
          <w:lang w:val="en-GB"/>
        </w:rPr>
        <w:t>123.</w:t>
      </w:r>
      <w:r w:rsidR="00963A8E">
        <w:rPr>
          <w:lang w:val="en-GB"/>
        </w:rPr>
        <w:tab/>
      </w:r>
      <w:r w:rsidRPr="00DF37A3">
        <w:rPr>
          <w:lang w:val="en-GB"/>
        </w:rPr>
        <w:t>The incidence of drug addiction among women per 100,000 persons was: 1.3</w:t>
      </w:r>
      <w:r w:rsidR="00963A8E">
        <w:rPr>
          <w:lang w:val="en-GB"/>
        </w:rPr>
        <w:t> </w:t>
      </w:r>
      <w:r w:rsidRPr="00DF37A3">
        <w:rPr>
          <w:lang w:val="en-GB"/>
        </w:rPr>
        <w:t>cases in 2012; 0.4 cases in 2013; 1 case in 2014; 0.4 cases in 2015; 0.5 cases in 2016; and 0.3 cases in 2017 (according to the eHealth Centre).</w:t>
      </w:r>
    </w:p>
    <w:p w14:paraId="35B89E5C" w14:textId="77777777" w:rsidR="004A3AB4" w:rsidRPr="00DF37A3" w:rsidRDefault="004A3AB4" w:rsidP="004A3AB4">
      <w:pPr>
        <w:pStyle w:val="SingleTxt"/>
        <w:rPr>
          <w:lang w:val="en-GB"/>
        </w:rPr>
      </w:pPr>
      <w:r w:rsidRPr="00DF37A3">
        <w:rPr>
          <w:lang w:val="en-GB"/>
        </w:rPr>
        <w:t>124.</w:t>
      </w:r>
      <w:r w:rsidRPr="00DF37A3">
        <w:rPr>
          <w:lang w:val="en-GB"/>
        </w:rPr>
        <w:tab/>
        <w:t>Sexually transmitted infections among women:</w:t>
      </w:r>
    </w:p>
    <w:p w14:paraId="069FFF00" w14:textId="109E4D75" w:rsidR="004A3AB4" w:rsidRPr="00DF37A3" w:rsidRDefault="00963A8E" w:rsidP="00963A8E">
      <w:pPr>
        <w:pStyle w:val="SingleTxt"/>
        <w:tabs>
          <w:tab w:val="right" w:pos="1685"/>
        </w:tabs>
        <w:ind w:left="1742" w:hanging="475"/>
        <w:rPr>
          <w:lang w:val="en-GB"/>
        </w:rPr>
      </w:pPr>
      <w:r>
        <w:rPr>
          <w:lang w:val="en-GB"/>
        </w:rPr>
        <w:tab/>
      </w:r>
      <w:r w:rsidR="004A3AB4" w:rsidRPr="00DF37A3">
        <w:rPr>
          <w:lang w:val="en-GB"/>
        </w:rPr>
        <w:t>•</w:t>
      </w:r>
      <w:r w:rsidR="004A3AB4" w:rsidRPr="00DF37A3">
        <w:rPr>
          <w:lang w:val="en-GB"/>
        </w:rPr>
        <w:tab/>
        <w:t>The incidence of syphilis (cases per 100,000 population) was 13.3 in 2012, 19.4</w:t>
      </w:r>
      <w:r>
        <w:rPr>
          <w:lang w:val="en-GB"/>
        </w:rPr>
        <w:t> </w:t>
      </w:r>
      <w:r w:rsidR="004A3AB4" w:rsidRPr="00DF37A3">
        <w:rPr>
          <w:lang w:val="en-GB"/>
        </w:rPr>
        <w:t>in 2013, 21.8 in 2014, 10.6 in 2015, 8.8 in 2016 and 7.4 in 2017.</w:t>
      </w:r>
    </w:p>
    <w:p w14:paraId="430652BB" w14:textId="07EBED17" w:rsidR="004A3AB4" w:rsidRPr="00DF37A3" w:rsidRDefault="00963A8E" w:rsidP="00963A8E">
      <w:pPr>
        <w:pStyle w:val="SingleTxt"/>
        <w:tabs>
          <w:tab w:val="right" w:pos="1685"/>
        </w:tabs>
        <w:ind w:left="1742" w:hanging="475"/>
        <w:rPr>
          <w:lang w:val="en-GB"/>
        </w:rPr>
      </w:pPr>
      <w:r>
        <w:rPr>
          <w:lang w:val="en-GB"/>
        </w:rPr>
        <w:tab/>
      </w:r>
      <w:r w:rsidR="004A3AB4" w:rsidRPr="00DF37A3">
        <w:rPr>
          <w:lang w:val="en-GB"/>
        </w:rPr>
        <w:t>•</w:t>
      </w:r>
      <w:r w:rsidR="004A3AB4" w:rsidRPr="00DF37A3">
        <w:rPr>
          <w:lang w:val="en-GB"/>
        </w:rPr>
        <w:tab/>
        <w:t>The incidence of gonorrhoea (cases per 100,000 population) was: 10.6 in 2012, 9.3 in 2013, 11.1 in 2014, 7.8 in 2015, 5.0 in 2016 and 3.0 in 2017.</w:t>
      </w:r>
    </w:p>
    <w:p w14:paraId="64A09E75" w14:textId="505B3B20" w:rsidR="004A3AB4" w:rsidRPr="00DF37A3" w:rsidRDefault="004A3AB4" w:rsidP="004A3AB4">
      <w:pPr>
        <w:pStyle w:val="SingleTxt"/>
        <w:rPr>
          <w:lang w:val="en-GB"/>
        </w:rPr>
      </w:pPr>
      <w:r w:rsidRPr="00DF37A3">
        <w:rPr>
          <w:lang w:val="en-GB"/>
        </w:rPr>
        <w:t>125.</w:t>
      </w:r>
      <w:r w:rsidRPr="00DF37A3">
        <w:rPr>
          <w:lang w:val="en-GB"/>
        </w:rPr>
        <w:tab/>
        <w:t>In 2012, tuberculosis centres were transferred to the single-payer system. The Tuberculosis V programme for the period 2017–2021 was approved by Government Order No. 448-r of 3 October 2017. An action plan to optimize the system of tuberculosis care for the population of the Kyrgyz Republic for the period 2017</w:t>
      </w:r>
      <w:r w:rsidR="00963A8E">
        <w:rPr>
          <w:lang w:val="en-GB"/>
        </w:rPr>
        <w:t>–</w:t>
      </w:r>
      <w:r w:rsidRPr="00DF37A3">
        <w:rPr>
          <w:lang w:val="en-GB"/>
        </w:rPr>
        <w:t>2026 was approved by Government Order No. 9-r of 17 January 2017.</w:t>
      </w:r>
    </w:p>
    <w:p w14:paraId="00EBD622" w14:textId="56F8085D" w:rsidR="004A3AB4" w:rsidRPr="00DF37A3" w:rsidRDefault="004A3AB4" w:rsidP="004A3AB4">
      <w:pPr>
        <w:pStyle w:val="SingleTxt"/>
        <w:rPr>
          <w:lang w:val="en-GB"/>
        </w:rPr>
      </w:pPr>
      <w:r w:rsidRPr="00DF37A3">
        <w:rPr>
          <w:lang w:val="en-GB"/>
        </w:rPr>
        <w:t>126.</w:t>
      </w:r>
      <w:r w:rsidRPr="00DF37A3">
        <w:rPr>
          <w:lang w:val="en-GB"/>
        </w:rPr>
        <w:tab/>
        <w:t>The tuberculosis incidence among women in Kyrgyzstan (rate per 100,000 persons) was 85.</w:t>
      </w:r>
      <w:r w:rsidR="00963A8E">
        <w:rPr>
          <w:lang w:val="en-GB"/>
        </w:rPr>
        <w:t xml:space="preserve"> </w:t>
      </w:r>
      <w:r w:rsidRPr="00DF37A3">
        <w:rPr>
          <w:lang w:val="en-GB"/>
        </w:rPr>
        <w:t xml:space="preserve">1 in 2012, 87.7 in 2013, 88.5 in 2014. 83.6 in 2015, 81.7 in 2016 and 77.5 in 2017. National mortality and morbidity rates in both the public and penitentiary health systems are continuing to fall. </w:t>
      </w:r>
    </w:p>
    <w:p w14:paraId="728291D8" w14:textId="77777777" w:rsidR="004A3AB4" w:rsidRPr="00DF37A3" w:rsidRDefault="004A3AB4" w:rsidP="004A3AB4">
      <w:pPr>
        <w:pStyle w:val="SingleTxt"/>
        <w:rPr>
          <w:lang w:val="en-GB"/>
        </w:rPr>
      </w:pPr>
      <w:r w:rsidRPr="00DF37A3">
        <w:rPr>
          <w:lang w:val="en-GB"/>
        </w:rPr>
        <w:t>127.</w:t>
      </w:r>
      <w:r w:rsidRPr="00DF37A3">
        <w:rPr>
          <w:lang w:val="en-GB"/>
        </w:rPr>
        <w:tab/>
        <w:t xml:space="preserve">Construction work has begun for the Bishkek City Tuberculosis Hospital, with support from KfW (the German development bank) and a budget of 6.3 million euros. In 2013, a reference laboratory module was commissioned, also with support from the German development bank and a total budget for the project of 5 million euros. </w:t>
      </w:r>
    </w:p>
    <w:p w14:paraId="1621EDDB" w14:textId="77777777" w:rsidR="004A3AB4" w:rsidRPr="00DF37A3" w:rsidRDefault="004A3AB4" w:rsidP="004A3AB4">
      <w:pPr>
        <w:pStyle w:val="SingleTxt"/>
        <w:rPr>
          <w:lang w:val="en-GB"/>
        </w:rPr>
      </w:pPr>
      <w:r w:rsidRPr="00DF37A3">
        <w:rPr>
          <w:lang w:val="en-GB"/>
        </w:rPr>
        <w:t>128.</w:t>
      </w:r>
      <w:r w:rsidRPr="00DF37A3">
        <w:rPr>
          <w:lang w:val="en-GB"/>
        </w:rPr>
        <w:tab/>
        <w:t xml:space="preserve">Data from biobehavioural studies indicate that the prevalence of HIV infection among drug users was 14.3 per cent in 2016 (14.6 per cent in 2010 and 12.4 per cent in 2013, which are variations within the limits of statistical error). </w:t>
      </w:r>
    </w:p>
    <w:p w14:paraId="2EAE963E" w14:textId="77777777" w:rsidR="004A3AB4" w:rsidRPr="00DF37A3" w:rsidRDefault="004A3AB4" w:rsidP="004A3AB4">
      <w:pPr>
        <w:pStyle w:val="SingleTxt"/>
        <w:rPr>
          <w:lang w:val="en-GB"/>
        </w:rPr>
      </w:pPr>
      <w:r w:rsidRPr="00DF37A3">
        <w:rPr>
          <w:lang w:val="en-GB"/>
        </w:rPr>
        <w:t>129.</w:t>
      </w:r>
      <w:r w:rsidRPr="00DF37A3">
        <w:rPr>
          <w:lang w:val="en-GB"/>
        </w:rPr>
        <w:tab/>
        <w:t>In 2017, in order to streamline HIV/AIDS activities, the functions of the Country Coordinating Mechanism for the Global Fund to Fight AIDS, Tuberculosis and Malaria were merged into those of the Coordination Council on Public Health, which reports to the Government of Kyrgyzstan.</w:t>
      </w:r>
    </w:p>
    <w:p w14:paraId="7AC69E63" w14:textId="77777777" w:rsidR="004A3AB4" w:rsidRPr="00DF37A3" w:rsidRDefault="004A3AB4" w:rsidP="004A3AB4">
      <w:pPr>
        <w:pStyle w:val="SingleTxt"/>
        <w:rPr>
          <w:lang w:val="en-GB"/>
        </w:rPr>
      </w:pPr>
      <w:r w:rsidRPr="00DF37A3">
        <w:rPr>
          <w:lang w:val="en-GB"/>
        </w:rPr>
        <w:t>130.</w:t>
      </w:r>
      <w:r w:rsidRPr="00DF37A3">
        <w:rPr>
          <w:lang w:val="en-GB"/>
        </w:rPr>
        <w:tab/>
        <w:t xml:space="preserve">All AIDS patients currently receiving antiretroviral therapy are given their medication in a timely manner, records are kept of antiretroviral drugs received and issued, and drugs are issued during the course of treatment in line with the clinical guidelines approved by the Ministry of Health, which have been updated in accordance with World Health Organization recommendations. The most recent clinical guidelines were approved by Ministry of Health Order No. 903 of 10 October 2017. Antiretroviral drugs are available in sufficient variety and quantity. In January 2018, 3,597 persons living with HIV were receiving antiretroviral therapy. </w:t>
      </w:r>
    </w:p>
    <w:p w14:paraId="30B74250" w14:textId="77777777" w:rsidR="004A3AB4" w:rsidRPr="00DF37A3" w:rsidRDefault="004A3AB4" w:rsidP="004A3AB4">
      <w:pPr>
        <w:pStyle w:val="SingleTxt"/>
        <w:rPr>
          <w:lang w:val="en-GB"/>
        </w:rPr>
      </w:pPr>
      <w:r w:rsidRPr="00DF37A3">
        <w:rPr>
          <w:lang w:val="en-GB"/>
        </w:rPr>
        <w:t>131.</w:t>
      </w:r>
      <w:r w:rsidRPr="00DF37A3">
        <w:rPr>
          <w:lang w:val="en-GB"/>
        </w:rPr>
        <w:tab/>
        <w:t xml:space="preserve">Thirty-six needle-exchange sites are in operation, including 11 sites at Ministry of Health prevention and treatment facilities, 12 sites managed by non-governmental </w:t>
      </w:r>
      <w:r w:rsidRPr="00DF37A3">
        <w:rPr>
          <w:lang w:val="en-GB"/>
        </w:rPr>
        <w:lastRenderedPageBreak/>
        <w:t xml:space="preserve">organizations, and 13 sites within the penitentiary system of the State Penal Correction Service. As at 1 September 2017, the 11 sites in operation at Ministry of Health facilities were serving 5,408 injecting drug users, including 829 women. The needle-exchange sites within the State Penal Correction Service were serving 1,533 clients, including 21 women. On 1 September 2017 3,052 persons received antiretroviral therapy, including 430 children (262/168). Of the 528 newly diagnosed persons, 357 persons living with HIV were accepted for outpatient treatment, including 158 for antiretroviral therapy, 16 of them children. </w:t>
      </w:r>
    </w:p>
    <w:p w14:paraId="0177C4C4" w14:textId="77777777" w:rsidR="004A3AB4" w:rsidRPr="00DF37A3" w:rsidRDefault="004A3AB4" w:rsidP="004A3AB4">
      <w:pPr>
        <w:pStyle w:val="SingleTxt"/>
        <w:rPr>
          <w:lang w:val="en-GB"/>
        </w:rPr>
      </w:pPr>
      <w:r w:rsidRPr="00DF37A3">
        <w:rPr>
          <w:lang w:val="en-GB"/>
        </w:rPr>
        <w:t>132.</w:t>
      </w:r>
      <w:r w:rsidRPr="00DF37A3">
        <w:rPr>
          <w:lang w:val="en-GB"/>
        </w:rPr>
        <w:tab/>
        <w:t xml:space="preserve">As at 1 November 2018, 8,214 nationals of Kyrgyzstan were registered as living with HIV. According to the Spectrum projection programme, an estimated 7,600 persons are living with HIV. Meanwhile, the proportion of cases of sexual transmission has increased from 44.3 per cent in 2012 to 62 per cent in 2018, while the number of women living with HIV accounted for 22 per cent of the total in 2012 and 36 per cent in 2018. </w:t>
      </w:r>
    </w:p>
    <w:p w14:paraId="6AC4548A" w14:textId="4C143C08" w:rsidR="004A3AB4" w:rsidRPr="00DF37A3" w:rsidRDefault="004A3AB4" w:rsidP="004A3AB4">
      <w:pPr>
        <w:pStyle w:val="SingleTxt"/>
        <w:rPr>
          <w:lang w:val="en-GB"/>
        </w:rPr>
      </w:pPr>
      <w:r w:rsidRPr="00DF37A3">
        <w:rPr>
          <w:lang w:val="en-GB"/>
        </w:rPr>
        <w:t>133.</w:t>
      </w:r>
      <w:r w:rsidRPr="00DF37A3">
        <w:rPr>
          <w:lang w:val="en-GB"/>
        </w:rPr>
        <w:tab/>
        <w:t>The prevalence of HIV infection in Kyrgyzstan has remained at 10</w:t>
      </w:r>
      <w:r w:rsidR="00963A8E">
        <w:rPr>
          <w:lang w:val="en-GB"/>
        </w:rPr>
        <w:t>–</w:t>
      </w:r>
      <w:r w:rsidRPr="00DF37A3">
        <w:rPr>
          <w:lang w:val="en-GB"/>
        </w:rPr>
        <w:t>13 cases per 100,000 persons since 2008, which is the lowest indicator (after Armenia and Azerbaijan) in the region of the Commonwealth of Independent States.</w:t>
      </w:r>
    </w:p>
    <w:p w14:paraId="08EC1AF6" w14:textId="77777777" w:rsidR="004A3AB4" w:rsidRPr="00DF37A3" w:rsidRDefault="004A3AB4" w:rsidP="004A3AB4">
      <w:pPr>
        <w:pStyle w:val="SingleTxt"/>
        <w:rPr>
          <w:lang w:val="en-GB"/>
        </w:rPr>
      </w:pPr>
      <w:r w:rsidRPr="00DF37A3">
        <w:rPr>
          <w:lang w:val="en-GB"/>
        </w:rPr>
        <w:t>134.</w:t>
      </w:r>
      <w:r w:rsidRPr="00DF37A3">
        <w:rPr>
          <w:lang w:val="en-GB"/>
        </w:rPr>
        <w:tab/>
        <w:t>In 2018 research was carried out to study negative stereotypes about women and men with disabilities, and in that context various infographics were produced, together with recommendations for media campaigns to eradicate gender stereotypes about women with disabilities.</w:t>
      </w:r>
    </w:p>
    <w:p w14:paraId="64D312BA" w14:textId="77777777" w:rsidR="004A3AB4" w:rsidRPr="00DF37A3" w:rsidRDefault="004A3AB4" w:rsidP="004A3AB4">
      <w:pPr>
        <w:pStyle w:val="SingleTxt"/>
        <w:rPr>
          <w:lang w:val="en-GB"/>
        </w:rPr>
      </w:pPr>
      <w:r w:rsidRPr="00DF37A3">
        <w:rPr>
          <w:lang w:val="en-GB"/>
        </w:rPr>
        <w:t>135.</w:t>
      </w:r>
      <w:r w:rsidRPr="00DF37A3">
        <w:rPr>
          <w:lang w:val="en-GB"/>
        </w:rPr>
        <w:tab/>
        <w:t>The Expert Council for Quality Assessment of Clinical Guidelines/Protocols developed guidelines for the provision of medical and social care for transgender, transsexual and gender-nonconforming persons, which was approved by Ministry of Health Order No. 42 of 18 January 2017. Medical and social care for transgender, transsexual and gender-nonconforming persons is designed to help them to safely and effectively achieve maximum comfort in their gender identity, improved health and quality of life, psychological well-being and self-realization based on respect for dignity, equality and human rights.</w:t>
      </w:r>
    </w:p>
    <w:p w14:paraId="735ADEA7" w14:textId="77777777" w:rsidR="00963A8E" w:rsidRPr="00963A8E" w:rsidRDefault="00963A8E" w:rsidP="00963A8E">
      <w:pPr>
        <w:pStyle w:val="SingleTxt"/>
        <w:spacing w:after="0" w:line="120" w:lineRule="exact"/>
        <w:rPr>
          <w:sz w:val="10"/>
          <w:lang w:val="en-GB"/>
        </w:rPr>
      </w:pPr>
    </w:p>
    <w:p w14:paraId="66B65D9E" w14:textId="77777777" w:rsidR="00963A8E" w:rsidRPr="00963A8E" w:rsidRDefault="00963A8E" w:rsidP="00963A8E">
      <w:pPr>
        <w:pStyle w:val="SingleTxt"/>
        <w:spacing w:after="0" w:line="120" w:lineRule="exact"/>
        <w:rPr>
          <w:sz w:val="10"/>
          <w:lang w:val="en-GB"/>
        </w:rPr>
      </w:pPr>
    </w:p>
    <w:p w14:paraId="10824EBA" w14:textId="7D325CC0" w:rsidR="004A3AB4" w:rsidRPr="00DF37A3" w:rsidRDefault="004A3AB4" w:rsidP="00963A8E">
      <w:pPr>
        <w:pStyle w:val="H1"/>
        <w:ind w:right="1260"/>
        <w:rPr>
          <w:lang w:val="en-GB"/>
        </w:rPr>
      </w:pPr>
      <w:r w:rsidRPr="00DF37A3">
        <w:rPr>
          <w:lang w:val="en-GB"/>
        </w:rPr>
        <w:tab/>
      </w:r>
      <w:r w:rsidRPr="00DF37A3">
        <w:rPr>
          <w:lang w:val="en-GB"/>
        </w:rPr>
        <w:tab/>
        <w:t>Article 13</w:t>
      </w:r>
    </w:p>
    <w:p w14:paraId="0A4D6F12" w14:textId="77777777" w:rsidR="00963A8E" w:rsidRPr="00963A8E" w:rsidRDefault="00963A8E" w:rsidP="00963A8E">
      <w:pPr>
        <w:pStyle w:val="SingleTxt"/>
        <w:spacing w:after="0" w:line="120" w:lineRule="exact"/>
        <w:rPr>
          <w:sz w:val="10"/>
          <w:lang w:val="en-GB"/>
        </w:rPr>
      </w:pPr>
    </w:p>
    <w:p w14:paraId="4E48E071" w14:textId="77777777" w:rsidR="00963A8E" w:rsidRPr="00963A8E" w:rsidRDefault="00963A8E" w:rsidP="00963A8E">
      <w:pPr>
        <w:pStyle w:val="SingleTxt"/>
        <w:spacing w:after="0" w:line="120" w:lineRule="exact"/>
        <w:rPr>
          <w:sz w:val="10"/>
          <w:lang w:val="en-GB"/>
        </w:rPr>
      </w:pPr>
    </w:p>
    <w:p w14:paraId="7212F149" w14:textId="5CD71C3A" w:rsidR="004A3AB4" w:rsidRPr="00DF37A3" w:rsidRDefault="004A3AB4" w:rsidP="004A3AB4">
      <w:pPr>
        <w:pStyle w:val="SingleTxt"/>
        <w:rPr>
          <w:lang w:val="en-GB"/>
        </w:rPr>
      </w:pPr>
      <w:r w:rsidRPr="00DF37A3">
        <w:rPr>
          <w:lang w:val="en-GB"/>
        </w:rPr>
        <w:t>136.</w:t>
      </w:r>
      <w:r w:rsidRPr="00DF37A3">
        <w:rPr>
          <w:lang w:val="en-GB"/>
        </w:rPr>
        <w:tab/>
        <w:t>According to the Constitution, Kyrgyzstan is a social State. New mechanisms have been introduced to promote gender-oriented social policy to ensure equal rights and opportunities for men and women regarding the rights to receive State benefits, loans, mortgages and other forms of financial credit.</w:t>
      </w:r>
    </w:p>
    <w:p w14:paraId="5BBF74CE" w14:textId="77777777" w:rsidR="004A3AB4" w:rsidRPr="00DF37A3" w:rsidRDefault="004A3AB4" w:rsidP="004A3AB4">
      <w:pPr>
        <w:pStyle w:val="SingleTxt"/>
        <w:rPr>
          <w:lang w:val="en-GB"/>
        </w:rPr>
      </w:pPr>
      <w:r w:rsidRPr="00DF37A3">
        <w:rPr>
          <w:lang w:val="en-GB"/>
        </w:rPr>
        <w:t>137.</w:t>
      </w:r>
      <w:r w:rsidRPr="00DF37A3">
        <w:rPr>
          <w:lang w:val="en-GB"/>
        </w:rPr>
        <w:tab/>
        <w:t>There have been some changes to the main forms of social support for socially vulnerable categories of citizens. An increase in pensions has brought the average pension close to the minimum subsistence level. In 2017, the average pension was 5,235.4 soms, which was 1,019 soms more than the subsistence minimum, which in 2017 was 4,392.8 soms. Almost 40 per cent of pensioners have a total pension that is below the subsistence minimum. For this category, the basic part of the pension has been indexed, and it was increased by 100 soms on October 1, 2018.</w:t>
      </w:r>
    </w:p>
    <w:p w14:paraId="5AF0E344" w14:textId="77777777" w:rsidR="004A3AB4" w:rsidRPr="00DF37A3" w:rsidRDefault="004A3AB4" w:rsidP="004A3AB4">
      <w:pPr>
        <w:pStyle w:val="SingleTxt"/>
        <w:rPr>
          <w:lang w:val="en-GB"/>
        </w:rPr>
      </w:pPr>
      <w:r w:rsidRPr="00DF37A3">
        <w:rPr>
          <w:lang w:val="en-GB"/>
        </w:rPr>
        <w:t>138.</w:t>
      </w:r>
      <w:r w:rsidRPr="00DF37A3">
        <w:rPr>
          <w:lang w:val="en-GB"/>
        </w:rPr>
        <w:tab/>
        <w:t>At the end of 2018, 673,000 pensioners were registered with the Social Fund pension agencies.</w:t>
      </w:r>
    </w:p>
    <w:p w14:paraId="664B9F23" w14:textId="77777777" w:rsidR="004A3AB4" w:rsidRPr="00DF37A3" w:rsidRDefault="004A3AB4" w:rsidP="004A3AB4">
      <w:pPr>
        <w:pStyle w:val="SingleTxt"/>
        <w:rPr>
          <w:lang w:val="en-GB"/>
        </w:rPr>
      </w:pPr>
      <w:r w:rsidRPr="00DF37A3">
        <w:rPr>
          <w:lang w:val="en-GB"/>
        </w:rPr>
        <w:t>139.</w:t>
      </w:r>
      <w:r w:rsidRPr="00DF37A3">
        <w:rPr>
          <w:lang w:val="en-GB"/>
        </w:rPr>
        <w:tab/>
        <w:t xml:space="preserve">For the past five years, pensioners have represented about 11 per cent of the total population. Women account for 65 per cent of pensioners, and men account for 35 per cent. </w:t>
      </w:r>
    </w:p>
    <w:p w14:paraId="7E24F015" w14:textId="074FAB10" w:rsidR="004A3AB4" w:rsidRPr="00DF37A3" w:rsidRDefault="004A3AB4" w:rsidP="004A3AB4">
      <w:pPr>
        <w:pStyle w:val="SingleTxt"/>
        <w:rPr>
          <w:lang w:val="en-GB"/>
        </w:rPr>
      </w:pPr>
      <w:r w:rsidRPr="00DF37A3">
        <w:rPr>
          <w:lang w:val="en-GB"/>
        </w:rPr>
        <w:t>140.</w:t>
      </w:r>
      <w:r w:rsidRPr="00DF37A3">
        <w:rPr>
          <w:lang w:val="en-GB"/>
        </w:rPr>
        <w:tab/>
        <w:t xml:space="preserve">Under the State Pension Social Insurance Act, women who have given birth to five or more children and have cared for them to the age of eight years are entitled to </w:t>
      </w:r>
      <w:r w:rsidRPr="00DF37A3">
        <w:rPr>
          <w:lang w:val="en-GB"/>
        </w:rPr>
        <w:lastRenderedPageBreak/>
        <w:t>an old-age pension at the age of 53 years after 15 years of contributions, which is five years earlier than the retirement age of 58 years for women.</w:t>
      </w:r>
    </w:p>
    <w:p w14:paraId="6A1B44D2" w14:textId="77777777" w:rsidR="004A3AB4" w:rsidRPr="00DF37A3" w:rsidRDefault="004A3AB4" w:rsidP="004A3AB4">
      <w:pPr>
        <w:pStyle w:val="SingleTxt"/>
        <w:rPr>
          <w:lang w:val="en-GB"/>
        </w:rPr>
      </w:pPr>
      <w:r w:rsidRPr="00DF37A3">
        <w:rPr>
          <w:lang w:val="en-GB"/>
        </w:rPr>
        <w:t>141.</w:t>
      </w:r>
      <w:r w:rsidRPr="00DF37A3">
        <w:rPr>
          <w:lang w:val="en-GB"/>
        </w:rPr>
        <w:tab/>
        <w:t>On 1 April 2018 a revised version of the State Benefits Act came into force, with provisions for three forms of State benefit.</w:t>
      </w:r>
    </w:p>
    <w:p w14:paraId="332C1B69" w14:textId="510AC112" w:rsidR="004A3AB4" w:rsidRPr="00DF37A3" w:rsidRDefault="008240FA" w:rsidP="008240FA">
      <w:pPr>
        <w:pStyle w:val="SingleTxt"/>
        <w:tabs>
          <w:tab w:val="right" w:pos="1685"/>
        </w:tabs>
        <w:ind w:left="1742" w:hanging="475"/>
        <w:rPr>
          <w:lang w:val="en-GB"/>
        </w:rPr>
      </w:pPr>
      <w:r>
        <w:rPr>
          <w:lang w:val="en-GB"/>
        </w:rPr>
        <w:tab/>
      </w:r>
      <w:r w:rsidR="004A3AB4" w:rsidRPr="00DF37A3">
        <w:rPr>
          <w:lang w:val="en-GB"/>
        </w:rPr>
        <w:t>•</w:t>
      </w:r>
      <w:r w:rsidR="004A3AB4" w:rsidRPr="00DF37A3">
        <w:rPr>
          <w:lang w:val="en-GB"/>
        </w:rPr>
        <w:tab/>
        <w:t>A lump-sum payment of 4,000 soms for the birth of a child (</w:t>
      </w:r>
      <w:r w:rsidR="004A3AB4" w:rsidRPr="008240FA">
        <w:rPr>
          <w:i/>
          <w:iCs/>
          <w:lang w:val="en-GB"/>
        </w:rPr>
        <w:t>balaga suyunchu</w:t>
      </w:r>
      <w:r w:rsidR="004A3AB4" w:rsidRPr="00DF37A3">
        <w:rPr>
          <w:lang w:val="en-GB"/>
        </w:rPr>
        <w:t>) is paid after the birth, irrespective of family income.</w:t>
      </w:r>
    </w:p>
    <w:p w14:paraId="3E244CEF" w14:textId="22535DE4" w:rsidR="004A3AB4" w:rsidRPr="00DF37A3" w:rsidRDefault="008240FA" w:rsidP="008240FA">
      <w:pPr>
        <w:pStyle w:val="SingleTxt"/>
        <w:tabs>
          <w:tab w:val="right" w:pos="1685"/>
        </w:tabs>
        <w:ind w:left="1742" w:hanging="475"/>
        <w:rPr>
          <w:lang w:val="en-GB"/>
        </w:rPr>
      </w:pPr>
      <w:r>
        <w:rPr>
          <w:lang w:val="en-GB"/>
        </w:rPr>
        <w:tab/>
      </w:r>
      <w:r w:rsidR="004A3AB4" w:rsidRPr="00DF37A3">
        <w:rPr>
          <w:lang w:val="en-GB"/>
        </w:rPr>
        <w:t>•</w:t>
      </w:r>
      <w:r w:rsidR="004A3AB4" w:rsidRPr="00DF37A3">
        <w:rPr>
          <w:lang w:val="en-GB"/>
        </w:rPr>
        <w:tab/>
        <w:t>The State Benefits Act came into force on 1 January 2018. Previously, a lump-sum payment for the birth of a child was a means-tested benefit that was paid only to children in low-income families. Monthly allowances are paid to low-income citizens (families) with children under 16 years of age (</w:t>
      </w:r>
      <w:r w:rsidR="004A3AB4" w:rsidRPr="008240FA">
        <w:rPr>
          <w:i/>
          <w:iCs/>
          <w:lang w:val="en-GB"/>
        </w:rPr>
        <w:t>ui-bulogo komok</w:t>
      </w:r>
      <w:r w:rsidR="004A3AB4" w:rsidRPr="00DF37A3">
        <w:rPr>
          <w:lang w:val="en-GB"/>
        </w:rPr>
        <w:t>), provided that the per capita average of the total family income does not exceed the guaranteed minimum income for each family member;</w:t>
      </w:r>
    </w:p>
    <w:p w14:paraId="11A832BC" w14:textId="5224AD86" w:rsidR="004A3AB4" w:rsidRPr="00DF37A3" w:rsidRDefault="008240FA" w:rsidP="008240FA">
      <w:pPr>
        <w:pStyle w:val="SingleTxt"/>
        <w:tabs>
          <w:tab w:val="right" w:pos="1685"/>
        </w:tabs>
        <w:ind w:left="1742" w:hanging="475"/>
        <w:rPr>
          <w:lang w:val="en-GB"/>
        </w:rPr>
      </w:pPr>
      <w:r>
        <w:rPr>
          <w:lang w:val="en-GB"/>
        </w:rPr>
        <w:tab/>
      </w:r>
      <w:r w:rsidR="004A3AB4" w:rsidRPr="00DF37A3">
        <w:rPr>
          <w:lang w:val="en-GB"/>
        </w:rPr>
        <w:t>•</w:t>
      </w:r>
      <w:r w:rsidR="004A3AB4" w:rsidRPr="00DF37A3">
        <w:rPr>
          <w:lang w:val="en-GB"/>
        </w:rPr>
        <w:tab/>
        <w:t>A monthly social allowance is paid irrespective of the total per capita family income.</w:t>
      </w:r>
    </w:p>
    <w:p w14:paraId="7CAF1BD4" w14:textId="77777777" w:rsidR="004A3AB4" w:rsidRPr="00DF37A3" w:rsidRDefault="004A3AB4" w:rsidP="004A3AB4">
      <w:pPr>
        <w:pStyle w:val="SingleTxt"/>
        <w:rPr>
          <w:lang w:val="en-GB"/>
        </w:rPr>
      </w:pPr>
      <w:r w:rsidRPr="00DF37A3">
        <w:rPr>
          <w:lang w:val="en-GB"/>
        </w:rPr>
        <w:t>142.</w:t>
      </w:r>
      <w:r w:rsidRPr="00DF37A3">
        <w:rPr>
          <w:lang w:val="en-GB"/>
        </w:rPr>
        <w:tab/>
        <w:t>The monthly social allowance is paid, irrespective of the family’s total average per capita income, to a specific category of individuals, those who are unable to work and are not entitled to pension benefits. Since 2010, the monthly social allowance has not been linked to the guaranteed minimum income.</w:t>
      </w:r>
    </w:p>
    <w:p w14:paraId="64CB836F" w14:textId="015CEF0F" w:rsidR="004A3AB4" w:rsidRPr="00DF37A3" w:rsidRDefault="004A3AB4" w:rsidP="004A3AB4">
      <w:pPr>
        <w:pStyle w:val="SingleTxt"/>
        <w:rPr>
          <w:lang w:val="en-GB"/>
        </w:rPr>
      </w:pPr>
      <w:r w:rsidRPr="00DF37A3">
        <w:rPr>
          <w:lang w:val="en-GB"/>
        </w:rPr>
        <w:t>143.</w:t>
      </w:r>
      <w:r w:rsidRPr="00DF37A3">
        <w:rPr>
          <w:lang w:val="en-GB"/>
        </w:rPr>
        <w:tab/>
        <w:t>According to data from the Ministry of Labour and Social Development, on 1</w:t>
      </w:r>
      <w:r w:rsidR="008240FA">
        <w:rPr>
          <w:lang w:val="en-GB"/>
        </w:rPr>
        <w:t> </w:t>
      </w:r>
      <w:r w:rsidRPr="00DF37A3">
        <w:rPr>
          <w:lang w:val="en-GB"/>
        </w:rPr>
        <w:t>November 2018, the average low-income family allowance and the monthly social allowance were 877.1 soms and 3,062 soms, respectively.</w:t>
      </w:r>
    </w:p>
    <w:p w14:paraId="25B8B500" w14:textId="77777777" w:rsidR="008240FA" w:rsidRPr="008240FA" w:rsidRDefault="008240FA" w:rsidP="008240FA">
      <w:pPr>
        <w:pStyle w:val="SingleTxt"/>
        <w:spacing w:after="0" w:line="120" w:lineRule="exact"/>
        <w:rPr>
          <w:sz w:val="10"/>
          <w:lang w:val="en-GB"/>
        </w:rPr>
      </w:pPr>
    </w:p>
    <w:p w14:paraId="6E7E170F" w14:textId="654BBDAE" w:rsidR="004A3AB4" w:rsidRPr="00DF37A3" w:rsidRDefault="004A3AB4" w:rsidP="008240FA">
      <w:pPr>
        <w:pStyle w:val="SingleTxt"/>
        <w:spacing w:after="0"/>
        <w:rPr>
          <w:lang w:val="en-GB"/>
        </w:rPr>
      </w:pPr>
      <w:r w:rsidRPr="00DF37A3">
        <w:rPr>
          <w:lang w:val="en-GB"/>
        </w:rPr>
        <w:t>Figure 7</w:t>
      </w:r>
    </w:p>
    <w:p w14:paraId="76477D34" w14:textId="588D9723" w:rsidR="004A3AB4" w:rsidRPr="00DF37A3" w:rsidRDefault="008240FA" w:rsidP="008240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A3AB4" w:rsidRPr="00DF37A3">
        <w:t>Average State benefits over the period from 2009 to 1 October 2018</w:t>
      </w:r>
    </w:p>
    <w:p w14:paraId="2F9B1D51" w14:textId="18367221" w:rsidR="004A3AB4" w:rsidRPr="008240FA" w:rsidRDefault="004A3AB4" w:rsidP="008240FA">
      <w:pPr>
        <w:pStyle w:val="SingleTxt"/>
        <w:spacing w:after="0" w:line="120" w:lineRule="exact"/>
        <w:rPr>
          <w:sz w:val="10"/>
          <w:lang w:val="en-GB"/>
        </w:rPr>
      </w:pPr>
    </w:p>
    <w:p w14:paraId="7BC51C59" w14:textId="3C8449B1" w:rsidR="008240FA" w:rsidRPr="00DF37A3" w:rsidRDefault="00A5555B" w:rsidP="008240FA">
      <w:pPr>
        <w:pStyle w:val="SingleTxt"/>
        <w:spacing w:after="0"/>
        <w:rPr>
          <w:lang w:val="en-GB"/>
        </w:rPr>
      </w:pPr>
      <w:r w:rsidRPr="00A5555B">
        <w:rPr>
          <w:rFonts w:eastAsia="Times New Roman"/>
          <w:noProof/>
          <w:spacing w:val="0"/>
          <w:w w:val="100"/>
          <w:kern w:val="0"/>
          <w:lang w:val="en-GB" w:eastAsia="en-GB"/>
        </w:rPr>
        <mc:AlternateContent>
          <mc:Choice Requires="wps">
            <w:drawing>
              <wp:anchor distT="0" distB="0" distL="114300" distR="114300" simplePos="0" relativeHeight="251662336" behindDoc="0" locked="0" layoutInCell="1" allowOverlap="1" wp14:anchorId="62FA2F4C" wp14:editId="59822925">
                <wp:simplePos x="0" y="0"/>
                <wp:positionH relativeFrom="column">
                  <wp:posOffset>5215956</wp:posOffset>
                </wp:positionH>
                <wp:positionV relativeFrom="paragraph">
                  <wp:posOffset>545058</wp:posOffset>
                </wp:positionV>
                <wp:extent cx="572215" cy="1839371"/>
                <wp:effectExtent l="0" t="0" r="0" b="8890"/>
                <wp:wrapNone/>
                <wp:docPr id="12" name="Text Box 12"/>
                <wp:cNvGraphicFramePr/>
                <a:graphic xmlns:a="http://schemas.openxmlformats.org/drawingml/2006/main">
                  <a:graphicData uri="http://schemas.microsoft.com/office/word/2010/wordprocessingShape">
                    <wps:wsp>
                      <wps:cNvSpPr txBox="1"/>
                      <wps:spPr>
                        <a:xfrm>
                          <a:off x="0" y="0"/>
                          <a:ext cx="572215" cy="1839371"/>
                        </a:xfrm>
                        <a:prstGeom prst="rect">
                          <a:avLst/>
                        </a:prstGeom>
                        <a:solidFill>
                          <a:sysClr val="window" lastClr="FFFFFF"/>
                        </a:solidFill>
                        <a:ln w="6350">
                          <a:noFill/>
                        </a:ln>
                      </wps:spPr>
                      <wps:txbx>
                        <w:txbxContent>
                          <w:p w14:paraId="2F594C49" w14:textId="77777777" w:rsidR="00D1128F" w:rsidRPr="005F2AD1" w:rsidRDefault="00D1128F" w:rsidP="00A5555B">
                            <w:pPr>
                              <w:spacing w:line="240" w:lineRule="auto"/>
                              <w:rPr>
                                <w:sz w:val="12"/>
                                <w:szCs w:val="12"/>
                              </w:rPr>
                            </w:pPr>
                            <w:r w:rsidRPr="005F2AD1">
                              <w:rPr>
                                <w:sz w:val="12"/>
                                <w:szCs w:val="12"/>
                              </w:rPr>
                              <w:t>Average</w:t>
                            </w:r>
                          </w:p>
                          <w:p w14:paraId="0FD04938" w14:textId="77777777" w:rsidR="00D1128F" w:rsidRPr="005F2AD1" w:rsidRDefault="00D1128F" w:rsidP="00A5555B">
                            <w:pPr>
                              <w:spacing w:line="240" w:lineRule="auto"/>
                              <w:rPr>
                                <w:sz w:val="12"/>
                                <w:szCs w:val="12"/>
                              </w:rPr>
                            </w:pPr>
                            <w:r w:rsidRPr="005F2AD1">
                              <w:rPr>
                                <w:sz w:val="12"/>
                                <w:szCs w:val="12"/>
                              </w:rPr>
                              <w:t>monthly social allowance</w:t>
                            </w:r>
                          </w:p>
                          <w:p w14:paraId="44959268" w14:textId="77777777" w:rsidR="00D1128F" w:rsidRDefault="00D1128F" w:rsidP="00A5555B">
                            <w:pPr>
                              <w:spacing w:line="240" w:lineRule="auto"/>
                              <w:rPr>
                                <w:sz w:val="12"/>
                                <w:szCs w:val="12"/>
                              </w:rPr>
                            </w:pPr>
                          </w:p>
                          <w:p w14:paraId="391E67F0" w14:textId="77777777" w:rsidR="00D1128F" w:rsidRPr="005F2AD1" w:rsidRDefault="00D1128F" w:rsidP="00A5555B">
                            <w:pPr>
                              <w:spacing w:line="240" w:lineRule="auto"/>
                              <w:rPr>
                                <w:sz w:val="12"/>
                                <w:szCs w:val="12"/>
                              </w:rPr>
                            </w:pPr>
                          </w:p>
                          <w:p w14:paraId="5E8638F4" w14:textId="77777777" w:rsidR="00D1128F" w:rsidRPr="005F2AD1" w:rsidRDefault="00D1128F" w:rsidP="00A5555B">
                            <w:pPr>
                              <w:spacing w:line="240" w:lineRule="auto"/>
                              <w:rPr>
                                <w:sz w:val="12"/>
                                <w:szCs w:val="12"/>
                              </w:rPr>
                            </w:pPr>
                            <w:r w:rsidRPr="005F2AD1">
                              <w:rPr>
                                <w:sz w:val="12"/>
                                <w:szCs w:val="12"/>
                              </w:rPr>
                              <w:t>Average</w:t>
                            </w:r>
                          </w:p>
                          <w:p w14:paraId="5E43CF84" w14:textId="77777777" w:rsidR="00D1128F" w:rsidRPr="005F2AD1" w:rsidRDefault="00D1128F" w:rsidP="00A5555B">
                            <w:pPr>
                              <w:spacing w:line="240" w:lineRule="auto"/>
                              <w:rPr>
                                <w:sz w:val="12"/>
                                <w:szCs w:val="12"/>
                              </w:rPr>
                            </w:pPr>
                            <w:r w:rsidRPr="005F2AD1">
                              <w:rPr>
                                <w:sz w:val="12"/>
                                <w:szCs w:val="12"/>
                              </w:rPr>
                              <w:t>low-income</w:t>
                            </w:r>
                          </w:p>
                          <w:p w14:paraId="6A7CE3DA" w14:textId="77777777" w:rsidR="00D1128F" w:rsidRPr="005F2AD1" w:rsidRDefault="00D1128F" w:rsidP="00A5555B">
                            <w:pPr>
                              <w:spacing w:line="240" w:lineRule="auto"/>
                              <w:rPr>
                                <w:sz w:val="12"/>
                                <w:szCs w:val="12"/>
                              </w:rPr>
                            </w:pPr>
                            <w:r w:rsidRPr="005F2AD1">
                              <w:rPr>
                                <w:sz w:val="12"/>
                                <w:szCs w:val="12"/>
                              </w:rPr>
                              <w:t>family</w:t>
                            </w:r>
                          </w:p>
                          <w:p w14:paraId="543E076C" w14:textId="77777777" w:rsidR="00D1128F" w:rsidRPr="005F2AD1" w:rsidRDefault="00D1128F" w:rsidP="00A5555B">
                            <w:pPr>
                              <w:spacing w:line="240" w:lineRule="auto"/>
                              <w:rPr>
                                <w:sz w:val="12"/>
                                <w:szCs w:val="12"/>
                              </w:rPr>
                            </w:pPr>
                            <w:r w:rsidRPr="005F2AD1">
                              <w:rPr>
                                <w:sz w:val="12"/>
                                <w:szCs w:val="12"/>
                              </w:rPr>
                              <w:t>allowance</w:t>
                            </w:r>
                          </w:p>
                          <w:p w14:paraId="6AAFA348" w14:textId="77777777" w:rsidR="00D1128F" w:rsidRPr="005F2AD1" w:rsidRDefault="00D1128F" w:rsidP="00A5555B">
                            <w:pPr>
                              <w:spacing w:line="240" w:lineRule="auto"/>
                              <w:rPr>
                                <w:sz w:val="12"/>
                                <w:szCs w:val="12"/>
                              </w:rPr>
                            </w:pPr>
                          </w:p>
                          <w:p w14:paraId="6F17F452" w14:textId="77777777" w:rsidR="00D1128F" w:rsidRPr="005F2AD1" w:rsidRDefault="00D1128F" w:rsidP="00A5555B">
                            <w:pPr>
                              <w:spacing w:line="240" w:lineRule="auto"/>
                              <w:rPr>
                                <w:sz w:val="12"/>
                                <w:szCs w:val="12"/>
                              </w:rPr>
                            </w:pPr>
                          </w:p>
                          <w:p w14:paraId="0504CE9A" w14:textId="77777777" w:rsidR="00D1128F" w:rsidRPr="005F2AD1" w:rsidRDefault="00D1128F" w:rsidP="00A5555B">
                            <w:pPr>
                              <w:spacing w:line="240" w:lineRule="auto"/>
                              <w:rPr>
                                <w:sz w:val="12"/>
                                <w:szCs w:val="12"/>
                              </w:rPr>
                            </w:pPr>
                            <w:r w:rsidRPr="005F2AD1">
                              <w:rPr>
                                <w:sz w:val="12"/>
                                <w:szCs w:val="12"/>
                              </w:rPr>
                              <w:t>Average</w:t>
                            </w:r>
                          </w:p>
                          <w:p w14:paraId="24769123" w14:textId="77777777" w:rsidR="00D1128F" w:rsidRPr="005F2AD1" w:rsidRDefault="00D1128F" w:rsidP="00A5555B">
                            <w:pPr>
                              <w:spacing w:line="240" w:lineRule="auto"/>
                              <w:rPr>
                                <w:sz w:val="12"/>
                                <w:szCs w:val="12"/>
                              </w:rPr>
                            </w:pPr>
                            <w:r w:rsidRPr="005F2AD1">
                              <w:rPr>
                                <w:sz w:val="12"/>
                                <w:szCs w:val="12"/>
                              </w:rPr>
                              <w:t>guaranteed minimum</w:t>
                            </w:r>
                          </w:p>
                          <w:p w14:paraId="73AA9F1D" w14:textId="77777777" w:rsidR="00D1128F" w:rsidRPr="005F2AD1" w:rsidRDefault="00D1128F" w:rsidP="00A5555B">
                            <w:pPr>
                              <w:spacing w:line="240" w:lineRule="auto"/>
                              <w:rPr>
                                <w:sz w:val="12"/>
                                <w:szCs w:val="12"/>
                              </w:rPr>
                            </w:pPr>
                            <w:r w:rsidRPr="005F2AD1">
                              <w:rPr>
                                <w:sz w:val="12"/>
                                <w:szCs w:val="12"/>
                              </w:rPr>
                              <w:t>income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A2F4C" id="_x0000_t202" coordsize="21600,21600" o:spt="202" path="m,l,21600r21600,l21600,xe">
                <v:stroke joinstyle="miter"/>
                <v:path gradientshapeok="t" o:connecttype="rect"/>
              </v:shapetype>
              <v:shape id="Text Box 12" o:spid="_x0000_s1026" type="#_x0000_t202" style="position:absolute;left:0;text-align:left;margin-left:410.7pt;margin-top:42.9pt;width:45.05pt;height:14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" fillcolor="window" stroked="f" strokeweight=".5pt">
                <v:textbox>
                  <w:txbxContent>
                    <w:p w14:paraId="2F594C49" w14:textId="77777777" w:rsidR="00D1128F" w:rsidRPr="005F2AD1" w:rsidRDefault="00D1128F" w:rsidP="00A5555B">
                      <w:pPr>
                        <w:spacing w:line="240" w:lineRule="auto"/>
                        <w:rPr>
                          <w:sz w:val="12"/>
                          <w:szCs w:val="12"/>
                        </w:rPr>
                      </w:pPr>
                      <w:r w:rsidRPr="005F2AD1">
                        <w:rPr>
                          <w:sz w:val="12"/>
                          <w:szCs w:val="12"/>
                        </w:rPr>
                        <w:t>Average</w:t>
                      </w:r>
                    </w:p>
                    <w:p w14:paraId="0FD04938" w14:textId="77777777" w:rsidR="00D1128F" w:rsidRPr="005F2AD1" w:rsidRDefault="00D1128F" w:rsidP="00A5555B">
                      <w:pPr>
                        <w:spacing w:line="240" w:lineRule="auto"/>
                        <w:rPr>
                          <w:sz w:val="12"/>
                          <w:szCs w:val="12"/>
                        </w:rPr>
                      </w:pPr>
                      <w:r w:rsidRPr="005F2AD1">
                        <w:rPr>
                          <w:sz w:val="12"/>
                          <w:szCs w:val="12"/>
                        </w:rPr>
                        <w:t>monthly social allowance</w:t>
                      </w:r>
                    </w:p>
                    <w:p w14:paraId="44959268" w14:textId="77777777" w:rsidR="00D1128F" w:rsidRDefault="00D1128F" w:rsidP="00A5555B">
                      <w:pPr>
                        <w:spacing w:line="240" w:lineRule="auto"/>
                        <w:rPr>
                          <w:sz w:val="12"/>
                          <w:szCs w:val="12"/>
                        </w:rPr>
                      </w:pPr>
                    </w:p>
                    <w:p w14:paraId="391E67F0" w14:textId="77777777" w:rsidR="00D1128F" w:rsidRPr="005F2AD1" w:rsidRDefault="00D1128F" w:rsidP="00A5555B">
                      <w:pPr>
                        <w:spacing w:line="240" w:lineRule="auto"/>
                        <w:rPr>
                          <w:sz w:val="12"/>
                          <w:szCs w:val="12"/>
                        </w:rPr>
                      </w:pPr>
                    </w:p>
                    <w:p w14:paraId="5E8638F4" w14:textId="77777777" w:rsidR="00D1128F" w:rsidRPr="005F2AD1" w:rsidRDefault="00D1128F" w:rsidP="00A5555B">
                      <w:pPr>
                        <w:spacing w:line="240" w:lineRule="auto"/>
                        <w:rPr>
                          <w:sz w:val="12"/>
                          <w:szCs w:val="12"/>
                        </w:rPr>
                      </w:pPr>
                      <w:r w:rsidRPr="005F2AD1">
                        <w:rPr>
                          <w:sz w:val="12"/>
                          <w:szCs w:val="12"/>
                        </w:rPr>
                        <w:t>Average</w:t>
                      </w:r>
                    </w:p>
                    <w:p w14:paraId="5E43CF84" w14:textId="77777777" w:rsidR="00D1128F" w:rsidRPr="005F2AD1" w:rsidRDefault="00D1128F" w:rsidP="00A5555B">
                      <w:pPr>
                        <w:spacing w:line="240" w:lineRule="auto"/>
                        <w:rPr>
                          <w:sz w:val="12"/>
                          <w:szCs w:val="12"/>
                        </w:rPr>
                      </w:pPr>
                      <w:r w:rsidRPr="005F2AD1">
                        <w:rPr>
                          <w:sz w:val="12"/>
                          <w:szCs w:val="12"/>
                        </w:rPr>
                        <w:t>low-income</w:t>
                      </w:r>
                    </w:p>
                    <w:p w14:paraId="6A7CE3DA" w14:textId="77777777" w:rsidR="00D1128F" w:rsidRPr="005F2AD1" w:rsidRDefault="00D1128F" w:rsidP="00A5555B">
                      <w:pPr>
                        <w:spacing w:line="240" w:lineRule="auto"/>
                        <w:rPr>
                          <w:sz w:val="12"/>
                          <w:szCs w:val="12"/>
                        </w:rPr>
                      </w:pPr>
                      <w:r w:rsidRPr="005F2AD1">
                        <w:rPr>
                          <w:sz w:val="12"/>
                          <w:szCs w:val="12"/>
                        </w:rPr>
                        <w:t>family</w:t>
                      </w:r>
                    </w:p>
                    <w:p w14:paraId="543E076C" w14:textId="77777777" w:rsidR="00D1128F" w:rsidRPr="005F2AD1" w:rsidRDefault="00D1128F" w:rsidP="00A5555B">
                      <w:pPr>
                        <w:spacing w:line="240" w:lineRule="auto"/>
                        <w:rPr>
                          <w:sz w:val="12"/>
                          <w:szCs w:val="12"/>
                        </w:rPr>
                      </w:pPr>
                      <w:r w:rsidRPr="005F2AD1">
                        <w:rPr>
                          <w:sz w:val="12"/>
                          <w:szCs w:val="12"/>
                        </w:rPr>
                        <w:t>allowance</w:t>
                      </w:r>
                    </w:p>
                    <w:p w14:paraId="6AAFA348" w14:textId="77777777" w:rsidR="00D1128F" w:rsidRPr="005F2AD1" w:rsidRDefault="00D1128F" w:rsidP="00A5555B">
                      <w:pPr>
                        <w:spacing w:line="240" w:lineRule="auto"/>
                        <w:rPr>
                          <w:sz w:val="12"/>
                          <w:szCs w:val="12"/>
                        </w:rPr>
                      </w:pPr>
                    </w:p>
                    <w:p w14:paraId="6F17F452" w14:textId="77777777" w:rsidR="00D1128F" w:rsidRPr="005F2AD1" w:rsidRDefault="00D1128F" w:rsidP="00A5555B">
                      <w:pPr>
                        <w:spacing w:line="240" w:lineRule="auto"/>
                        <w:rPr>
                          <w:sz w:val="12"/>
                          <w:szCs w:val="12"/>
                        </w:rPr>
                      </w:pPr>
                    </w:p>
                    <w:p w14:paraId="0504CE9A" w14:textId="77777777" w:rsidR="00D1128F" w:rsidRPr="005F2AD1" w:rsidRDefault="00D1128F" w:rsidP="00A5555B">
                      <w:pPr>
                        <w:spacing w:line="240" w:lineRule="auto"/>
                        <w:rPr>
                          <w:sz w:val="12"/>
                          <w:szCs w:val="12"/>
                        </w:rPr>
                      </w:pPr>
                      <w:r w:rsidRPr="005F2AD1">
                        <w:rPr>
                          <w:sz w:val="12"/>
                          <w:szCs w:val="12"/>
                        </w:rPr>
                        <w:t>Average</w:t>
                      </w:r>
                    </w:p>
                    <w:p w14:paraId="24769123" w14:textId="77777777" w:rsidR="00D1128F" w:rsidRPr="005F2AD1" w:rsidRDefault="00D1128F" w:rsidP="00A5555B">
                      <w:pPr>
                        <w:spacing w:line="240" w:lineRule="auto"/>
                        <w:rPr>
                          <w:sz w:val="12"/>
                          <w:szCs w:val="12"/>
                        </w:rPr>
                      </w:pPr>
                      <w:r w:rsidRPr="005F2AD1">
                        <w:rPr>
                          <w:sz w:val="12"/>
                          <w:szCs w:val="12"/>
                        </w:rPr>
                        <w:t>guaranteed minimum</w:t>
                      </w:r>
                    </w:p>
                    <w:p w14:paraId="73AA9F1D" w14:textId="77777777" w:rsidR="00D1128F" w:rsidRPr="005F2AD1" w:rsidRDefault="00D1128F" w:rsidP="00A5555B">
                      <w:pPr>
                        <w:spacing w:line="240" w:lineRule="auto"/>
                        <w:rPr>
                          <w:sz w:val="12"/>
                          <w:szCs w:val="12"/>
                        </w:rPr>
                      </w:pPr>
                      <w:r w:rsidRPr="005F2AD1">
                        <w:rPr>
                          <w:sz w:val="12"/>
                          <w:szCs w:val="12"/>
                        </w:rPr>
                        <w:t>income</w:t>
                      </w:r>
                    </w:p>
                  </w:txbxContent>
                </v:textbox>
              </v:shape>
            </w:pict>
          </mc:Fallback>
        </mc:AlternateContent>
      </w:r>
      <w:r w:rsidRPr="00455C9A">
        <w:rPr>
          <w:noProof/>
          <w:lang w:eastAsia="en-GB"/>
        </w:rPr>
        <w:drawing>
          <wp:inline distT="0" distB="0" distL="0" distR="0" wp14:anchorId="1FD6B3DE" wp14:editId="45428584">
            <wp:extent cx="5021272" cy="2621633"/>
            <wp:effectExtent l="0" t="0" r="8255" b="7620"/>
            <wp:docPr id="1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CC075C7" w14:textId="673D93DF" w:rsidR="004A3AB4" w:rsidRPr="008240FA" w:rsidRDefault="004A3AB4" w:rsidP="008240FA">
      <w:pPr>
        <w:pStyle w:val="SingleTxt"/>
        <w:spacing w:after="0" w:line="120" w:lineRule="exact"/>
        <w:rPr>
          <w:sz w:val="10"/>
          <w:lang w:val="en-GB"/>
        </w:rPr>
      </w:pPr>
    </w:p>
    <w:p w14:paraId="322D7195" w14:textId="2AB4E189" w:rsidR="008240FA" w:rsidRPr="008240FA" w:rsidRDefault="008240FA" w:rsidP="008240FA">
      <w:pPr>
        <w:pStyle w:val="SingleTxt"/>
        <w:spacing w:after="0" w:line="120" w:lineRule="exact"/>
        <w:rPr>
          <w:sz w:val="10"/>
          <w:lang w:val="en-GB"/>
        </w:rPr>
      </w:pPr>
    </w:p>
    <w:p w14:paraId="2E734CD4" w14:textId="00012ABC" w:rsidR="004A3AB4" w:rsidRPr="00DF37A3" w:rsidRDefault="004A3AB4" w:rsidP="004A3AB4">
      <w:pPr>
        <w:pStyle w:val="SingleTxt"/>
        <w:rPr>
          <w:lang w:val="en-GB"/>
        </w:rPr>
      </w:pPr>
      <w:r w:rsidRPr="00DF37A3">
        <w:rPr>
          <w:lang w:val="en-GB"/>
        </w:rPr>
        <w:t>144.</w:t>
      </w:r>
      <w:r w:rsidRPr="00DF37A3">
        <w:rPr>
          <w:lang w:val="en-GB"/>
        </w:rPr>
        <w:tab/>
        <w:t>By 2018, the monthly allowance for low-income families and the monthly social allowance had increased by 2,235 soms and 705 soms, respectively, compared with 2009.</w:t>
      </w:r>
    </w:p>
    <w:p w14:paraId="18572C79" w14:textId="77777777" w:rsidR="004A3AB4" w:rsidRPr="00DF37A3" w:rsidRDefault="004A3AB4" w:rsidP="004A3AB4">
      <w:pPr>
        <w:pStyle w:val="SingleTxt"/>
        <w:rPr>
          <w:lang w:val="en-GB"/>
        </w:rPr>
      </w:pPr>
      <w:r w:rsidRPr="00DF37A3">
        <w:rPr>
          <w:lang w:val="en-GB"/>
        </w:rPr>
        <w:t>145.</w:t>
      </w:r>
      <w:r w:rsidRPr="00DF37A3">
        <w:rPr>
          <w:lang w:val="en-GB"/>
        </w:rPr>
        <w:tab/>
        <w:t>At present, the guaranteed minimum income is 900 soms, the monthly allowance for low-income families with children under 16 years of age is 810 soms, the amount of monthly social allowances for each child with disabilities is 4000 soms.</w:t>
      </w:r>
    </w:p>
    <w:p w14:paraId="6351CE0F" w14:textId="2AA7CB8F" w:rsidR="004A3AB4" w:rsidRPr="00DF37A3" w:rsidRDefault="004A3AB4" w:rsidP="004A3AB4">
      <w:pPr>
        <w:pStyle w:val="SingleTxt"/>
        <w:rPr>
          <w:lang w:val="en-GB"/>
        </w:rPr>
      </w:pPr>
      <w:r w:rsidRPr="00DF37A3">
        <w:rPr>
          <w:lang w:val="en-GB"/>
        </w:rPr>
        <w:t>146.</w:t>
      </w:r>
      <w:r w:rsidRPr="00DF37A3">
        <w:rPr>
          <w:lang w:val="en-GB"/>
        </w:rPr>
        <w:tab/>
        <w:t xml:space="preserve">In 2009, the benefits system was reformed in order to ensure targeted service delivery and streamline cash allowances. Under Presidential Decree No. 511 of </w:t>
      </w:r>
      <w:r w:rsidRPr="00DF37A3">
        <w:rPr>
          <w:lang w:val="en-GB"/>
        </w:rPr>
        <w:lastRenderedPageBreak/>
        <w:t>13</w:t>
      </w:r>
      <w:r w:rsidR="00C5314A">
        <w:rPr>
          <w:lang w:val="en-GB"/>
        </w:rPr>
        <w:t> </w:t>
      </w:r>
      <w:r w:rsidRPr="00DF37A3">
        <w:rPr>
          <w:lang w:val="en-GB"/>
        </w:rPr>
        <w:t>November 2009, monthly cash allowances have been paid in lieu of benefits since 1 January 2010. They are granted on the basis of category and are not means-tested. Twenty-five categories of persons are entitled to these allowances. The cash allowances range from 1,000 soms to 7,000 soms a month.</w:t>
      </w:r>
    </w:p>
    <w:p w14:paraId="545B06D1" w14:textId="77777777" w:rsidR="004A3AB4" w:rsidRPr="00DF37A3" w:rsidRDefault="004A3AB4" w:rsidP="004A3AB4">
      <w:pPr>
        <w:pStyle w:val="SingleTxt"/>
        <w:rPr>
          <w:lang w:val="en-GB"/>
        </w:rPr>
      </w:pPr>
      <w:r w:rsidRPr="00DF37A3">
        <w:rPr>
          <w:lang w:val="en-GB"/>
        </w:rPr>
        <w:t>147.</w:t>
      </w:r>
      <w:r w:rsidRPr="00DF37A3">
        <w:rPr>
          <w:lang w:val="en-GB"/>
        </w:rPr>
        <w:tab/>
        <w:t>The Government’s major strategy documents highlight microfinance as a means of improving access to finance for a large part of the population, as well as a means of poverty reduction. Improving access to financial services is a key factor in ensuring continued economic growth.</w:t>
      </w:r>
    </w:p>
    <w:p w14:paraId="432152F2" w14:textId="608FA783" w:rsidR="004A3AB4" w:rsidRPr="00DF37A3" w:rsidRDefault="004A3AB4" w:rsidP="004A3AB4">
      <w:pPr>
        <w:pStyle w:val="SingleTxt"/>
        <w:rPr>
          <w:lang w:val="en-GB"/>
        </w:rPr>
      </w:pPr>
      <w:r w:rsidRPr="00DF37A3">
        <w:rPr>
          <w:lang w:val="en-GB"/>
        </w:rPr>
        <w:t>148.</w:t>
      </w:r>
      <w:r w:rsidRPr="00DF37A3">
        <w:rPr>
          <w:lang w:val="en-GB"/>
        </w:rPr>
        <w:tab/>
        <w:t xml:space="preserve">The regulations for granting temporary disability and maternity benefits and the regulations for granting funeral benefits were approved by Government Decision </w:t>
      </w:r>
      <w:r w:rsidRPr="00D60F97">
        <w:rPr>
          <w:spacing w:val="3"/>
          <w:w w:val="101"/>
          <w:lang w:val="en-GB"/>
        </w:rPr>
        <w:t>No.</w:t>
      </w:r>
      <w:r w:rsidR="00C5314A" w:rsidRPr="00D60F97">
        <w:rPr>
          <w:spacing w:val="3"/>
          <w:w w:val="101"/>
          <w:lang w:val="en-GB"/>
        </w:rPr>
        <w:t> </w:t>
      </w:r>
      <w:r w:rsidRPr="00D60F97">
        <w:rPr>
          <w:spacing w:val="3"/>
          <w:w w:val="101"/>
          <w:lang w:val="en-GB"/>
        </w:rPr>
        <w:t>434 of 18 September 2018, which sets out the procedures for granting those benefits.</w:t>
      </w:r>
    </w:p>
    <w:p w14:paraId="7077F1A4" w14:textId="280E08C0" w:rsidR="004A3AB4" w:rsidRPr="00DF37A3" w:rsidRDefault="004A3AB4" w:rsidP="004A3AB4">
      <w:pPr>
        <w:pStyle w:val="SingleTxt"/>
        <w:rPr>
          <w:lang w:val="en-GB"/>
        </w:rPr>
      </w:pPr>
      <w:r w:rsidRPr="00DF37A3">
        <w:rPr>
          <w:lang w:val="en-GB"/>
        </w:rPr>
        <w:t>149.</w:t>
      </w:r>
      <w:r w:rsidRPr="00DF37A3">
        <w:rPr>
          <w:lang w:val="en-GB"/>
        </w:rPr>
        <w:tab/>
        <w:t>According to the regulations for granting temporary disability and maternity benefits, the following women are entitled to maternity benefits: workers who are in an employment relationship with an employer; owners of sole-proprietor enterprises; members of rural (farming) households; and officially registered unemployed persons entitled to unemployment benefits. On 1 November 2018, the average amount of maternity benefit was 7,625 soms. However, the average maternity benefit for women living and working in areas where the regional factor is not applied is about 4,000</w:t>
      </w:r>
      <w:r w:rsidR="00D60F97">
        <w:rPr>
          <w:lang w:val="en-GB"/>
        </w:rPr>
        <w:t xml:space="preserve"> </w:t>
      </w:r>
      <w:r w:rsidRPr="00D60F97">
        <w:rPr>
          <w:spacing w:val="3"/>
          <w:w w:val="101"/>
          <w:lang w:val="en-GB"/>
        </w:rPr>
        <w:t>soms, while the benefit is over 22,000 soms in areas where the regional factor is applied.</w:t>
      </w:r>
      <w:r w:rsidRPr="00DF37A3">
        <w:rPr>
          <w:lang w:val="en-GB"/>
        </w:rPr>
        <w:t xml:space="preserve"> </w:t>
      </w:r>
    </w:p>
    <w:p w14:paraId="1349B23B" w14:textId="77777777" w:rsidR="00C5314A" w:rsidRPr="00C5314A" w:rsidRDefault="00C5314A" w:rsidP="00C5314A">
      <w:pPr>
        <w:pStyle w:val="SingleTxt"/>
        <w:spacing w:after="0" w:line="120" w:lineRule="exact"/>
        <w:rPr>
          <w:sz w:val="10"/>
          <w:lang w:val="en-GB"/>
        </w:rPr>
      </w:pPr>
    </w:p>
    <w:p w14:paraId="7FDF7F26" w14:textId="77777777" w:rsidR="00C5314A" w:rsidRPr="00C5314A" w:rsidRDefault="00C5314A" w:rsidP="00C5314A">
      <w:pPr>
        <w:pStyle w:val="SingleTxt"/>
        <w:spacing w:after="0" w:line="120" w:lineRule="exact"/>
        <w:rPr>
          <w:sz w:val="10"/>
          <w:lang w:val="en-GB"/>
        </w:rPr>
      </w:pPr>
    </w:p>
    <w:p w14:paraId="447E17B7" w14:textId="3C1DD5D5" w:rsidR="004A3AB4" w:rsidRPr="00DF37A3" w:rsidRDefault="004A3AB4" w:rsidP="00C5314A">
      <w:pPr>
        <w:pStyle w:val="H1"/>
        <w:ind w:right="1260"/>
        <w:rPr>
          <w:lang w:val="en-GB"/>
        </w:rPr>
      </w:pPr>
      <w:r w:rsidRPr="00DF37A3">
        <w:rPr>
          <w:lang w:val="en-GB"/>
        </w:rPr>
        <w:tab/>
      </w:r>
      <w:r w:rsidRPr="00DF37A3">
        <w:rPr>
          <w:lang w:val="en-GB"/>
        </w:rPr>
        <w:tab/>
        <w:t>Article 14</w:t>
      </w:r>
    </w:p>
    <w:p w14:paraId="1F4BDD95" w14:textId="77777777" w:rsidR="00C5314A" w:rsidRPr="00C5314A" w:rsidRDefault="00C5314A" w:rsidP="00C5314A">
      <w:pPr>
        <w:pStyle w:val="SingleTxt"/>
        <w:spacing w:after="0" w:line="120" w:lineRule="exact"/>
        <w:rPr>
          <w:sz w:val="10"/>
          <w:lang w:val="en-GB"/>
        </w:rPr>
      </w:pPr>
    </w:p>
    <w:p w14:paraId="21B0EB45" w14:textId="77777777" w:rsidR="00C5314A" w:rsidRPr="00C5314A" w:rsidRDefault="00C5314A" w:rsidP="00C5314A">
      <w:pPr>
        <w:pStyle w:val="SingleTxt"/>
        <w:spacing w:after="0" w:line="120" w:lineRule="exact"/>
        <w:rPr>
          <w:sz w:val="10"/>
          <w:lang w:val="en-GB"/>
        </w:rPr>
      </w:pPr>
    </w:p>
    <w:p w14:paraId="34609A21" w14:textId="3C805104" w:rsidR="004A3AB4" w:rsidRPr="00DF37A3" w:rsidRDefault="004A3AB4" w:rsidP="004A3AB4">
      <w:pPr>
        <w:pStyle w:val="SingleTxt"/>
        <w:rPr>
          <w:lang w:val="en-GB"/>
        </w:rPr>
      </w:pPr>
      <w:r w:rsidRPr="00DF37A3">
        <w:rPr>
          <w:lang w:val="en-GB"/>
        </w:rPr>
        <w:t>150.</w:t>
      </w:r>
      <w:r w:rsidRPr="00DF37A3">
        <w:rPr>
          <w:lang w:val="en-GB"/>
        </w:rPr>
        <w:tab/>
        <w:t xml:space="preserve">Poverty in rural areas of Kyrgyzstan has a gender aspect, and households headed by women are at a disadvantage and experience a higher rate of poverty and a lower level of food security. The Ministry of Agriculture, Food Industry and Land Reclamation has implemented a number of projects to address poverty and gender issues. In particular, there is provision for women’s participation (up to 30 per cent) in the discussion of veterinary activities, the training of veterinary professionals at the Skryabin National Agrarian University and the management of pasture committees. </w:t>
      </w:r>
    </w:p>
    <w:p w14:paraId="7905A4DF" w14:textId="77777777" w:rsidR="004A3AB4" w:rsidRPr="00DF37A3" w:rsidRDefault="004A3AB4" w:rsidP="004A3AB4">
      <w:pPr>
        <w:pStyle w:val="SingleTxt"/>
        <w:rPr>
          <w:lang w:val="en-GB"/>
        </w:rPr>
      </w:pPr>
      <w:r w:rsidRPr="00DF37A3">
        <w:rPr>
          <w:lang w:val="en-GB"/>
        </w:rPr>
        <w:t>151.</w:t>
      </w:r>
      <w:r w:rsidRPr="00DF37A3">
        <w:rPr>
          <w:lang w:val="en-GB"/>
        </w:rPr>
        <w:tab/>
        <w:t xml:space="preserve">There are plans to establish milk collection and cooling centres through partnership agreements with dairies and to provide support for women’s groups in setting up small-scale milk processing facilities. Livestock communities receive support to diversify their income sources. Assistance with new income-generating activities, carried out in collaboration with private and/or public partners and with a focus on women, will help to consolidate livestock income. </w:t>
      </w:r>
    </w:p>
    <w:p w14:paraId="68930AC0" w14:textId="798816B6" w:rsidR="004A3AB4" w:rsidRPr="00DF37A3" w:rsidRDefault="004A3AB4" w:rsidP="004A3AB4">
      <w:pPr>
        <w:pStyle w:val="SingleTxt"/>
        <w:rPr>
          <w:lang w:val="en-GB"/>
        </w:rPr>
      </w:pPr>
      <w:r w:rsidRPr="00DF37A3">
        <w:rPr>
          <w:lang w:val="en-GB"/>
        </w:rPr>
        <w:t>152.</w:t>
      </w:r>
      <w:r w:rsidRPr="00DF37A3">
        <w:rPr>
          <w:lang w:val="en-GB"/>
        </w:rPr>
        <w:tab/>
        <w:t>Information campaigns, regional round tables for leaders and members of women smallholders</w:t>
      </w:r>
      <w:r w:rsidR="00C5314A">
        <w:rPr>
          <w:lang w:val="en-GB"/>
        </w:rPr>
        <w:t>’</w:t>
      </w:r>
      <w:r w:rsidRPr="00DF37A3">
        <w:rPr>
          <w:lang w:val="en-GB"/>
        </w:rPr>
        <w:t xml:space="preserve"> groups, processing enterprises headed by women, heads of agricultural cooperatives, farming and peasant households, and chairs of pasture committees. Fifty-one self-help groups involving 301 women have been formed, 17</w:t>
      </w:r>
      <w:r w:rsidR="00C5314A">
        <w:rPr>
          <w:lang w:val="en-GB"/>
        </w:rPr>
        <w:t xml:space="preserve"> </w:t>
      </w:r>
      <w:r w:rsidRPr="00DF37A3">
        <w:rPr>
          <w:lang w:val="en-GB"/>
        </w:rPr>
        <w:t xml:space="preserve">rural funds have been set up, and 236 self-help groups have been set up in 43 villages across the country, with the participation of 1,490 people, including 1,352 women. They were offered training workshops on agronomy, economics and marketing and consultations with agronomists. </w:t>
      </w:r>
    </w:p>
    <w:p w14:paraId="6C105ECF" w14:textId="77777777" w:rsidR="004A3AB4" w:rsidRPr="00DF37A3" w:rsidRDefault="004A3AB4" w:rsidP="004A3AB4">
      <w:pPr>
        <w:pStyle w:val="SingleTxt"/>
        <w:rPr>
          <w:lang w:val="en-GB"/>
        </w:rPr>
      </w:pPr>
      <w:r w:rsidRPr="00DF37A3">
        <w:rPr>
          <w:lang w:val="en-GB"/>
        </w:rPr>
        <w:t>153.</w:t>
      </w:r>
      <w:r w:rsidRPr="00DF37A3">
        <w:rPr>
          <w:lang w:val="en-GB"/>
        </w:rPr>
        <w:tab/>
        <w:t xml:space="preserve">Meetings, practical consultations and information events are held on a regular basis for the local community of the project areas in order to disseminate information to low-income individuals, women and heads of household on project goals and objectives and community pasture management plans, and to receive feedback. </w:t>
      </w:r>
    </w:p>
    <w:p w14:paraId="4B121D17" w14:textId="77777777" w:rsidR="004A3AB4" w:rsidRPr="00DF37A3" w:rsidRDefault="004A3AB4" w:rsidP="004A3AB4">
      <w:pPr>
        <w:pStyle w:val="SingleTxt"/>
        <w:rPr>
          <w:lang w:val="en-GB"/>
        </w:rPr>
      </w:pPr>
      <w:r w:rsidRPr="00DF37A3">
        <w:rPr>
          <w:lang w:val="en-GB"/>
        </w:rPr>
        <w:lastRenderedPageBreak/>
        <w:t>154.</w:t>
      </w:r>
      <w:r w:rsidRPr="00DF37A3">
        <w:rPr>
          <w:lang w:val="en-GB"/>
        </w:rPr>
        <w:tab/>
        <w:t>The database on vulnerable households and women heads of households in the communities is continuously updated. Communication has been established with women leaders, activists and processors of agricultural products.</w:t>
      </w:r>
    </w:p>
    <w:p w14:paraId="10F2D8CB" w14:textId="77777777" w:rsidR="004A3AB4" w:rsidRPr="00DF37A3" w:rsidRDefault="004A3AB4" w:rsidP="004A3AB4">
      <w:pPr>
        <w:pStyle w:val="SingleTxt"/>
        <w:rPr>
          <w:lang w:val="en-GB"/>
        </w:rPr>
      </w:pPr>
      <w:r w:rsidRPr="00DF37A3">
        <w:rPr>
          <w:lang w:val="en-GB"/>
        </w:rPr>
        <w:t>155.</w:t>
      </w:r>
      <w:r w:rsidRPr="00DF37A3">
        <w:rPr>
          <w:lang w:val="en-GB"/>
        </w:rPr>
        <w:tab/>
        <w:t>Livestock production contributes to poverty reduction and shared prosperity when access to pasture and veterinary services is expanded for extremely poor livestock owners, including families headed by women. About 190,000 rural households in Chui and Talas regions will benefit from the improved services provided by associations of pasture users and private veterinarians. According to the 2009 national census, about 10 per cent of these households are headed by women.</w:t>
      </w:r>
    </w:p>
    <w:p w14:paraId="4F73AAA1" w14:textId="77777777" w:rsidR="004A3AB4" w:rsidRPr="00DF37A3" w:rsidRDefault="004A3AB4" w:rsidP="004A3AB4">
      <w:pPr>
        <w:pStyle w:val="SingleTxt"/>
        <w:rPr>
          <w:lang w:val="en-GB"/>
        </w:rPr>
      </w:pPr>
      <w:r w:rsidRPr="00DF37A3">
        <w:rPr>
          <w:lang w:val="en-GB"/>
        </w:rPr>
        <w:t>156.</w:t>
      </w:r>
      <w:r w:rsidRPr="00DF37A3">
        <w:rPr>
          <w:lang w:val="en-GB"/>
        </w:rPr>
        <w:tab/>
        <w:t>More than 1,400 days of training have been provided for women clients. The training is intended to raise awareness of legislation on rural community pastures and to increase the knowledge of beneficiaries on veterinary topics such as foot-and-mouth disease, common horse diseases, methods of collection and delivery of samples of pathological materials to the veterinary laboratory, and modular dermatitis in cattle. Over 13.5 per cent of direct beneficiaries have been women, compared to the planned 10 per cent. Women accounted for 54 of the more than 400 participants in various training courses.</w:t>
      </w:r>
    </w:p>
    <w:p w14:paraId="2365B5E3" w14:textId="054047C6" w:rsidR="004A3AB4" w:rsidRPr="00DF37A3" w:rsidRDefault="004A3AB4" w:rsidP="004A3AB4">
      <w:pPr>
        <w:pStyle w:val="SingleTxt"/>
        <w:rPr>
          <w:lang w:val="en-GB"/>
        </w:rPr>
      </w:pPr>
      <w:r w:rsidRPr="00DF37A3">
        <w:rPr>
          <w:lang w:val="en-GB"/>
        </w:rPr>
        <w:t>157.</w:t>
      </w:r>
      <w:r w:rsidRPr="00DF37A3">
        <w:rPr>
          <w:lang w:val="en-GB"/>
        </w:rPr>
        <w:tab/>
        <w:t>A total of 3,548 social mobilization activities were carried out, with 110,164 participants, including 27,319 women. Training courses have been held for communities on the following topics: basic pasture management, monitoring of pasture conditions, and procurement procedures at the community level. A total of 222 training sessions</w:t>
      </w:r>
      <w:r w:rsidR="00CD2BEB">
        <w:rPr>
          <w:lang w:val="en-GB"/>
        </w:rPr>
        <w:t xml:space="preserve"> </w:t>
      </w:r>
      <w:r w:rsidR="00CD2BEB" w:rsidRPr="00DF37A3">
        <w:rPr>
          <w:lang w:val="en-GB"/>
        </w:rPr>
        <w:t>w</w:t>
      </w:r>
      <w:r w:rsidRPr="00DF37A3">
        <w:rPr>
          <w:lang w:val="en-GB"/>
        </w:rPr>
        <w:t>ere attended by 5,528 project beneficiaries, including 612</w:t>
      </w:r>
      <w:r w:rsidR="00C5314A">
        <w:rPr>
          <w:lang w:val="en-GB"/>
        </w:rPr>
        <w:t> </w:t>
      </w:r>
      <w:r w:rsidRPr="00DF37A3">
        <w:rPr>
          <w:lang w:val="en-GB"/>
        </w:rPr>
        <w:t xml:space="preserve">women. </w:t>
      </w:r>
    </w:p>
    <w:p w14:paraId="0FFF7F50" w14:textId="77777777" w:rsidR="004A3AB4" w:rsidRPr="00DF37A3" w:rsidRDefault="004A3AB4" w:rsidP="004A3AB4">
      <w:pPr>
        <w:pStyle w:val="SingleTxt"/>
        <w:rPr>
          <w:lang w:val="en-GB"/>
        </w:rPr>
      </w:pPr>
      <w:r w:rsidRPr="00DF37A3">
        <w:rPr>
          <w:lang w:val="en-GB"/>
        </w:rPr>
        <w:t>158.</w:t>
      </w:r>
      <w:r w:rsidRPr="00DF37A3">
        <w:rPr>
          <w:lang w:val="en-GB"/>
        </w:rPr>
        <w:tab/>
        <w:t>A project to improve agricultural productivity and nutrition was launched in September 2016 and will continue until 30 June 2022. One component of the project is measures to improve nutrition and includes a situational analysis of the quality and quantity of food available to the village communities (</w:t>
      </w:r>
      <w:r w:rsidRPr="00C5314A">
        <w:rPr>
          <w:i/>
          <w:iCs/>
          <w:lang w:val="en-GB"/>
        </w:rPr>
        <w:t>aiyl aimaks</w:t>
      </w:r>
      <w:r w:rsidRPr="00DF37A3">
        <w:rPr>
          <w:lang w:val="en-GB"/>
        </w:rPr>
        <w:t>). The target groups of the project are women (aged 18 to 49 years), children (under 5 years) and adolescent girls (12 to 17 years). The total number of people covered is about 153,795. The total includes 38,260 women of reproductive age, 5,462 pregnant women, 9,231 adolescent girls and 17,409 children under 5 years of age. Events have been held in 11 districts and 7 regions of the Kyrgyz Republic.</w:t>
      </w:r>
    </w:p>
    <w:p w14:paraId="57C3DC3B" w14:textId="77777777" w:rsidR="004A3AB4" w:rsidRPr="00DF37A3" w:rsidRDefault="004A3AB4" w:rsidP="004A3AB4">
      <w:pPr>
        <w:pStyle w:val="SingleTxt"/>
        <w:rPr>
          <w:lang w:val="en-GB"/>
        </w:rPr>
      </w:pPr>
      <w:r w:rsidRPr="00DF37A3">
        <w:rPr>
          <w:lang w:val="en-GB"/>
        </w:rPr>
        <w:t>159.</w:t>
      </w:r>
      <w:r w:rsidRPr="00DF37A3">
        <w:rPr>
          <w:lang w:val="en-GB"/>
        </w:rPr>
        <w:tab/>
        <w:t xml:space="preserve">The State Investment Programme funded by the Swiss Agency for Development and Cooperation includes a water-sector project focused on national water resources management. The implementation period is from 2015 to 2018. As part of the project, steps have been taken to increase communication and disseminate information on the activities of the water users association for women living in the service area. This has included the provision of support to women members of the association’s boards and leadership for holding meetings for the rest of the women in the community. Training modules have also been developed. Training modules on enhancing the role of women in Kyrgyz water users’ associations and on gender policy and women’s involvement </w:t>
      </w:r>
      <w:r w:rsidRPr="00D60F97">
        <w:rPr>
          <w:w w:val="102"/>
          <w:lang w:val="en-GB"/>
        </w:rPr>
        <w:t>in the management of water users associations are included in the project’s programme</w:t>
      </w:r>
      <w:r w:rsidRPr="00DF37A3">
        <w:rPr>
          <w:lang w:val="en-GB"/>
        </w:rPr>
        <w:t xml:space="preserve"> to support the water users associations. A total of 221 persons were trained in the context of the project. Regional support departments have conducted training for members of water users’ associations, involving a total of 2,582 such members. The associations have a total of 486 administrative units and 267,430 members, including 26,500 women. Four of those administrative units have women directors.</w:t>
      </w:r>
    </w:p>
    <w:p w14:paraId="0FE497CE" w14:textId="29FF38C1" w:rsidR="004A3AB4" w:rsidRPr="00DF37A3" w:rsidRDefault="004A3AB4" w:rsidP="004A3AB4">
      <w:pPr>
        <w:pStyle w:val="SingleTxt"/>
        <w:rPr>
          <w:lang w:val="en-GB"/>
        </w:rPr>
      </w:pPr>
      <w:r w:rsidRPr="00DF37A3">
        <w:rPr>
          <w:lang w:val="en-GB"/>
        </w:rPr>
        <w:t>160.</w:t>
      </w:r>
      <w:r w:rsidRPr="00DF37A3">
        <w:rPr>
          <w:lang w:val="en-GB"/>
        </w:rPr>
        <w:tab/>
        <w:t>A project to assist public seed banks for the period 2015</w:t>
      </w:r>
      <w:r w:rsidR="00C5314A">
        <w:rPr>
          <w:lang w:val="en-GB"/>
        </w:rPr>
        <w:t>–</w:t>
      </w:r>
      <w:r w:rsidRPr="00DF37A3">
        <w:rPr>
          <w:lang w:val="en-GB"/>
        </w:rPr>
        <w:t xml:space="preserve">2017 provided support to 221 public seed banks, of which 176 received seeds and fertilizer for one sowing season and 45 received seeds and fertilizer for the autumn and spring sowing seasons. The total number of farmers who are members of public seed banks was 5,657, </w:t>
      </w:r>
      <w:r w:rsidRPr="00DF37A3">
        <w:rPr>
          <w:lang w:val="en-GB"/>
        </w:rPr>
        <w:lastRenderedPageBreak/>
        <w:t>including 806 women. A total of 625 self-help groups have been established, with 4,300 farmers, including 3,703 women. In addition, the project supported 73 self-help groups with a total of 474 members (including 417 women) established under the UN-Women Regional Migration Programme. In total, the project has supported 698 self-help groups involving 4,774 households and 4,120 women. A total of 10,431 farmers, including 4,926 women, received seeds and fertiliser as direct beneficiaries of the project. Thanks to the high-yielding varieties of certified summer crops and the application of nitrogen-phosphorus fertilizers, as well as the knowledge and skills in agrotechnology acquired during the project, and the favourable weather conditions, the project beneficiaries were able to achieve yields that were higher than the average achieved by non-participants living and cultivating the same crops in the same area, and higher than the average data from the National Statistical Committee.</w:t>
      </w:r>
    </w:p>
    <w:p w14:paraId="4FA0818B" w14:textId="77777777" w:rsidR="004A3AB4" w:rsidRPr="00DF37A3" w:rsidRDefault="004A3AB4" w:rsidP="004A3AB4">
      <w:pPr>
        <w:pStyle w:val="SingleTxt"/>
        <w:rPr>
          <w:lang w:val="en-GB"/>
        </w:rPr>
      </w:pPr>
      <w:r w:rsidRPr="00DF37A3">
        <w:rPr>
          <w:lang w:val="en-GB"/>
        </w:rPr>
        <w:t>161.</w:t>
      </w:r>
      <w:r w:rsidRPr="00DF37A3">
        <w:rPr>
          <w:lang w:val="en-GB"/>
        </w:rPr>
        <w:tab/>
        <w:t xml:space="preserve">The Agricultural Productivity Promotion Project provided its beneficiaries, who were mainly farmers, farmers’ organizations and rural households, with comprehensive assistance to increase productivity in their households. One project component has resulted in the establishment of a total of 302 self-help groups throughout the country, with a total of 2,050 members, including 1,879 (91.6 per cent) women. During implementation of the project, 1,456 training sessions were conducted in all regions, and 4,283 people received training (including 2,187 women, or 51.06 per cent). As a result, women were able to increase productivity, even with the low level of resources that the project provided. This project enabled women to improve their financial situation and, in particular, the nutrition of their families. </w:t>
      </w:r>
    </w:p>
    <w:p w14:paraId="5B9684D1" w14:textId="77777777" w:rsidR="004A3AB4" w:rsidRPr="00DF37A3" w:rsidRDefault="004A3AB4" w:rsidP="004A3AB4">
      <w:pPr>
        <w:pStyle w:val="SingleTxt"/>
        <w:rPr>
          <w:lang w:val="en-GB"/>
        </w:rPr>
      </w:pPr>
      <w:r w:rsidRPr="00DF37A3">
        <w:rPr>
          <w:lang w:val="en-GB"/>
        </w:rPr>
        <w:t>162.</w:t>
      </w:r>
      <w:r w:rsidRPr="00DF37A3">
        <w:rPr>
          <w:lang w:val="en-GB"/>
        </w:rPr>
        <w:tab/>
        <w:t>The “One Village, One Product” project has trained 342 groups with a total of 2,378 members, including 1,464 women. The members of these groups have been trained in production, marketing and the conduct of business negotiations in order to promote their products as the Issyk-Kul brand. The experience of this project is now being disseminated in other regions of the country.</w:t>
      </w:r>
    </w:p>
    <w:p w14:paraId="38721F2B" w14:textId="77777777" w:rsidR="004A3AB4" w:rsidRPr="00DF37A3" w:rsidRDefault="004A3AB4" w:rsidP="004A3AB4">
      <w:pPr>
        <w:pStyle w:val="SingleTxt"/>
        <w:rPr>
          <w:lang w:val="en-GB"/>
        </w:rPr>
      </w:pPr>
      <w:r w:rsidRPr="00DF37A3">
        <w:rPr>
          <w:lang w:val="en-GB"/>
        </w:rPr>
        <w:t>163.</w:t>
      </w:r>
      <w:r w:rsidRPr="00DF37A3">
        <w:rPr>
          <w:lang w:val="en-GB"/>
        </w:rPr>
        <w:tab/>
        <w:t>In 2018, a study on the prevalence of negative gender stereotypes affecting rural women was conducted, and recommendations were developed on that basis for a media campaign to reduce their stigmatization in the urban community. The results of the study have been discussed at round tables.</w:t>
      </w:r>
    </w:p>
    <w:p w14:paraId="56465A21" w14:textId="77777777" w:rsidR="00C5314A" w:rsidRPr="00C5314A" w:rsidRDefault="00C5314A" w:rsidP="00C5314A">
      <w:pPr>
        <w:pStyle w:val="SingleTxt"/>
        <w:spacing w:after="0" w:line="120" w:lineRule="exact"/>
        <w:rPr>
          <w:sz w:val="10"/>
          <w:lang w:val="en-GB"/>
        </w:rPr>
      </w:pPr>
    </w:p>
    <w:p w14:paraId="67BC07F6" w14:textId="77777777" w:rsidR="00C5314A" w:rsidRPr="00C5314A" w:rsidRDefault="00C5314A" w:rsidP="00C5314A">
      <w:pPr>
        <w:pStyle w:val="SingleTxt"/>
        <w:spacing w:after="0" w:line="120" w:lineRule="exact"/>
        <w:rPr>
          <w:sz w:val="10"/>
          <w:lang w:val="en-GB"/>
        </w:rPr>
      </w:pPr>
    </w:p>
    <w:p w14:paraId="0D2274EA" w14:textId="338A6353" w:rsidR="004A3AB4" w:rsidRPr="00DF37A3" w:rsidRDefault="004A3AB4" w:rsidP="00C5314A">
      <w:pPr>
        <w:pStyle w:val="H1"/>
        <w:ind w:right="1260"/>
      </w:pPr>
      <w:r w:rsidRPr="00DF37A3">
        <w:tab/>
      </w:r>
      <w:r w:rsidRPr="00DF37A3">
        <w:tab/>
        <w:t>Article 15</w:t>
      </w:r>
    </w:p>
    <w:p w14:paraId="4525DCBE" w14:textId="77777777" w:rsidR="00C5314A" w:rsidRPr="00C5314A" w:rsidRDefault="00C5314A" w:rsidP="00C5314A">
      <w:pPr>
        <w:pStyle w:val="SingleTxt"/>
        <w:spacing w:after="0" w:line="120" w:lineRule="exact"/>
        <w:rPr>
          <w:sz w:val="10"/>
          <w:lang w:val="en-GB"/>
        </w:rPr>
      </w:pPr>
    </w:p>
    <w:p w14:paraId="7D09BB63" w14:textId="77777777" w:rsidR="00C5314A" w:rsidRPr="00C5314A" w:rsidRDefault="00C5314A" w:rsidP="00C5314A">
      <w:pPr>
        <w:pStyle w:val="SingleTxt"/>
        <w:spacing w:after="0" w:line="120" w:lineRule="exact"/>
        <w:rPr>
          <w:sz w:val="10"/>
          <w:lang w:val="en-GB"/>
        </w:rPr>
      </w:pPr>
    </w:p>
    <w:p w14:paraId="7DEBE2A3" w14:textId="58923BB7" w:rsidR="004A3AB4" w:rsidRPr="00DF37A3" w:rsidRDefault="004A3AB4" w:rsidP="004A3AB4">
      <w:pPr>
        <w:pStyle w:val="SingleTxt"/>
        <w:rPr>
          <w:lang w:val="en-GB"/>
        </w:rPr>
      </w:pPr>
      <w:r w:rsidRPr="00DF37A3">
        <w:rPr>
          <w:lang w:val="en-GB"/>
        </w:rPr>
        <w:t>164.</w:t>
      </w:r>
      <w:r w:rsidRPr="00DF37A3">
        <w:rPr>
          <w:lang w:val="en-GB"/>
        </w:rPr>
        <w:tab/>
        <w:t>Under the Constitution, all citizens in Kyrgyzstan are equal before the law and the courts. Civil legal capacity commences for a citizen at birth and ceases upon death. Women enjoy all civil rights and duties on an equal basis with men. According to the Constitution and legislation governing the judicial system, there is a single judicial system, which functions to protect the rights of all citizens, both women and men.</w:t>
      </w:r>
    </w:p>
    <w:p w14:paraId="5D6278CE" w14:textId="77777777" w:rsidR="004A3AB4" w:rsidRPr="00DF37A3" w:rsidRDefault="004A3AB4" w:rsidP="004A3AB4">
      <w:pPr>
        <w:pStyle w:val="SingleTxt"/>
        <w:rPr>
          <w:lang w:val="en-GB"/>
        </w:rPr>
      </w:pPr>
      <w:r w:rsidRPr="00DF37A3">
        <w:rPr>
          <w:lang w:val="en-GB"/>
        </w:rPr>
        <w:t>165.</w:t>
      </w:r>
      <w:r w:rsidRPr="00DF37A3">
        <w:rPr>
          <w:lang w:val="en-GB"/>
        </w:rPr>
        <w:tab/>
        <w:t xml:space="preserve">Legislation provides that citizens, both women and men, have the right to own, inherit and bequeath property. Women are entitled to set up legal entities on their own or together with other citizens and legal persons, to engage in any transaction that is not contrary to the law and to assume obligations. </w:t>
      </w:r>
    </w:p>
    <w:p w14:paraId="25C15EC3" w14:textId="4E3F72C8" w:rsidR="004A3AB4" w:rsidRDefault="004A3AB4" w:rsidP="004A3AB4">
      <w:pPr>
        <w:pStyle w:val="SingleTxt"/>
        <w:rPr>
          <w:lang w:val="en-GB"/>
        </w:rPr>
      </w:pPr>
      <w:r w:rsidRPr="00DF37A3">
        <w:rPr>
          <w:lang w:val="en-GB"/>
        </w:rPr>
        <w:t>166.</w:t>
      </w:r>
      <w:r w:rsidRPr="00DF37A3">
        <w:rPr>
          <w:lang w:val="en-GB"/>
        </w:rPr>
        <w:tab/>
        <w:t>In accordance with the Constitution, national legislation and international human rights instruments, all citizens, both women and men, have the rights of freedom of movement, to choose their place of residence and domicile in Kyrgyzstan, and to leave the country freely. Restrictions may be placed on the rights of citizens to freedom of movement and choice of place of residence and domicile within the borders of Kyrgyzstan only where justified by law. However, a record is kept of their place of residence in the country, in order to ensure that citizens can exercise their rights and fulfil their responsibilities in respect of other citizens.</w:t>
      </w:r>
    </w:p>
    <w:p w14:paraId="73234123" w14:textId="2A86DDCB" w:rsidR="00D60F97" w:rsidRPr="00D60F97" w:rsidRDefault="00D60F97" w:rsidP="00D60F97">
      <w:pPr>
        <w:pStyle w:val="SingleTxt"/>
        <w:spacing w:after="0" w:line="120" w:lineRule="exact"/>
        <w:rPr>
          <w:sz w:val="10"/>
          <w:lang w:val="en-GB"/>
        </w:rPr>
      </w:pPr>
    </w:p>
    <w:p w14:paraId="12F774D0" w14:textId="3A490EA7" w:rsidR="00D60F97" w:rsidRPr="00D60F97" w:rsidRDefault="00D60F97" w:rsidP="00D60F97">
      <w:pPr>
        <w:pStyle w:val="SingleTxt"/>
        <w:spacing w:after="0" w:line="120" w:lineRule="exact"/>
        <w:rPr>
          <w:sz w:val="10"/>
          <w:lang w:val="en-GB"/>
        </w:rPr>
      </w:pPr>
    </w:p>
    <w:p w14:paraId="065D3636" w14:textId="7966B1FB" w:rsidR="004A3AB4" w:rsidRPr="00DF37A3" w:rsidRDefault="004A3AB4" w:rsidP="00D1128F">
      <w:pPr>
        <w:pStyle w:val="H1"/>
        <w:ind w:right="1260"/>
        <w:rPr>
          <w:lang w:val="en-GB"/>
        </w:rPr>
      </w:pPr>
      <w:r w:rsidRPr="00DF37A3">
        <w:rPr>
          <w:lang w:val="en-GB"/>
        </w:rPr>
        <w:tab/>
      </w:r>
      <w:r w:rsidRPr="00DF37A3">
        <w:rPr>
          <w:lang w:val="en-GB"/>
        </w:rPr>
        <w:tab/>
        <w:t>Article 16</w:t>
      </w:r>
    </w:p>
    <w:p w14:paraId="324E82F6" w14:textId="77777777" w:rsidR="00C5314A" w:rsidRPr="00C5314A" w:rsidRDefault="00C5314A" w:rsidP="00C5314A">
      <w:pPr>
        <w:pStyle w:val="SingleTxt"/>
        <w:spacing w:after="0" w:line="120" w:lineRule="exact"/>
        <w:rPr>
          <w:sz w:val="10"/>
          <w:lang w:val="en-GB"/>
        </w:rPr>
      </w:pPr>
    </w:p>
    <w:p w14:paraId="4FB5DDE4" w14:textId="77777777" w:rsidR="00C5314A" w:rsidRPr="00C5314A" w:rsidRDefault="00C5314A" w:rsidP="00C5314A">
      <w:pPr>
        <w:pStyle w:val="SingleTxt"/>
        <w:spacing w:after="0" w:line="120" w:lineRule="exact"/>
        <w:rPr>
          <w:sz w:val="10"/>
          <w:lang w:val="en-GB"/>
        </w:rPr>
      </w:pPr>
    </w:p>
    <w:p w14:paraId="40F56127" w14:textId="0902E91E" w:rsidR="004A3AB4" w:rsidRPr="00DF37A3" w:rsidRDefault="004A3AB4" w:rsidP="004A3AB4">
      <w:pPr>
        <w:pStyle w:val="SingleTxt"/>
        <w:rPr>
          <w:lang w:val="en-GB"/>
        </w:rPr>
      </w:pPr>
      <w:r w:rsidRPr="00DF37A3">
        <w:rPr>
          <w:lang w:val="en-GB"/>
        </w:rPr>
        <w:t>167.</w:t>
      </w:r>
      <w:r w:rsidRPr="00DF37A3">
        <w:rPr>
          <w:lang w:val="en-GB"/>
        </w:rPr>
        <w:tab/>
        <w:t>According to article 54 of the Family Code, a mother and father who are married to each other are recorded in the registry of births as the parents of the child, as certified by either one of them. In the case of a child born to an unmarried mother, in the absence of such joint registration by the parents, or in the absence of a court paternity ruling, the surname of the child’s father will be replaced in the register of births by the surname of the mother and the first name, patronymic and nationality of the father will be recorded as indicated by the mother.</w:t>
      </w:r>
    </w:p>
    <w:p w14:paraId="209CDD1A" w14:textId="77777777" w:rsidR="004A3AB4" w:rsidRPr="00DF37A3" w:rsidRDefault="004A3AB4" w:rsidP="004A3AB4">
      <w:pPr>
        <w:pStyle w:val="SingleTxt"/>
        <w:rPr>
          <w:lang w:val="en-GB"/>
        </w:rPr>
      </w:pPr>
      <w:r w:rsidRPr="00DF37A3">
        <w:rPr>
          <w:lang w:val="en-GB"/>
        </w:rPr>
        <w:t>168.</w:t>
      </w:r>
      <w:r w:rsidRPr="00DF37A3">
        <w:rPr>
          <w:lang w:val="en-GB"/>
        </w:rPr>
        <w:tab/>
        <w:t>Pursuant to article 18 of the Civil Registration Act, the following provisions apply to the recording of the surname, first name and patronymic of a child upon registration of the child’s birth:</w:t>
      </w:r>
    </w:p>
    <w:p w14:paraId="3CDAF04F" w14:textId="0F0E644C" w:rsidR="004A3AB4" w:rsidRPr="00DF37A3" w:rsidRDefault="00C5314A" w:rsidP="00C5314A">
      <w:pPr>
        <w:pStyle w:val="SingleTxt"/>
        <w:tabs>
          <w:tab w:val="right" w:pos="1685"/>
        </w:tabs>
        <w:ind w:left="1742" w:hanging="475"/>
        <w:rPr>
          <w:lang w:val="en-GB"/>
        </w:rPr>
      </w:pPr>
      <w:r>
        <w:rPr>
          <w:lang w:val="en-GB"/>
        </w:rPr>
        <w:tab/>
      </w:r>
      <w:r w:rsidR="004A3AB4" w:rsidRPr="00DF37A3">
        <w:rPr>
          <w:lang w:val="en-GB"/>
        </w:rPr>
        <w:t>•</w:t>
      </w:r>
      <w:r w:rsidR="004A3AB4" w:rsidRPr="00DF37A3">
        <w:rPr>
          <w:lang w:val="en-GB"/>
        </w:rPr>
        <w:tab/>
        <w:t>The surname of the child will be recorded as the surname of the parents.</w:t>
      </w:r>
    </w:p>
    <w:p w14:paraId="3641D394" w14:textId="362A83BD" w:rsidR="004A3AB4" w:rsidRPr="00DF37A3" w:rsidRDefault="00C5314A" w:rsidP="00C5314A">
      <w:pPr>
        <w:pStyle w:val="SingleTxt"/>
        <w:tabs>
          <w:tab w:val="right" w:pos="1685"/>
        </w:tabs>
        <w:ind w:left="1742" w:hanging="475"/>
        <w:rPr>
          <w:lang w:val="en-GB"/>
        </w:rPr>
      </w:pPr>
      <w:r>
        <w:rPr>
          <w:lang w:val="en-GB"/>
        </w:rPr>
        <w:tab/>
      </w:r>
      <w:r w:rsidR="004A3AB4" w:rsidRPr="00DF37A3">
        <w:rPr>
          <w:lang w:val="en-GB"/>
        </w:rPr>
        <w:t>•</w:t>
      </w:r>
      <w:r w:rsidR="004A3AB4" w:rsidRPr="00DF37A3">
        <w:rPr>
          <w:lang w:val="en-GB"/>
        </w:rPr>
        <w:tab/>
        <w:t>If the parents do not share a surname, the child’s surname will be recorded as the surname of the father or of the mother, as agreed between the parents.</w:t>
      </w:r>
    </w:p>
    <w:p w14:paraId="165E962E" w14:textId="13A53C98" w:rsidR="004A3AB4" w:rsidRPr="00DF37A3" w:rsidRDefault="00C5314A" w:rsidP="00C5314A">
      <w:pPr>
        <w:pStyle w:val="SingleTxt"/>
        <w:tabs>
          <w:tab w:val="right" w:pos="1685"/>
        </w:tabs>
        <w:ind w:left="1742" w:hanging="475"/>
        <w:rPr>
          <w:lang w:val="en-GB"/>
        </w:rPr>
      </w:pPr>
      <w:r>
        <w:rPr>
          <w:lang w:val="en-GB"/>
        </w:rPr>
        <w:tab/>
      </w:r>
      <w:r w:rsidR="004A3AB4" w:rsidRPr="00DF37A3">
        <w:rPr>
          <w:lang w:val="en-GB"/>
        </w:rPr>
        <w:t>•</w:t>
      </w:r>
      <w:r w:rsidR="004A3AB4" w:rsidRPr="00DF37A3">
        <w:rPr>
          <w:lang w:val="en-GB"/>
        </w:rPr>
        <w:tab/>
        <w:t>The first name of the child will be recorded as agreed between the parents.</w:t>
      </w:r>
    </w:p>
    <w:p w14:paraId="45B42C24" w14:textId="3A19F52D" w:rsidR="004A3AB4" w:rsidRPr="00DF37A3" w:rsidRDefault="00C5314A" w:rsidP="00C5314A">
      <w:pPr>
        <w:pStyle w:val="SingleTxt"/>
        <w:tabs>
          <w:tab w:val="right" w:pos="1685"/>
        </w:tabs>
        <w:ind w:left="1742" w:hanging="475"/>
        <w:rPr>
          <w:lang w:val="en-GB"/>
        </w:rPr>
      </w:pPr>
      <w:r>
        <w:rPr>
          <w:lang w:val="en-GB"/>
        </w:rPr>
        <w:tab/>
      </w:r>
      <w:r w:rsidR="004A3AB4" w:rsidRPr="00DF37A3">
        <w:rPr>
          <w:lang w:val="en-GB"/>
        </w:rPr>
        <w:t>•</w:t>
      </w:r>
      <w:r w:rsidR="004A3AB4" w:rsidRPr="00DF37A3">
        <w:rPr>
          <w:lang w:val="en-GB"/>
        </w:rPr>
        <w:tab/>
        <w:t>If there is no agreement between the parents regarding the first name and/or surname of the child (in cases in which the parents do not share a surname), the courts shall rule on the disputed matter.</w:t>
      </w:r>
    </w:p>
    <w:p w14:paraId="2C0E3B38" w14:textId="0E5D5341" w:rsidR="004A3AB4" w:rsidRPr="00DF37A3" w:rsidRDefault="00C5314A" w:rsidP="00C5314A">
      <w:pPr>
        <w:pStyle w:val="SingleTxt"/>
        <w:tabs>
          <w:tab w:val="right" w:pos="1685"/>
        </w:tabs>
        <w:ind w:left="1742" w:hanging="475"/>
        <w:rPr>
          <w:lang w:val="en-GB"/>
        </w:rPr>
      </w:pPr>
      <w:r>
        <w:rPr>
          <w:lang w:val="en-GB"/>
        </w:rPr>
        <w:tab/>
      </w:r>
      <w:r w:rsidR="004A3AB4" w:rsidRPr="00DF37A3">
        <w:rPr>
          <w:lang w:val="en-GB"/>
        </w:rPr>
        <w:t>•</w:t>
      </w:r>
      <w:r w:rsidR="004A3AB4" w:rsidRPr="00DF37A3">
        <w:rPr>
          <w:lang w:val="en-GB"/>
        </w:rPr>
        <w:tab/>
        <w:t>Unless ethnic-national custom specifies otherwise, a child’s patronymic will be recorded on the basis of the father’s first name;</w:t>
      </w:r>
    </w:p>
    <w:p w14:paraId="39029A87" w14:textId="6A9EDBC8" w:rsidR="004A3AB4" w:rsidRPr="00DF37A3" w:rsidRDefault="00C5314A" w:rsidP="00C5314A">
      <w:pPr>
        <w:pStyle w:val="SingleTxt"/>
        <w:tabs>
          <w:tab w:val="right" w:pos="1685"/>
        </w:tabs>
        <w:ind w:left="1742" w:hanging="475"/>
        <w:rPr>
          <w:lang w:val="en-GB"/>
        </w:rPr>
      </w:pPr>
      <w:r>
        <w:rPr>
          <w:lang w:val="en-GB"/>
        </w:rPr>
        <w:tab/>
      </w:r>
      <w:r w:rsidR="004A3AB4" w:rsidRPr="00DF37A3">
        <w:rPr>
          <w:lang w:val="en-GB"/>
        </w:rPr>
        <w:t>•</w:t>
      </w:r>
      <w:r w:rsidR="004A3AB4" w:rsidRPr="00DF37A3">
        <w:rPr>
          <w:lang w:val="en-GB"/>
        </w:rPr>
        <w:tab/>
        <w:t xml:space="preserve">If the mother is not married to the father of the child, and paternity has not been established, the child’s first name will be recorded according to the mother’s wishes, and child’s patronymic will be recorded on the basis of first name of the person recorded on the birth certificate as the child’s father; the child’s surname will be the mother’s surname; </w:t>
      </w:r>
    </w:p>
    <w:p w14:paraId="33EEF5F3" w14:textId="51BCA86A" w:rsidR="004A3AB4" w:rsidRPr="00DF37A3" w:rsidRDefault="00C5314A" w:rsidP="00C5314A">
      <w:pPr>
        <w:pStyle w:val="SingleTxt"/>
        <w:tabs>
          <w:tab w:val="right" w:pos="1685"/>
        </w:tabs>
        <w:ind w:left="1742" w:hanging="475"/>
        <w:rPr>
          <w:lang w:val="en-GB"/>
        </w:rPr>
      </w:pPr>
      <w:r>
        <w:rPr>
          <w:lang w:val="en-GB"/>
        </w:rPr>
        <w:tab/>
      </w:r>
      <w:r w:rsidR="004A3AB4" w:rsidRPr="00DF37A3">
        <w:rPr>
          <w:lang w:val="en-GB"/>
        </w:rPr>
        <w:t>•</w:t>
      </w:r>
      <w:r w:rsidR="004A3AB4" w:rsidRPr="00DF37A3">
        <w:rPr>
          <w:lang w:val="en-GB"/>
        </w:rPr>
        <w:tab/>
        <w:t>If the mother is not married to the father of the child, and has expressed the wish that information about the child’s father should not appear in the registration of the child’s birth, the child’s patronymic will be as specified by the mother;</w:t>
      </w:r>
    </w:p>
    <w:p w14:paraId="715E3B00" w14:textId="4D95B8CF" w:rsidR="004A3AB4" w:rsidRPr="00DF37A3" w:rsidRDefault="00C5314A" w:rsidP="00C5314A">
      <w:pPr>
        <w:pStyle w:val="SingleTxt"/>
        <w:tabs>
          <w:tab w:val="right" w:pos="1685"/>
        </w:tabs>
        <w:ind w:left="1742" w:hanging="475"/>
        <w:rPr>
          <w:lang w:val="en-GB"/>
        </w:rPr>
      </w:pPr>
      <w:r>
        <w:rPr>
          <w:lang w:val="en-GB"/>
        </w:rPr>
        <w:tab/>
      </w:r>
      <w:r w:rsidR="004A3AB4" w:rsidRPr="00DF37A3">
        <w:rPr>
          <w:lang w:val="en-GB"/>
        </w:rPr>
        <w:t>•</w:t>
      </w:r>
      <w:r w:rsidR="004A3AB4" w:rsidRPr="00DF37A3">
        <w:rPr>
          <w:lang w:val="en-GB"/>
        </w:rPr>
        <w:tab/>
        <w:t xml:space="preserve">If both parents are unknown, the local office of the Government Children’s Ombudsman will decide on the child’s surname, first name and patronymic. </w:t>
      </w:r>
    </w:p>
    <w:p w14:paraId="470A5307" w14:textId="77777777" w:rsidR="004A3AB4" w:rsidRPr="00DF37A3" w:rsidRDefault="004A3AB4" w:rsidP="004A3AB4">
      <w:pPr>
        <w:pStyle w:val="SingleTxt"/>
        <w:rPr>
          <w:lang w:val="en-GB"/>
        </w:rPr>
      </w:pPr>
      <w:r w:rsidRPr="00DF37A3">
        <w:rPr>
          <w:lang w:val="en-GB"/>
        </w:rPr>
        <w:t>169.</w:t>
      </w:r>
      <w:r w:rsidRPr="00DF37A3">
        <w:rPr>
          <w:lang w:val="en-GB"/>
        </w:rPr>
        <w:tab/>
        <w:t>Over the past ten years, there has been an upward trend in the annual number of marriages. However, the number of terminated marriages also increased, resulting in a higher number of children with divorced parents. The age of first marriage has remained more or less the same, just over 23 years for women and 27.1 for men.</w:t>
      </w:r>
    </w:p>
    <w:p w14:paraId="60F25A1C" w14:textId="77777777" w:rsidR="00C5314A" w:rsidRPr="00C5314A" w:rsidRDefault="00C5314A" w:rsidP="00C5314A">
      <w:pPr>
        <w:pStyle w:val="SingleTxt"/>
        <w:spacing w:after="0" w:line="120" w:lineRule="exact"/>
        <w:rPr>
          <w:sz w:val="10"/>
          <w:lang w:val="en-GB"/>
        </w:rPr>
      </w:pPr>
    </w:p>
    <w:p w14:paraId="2D2DD7CF" w14:textId="77777777" w:rsidR="00C5314A" w:rsidRPr="00C5314A" w:rsidRDefault="00C5314A" w:rsidP="00C5314A">
      <w:pPr>
        <w:pStyle w:val="SingleTxt"/>
        <w:spacing w:after="0" w:line="120" w:lineRule="exact"/>
        <w:rPr>
          <w:sz w:val="10"/>
          <w:lang w:val="en-GB"/>
        </w:rPr>
      </w:pPr>
    </w:p>
    <w:p w14:paraId="72202043" w14:textId="4C77DB88" w:rsidR="004A3AB4" w:rsidRPr="00DF37A3" w:rsidRDefault="004A3AB4" w:rsidP="00C5314A">
      <w:pPr>
        <w:pStyle w:val="H1"/>
        <w:ind w:right="1260"/>
        <w:rPr>
          <w:lang w:val="en-GB"/>
        </w:rPr>
      </w:pPr>
      <w:r w:rsidRPr="00DF37A3">
        <w:rPr>
          <w:lang w:val="en-GB"/>
        </w:rPr>
        <w:tab/>
      </w:r>
      <w:r w:rsidRPr="00DF37A3">
        <w:rPr>
          <w:lang w:val="en-GB"/>
        </w:rPr>
        <w:tab/>
        <w:t>Article 17</w:t>
      </w:r>
    </w:p>
    <w:p w14:paraId="0CC9FD17" w14:textId="77777777" w:rsidR="00C5314A" w:rsidRPr="00C5314A" w:rsidRDefault="00C5314A" w:rsidP="00C5314A">
      <w:pPr>
        <w:pStyle w:val="SingleTxt"/>
        <w:spacing w:after="0" w:line="120" w:lineRule="exact"/>
        <w:rPr>
          <w:sz w:val="10"/>
          <w:lang w:val="en-GB"/>
        </w:rPr>
      </w:pPr>
    </w:p>
    <w:p w14:paraId="45BD3276" w14:textId="77777777" w:rsidR="00C5314A" w:rsidRPr="00C5314A" w:rsidRDefault="00C5314A" w:rsidP="00C5314A">
      <w:pPr>
        <w:pStyle w:val="SingleTxt"/>
        <w:spacing w:after="0" w:line="120" w:lineRule="exact"/>
        <w:rPr>
          <w:sz w:val="10"/>
          <w:lang w:val="en-GB"/>
        </w:rPr>
      </w:pPr>
    </w:p>
    <w:p w14:paraId="558299AF" w14:textId="3BFF21B7" w:rsidR="004A3AB4" w:rsidRPr="00DF37A3" w:rsidRDefault="004A3AB4" w:rsidP="004A3AB4">
      <w:pPr>
        <w:pStyle w:val="SingleTxt"/>
        <w:rPr>
          <w:lang w:val="en-GB"/>
        </w:rPr>
      </w:pPr>
      <w:r w:rsidRPr="00DF37A3">
        <w:rPr>
          <w:lang w:val="en-GB"/>
        </w:rPr>
        <w:t>170.</w:t>
      </w:r>
      <w:r w:rsidRPr="00DF37A3">
        <w:rPr>
          <w:lang w:val="en-GB"/>
        </w:rPr>
        <w:tab/>
        <w:t xml:space="preserve">In February 2015 an official delegation took part in meetings of the Committee to present the fourth periodic report of Kyrgyzstan on implementation of the Convention on the Elimination of All Forms of Discrimination against Women. </w:t>
      </w:r>
    </w:p>
    <w:p w14:paraId="0E4EA56B" w14:textId="77777777" w:rsidR="004A3AB4" w:rsidRPr="00DF37A3" w:rsidRDefault="004A3AB4" w:rsidP="004A3AB4">
      <w:pPr>
        <w:pStyle w:val="SingleTxt"/>
        <w:rPr>
          <w:lang w:val="en-GB"/>
        </w:rPr>
      </w:pPr>
      <w:r w:rsidRPr="00DF37A3">
        <w:rPr>
          <w:lang w:val="en-GB"/>
        </w:rPr>
        <w:t>171.</w:t>
      </w:r>
      <w:r w:rsidRPr="00DF37A3">
        <w:rPr>
          <w:lang w:val="en-GB"/>
        </w:rPr>
        <w:tab/>
        <w:t>The Committee issued concluding observations on the fourth periodic report, which were discussed extensively at round tables by participants who represented State bodies, non-governmental and international organizations, the expert community and the media.</w:t>
      </w:r>
    </w:p>
    <w:p w14:paraId="7A2CC159" w14:textId="77777777" w:rsidR="004A3AB4" w:rsidRPr="00DF37A3" w:rsidRDefault="004A3AB4" w:rsidP="004A3AB4">
      <w:pPr>
        <w:pStyle w:val="SingleTxt"/>
        <w:rPr>
          <w:lang w:val="en-GB"/>
        </w:rPr>
      </w:pPr>
      <w:r w:rsidRPr="00DF37A3">
        <w:rPr>
          <w:lang w:val="en-GB"/>
        </w:rPr>
        <w:t>172.</w:t>
      </w:r>
      <w:r w:rsidRPr="00DF37A3">
        <w:rPr>
          <w:lang w:val="en-GB"/>
        </w:rPr>
        <w:tab/>
        <w:t xml:space="preserve">An interdepartmental working group was established by order of the Government. The working group conducted multilateral and bilateral working meetings, which included consultations with relevant non-governmental </w:t>
      </w:r>
      <w:r w:rsidRPr="00DF37A3">
        <w:rPr>
          <w:lang w:val="en-GB"/>
        </w:rPr>
        <w:lastRenderedPageBreak/>
        <w:t xml:space="preserve">organizations, and prepared a draft plan of action for implementation of the concluding observations of the Committee on the fourth periodic report of the Kyrgyz Republic on implementation of the Convention. The plan of action was adopted by Government Order No. 123-r of 19 April 2017. </w:t>
      </w:r>
    </w:p>
    <w:p w14:paraId="22027E7A" w14:textId="3B32BFA0" w:rsidR="004A3AB4" w:rsidRPr="00DF37A3" w:rsidRDefault="004A3AB4" w:rsidP="004A3AB4">
      <w:pPr>
        <w:pStyle w:val="SingleTxt"/>
        <w:rPr>
          <w:lang w:val="en-GB"/>
        </w:rPr>
      </w:pPr>
      <w:r w:rsidRPr="00DF37A3">
        <w:rPr>
          <w:lang w:val="en-GB"/>
        </w:rPr>
        <w:t>173.</w:t>
      </w:r>
      <w:r w:rsidRPr="00DF37A3">
        <w:rPr>
          <w:lang w:val="en-GB"/>
        </w:rPr>
        <w:tab/>
        <w:t>In 2018 a report c</w:t>
      </w:r>
      <w:bookmarkStart w:id="3" w:name="BeginPage"/>
      <w:bookmarkEnd w:id="3"/>
      <w:r w:rsidRPr="00DF37A3">
        <w:rPr>
          <w:lang w:val="en-GB"/>
        </w:rPr>
        <w:t>ontaining a summary of information provided by officials from ministries, departments and other State bodies on the implementation of paragraphs 22 (c) and 28 (b) and (d) of the concluding observations was submitted to the Committee.</w:t>
      </w:r>
    </w:p>
    <w:p w14:paraId="515DF97C" w14:textId="0198D23A" w:rsidR="00B81675" w:rsidRPr="004A3AB4" w:rsidRDefault="008335BC" w:rsidP="00B81675">
      <w:pPr>
        <w:pStyle w:val="SingleTxt"/>
        <w:rPr>
          <w:lang w:val="en-GB"/>
        </w:rPr>
      </w:pPr>
      <w:r>
        <w:rPr>
          <w:noProof/>
          <w:w w:val="100"/>
          <w:lang w:val="en-GB"/>
        </w:rPr>
        <mc:AlternateContent>
          <mc:Choice Requires="wps">
            <w:drawing>
              <wp:anchor distT="0" distB="0" distL="114300" distR="114300" simplePos="0" relativeHeight="251663360" behindDoc="0" locked="0" layoutInCell="1" allowOverlap="1" wp14:anchorId="5EC5A853" wp14:editId="30541FEE">
                <wp:simplePos x="0" y="0"/>
                <wp:positionH relativeFrom="column">
                  <wp:posOffset>2669540</wp:posOffset>
                </wp:positionH>
                <wp:positionV relativeFrom="paragraph">
                  <wp:posOffset>304800</wp:posOffset>
                </wp:positionV>
                <wp:extent cx="9144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CB129F" id="Straight Connector 1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is//3toBAAAOBAAADgAAAAAAAAAAAAAAAAAuAgAAZHJzL2Uyb0RvYy54bWxQSwECLQAUAAYACAAA&#10;ACEAhaB4gt8AAAAJAQAADwAAAAAAAAAAAAAAAAA0BAAAZHJzL2Rvd25yZXYueG1sUEsFBgAAAAAE&#10;AAQA8wAAAEAFAAAAAA==&#10;" strokecolor="#010000" strokeweight=".25pt"/>
            </w:pict>
          </mc:Fallback>
        </mc:AlternateContent>
      </w:r>
      <w:bookmarkEnd w:id="1"/>
    </w:p>
    <w:sectPr w:rsidR="00B81675" w:rsidRPr="004A3AB4" w:rsidSect="003C23CC">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4-22T12:31:00Z" w:initials="Start">
    <w:p w14:paraId="4ECA5904" w14:textId="77777777" w:rsidR="00D1128F" w:rsidRDefault="00D1128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NO&gt;&gt;N1910032E&lt;&lt;ODS JOB NO&gt;&gt;</w:t>
      </w:r>
    </w:p>
    <w:p w14:paraId="43C5C60B" w14:textId="77777777" w:rsidR="00D1128F" w:rsidRDefault="00D1128F">
      <w:pPr>
        <w:pStyle w:val="CommentText"/>
      </w:pPr>
      <w:r>
        <w:t>&lt;&lt;ODS DOC SYMBOL1&gt;&gt;CEDAW/C/KGZ/5&lt;&lt;ODS DOC SYMBOL1&gt;&gt;</w:t>
      </w:r>
    </w:p>
    <w:p w14:paraId="154B7ACD" w14:textId="77777777" w:rsidR="00D1128F" w:rsidRDefault="00D1128F">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4B7AC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35822" w14:textId="77777777" w:rsidR="00D1128F" w:rsidRDefault="00D1128F" w:rsidP="00556720">
      <w:r>
        <w:separator/>
      </w:r>
    </w:p>
  </w:endnote>
  <w:endnote w:type="continuationSeparator" w:id="0">
    <w:p w14:paraId="701DB867" w14:textId="77777777" w:rsidR="00D1128F" w:rsidRDefault="00D1128F"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1128F" w14:paraId="0D256E19" w14:textId="77777777" w:rsidTr="00B81675">
      <w:tc>
        <w:tcPr>
          <w:tcW w:w="4920" w:type="dxa"/>
          <w:shd w:val="clear" w:color="auto" w:fill="auto"/>
        </w:tcPr>
        <w:p w14:paraId="4E7B6949" w14:textId="4499C5D2" w:rsidR="00D1128F" w:rsidRPr="00B81675" w:rsidRDefault="00D1128F" w:rsidP="00B8167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93E86">
            <w:rPr>
              <w:b w:val="0"/>
              <w:w w:val="103"/>
              <w:sz w:val="14"/>
            </w:rPr>
            <w:t>19-05743</w:t>
          </w:r>
          <w:r>
            <w:rPr>
              <w:b w:val="0"/>
              <w:w w:val="103"/>
              <w:sz w:val="14"/>
            </w:rPr>
            <w:fldChar w:fldCharType="end"/>
          </w:r>
        </w:p>
      </w:tc>
      <w:tc>
        <w:tcPr>
          <w:tcW w:w="4920" w:type="dxa"/>
          <w:shd w:val="clear" w:color="auto" w:fill="auto"/>
        </w:tcPr>
        <w:p w14:paraId="6F82EF5B" w14:textId="2D4C9845" w:rsidR="00D1128F" w:rsidRPr="00B81675" w:rsidRDefault="00D1128F" w:rsidP="00B81675">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37</w:t>
          </w:r>
          <w:r>
            <w:rPr>
              <w:w w:val="103"/>
            </w:rPr>
            <w:fldChar w:fldCharType="end"/>
          </w:r>
        </w:p>
      </w:tc>
    </w:tr>
  </w:tbl>
  <w:p w14:paraId="6FFD6841" w14:textId="77777777" w:rsidR="00D1128F" w:rsidRPr="00B81675" w:rsidRDefault="00D1128F" w:rsidP="00B81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1128F" w14:paraId="06B1AAE7" w14:textId="77777777" w:rsidTr="00B81675">
      <w:tc>
        <w:tcPr>
          <w:tcW w:w="4920" w:type="dxa"/>
          <w:shd w:val="clear" w:color="auto" w:fill="auto"/>
        </w:tcPr>
        <w:p w14:paraId="6E9490BC" w14:textId="0225DCBF" w:rsidR="00D1128F" w:rsidRPr="00B81675" w:rsidRDefault="00D1128F" w:rsidP="00B81675">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37</w:t>
          </w:r>
          <w:r>
            <w:rPr>
              <w:w w:val="103"/>
            </w:rPr>
            <w:fldChar w:fldCharType="end"/>
          </w:r>
        </w:p>
      </w:tc>
      <w:tc>
        <w:tcPr>
          <w:tcW w:w="4920" w:type="dxa"/>
          <w:shd w:val="clear" w:color="auto" w:fill="auto"/>
        </w:tcPr>
        <w:p w14:paraId="54817D53" w14:textId="6C7E7AEB" w:rsidR="00D1128F" w:rsidRPr="00B81675" w:rsidRDefault="00D1128F" w:rsidP="00B8167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93E86">
            <w:rPr>
              <w:b w:val="0"/>
              <w:w w:val="103"/>
              <w:sz w:val="14"/>
            </w:rPr>
            <w:t>19-05743</w:t>
          </w:r>
          <w:r>
            <w:rPr>
              <w:b w:val="0"/>
              <w:w w:val="103"/>
              <w:sz w:val="14"/>
            </w:rPr>
            <w:fldChar w:fldCharType="end"/>
          </w:r>
        </w:p>
      </w:tc>
    </w:tr>
  </w:tbl>
  <w:p w14:paraId="68F619E9" w14:textId="77777777" w:rsidR="00D1128F" w:rsidRPr="00B81675" w:rsidRDefault="00D1128F" w:rsidP="00B81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D1128F" w14:paraId="3CAA7FD2" w14:textId="77777777" w:rsidTr="00B81675">
      <w:tc>
        <w:tcPr>
          <w:tcW w:w="3801" w:type="dxa"/>
        </w:tcPr>
        <w:p w14:paraId="149330B2" w14:textId="77777777" w:rsidR="00D1128F" w:rsidRDefault="00D1128F" w:rsidP="00B81675">
          <w:pPr>
            <w:pStyle w:val="ReleaseDate0"/>
          </w:pPr>
          <w:r>
            <w:rPr>
              <w:noProof/>
            </w:rPr>
            <w:drawing>
              <wp:anchor distT="0" distB="0" distL="114300" distR="114300" simplePos="0" relativeHeight="251658240" behindDoc="0" locked="0" layoutInCell="1" allowOverlap="1" wp14:anchorId="01876EF6" wp14:editId="43B87B27">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KGZ/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KGZ/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19-05743 (E)    220419    220419</w:t>
          </w:r>
        </w:p>
        <w:p w14:paraId="6DBFC828" w14:textId="77777777" w:rsidR="00D1128F" w:rsidRPr="00B81675" w:rsidRDefault="00D1128F" w:rsidP="00B81675">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*1905743*</w:t>
          </w:r>
        </w:p>
      </w:tc>
      <w:tc>
        <w:tcPr>
          <w:tcW w:w="4920" w:type="dxa"/>
        </w:tcPr>
        <w:p w14:paraId="716EA485" w14:textId="77777777" w:rsidR="00D1128F" w:rsidRDefault="00D1128F" w:rsidP="00B81675">
          <w:pPr>
            <w:pStyle w:val="Footer"/>
            <w:jc w:val="right"/>
            <w:rPr>
              <w:b w:val="0"/>
              <w:sz w:val="20"/>
            </w:rPr>
          </w:pPr>
          <w:r>
            <w:rPr>
              <w:b w:val="0"/>
              <w:sz w:val="20"/>
            </w:rPr>
            <w:drawing>
              <wp:inline distT="0" distB="0" distL="0" distR="0" wp14:anchorId="17597252" wp14:editId="5D8368FD">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73F67EB7" w14:textId="77777777" w:rsidR="00D1128F" w:rsidRPr="00B81675" w:rsidRDefault="00D1128F" w:rsidP="00B81675">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3F6E8" w14:textId="77777777" w:rsidR="00D1128F" w:rsidRDefault="00D1128F" w:rsidP="00556720">
      <w:r>
        <w:separator/>
      </w:r>
    </w:p>
  </w:footnote>
  <w:footnote w:type="continuationSeparator" w:id="0">
    <w:p w14:paraId="2CEF33AD" w14:textId="77777777" w:rsidR="00D1128F" w:rsidRDefault="00D1128F"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1128F" w14:paraId="5AF96EBC" w14:textId="77777777" w:rsidTr="00B81675">
      <w:trPr>
        <w:trHeight w:hRule="exact" w:val="864"/>
      </w:trPr>
      <w:tc>
        <w:tcPr>
          <w:tcW w:w="4920" w:type="dxa"/>
          <w:shd w:val="clear" w:color="auto" w:fill="auto"/>
          <w:vAlign w:val="bottom"/>
        </w:tcPr>
        <w:p w14:paraId="60989FAC" w14:textId="4F6F3087" w:rsidR="00D1128F" w:rsidRPr="00B81675" w:rsidRDefault="00D1128F" w:rsidP="00B81675">
          <w:pPr>
            <w:pStyle w:val="Header"/>
            <w:spacing w:after="80"/>
            <w:rPr>
              <w:b/>
            </w:rPr>
          </w:pPr>
          <w:r>
            <w:rPr>
              <w:b/>
            </w:rPr>
            <w:fldChar w:fldCharType="begin"/>
          </w:r>
          <w:r>
            <w:rPr>
              <w:b/>
            </w:rPr>
            <w:instrText xml:space="preserve"> DOCVARIABLE "sss1" \* MERGEFORMAT </w:instrText>
          </w:r>
          <w:r>
            <w:rPr>
              <w:b/>
            </w:rPr>
            <w:fldChar w:fldCharType="separate"/>
          </w:r>
          <w:r w:rsidR="00A93E86">
            <w:rPr>
              <w:b/>
            </w:rPr>
            <w:t>CEDAW/C/KGZ/5</w:t>
          </w:r>
          <w:r>
            <w:rPr>
              <w:b/>
            </w:rPr>
            <w:fldChar w:fldCharType="end"/>
          </w:r>
        </w:p>
      </w:tc>
      <w:tc>
        <w:tcPr>
          <w:tcW w:w="4920" w:type="dxa"/>
          <w:shd w:val="clear" w:color="auto" w:fill="auto"/>
          <w:vAlign w:val="bottom"/>
        </w:tcPr>
        <w:p w14:paraId="5A32692B" w14:textId="77777777" w:rsidR="00D1128F" w:rsidRDefault="00D1128F" w:rsidP="00B81675">
          <w:pPr>
            <w:pStyle w:val="Header"/>
          </w:pPr>
        </w:p>
      </w:tc>
    </w:tr>
  </w:tbl>
  <w:p w14:paraId="2E1A1384" w14:textId="77777777" w:rsidR="00D1128F" w:rsidRPr="00B81675" w:rsidRDefault="00D1128F" w:rsidP="00B81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1128F" w14:paraId="29E3B766" w14:textId="77777777" w:rsidTr="00B81675">
      <w:trPr>
        <w:trHeight w:hRule="exact" w:val="864"/>
      </w:trPr>
      <w:tc>
        <w:tcPr>
          <w:tcW w:w="4920" w:type="dxa"/>
          <w:shd w:val="clear" w:color="auto" w:fill="auto"/>
          <w:vAlign w:val="bottom"/>
        </w:tcPr>
        <w:p w14:paraId="6A4F693D" w14:textId="77777777" w:rsidR="00D1128F" w:rsidRDefault="00D1128F" w:rsidP="00B81675">
          <w:pPr>
            <w:pStyle w:val="Header"/>
          </w:pPr>
        </w:p>
      </w:tc>
      <w:tc>
        <w:tcPr>
          <w:tcW w:w="4920" w:type="dxa"/>
          <w:shd w:val="clear" w:color="auto" w:fill="auto"/>
          <w:vAlign w:val="bottom"/>
        </w:tcPr>
        <w:p w14:paraId="03853F8D" w14:textId="25CA8E0C" w:rsidR="00D1128F" w:rsidRPr="00B81675" w:rsidRDefault="00D1128F" w:rsidP="00B81675">
          <w:pPr>
            <w:pStyle w:val="Header"/>
            <w:spacing w:after="80"/>
            <w:jc w:val="right"/>
            <w:rPr>
              <w:b/>
            </w:rPr>
          </w:pPr>
          <w:r>
            <w:rPr>
              <w:b/>
            </w:rPr>
            <w:fldChar w:fldCharType="begin"/>
          </w:r>
          <w:r>
            <w:rPr>
              <w:b/>
            </w:rPr>
            <w:instrText xml:space="preserve"> DOCVARIABLE "sss1" \* MERGEFORMAT </w:instrText>
          </w:r>
          <w:r>
            <w:rPr>
              <w:b/>
            </w:rPr>
            <w:fldChar w:fldCharType="separate"/>
          </w:r>
          <w:r w:rsidR="00A93E86">
            <w:rPr>
              <w:b/>
            </w:rPr>
            <w:t>CEDAW/C/KGZ/5</w:t>
          </w:r>
          <w:r>
            <w:rPr>
              <w:b/>
            </w:rPr>
            <w:fldChar w:fldCharType="end"/>
          </w:r>
        </w:p>
      </w:tc>
    </w:tr>
  </w:tbl>
  <w:p w14:paraId="1FFFA038" w14:textId="77777777" w:rsidR="00D1128F" w:rsidRPr="00B81675" w:rsidRDefault="00D1128F" w:rsidP="00B816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D1128F" w14:paraId="3F290A4A" w14:textId="77777777" w:rsidTr="00B81675">
      <w:trPr>
        <w:trHeight w:hRule="exact" w:val="864"/>
      </w:trPr>
      <w:tc>
        <w:tcPr>
          <w:tcW w:w="1267" w:type="dxa"/>
          <w:tcBorders>
            <w:bottom w:val="single" w:sz="4" w:space="0" w:color="auto"/>
          </w:tcBorders>
          <w:shd w:val="clear" w:color="auto" w:fill="auto"/>
          <w:vAlign w:val="bottom"/>
        </w:tcPr>
        <w:p w14:paraId="56A454A9" w14:textId="77777777" w:rsidR="00D1128F" w:rsidRDefault="00D1128F" w:rsidP="00B81675">
          <w:pPr>
            <w:pStyle w:val="Header"/>
            <w:spacing w:after="120"/>
          </w:pPr>
        </w:p>
      </w:tc>
      <w:tc>
        <w:tcPr>
          <w:tcW w:w="1872" w:type="dxa"/>
          <w:tcBorders>
            <w:bottom w:val="single" w:sz="4" w:space="0" w:color="auto"/>
          </w:tcBorders>
          <w:shd w:val="clear" w:color="auto" w:fill="auto"/>
          <w:vAlign w:val="bottom"/>
        </w:tcPr>
        <w:p w14:paraId="7950C636" w14:textId="77777777" w:rsidR="00D1128F" w:rsidRPr="00B81675" w:rsidRDefault="00D1128F" w:rsidP="00B8167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AD0F842" w14:textId="77777777" w:rsidR="00D1128F" w:rsidRDefault="00D1128F" w:rsidP="00B81675">
          <w:pPr>
            <w:pStyle w:val="Header"/>
            <w:spacing w:after="120"/>
          </w:pPr>
        </w:p>
      </w:tc>
      <w:tc>
        <w:tcPr>
          <w:tcW w:w="6466" w:type="dxa"/>
          <w:gridSpan w:val="4"/>
          <w:tcBorders>
            <w:bottom w:val="single" w:sz="4" w:space="0" w:color="auto"/>
          </w:tcBorders>
          <w:shd w:val="clear" w:color="auto" w:fill="auto"/>
          <w:vAlign w:val="bottom"/>
        </w:tcPr>
        <w:p w14:paraId="2DD0D285" w14:textId="77777777" w:rsidR="00D1128F" w:rsidRPr="00B81675" w:rsidRDefault="00D1128F" w:rsidP="00B81675">
          <w:pPr>
            <w:spacing w:after="80" w:line="240" w:lineRule="auto"/>
            <w:jc w:val="right"/>
            <w:rPr>
              <w:position w:val="-4"/>
            </w:rPr>
          </w:pPr>
          <w:r>
            <w:rPr>
              <w:position w:val="-4"/>
              <w:sz w:val="40"/>
            </w:rPr>
            <w:t>CEDAW</w:t>
          </w:r>
          <w:r>
            <w:rPr>
              <w:position w:val="-4"/>
            </w:rPr>
            <w:t>/C/KGZ/5</w:t>
          </w:r>
        </w:p>
      </w:tc>
    </w:tr>
    <w:tr w:rsidR="00D1128F" w:rsidRPr="00B81675" w14:paraId="77FEAECE" w14:textId="77777777" w:rsidTr="00B81675">
      <w:trPr>
        <w:gridAfter w:val="1"/>
        <w:wAfter w:w="15" w:type="dxa"/>
        <w:trHeight w:hRule="exact" w:val="2880"/>
      </w:trPr>
      <w:tc>
        <w:tcPr>
          <w:tcW w:w="1267" w:type="dxa"/>
          <w:tcBorders>
            <w:top w:val="single" w:sz="4" w:space="0" w:color="auto"/>
            <w:bottom w:val="single" w:sz="12" w:space="0" w:color="auto"/>
          </w:tcBorders>
          <w:shd w:val="clear" w:color="auto" w:fill="auto"/>
        </w:tcPr>
        <w:p w14:paraId="247C87C9" w14:textId="77777777" w:rsidR="00D1128F" w:rsidRPr="00B81675" w:rsidRDefault="00D1128F" w:rsidP="00B81675">
          <w:pPr>
            <w:pStyle w:val="Header"/>
            <w:spacing w:before="120"/>
            <w:jc w:val="center"/>
          </w:pPr>
          <w:r>
            <w:t xml:space="preserve"> </w:t>
          </w:r>
          <w:r>
            <w:drawing>
              <wp:inline distT="0" distB="0" distL="0" distR="0" wp14:anchorId="40B6AA77" wp14:editId="3AB65FD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871E7C2" w14:textId="77777777" w:rsidR="00D1128F" w:rsidRPr="00B81675" w:rsidRDefault="00D1128F" w:rsidP="00B81675">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24D4F118" w14:textId="77777777" w:rsidR="00D1128F" w:rsidRPr="00B81675" w:rsidRDefault="00D1128F" w:rsidP="00B81675">
          <w:pPr>
            <w:pStyle w:val="Header"/>
            <w:spacing w:before="109"/>
          </w:pPr>
        </w:p>
      </w:tc>
      <w:tc>
        <w:tcPr>
          <w:tcW w:w="3096" w:type="dxa"/>
          <w:tcBorders>
            <w:top w:val="single" w:sz="4" w:space="0" w:color="auto"/>
            <w:bottom w:val="single" w:sz="12" w:space="0" w:color="auto"/>
          </w:tcBorders>
          <w:shd w:val="clear" w:color="auto" w:fill="auto"/>
        </w:tcPr>
        <w:p w14:paraId="1831E39D" w14:textId="77777777" w:rsidR="00D1128F" w:rsidRDefault="00D1128F" w:rsidP="00B81675">
          <w:pPr>
            <w:pStyle w:val="Publication"/>
            <w:spacing w:before="240"/>
            <w:rPr>
              <w:color w:val="010000"/>
            </w:rPr>
          </w:pPr>
          <w:r>
            <w:rPr>
              <w:color w:val="010000"/>
            </w:rPr>
            <w:t>Distr.: General</w:t>
          </w:r>
        </w:p>
        <w:p w14:paraId="4CF5B2DC" w14:textId="77777777" w:rsidR="00D1128F" w:rsidRDefault="00D1128F" w:rsidP="00B81675">
          <w:pPr>
            <w:rPr>
              <w:lang w:val="en-GB"/>
            </w:rPr>
          </w:pPr>
          <w:r>
            <w:rPr>
              <w:lang w:val="en-GB"/>
            </w:rPr>
            <w:t>5 April 2019</w:t>
          </w:r>
        </w:p>
        <w:p w14:paraId="08DB7DF0" w14:textId="77777777" w:rsidR="00D1128F" w:rsidRDefault="00D1128F" w:rsidP="00B81675">
          <w:pPr>
            <w:rPr>
              <w:lang w:val="en-GB"/>
            </w:rPr>
          </w:pPr>
          <w:r>
            <w:rPr>
              <w:lang w:val="en-GB"/>
            </w:rPr>
            <w:t>English</w:t>
          </w:r>
        </w:p>
        <w:p w14:paraId="4ED6FE07" w14:textId="23C76472" w:rsidR="00D1128F" w:rsidRPr="00CE1383" w:rsidRDefault="00D1128F" w:rsidP="00CE1383">
          <w:pPr>
            <w:rPr>
              <w:lang w:val="en-GB"/>
            </w:rPr>
          </w:pPr>
          <w:r>
            <w:rPr>
              <w:lang w:val="en-GB"/>
            </w:rPr>
            <w:t>Original: Russian</w:t>
          </w:r>
          <w:r>
            <w:t xml:space="preserve"> </w:t>
          </w:r>
        </w:p>
        <w:p w14:paraId="677B15C2" w14:textId="28DC3AC5" w:rsidR="00D1128F" w:rsidRPr="00B81675" w:rsidRDefault="00D1128F" w:rsidP="00CE1383">
          <w:pPr>
            <w:rPr>
              <w:lang w:val="en-GB"/>
            </w:rPr>
          </w:pPr>
          <w:r w:rsidRPr="00CE1383">
            <w:rPr>
              <w:lang w:val="en-GB"/>
            </w:rPr>
            <w:t>English, French, Russian and Spanish only</w:t>
          </w:r>
        </w:p>
      </w:tc>
    </w:tr>
  </w:tbl>
  <w:p w14:paraId="0085144B" w14:textId="77777777" w:rsidR="00D1128F" w:rsidRPr="00B81675" w:rsidRDefault="00D1128F" w:rsidP="00B81675">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visionView w:markup="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905743*"/>
    <w:docVar w:name="CreationDt" w:val="22/04/2019 12:31 PM"/>
    <w:docVar w:name="DocCategory" w:val="Doc"/>
    <w:docVar w:name="DocType" w:val="Final"/>
    <w:docVar w:name="DutyStation" w:val="New York"/>
    <w:docVar w:name="FooterJN" w:val="19-05743"/>
    <w:docVar w:name="jobn" w:val="19-05743 (E)"/>
    <w:docVar w:name="jobnDT" w:val="19-05743 (E)   220419"/>
    <w:docVar w:name="jobnDTDT" w:val="19-05743 (E)   220419   220419"/>
    <w:docVar w:name="JobNo" w:val="1905743E"/>
    <w:docVar w:name="JobNo2" w:val="1910032E"/>
    <w:docVar w:name="LocalDrive" w:val="0"/>
    <w:docVar w:name="OandT" w:val="AMA"/>
    <w:docVar w:name="sss1" w:val="CEDAW/C/KGZ/5"/>
    <w:docVar w:name="sss2" w:val="-"/>
    <w:docVar w:name="Symbol1" w:val="CEDAW/C/KGZ/5"/>
    <w:docVar w:name="Symbol2" w:val="-"/>
  </w:docVars>
  <w:rsids>
    <w:rsidRoot w:val="00E94287"/>
    <w:rsid w:val="0001325F"/>
    <w:rsid w:val="00017FCF"/>
    <w:rsid w:val="00024D1E"/>
    <w:rsid w:val="00027E58"/>
    <w:rsid w:val="000B1197"/>
    <w:rsid w:val="000B3288"/>
    <w:rsid w:val="000C4C9C"/>
    <w:rsid w:val="000C5554"/>
    <w:rsid w:val="000D3E9B"/>
    <w:rsid w:val="00101957"/>
    <w:rsid w:val="00117EA9"/>
    <w:rsid w:val="001445CB"/>
    <w:rsid w:val="00162549"/>
    <w:rsid w:val="00170493"/>
    <w:rsid w:val="00185648"/>
    <w:rsid w:val="00195C48"/>
    <w:rsid w:val="001A207A"/>
    <w:rsid w:val="001A653F"/>
    <w:rsid w:val="001B1F3D"/>
    <w:rsid w:val="001C1CCE"/>
    <w:rsid w:val="001E340D"/>
    <w:rsid w:val="001E7365"/>
    <w:rsid w:val="002007C7"/>
    <w:rsid w:val="00200F9C"/>
    <w:rsid w:val="00214645"/>
    <w:rsid w:val="00224D5F"/>
    <w:rsid w:val="00240E99"/>
    <w:rsid w:val="00244B67"/>
    <w:rsid w:val="002706A2"/>
    <w:rsid w:val="002947F7"/>
    <w:rsid w:val="002A5D95"/>
    <w:rsid w:val="002C3E15"/>
    <w:rsid w:val="002E09A8"/>
    <w:rsid w:val="002E236A"/>
    <w:rsid w:val="002E5372"/>
    <w:rsid w:val="002E6F1D"/>
    <w:rsid w:val="0034578F"/>
    <w:rsid w:val="00346E64"/>
    <w:rsid w:val="0036717C"/>
    <w:rsid w:val="003740F4"/>
    <w:rsid w:val="00381EA2"/>
    <w:rsid w:val="003A102F"/>
    <w:rsid w:val="003A5FF7"/>
    <w:rsid w:val="003C23CC"/>
    <w:rsid w:val="003C72AD"/>
    <w:rsid w:val="003D159A"/>
    <w:rsid w:val="003D1B0A"/>
    <w:rsid w:val="003D5C95"/>
    <w:rsid w:val="003D61CF"/>
    <w:rsid w:val="003E3B08"/>
    <w:rsid w:val="003E723B"/>
    <w:rsid w:val="0042329A"/>
    <w:rsid w:val="00423921"/>
    <w:rsid w:val="0044179B"/>
    <w:rsid w:val="00480B8B"/>
    <w:rsid w:val="004829B7"/>
    <w:rsid w:val="004856CD"/>
    <w:rsid w:val="004A3AB4"/>
    <w:rsid w:val="004B0B18"/>
    <w:rsid w:val="004B4C46"/>
    <w:rsid w:val="004D17DB"/>
    <w:rsid w:val="004F1FFB"/>
    <w:rsid w:val="004F23F9"/>
    <w:rsid w:val="00512A20"/>
    <w:rsid w:val="00553CEB"/>
    <w:rsid w:val="00556720"/>
    <w:rsid w:val="00564415"/>
    <w:rsid w:val="0057060A"/>
    <w:rsid w:val="00570A69"/>
    <w:rsid w:val="005B24C9"/>
    <w:rsid w:val="005C49C8"/>
    <w:rsid w:val="005E3B39"/>
    <w:rsid w:val="005E7D01"/>
    <w:rsid w:val="005F2F1C"/>
    <w:rsid w:val="005F7497"/>
    <w:rsid w:val="00612565"/>
    <w:rsid w:val="006137E4"/>
    <w:rsid w:val="00633380"/>
    <w:rsid w:val="00650535"/>
    <w:rsid w:val="00655D88"/>
    <w:rsid w:val="00662AFF"/>
    <w:rsid w:val="00674235"/>
    <w:rsid w:val="00691DC2"/>
    <w:rsid w:val="006C1959"/>
    <w:rsid w:val="006E60E3"/>
    <w:rsid w:val="006F0308"/>
    <w:rsid w:val="00707CAD"/>
    <w:rsid w:val="007235F4"/>
    <w:rsid w:val="00734278"/>
    <w:rsid w:val="0074630F"/>
    <w:rsid w:val="007555B9"/>
    <w:rsid w:val="00764DD9"/>
    <w:rsid w:val="00777887"/>
    <w:rsid w:val="007A620C"/>
    <w:rsid w:val="007B5A1C"/>
    <w:rsid w:val="007D09D1"/>
    <w:rsid w:val="007F1EE6"/>
    <w:rsid w:val="007F3119"/>
    <w:rsid w:val="007F3DD4"/>
    <w:rsid w:val="0081342A"/>
    <w:rsid w:val="008240FA"/>
    <w:rsid w:val="00824A83"/>
    <w:rsid w:val="008335BC"/>
    <w:rsid w:val="00846D29"/>
    <w:rsid w:val="008504F1"/>
    <w:rsid w:val="00855FFA"/>
    <w:rsid w:val="008723C3"/>
    <w:rsid w:val="008911E2"/>
    <w:rsid w:val="008A156F"/>
    <w:rsid w:val="008A5A4A"/>
    <w:rsid w:val="008D25D3"/>
    <w:rsid w:val="008E5621"/>
    <w:rsid w:val="008F1C5D"/>
    <w:rsid w:val="00910B0C"/>
    <w:rsid w:val="0092316F"/>
    <w:rsid w:val="0092697C"/>
    <w:rsid w:val="009366F2"/>
    <w:rsid w:val="00942D38"/>
    <w:rsid w:val="00960A75"/>
    <w:rsid w:val="00963A8E"/>
    <w:rsid w:val="009957B7"/>
    <w:rsid w:val="00997E27"/>
    <w:rsid w:val="009E1969"/>
    <w:rsid w:val="00A20AC0"/>
    <w:rsid w:val="00A4128F"/>
    <w:rsid w:val="00A5555B"/>
    <w:rsid w:val="00A72BF9"/>
    <w:rsid w:val="00A93A73"/>
    <w:rsid w:val="00A93E86"/>
    <w:rsid w:val="00AA2E74"/>
    <w:rsid w:val="00AA3DDC"/>
    <w:rsid w:val="00AC617F"/>
    <w:rsid w:val="00AD3999"/>
    <w:rsid w:val="00AE1D85"/>
    <w:rsid w:val="00AF39DC"/>
    <w:rsid w:val="00B27E2C"/>
    <w:rsid w:val="00B31BF5"/>
    <w:rsid w:val="00B40842"/>
    <w:rsid w:val="00B81675"/>
    <w:rsid w:val="00B900A6"/>
    <w:rsid w:val="00B9697E"/>
    <w:rsid w:val="00BA68CE"/>
    <w:rsid w:val="00BB1457"/>
    <w:rsid w:val="00BB5C7D"/>
    <w:rsid w:val="00BB6FA1"/>
    <w:rsid w:val="00BF5B27"/>
    <w:rsid w:val="00BF6BE0"/>
    <w:rsid w:val="00C34583"/>
    <w:rsid w:val="00C40657"/>
    <w:rsid w:val="00C5314A"/>
    <w:rsid w:val="00C66A63"/>
    <w:rsid w:val="00C779E4"/>
    <w:rsid w:val="00CA545E"/>
    <w:rsid w:val="00CB1913"/>
    <w:rsid w:val="00CD14F5"/>
    <w:rsid w:val="00CD2BEB"/>
    <w:rsid w:val="00CD4AC4"/>
    <w:rsid w:val="00CE1383"/>
    <w:rsid w:val="00CE7C5D"/>
    <w:rsid w:val="00D1128F"/>
    <w:rsid w:val="00D526E8"/>
    <w:rsid w:val="00D60F8E"/>
    <w:rsid w:val="00D60F97"/>
    <w:rsid w:val="00D62FDC"/>
    <w:rsid w:val="00D66FCF"/>
    <w:rsid w:val="00D820D9"/>
    <w:rsid w:val="00DA41B6"/>
    <w:rsid w:val="00DB3DAD"/>
    <w:rsid w:val="00DC232B"/>
    <w:rsid w:val="00DC4090"/>
    <w:rsid w:val="00DC7B16"/>
    <w:rsid w:val="00DE55BD"/>
    <w:rsid w:val="00DF2B80"/>
    <w:rsid w:val="00DF5766"/>
    <w:rsid w:val="00E11656"/>
    <w:rsid w:val="00E35052"/>
    <w:rsid w:val="00E66121"/>
    <w:rsid w:val="00E765DC"/>
    <w:rsid w:val="00E770CB"/>
    <w:rsid w:val="00E870C2"/>
    <w:rsid w:val="00E94287"/>
    <w:rsid w:val="00EC23E0"/>
    <w:rsid w:val="00ED42F5"/>
    <w:rsid w:val="00F06554"/>
    <w:rsid w:val="00F27BF6"/>
    <w:rsid w:val="00F30184"/>
    <w:rsid w:val="00F46ECD"/>
    <w:rsid w:val="00F5593E"/>
    <w:rsid w:val="00F604F5"/>
    <w:rsid w:val="00F7686F"/>
    <w:rsid w:val="00F83019"/>
    <w:rsid w:val="00F8600E"/>
    <w:rsid w:val="00F94BC6"/>
    <w:rsid w:val="00FA3324"/>
    <w:rsid w:val="00FC26D9"/>
    <w:rsid w:val="00FC49F5"/>
    <w:rsid w:val="00FD08CC"/>
    <w:rsid w:val="00FD0F9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5F8A67"/>
  <w15:chartTrackingRefBased/>
  <w15:docId w15:val="{B2D0312B-1CE6-47FE-9711-8B0C77D4B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25D3"/>
    <w:pPr>
      <w:suppressAutoHyphens/>
      <w:spacing w:after="0" w:line="240" w:lineRule="exact"/>
    </w:pPr>
    <w:rPr>
      <w:rFonts w:ascii="Times New Roman" w:eastAsiaTheme="minorHAnsi" w:hAnsi="Times New Roman" w:cs="Times New Roman"/>
      <w:spacing w:val="4"/>
      <w:w w:val="103"/>
      <w:kern w:val="14"/>
      <w:sz w:val="20"/>
      <w:szCs w:val="20"/>
      <w:lang w:val="en-TT"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2E236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2E236A"/>
    <w:pPr>
      <w:spacing w:line="300" w:lineRule="exact"/>
      <w:ind w:left="0" w:right="0" w:firstLine="0"/>
    </w:pPr>
    <w:rPr>
      <w:spacing w:val="-2"/>
      <w:sz w:val="28"/>
    </w:rPr>
  </w:style>
  <w:style w:type="paragraph" w:customStyle="1" w:styleId="HM">
    <w:name w:val="_ H __M"/>
    <w:basedOn w:val="HCh"/>
    <w:next w:val="Normal"/>
    <w:rsid w:val="002E236A"/>
    <w:pPr>
      <w:spacing w:line="360" w:lineRule="exact"/>
    </w:pPr>
    <w:rPr>
      <w:spacing w:val="-3"/>
      <w:w w:val="99"/>
      <w:sz w:val="34"/>
    </w:rPr>
  </w:style>
  <w:style w:type="paragraph" w:customStyle="1" w:styleId="H23">
    <w:name w:val="_ H_2/3"/>
    <w:basedOn w:val="Normal"/>
    <w:next w:val="SingleTxt"/>
    <w:rsid w:val="002E236A"/>
    <w:pPr>
      <w:outlineLvl w:val="1"/>
    </w:pPr>
    <w:rPr>
      <w:b/>
      <w:lang w:val="en-US"/>
    </w:rPr>
  </w:style>
  <w:style w:type="paragraph" w:customStyle="1" w:styleId="H4">
    <w:name w:val="_ H_4"/>
    <w:basedOn w:val="Normal"/>
    <w:next w:val="Normal"/>
    <w:rsid w:val="002E236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2E236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2E236A"/>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2E236A"/>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2E236A"/>
    <w:pPr>
      <w:spacing w:line="540" w:lineRule="exact"/>
    </w:pPr>
    <w:rPr>
      <w:spacing w:val="-8"/>
      <w:w w:val="96"/>
      <w:sz w:val="57"/>
    </w:rPr>
  </w:style>
  <w:style w:type="paragraph" w:customStyle="1" w:styleId="SS">
    <w:name w:val="__S_S"/>
    <w:basedOn w:val="HCh"/>
    <w:next w:val="Normal"/>
    <w:rsid w:val="002E236A"/>
    <w:pPr>
      <w:ind w:left="1267" w:right="1267"/>
    </w:pPr>
  </w:style>
  <w:style w:type="paragraph" w:customStyle="1" w:styleId="SingleTxt">
    <w:name w:val="__Single Txt"/>
    <w:basedOn w:val="Normal"/>
    <w:rsid w:val="002E236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2E236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2E236A"/>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2E236A"/>
    <w:pPr>
      <w:spacing w:line="240" w:lineRule="exact"/>
      <w:ind w:left="0" w:right="5040" w:firstLine="0"/>
      <w:outlineLvl w:val="1"/>
    </w:pPr>
    <w:rPr>
      <w:sz w:val="20"/>
    </w:rPr>
  </w:style>
  <w:style w:type="paragraph" w:styleId="BalloonText">
    <w:name w:val="Balloon Text"/>
    <w:basedOn w:val="Normal"/>
    <w:link w:val="BalloonTextChar"/>
    <w:semiHidden/>
    <w:rsid w:val="002E236A"/>
    <w:rPr>
      <w:rFonts w:ascii="Tahoma" w:hAnsi="Tahoma" w:cs="Tahoma"/>
      <w:sz w:val="16"/>
      <w:szCs w:val="16"/>
    </w:rPr>
  </w:style>
  <w:style w:type="character" w:customStyle="1" w:styleId="BalloonTextChar">
    <w:name w:val="Balloon Text Char"/>
    <w:basedOn w:val="DefaultParagraphFont"/>
    <w:link w:val="BalloonText"/>
    <w:semiHidden/>
    <w:rsid w:val="002E236A"/>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2E236A"/>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2E236A"/>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2E236A"/>
    <w:rPr>
      <w:sz w:val="6"/>
    </w:rPr>
  </w:style>
  <w:style w:type="paragraph" w:customStyle="1" w:styleId="Distribution">
    <w:name w:val="Distribution"/>
    <w:next w:val="Normal"/>
    <w:rsid w:val="002E236A"/>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2E236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2E236A"/>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2E236A"/>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2E236A"/>
  </w:style>
  <w:style w:type="character" w:customStyle="1" w:styleId="EndnoteTextChar">
    <w:name w:val="Endnote Text Char"/>
    <w:basedOn w:val="DefaultParagraphFont"/>
    <w:link w:val="EndnoteText"/>
    <w:semiHidden/>
    <w:rsid w:val="002E236A"/>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2E236A"/>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2E236A"/>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2E236A"/>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2E236A"/>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2E236A"/>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2E236A"/>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2E236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2E236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2E236A"/>
    <w:pPr>
      <w:tabs>
        <w:tab w:val="right" w:pos="9965"/>
      </w:tabs>
      <w:spacing w:line="210" w:lineRule="exact"/>
    </w:pPr>
    <w:rPr>
      <w:spacing w:val="5"/>
      <w:w w:val="104"/>
      <w:sz w:val="17"/>
    </w:rPr>
  </w:style>
  <w:style w:type="paragraph" w:customStyle="1" w:styleId="SmallX">
    <w:name w:val="SmallX"/>
    <w:basedOn w:val="Small"/>
    <w:next w:val="Normal"/>
    <w:rsid w:val="002E236A"/>
    <w:pPr>
      <w:spacing w:line="180" w:lineRule="exact"/>
      <w:jc w:val="right"/>
    </w:pPr>
    <w:rPr>
      <w:spacing w:val="6"/>
      <w:w w:val="106"/>
      <w:sz w:val="14"/>
    </w:rPr>
  </w:style>
  <w:style w:type="paragraph" w:customStyle="1" w:styleId="TitleHCH">
    <w:name w:val="Title_H_CH"/>
    <w:basedOn w:val="H1"/>
    <w:next w:val="Normal"/>
    <w:qFormat/>
    <w:rsid w:val="002E236A"/>
    <w:pPr>
      <w:spacing w:line="300" w:lineRule="exact"/>
      <w:ind w:left="0" w:right="0" w:firstLine="0"/>
    </w:pPr>
    <w:rPr>
      <w:spacing w:val="-2"/>
      <w:sz w:val="28"/>
    </w:rPr>
  </w:style>
  <w:style w:type="paragraph" w:customStyle="1" w:styleId="TitleH2">
    <w:name w:val="Title_H2"/>
    <w:basedOn w:val="Normal"/>
    <w:next w:val="Normal"/>
    <w:qFormat/>
    <w:rsid w:val="002E236A"/>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2E236A"/>
    <w:pPr>
      <w:spacing w:line="390" w:lineRule="exact"/>
    </w:pPr>
    <w:rPr>
      <w:spacing w:val="-4"/>
      <w:w w:val="98"/>
      <w:sz w:val="40"/>
    </w:rPr>
  </w:style>
  <w:style w:type="character" w:styleId="Hyperlink">
    <w:name w:val="Hyperlink"/>
    <w:basedOn w:val="DefaultParagraphFont"/>
    <w:rsid w:val="002E236A"/>
    <w:rPr>
      <w:color w:val="0000FF"/>
      <w:u w:val="none"/>
    </w:rPr>
  </w:style>
  <w:style w:type="paragraph" w:styleId="PlainText">
    <w:name w:val="Plain Text"/>
    <w:basedOn w:val="Normal"/>
    <w:link w:val="PlainTextChar"/>
    <w:rsid w:val="002E236A"/>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2E236A"/>
    <w:rPr>
      <w:rFonts w:ascii="Courier New" w:eastAsia="Times New Roman" w:hAnsi="Courier New" w:cs="Times New Roman"/>
      <w:sz w:val="20"/>
      <w:szCs w:val="20"/>
      <w:lang w:val="en-US" w:eastAsia="en-GB"/>
    </w:rPr>
  </w:style>
  <w:style w:type="paragraph" w:customStyle="1" w:styleId="ReleaseDate0">
    <w:name w:val="Release Date"/>
    <w:next w:val="Footer"/>
    <w:rsid w:val="002E236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2E236A"/>
  </w:style>
  <w:style w:type="table" w:styleId="TableGrid">
    <w:name w:val="Table Grid"/>
    <w:basedOn w:val="TableNormal"/>
    <w:rsid w:val="002E236A"/>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B81675"/>
    <w:pPr>
      <w:spacing w:line="240" w:lineRule="auto"/>
    </w:pPr>
  </w:style>
  <w:style w:type="character" w:customStyle="1" w:styleId="CommentTextChar">
    <w:name w:val="Comment Text Char"/>
    <w:basedOn w:val="DefaultParagraphFont"/>
    <w:link w:val="CommentText"/>
    <w:uiPriority w:val="99"/>
    <w:semiHidden/>
    <w:rsid w:val="00B81675"/>
    <w:rPr>
      <w:rFonts w:ascii="Times New Roman" w:eastAsiaTheme="minorHAnsi" w:hAnsi="Times New Roman" w:cs="Times New Roman"/>
      <w:spacing w:val="4"/>
      <w:w w:val="103"/>
      <w:kern w:val="14"/>
      <w:sz w:val="20"/>
      <w:szCs w:val="20"/>
      <w:lang w:val="en-TT" w:eastAsia="en-US"/>
    </w:rPr>
  </w:style>
  <w:style w:type="paragraph" w:styleId="CommentSubject">
    <w:name w:val="annotation subject"/>
    <w:basedOn w:val="CommentText"/>
    <w:next w:val="CommentText"/>
    <w:link w:val="CommentSubjectChar"/>
    <w:uiPriority w:val="99"/>
    <w:semiHidden/>
    <w:unhideWhenUsed/>
    <w:rsid w:val="00B81675"/>
    <w:rPr>
      <w:b/>
      <w:bCs/>
    </w:rPr>
  </w:style>
  <w:style w:type="character" w:customStyle="1" w:styleId="CommentSubjectChar">
    <w:name w:val="Comment Subject Char"/>
    <w:basedOn w:val="CommentTextChar"/>
    <w:link w:val="CommentSubject"/>
    <w:uiPriority w:val="99"/>
    <w:semiHidden/>
    <w:rsid w:val="00B81675"/>
    <w:rPr>
      <w:rFonts w:ascii="Times New Roman" w:eastAsiaTheme="minorHAnsi" w:hAnsi="Times New Roman" w:cs="Times New Roman"/>
      <w:b/>
      <w:bCs/>
      <w:spacing w:val="4"/>
      <w:w w:val="103"/>
      <w:kern w:val="14"/>
      <w:sz w:val="20"/>
      <w:szCs w:val="20"/>
      <w:lang w:val="en-TT" w:eastAsia="en-US"/>
    </w:rPr>
  </w:style>
  <w:style w:type="paragraph" w:styleId="Revision">
    <w:name w:val="Revision"/>
    <w:hidden/>
    <w:uiPriority w:val="99"/>
    <w:semiHidden/>
    <w:rsid w:val="004A3AB4"/>
    <w:pPr>
      <w:spacing w:after="0" w:line="240" w:lineRule="auto"/>
    </w:pPr>
    <w:rPr>
      <w:rFonts w:ascii="Times New Roman" w:eastAsiaTheme="minorHAnsi" w:hAnsi="Times New Roman" w:cs="Times New Roman"/>
      <w:spacing w:val="4"/>
      <w:w w:val="103"/>
      <w:kern w:val="14"/>
      <w:sz w:val="20"/>
      <w:szCs w:val="20"/>
      <w:lang w:val="en-TT" w:eastAsia="en-US"/>
    </w:rPr>
  </w:style>
  <w:style w:type="character" w:styleId="FollowedHyperlink">
    <w:name w:val="FollowedHyperlink"/>
    <w:basedOn w:val="DefaultParagraphFont"/>
    <w:uiPriority w:val="99"/>
    <w:semiHidden/>
    <w:unhideWhenUsed/>
    <w:rsid w:val="00CD2BEB"/>
    <w:rPr>
      <w:color w:val="0000FF"/>
      <w:u w:val="none"/>
    </w:rPr>
  </w:style>
  <w:style w:type="character" w:styleId="UnresolvedMention">
    <w:name w:val="Unresolved Mention"/>
    <w:basedOn w:val="DefaultParagraphFont"/>
    <w:uiPriority w:val="99"/>
    <w:semiHidden/>
    <w:unhideWhenUsed/>
    <w:rsid w:val="00CD2B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S/RES/1325%20(200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hart" Target="charts/chart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KGZ/CO/4" TargetMode="External"/><Relationship Id="rId25"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hyperlink" Target="https://undocs.org/en/CEDAW/C/7/Rev.3"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yperlink" Target="https://undocs.org/en/CEDAW/C/KGZ/5" TargetMode="External"/><Relationship Id="rId23" Type="http://schemas.openxmlformats.org/officeDocument/2006/relationships/chart" Target="charts/chart4.xml"/><Relationship Id="rId10" Type="http://schemas.openxmlformats.org/officeDocument/2006/relationships/footer" Target="footer2.xml"/><Relationship Id="rId19"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chart" Target="charts/chart3.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1.bin"/><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13063138595808943"/>
          <c:y val="2.6417834134369569E-2"/>
          <c:w val="0.66248800731199164"/>
          <c:h val="0.8171006439298556"/>
        </c:manualLayout>
      </c:layout>
      <c:bar3DChart>
        <c:barDir val="col"/>
        <c:grouping val="clustered"/>
        <c:varyColors val="0"/>
        <c:ser>
          <c:idx val="0"/>
          <c:order val="0"/>
          <c:tx>
            <c:strRef>
              <c:f>Лист1!$B$1</c:f>
              <c:strCache>
                <c:ptCount val="1"/>
                <c:pt idx="0">
                  <c:v>Total posts on staffing table</c:v>
                </c:pt>
              </c:strCache>
            </c:strRef>
          </c:tx>
          <c:spPr>
            <a:pattFill prst="pct30">
              <a:fgClr>
                <a:schemeClr val="tx1"/>
              </a:fgClr>
              <a:bgClr>
                <a:schemeClr val="bg1"/>
              </a:bgClr>
            </a:pattFill>
          </c:spPr>
          <c:invertIfNegative val="0"/>
          <c:dLbls>
            <c:dLbl>
              <c:idx val="0"/>
              <c:layout>
                <c:manualLayout>
                  <c:x val="-1.8939393939393919E-2"/>
                  <c:y val="0"/>
                </c:manualLayout>
              </c:layout>
              <c:tx>
                <c:rich>
                  <a:bodyPr/>
                  <a:lstStyle/>
                  <a:p>
                    <a:r>
                      <a:rPr lang="en-US"/>
                      <a:t>17 847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8C4-4DA3-B1C3-AB5696063134}"/>
                </c:ext>
              </c:extLst>
            </c:dLbl>
            <c:dLbl>
              <c:idx val="1"/>
              <c:layout>
                <c:manualLayout>
                  <c:x val="2.0990747368700123E-3"/>
                  <c:y val="-3.2876992446950047E-2"/>
                </c:manualLayout>
              </c:layout>
              <c:spPr/>
              <c:txPr>
                <a:bodyPr rot="-5400000" vert="horz"/>
                <a:lstStyle/>
                <a:p>
                  <a:pPr>
                    <a:defRPr b="1"/>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8C4-4DA3-B1C3-AB5696063134}"/>
                </c:ext>
              </c:extLst>
            </c:dLbl>
            <c:dLbl>
              <c:idx val="2"/>
              <c:layout>
                <c:manualLayout>
                  <c:x val="-6.313131313131313E-3"/>
                  <c:y val="-5.5884286653517426E-2"/>
                </c:manualLayout>
              </c:layout>
              <c:spPr/>
              <c:txPr>
                <a:bodyPr rot="-5400000" vert="horz"/>
                <a:lstStyle/>
                <a:p>
                  <a:pPr>
                    <a:defRPr b="1"/>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8C4-4DA3-B1C3-AB5696063134}"/>
                </c:ext>
              </c:extLst>
            </c:dLbl>
            <c:dLbl>
              <c:idx val="3"/>
              <c:tx>
                <c:rich>
                  <a:bodyPr/>
                  <a:lstStyle/>
                  <a:p>
                    <a:r>
                      <a:rPr lang="en-US"/>
                      <a:t>17 130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8C4-4DA3-B1C3-AB5696063134}"/>
                </c:ext>
              </c:extLst>
            </c:dLbl>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Total</c:v>
                </c:pt>
                <c:pt idx="1">
                  <c:v>Political posts</c:v>
                </c:pt>
                <c:pt idx="2">
                  <c:v>Special posts</c:v>
                </c:pt>
                <c:pt idx="3">
                  <c:v>Administrative posts</c:v>
                </c:pt>
              </c:strCache>
            </c:strRef>
          </c:cat>
          <c:val>
            <c:numRef>
              <c:f>Лист1!$B$2:$B$5</c:f>
              <c:numCache>
                <c:formatCode>General</c:formatCode>
                <c:ptCount val="4"/>
                <c:pt idx="0" formatCode="#,##0">
                  <c:v>17847</c:v>
                </c:pt>
                <c:pt idx="1">
                  <c:v>219</c:v>
                </c:pt>
                <c:pt idx="2">
                  <c:v>498</c:v>
                </c:pt>
                <c:pt idx="3" formatCode="#,##0">
                  <c:v>17130</c:v>
                </c:pt>
              </c:numCache>
            </c:numRef>
          </c:val>
          <c:extLst>
            <c:ext xmlns:c16="http://schemas.microsoft.com/office/drawing/2014/chart" uri="{C3380CC4-5D6E-409C-BE32-E72D297353CC}">
              <c16:uniqueId val="{00000004-28C4-4DA3-B1C3-AB5696063134}"/>
            </c:ext>
          </c:extLst>
        </c:ser>
        <c:ser>
          <c:idx val="1"/>
          <c:order val="1"/>
          <c:tx>
            <c:strRef>
              <c:f>Лист1!$C$1</c:f>
              <c:strCache>
                <c:ptCount val="1"/>
                <c:pt idx="0">
                  <c:v>Posts occupied</c:v>
                </c:pt>
              </c:strCache>
            </c:strRef>
          </c:tx>
          <c:spPr>
            <a:pattFill prst="pct10">
              <a:fgClr>
                <a:schemeClr val="tx1"/>
              </a:fgClr>
              <a:bgClr>
                <a:schemeClr val="bg1"/>
              </a:bgClr>
            </a:pattFill>
          </c:spPr>
          <c:invertIfNegative val="0"/>
          <c:dLbls>
            <c:dLbl>
              <c:idx val="0"/>
              <c:layout>
                <c:manualLayout>
                  <c:x val="3.0092592592592591E-2"/>
                  <c:y val="0"/>
                </c:manualLayout>
              </c:layout>
              <c:tx>
                <c:rich>
                  <a:bodyPr rot="0" vert="horz"/>
                  <a:lstStyle/>
                  <a:p>
                    <a:pPr>
                      <a:defRPr b="1"/>
                    </a:pPr>
                    <a:r>
                      <a:rPr lang="en-US"/>
                      <a:t>16 539</a:t>
                    </a:r>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8C4-4DA3-B1C3-AB5696063134}"/>
                </c:ext>
              </c:extLst>
            </c:dLbl>
            <c:dLbl>
              <c:idx val="1"/>
              <c:layout>
                <c:manualLayout>
                  <c:x val="1.8940063537599813E-3"/>
                  <c:y val="-3.93957190994690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8C4-4DA3-B1C3-AB5696063134}"/>
                </c:ext>
              </c:extLst>
            </c:dLbl>
            <c:dLbl>
              <c:idx val="2"/>
              <c:layout>
                <c:manualLayout>
                  <c:x val="-1.2626709025066543E-3"/>
                  <c:y val="-5.10766352225774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8C4-4DA3-B1C3-AB5696063134}"/>
                </c:ext>
              </c:extLst>
            </c:dLbl>
            <c:dLbl>
              <c:idx val="3"/>
              <c:layout>
                <c:manualLayout>
                  <c:x val="3.5774410774410771E-2"/>
                  <c:y val="-9.8619329388560158E-3"/>
                </c:manualLayout>
              </c:layout>
              <c:tx>
                <c:rich>
                  <a:bodyPr rot="0" vert="horz"/>
                  <a:lstStyle/>
                  <a:p>
                    <a:pPr>
                      <a:defRPr b="1"/>
                    </a:pPr>
                    <a:r>
                      <a:rPr lang="en-US"/>
                      <a:t>15 838</a:t>
                    </a:r>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8C4-4DA3-B1C3-AB5696063134}"/>
                </c:ext>
              </c:extLst>
            </c:dLbl>
            <c:spPr>
              <a:noFill/>
              <a:ln>
                <a:noFill/>
              </a:ln>
              <a:effectLst/>
            </c:spPr>
            <c:txPr>
              <a:bodyPr rot="-5400000" vert="horz"/>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Total</c:v>
                </c:pt>
                <c:pt idx="1">
                  <c:v>Political posts</c:v>
                </c:pt>
                <c:pt idx="2">
                  <c:v>Special posts</c:v>
                </c:pt>
                <c:pt idx="3">
                  <c:v>Administrative posts</c:v>
                </c:pt>
              </c:strCache>
            </c:strRef>
          </c:cat>
          <c:val>
            <c:numRef>
              <c:f>Лист1!$C$2:$C$5</c:f>
              <c:numCache>
                <c:formatCode>General</c:formatCode>
                <c:ptCount val="4"/>
                <c:pt idx="0" formatCode="#,##0">
                  <c:v>16539</c:v>
                </c:pt>
                <c:pt idx="1">
                  <c:v>216</c:v>
                </c:pt>
                <c:pt idx="2">
                  <c:v>485</c:v>
                </c:pt>
                <c:pt idx="3" formatCode="#,##0">
                  <c:v>15838</c:v>
                </c:pt>
              </c:numCache>
            </c:numRef>
          </c:val>
          <c:extLst>
            <c:ext xmlns:c16="http://schemas.microsoft.com/office/drawing/2014/chart" uri="{C3380CC4-5D6E-409C-BE32-E72D297353CC}">
              <c16:uniqueId val="{00000009-28C4-4DA3-B1C3-AB5696063134}"/>
            </c:ext>
          </c:extLst>
        </c:ser>
        <c:ser>
          <c:idx val="2"/>
          <c:order val="2"/>
          <c:tx>
            <c:strRef>
              <c:f>Лист1!$D$1</c:f>
              <c:strCache>
                <c:ptCount val="1"/>
                <c:pt idx="0">
                  <c:v>Posts occupied by women</c:v>
                </c:pt>
              </c:strCache>
            </c:strRef>
          </c:tx>
          <c:spPr>
            <a:pattFill prst="lgGrid">
              <a:fgClr>
                <a:schemeClr val="tx1"/>
              </a:fgClr>
              <a:bgClr>
                <a:schemeClr val="bg1"/>
              </a:bgClr>
            </a:pattFill>
          </c:spPr>
          <c:invertIfNegative val="0"/>
          <c:dLbls>
            <c:dLbl>
              <c:idx val="0"/>
              <c:layout>
                <c:manualLayout>
                  <c:x val="3.4722222222222224E-2"/>
                  <c:y val="-1.1904761904761977E-2"/>
                </c:manualLayout>
              </c:layout>
              <c:tx>
                <c:rich>
                  <a:bodyPr/>
                  <a:lstStyle/>
                  <a:p>
                    <a:r>
                      <a:rPr lang="en-US"/>
                      <a:t>6 990 (42%)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8C4-4DA3-B1C3-AB5696063134}"/>
                </c:ext>
              </c:extLst>
            </c:dLbl>
            <c:dLbl>
              <c:idx val="1"/>
              <c:layout>
                <c:manualLayout>
                  <c:x val="2.7356902356902358E-3"/>
                  <c:y val="-2.1766657865991603E-2"/>
                </c:manualLayout>
              </c:layout>
              <c:tx>
                <c:rich>
                  <a:bodyPr rot="-5400000" vert="horz"/>
                  <a:lstStyle/>
                  <a:p>
                    <a:pPr>
                      <a:defRPr b="1"/>
                    </a:pPr>
                    <a:r>
                      <a:rPr lang="en-US" b="1"/>
                      <a:t>26 (12%)</a:t>
                    </a:r>
                    <a:endParaRPr lang="en-US"/>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8C4-4DA3-B1C3-AB5696063134}"/>
                </c:ext>
              </c:extLst>
            </c:dLbl>
            <c:dLbl>
              <c:idx val="2"/>
              <c:layout>
                <c:manualLayout>
                  <c:x val="-3.1565656565656565E-3"/>
                  <c:y val="-7.7650944519509033E-2"/>
                </c:manualLayout>
              </c:layout>
              <c:tx>
                <c:rich>
                  <a:bodyPr rot="-5400000" vert="horz"/>
                  <a:lstStyle/>
                  <a:p>
                    <a:pPr>
                      <a:defRPr b="1"/>
                    </a:pPr>
                    <a:r>
                      <a:rPr lang="en-US" b="1"/>
                      <a:t>190 (39%)</a:t>
                    </a:r>
                    <a:endParaRPr lang="en-US"/>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8C4-4DA3-B1C3-AB5696063134}"/>
                </c:ext>
              </c:extLst>
            </c:dLbl>
            <c:dLbl>
              <c:idx val="3"/>
              <c:layout>
                <c:manualLayout>
                  <c:x val="7.6095114473743938E-2"/>
                  <c:y val="8.472163751808244E-2"/>
                </c:manualLayout>
              </c:layout>
              <c:tx>
                <c:rich>
                  <a:bodyPr/>
                  <a:lstStyle/>
                  <a:p>
                    <a:r>
                      <a:rPr lang="en-US"/>
                      <a:t>6</a:t>
                    </a:r>
                    <a:r>
                      <a:rPr lang="en-US" baseline="0"/>
                      <a:t> </a:t>
                    </a:r>
                    <a:r>
                      <a:rPr lang="en-US"/>
                      <a:t>774 (42%)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8C4-4DA3-B1C3-AB5696063134}"/>
                </c:ext>
              </c:extLst>
            </c:dLbl>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Total</c:v>
                </c:pt>
                <c:pt idx="1">
                  <c:v>Political posts</c:v>
                </c:pt>
                <c:pt idx="2">
                  <c:v>Special posts</c:v>
                </c:pt>
                <c:pt idx="3">
                  <c:v>Administrative posts</c:v>
                </c:pt>
              </c:strCache>
            </c:strRef>
          </c:cat>
          <c:val>
            <c:numRef>
              <c:f>Лист1!$D$2:$D$5</c:f>
              <c:numCache>
                <c:formatCode>General</c:formatCode>
                <c:ptCount val="4"/>
                <c:pt idx="0" formatCode="#,##0">
                  <c:v>6990</c:v>
                </c:pt>
                <c:pt idx="1">
                  <c:v>26</c:v>
                </c:pt>
                <c:pt idx="2">
                  <c:v>190</c:v>
                </c:pt>
                <c:pt idx="3" formatCode="#,##0">
                  <c:v>6774</c:v>
                </c:pt>
              </c:numCache>
            </c:numRef>
          </c:val>
          <c:extLst>
            <c:ext xmlns:c16="http://schemas.microsoft.com/office/drawing/2014/chart" uri="{C3380CC4-5D6E-409C-BE32-E72D297353CC}">
              <c16:uniqueId val="{0000000E-28C4-4DA3-B1C3-AB5696063134}"/>
            </c:ext>
          </c:extLst>
        </c:ser>
        <c:ser>
          <c:idx val="3"/>
          <c:order val="3"/>
          <c:tx>
            <c:strRef>
              <c:f>Лист1!$E$1</c:f>
              <c:strCache>
                <c:ptCount val="1"/>
                <c:pt idx="0">
                  <c:v>Column1</c:v>
                </c:pt>
              </c:strCache>
            </c:strRef>
          </c:tx>
          <c:invertIfNegative val="0"/>
          <c:cat>
            <c:strRef>
              <c:f>Лист1!$A$2:$A$5</c:f>
              <c:strCache>
                <c:ptCount val="4"/>
                <c:pt idx="0">
                  <c:v>Total</c:v>
                </c:pt>
                <c:pt idx="1">
                  <c:v>Political posts</c:v>
                </c:pt>
                <c:pt idx="2">
                  <c:v>Special posts</c:v>
                </c:pt>
                <c:pt idx="3">
                  <c:v>Administrative posts</c:v>
                </c:pt>
              </c:strCache>
            </c:strRef>
          </c:cat>
          <c:val>
            <c:numRef>
              <c:f>Лист1!$E$2:$E$5</c:f>
              <c:numCache>
                <c:formatCode>General</c:formatCode>
                <c:ptCount val="4"/>
              </c:numCache>
            </c:numRef>
          </c:val>
          <c:extLst>
            <c:ext xmlns:c16="http://schemas.microsoft.com/office/drawing/2014/chart" uri="{C3380CC4-5D6E-409C-BE32-E72D297353CC}">
              <c16:uniqueId val="{0000000F-28C4-4DA3-B1C3-AB5696063134}"/>
            </c:ext>
          </c:extLst>
        </c:ser>
        <c:dLbls>
          <c:showLegendKey val="0"/>
          <c:showVal val="0"/>
          <c:showCatName val="0"/>
          <c:showSerName val="0"/>
          <c:showPercent val="0"/>
          <c:showBubbleSize val="0"/>
        </c:dLbls>
        <c:gapWidth val="150"/>
        <c:shape val="cylinder"/>
        <c:axId val="336332200"/>
        <c:axId val="292270048"/>
        <c:axId val="0"/>
      </c:bar3DChart>
      <c:dateAx>
        <c:axId val="336332200"/>
        <c:scaling>
          <c:orientation val="minMax"/>
        </c:scaling>
        <c:delete val="0"/>
        <c:axPos val="b"/>
        <c:numFmt formatCode="General" sourceLinked="0"/>
        <c:majorTickMark val="out"/>
        <c:minorTickMark val="none"/>
        <c:tickLblPos val="nextTo"/>
        <c:txPr>
          <a:bodyPr/>
          <a:lstStyle/>
          <a:p>
            <a:pPr>
              <a:defRPr sz="800"/>
            </a:pPr>
            <a:endParaRPr lang="en-US"/>
          </a:p>
        </c:txPr>
        <c:crossAx val="292270048"/>
        <c:crosses val="autoZero"/>
        <c:auto val="0"/>
        <c:lblOffset val="100"/>
        <c:baseTimeUnit val="days"/>
      </c:dateAx>
      <c:valAx>
        <c:axId val="292270048"/>
        <c:scaling>
          <c:orientation val="minMax"/>
        </c:scaling>
        <c:delete val="0"/>
        <c:axPos val="l"/>
        <c:majorGridlines>
          <c:spPr>
            <a:ln>
              <a:noFill/>
            </a:ln>
          </c:spPr>
        </c:majorGridlines>
        <c:numFmt formatCode="#,##0" sourceLinked="1"/>
        <c:majorTickMark val="out"/>
        <c:minorTickMark val="none"/>
        <c:tickLblPos val="nextTo"/>
        <c:crossAx val="336332200"/>
        <c:crosses val="autoZero"/>
        <c:crossBetween val="between"/>
      </c:valAx>
    </c:plotArea>
    <c:legend>
      <c:legendPos val="r"/>
      <c:legendEntry>
        <c:idx val="3"/>
        <c:delete val="1"/>
      </c:legendEntry>
      <c:layout>
        <c:manualLayout>
          <c:xMode val="edge"/>
          <c:yMode val="edge"/>
          <c:x val="0.77851648320455991"/>
          <c:y val="3.9768329146978101E-2"/>
          <c:w val="0.20946717457001365"/>
          <c:h val="0.31352580927384077"/>
        </c:manualLayout>
      </c:layout>
      <c:overlay val="0"/>
      <c:spPr>
        <a:ln>
          <a:solidFill>
            <a:schemeClr val="accent1"/>
          </a:solidFill>
        </a:ln>
      </c:spPr>
    </c:legend>
    <c:plotVisOnly val="1"/>
    <c:dispBlanksAs val="gap"/>
    <c:showDLblsOverMax val="0"/>
  </c:chart>
  <c:spPr>
    <a:noFill/>
  </c:spPr>
  <c:txPr>
    <a:bodyPr/>
    <a:lstStyle/>
    <a:p>
      <a:pPr>
        <a:defRPr sz="1000"/>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Ряд 1</c:v>
                </c:pt>
              </c:strCache>
            </c:strRef>
          </c:tx>
          <c:spPr>
            <a:pattFill prst="lgConfetti">
              <a:fgClr>
                <a:schemeClr val="tx1"/>
              </a:fgClr>
              <a:bgClr>
                <a:schemeClr val="bg1"/>
              </a:bgClr>
            </a:pattFill>
          </c:spPr>
          <c:invertIfNegative val="0"/>
          <c:dLbls>
            <c:dLbl>
              <c:idx val="0"/>
              <c:layout>
                <c:manualLayout>
                  <c:x val="1.8518613744710456E-2"/>
                  <c:y val="-0.14549691189591407"/>
                </c:manualLayout>
              </c:layout>
              <c:tx>
                <c:rich>
                  <a:bodyPr/>
                  <a:lstStyle/>
                  <a:p>
                    <a:r>
                      <a:rPr lang="en-US"/>
                      <a:t>6 </a:t>
                    </a:r>
                  </a:p>
                  <a:p>
                    <a:r>
                      <a:rPr lang="en-US"/>
                      <a:t>(</a:t>
                    </a:r>
                    <a:r>
                      <a:rPr lang="en-US" sz="1100"/>
                      <a:t>17 % </a:t>
                    </a:r>
                  </a:p>
                  <a:p>
                    <a:r>
                      <a:rPr lang="en-US" sz="1100"/>
                      <a:t>women</a:t>
                    </a:r>
                    <a:r>
                      <a:rPr lang="en-US"/>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C03-4AC2-8189-8F2C7919DD1B}"/>
                </c:ext>
              </c:extLst>
            </c:dLbl>
            <c:dLbl>
              <c:idx val="1"/>
              <c:layout>
                <c:manualLayout>
                  <c:x val="1.8518518518518517E-2"/>
                  <c:y val="-0.42936807512501318"/>
                </c:manualLayout>
              </c:layout>
              <c:tx>
                <c:rich>
                  <a:bodyPr/>
                  <a:lstStyle/>
                  <a:p>
                    <a:r>
                      <a:rPr lang="en-US"/>
                      <a:t>57 </a:t>
                    </a:r>
                  </a:p>
                  <a:p>
                    <a:r>
                      <a:rPr lang="en-US"/>
                      <a:t>(39 % women)</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C03-4AC2-8189-8F2C7919DD1B}"/>
                </c:ext>
              </c:extLst>
            </c:dLbl>
            <c:dLbl>
              <c:idx val="2"/>
              <c:layout>
                <c:manualLayout>
                  <c:x val="2.5462962962962878E-2"/>
                  <c:y val="-0.34190420796991788"/>
                </c:manualLayout>
              </c:layout>
              <c:tx>
                <c:rich>
                  <a:bodyPr/>
                  <a:lstStyle/>
                  <a:p>
                    <a:r>
                      <a:rPr lang="en-US"/>
                      <a:t>45 </a:t>
                    </a:r>
                  </a:p>
                  <a:p>
                    <a:r>
                      <a:rPr lang="en-US"/>
                      <a:t>(51 % women)</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C03-4AC2-8189-8F2C7919DD1B}"/>
                </c:ext>
              </c:extLst>
            </c:dLbl>
            <c:spPr>
              <a:noFill/>
              <a:ln>
                <a:noFill/>
              </a:ln>
              <a:effectLst/>
            </c:spPr>
            <c:txPr>
              <a:bodyPr/>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Group I</c:v>
                </c:pt>
                <c:pt idx="1">
                  <c:v>Group II</c:v>
                </c:pt>
                <c:pt idx="2">
                  <c:v>Group III</c:v>
                </c:pt>
              </c:strCache>
            </c:strRef>
          </c:cat>
          <c:val>
            <c:numRef>
              <c:f>Лист1!$B$2:$B$4</c:f>
              <c:numCache>
                <c:formatCode>General</c:formatCode>
                <c:ptCount val="3"/>
                <c:pt idx="0">
                  <c:v>6</c:v>
                </c:pt>
                <c:pt idx="1">
                  <c:v>57</c:v>
                </c:pt>
                <c:pt idx="2">
                  <c:v>45</c:v>
                </c:pt>
              </c:numCache>
            </c:numRef>
          </c:val>
          <c:extLst>
            <c:ext xmlns:c16="http://schemas.microsoft.com/office/drawing/2014/chart" uri="{C3380CC4-5D6E-409C-BE32-E72D297353CC}">
              <c16:uniqueId val="{00000003-1C03-4AC2-8189-8F2C7919DD1B}"/>
            </c:ext>
          </c:extLst>
        </c:ser>
        <c:ser>
          <c:idx val="1"/>
          <c:order val="1"/>
          <c:tx>
            <c:strRef>
              <c:f>Лист1!$C$1</c:f>
              <c:strCache>
                <c:ptCount val="1"/>
                <c:pt idx="0">
                  <c:v>Столбец1</c:v>
                </c:pt>
              </c:strCache>
            </c:strRef>
          </c:tx>
          <c:invertIfNegative val="0"/>
          <c:cat>
            <c:strRef>
              <c:f>Лист1!$A$2:$A$4</c:f>
              <c:strCache>
                <c:ptCount val="3"/>
                <c:pt idx="0">
                  <c:v>Group I</c:v>
                </c:pt>
                <c:pt idx="1">
                  <c:v>Group II</c:v>
                </c:pt>
                <c:pt idx="2">
                  <c:v>Group III</c:v>
                </c:pt>
              </c:strCache>
            </c:strRef>
          </c:cat>
          <c:val>
            <c:numRef>
              <c:f>Лист1!$C$2:$C$4</c:f>
              <c:numCache>
                <c:formatCode>General</c:formatCode>
                <c:ptCount val="3"/>
              </c:numCache>
            </c:numRef>
          </c:val>
          <c:extLst>
            <c:ext xmlns:c16="http://schemas.microsoft.com/office/drawing/2014/chart" uri="{C3380CC4-5D6E-409C-BE32-E72D297353CC}">
              <c16:uniqueId val="{00000004-1C03-4AC2-8189-8F2C7919DD1B}"/>
            </c:ext>
          </c:extLst>
        </c:ser>
        <c:ser>
          <c:idx val="2"/>
          <c:order val="2"/>
          <c:tx>
            <c:strRef>
              <c:f>Лист1!$D$1</c:f>
              <c:strCache>
                <c:ptCount val="1"/>
                <c:pt idx="0">
                  <c:v>Столбец2</c:v>
                </c:pt>
              </c:strCache>
            </c:strRef>
          </c:tx>
          <c:invertIfNegative val="0"/>
          <c:cat>
            <c:strRef>
              <c:f>Лист1!$A$2:$A$4</c:f>
              <c:strCache>
                <c:ptCount val="3"/>
                <c:pt idx="0">
                  <c:v>Group I</c:v>
                </c:pt>
                <c:pt idx="1">
                  <c:v>Group II</c:v>
                </c:pt>
                <c:pt idx="2">
                  <c:v>Group III</c:v>
                </c:pt>
              </c:strCache>
            </c:strRef>
          </c:cat>
          <c:val>
            <c:numRef>
              <c:f>Лист1!$D$2:$D$4</c:f>
              <c:numCache>
                <c:formatCode>General</c:formatCode>
                <c:ptCount val="3"/>
              </c:numCache>
            </c:numRef>
          </c:val>
          <c:extLst>
            <c:ext xmlns:c16="http://schemas.microsoft.com/office/drawing/2014/chart" uri="{C3380CC4-5D6E-409C-BE32-E72D297353CC}">
              <c16:uniqueId val="{00000005-1C03-4AC2-8189-8F2C7919DD1B}"/>
            </c:ext>
          </c:extLst>
        </c:ser>
        <c:dLbls>
          <c:showLegendKey val="0"/>
          <c:showVal val="0"/>
          <c:showCatName val="0"/>
          <c:showSerName val="0"/>
          <c:showPercent val="0"/>
          <c:showBubbleSize val="0"/>
        </c:dLbls>
        <c:gapWidth val="150"/>
        <c:shape val="pyramid"/>
        <c:axId val="292270832"/>
        <c:axId val="292271616"/>
        <c:axId val="0"/>
      </c:bar3DChart>
      <c:catAx>
        <c:axId val="292270832"/>
        <c:scaling>
          <c:orientation val="minMax"/>
        </c:scaling>
        <c:delete val="0"/>
        <c:axPos val="b"/>
        <c:numFmt formatCode="General" sourceLinked="0"/>
        <c:majorTickMark val="out"/>
        <c:minorTickMark val="none"/>
        <c:tickLblPos val="nextTo"/>
        <c:txPr>
          <a:bodyPr/>
          <a:lstStyle/>
          <a:p>
            <a:pPr>
              <a:defRPr b="1"/>
            </a:pPr>
            <a:endParaRPr lang="en-US"/>
          </a:p>
        </c:txPr>
        <c:crossAx val="292271616"/>
        <c:crosses val="autoZero"/>
        <c:auto val="1"/>
        <c:lblAlgn val="ctr"/>
        <c:lblOffset val="100"/>
        <c:noMultiLvlLbl val="0"/>
      </c:catAx>
      <c:valAx>
        <c:axId val="292271616"/>
        <c:scaling>
          <c:orientation val="minMax"/>
        </c:scaling>
        <c:delete val="0"/>
        <c:axPos val="l"/>
        <c:majorGridlines>
          <c:spPr>
            <a:ln>
              <a:noFill/>
            </a:ln>
          </c:spPr>
        </c:majorGridlines>
        <c:numFmt formatCode="General" sourceLinked="1"/>
        <c:majorTickMark val="out"/>
        <c:minorTickMark val="none"/>
        <c:tickLblPos val="nextTo"/>
        <c:crossAx val="292270832"/>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5791925661884465E-2"/>
          <c:y val="8.5636434410276366E-2"/>
          <c:w val="0.90855334424725509"/>
          <c:h val="0.63305125006513141"/>
        </c:manualLayout>
      </c:layout>
      <c:lineChart>
        <c:grouping val="standard"/>
        <c:varyColors val="0"/>
        <c:ser>
          <c:idx val="0"/>
          <c:order val="0"/>
          <c:tx>
            <c:strRef>
              <c:f>Лист1!$B$1</c:f>
              <c:strCache>
                <c:ptCount val="1"/>
                <c:pt idx="0">
                  <c:v>Столбец1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0">
                  <c:v>2012</c:v>
                </c:pt>
                <c:pt idx="1">
                  <c:v>2013</c:v>
                </c:pt>
                <c:pt idx="2">
                  <c:v>2014</c:v>
                </c:pt>
                <c:pt idx="3">
                  <c:v>2015</c:v>
                </c:pt>
                <c:pt idx="4">
                  <c:v>2016</c:v>
                </c:pt>
                <c:pt idx="5">
                  <c:v>2017</c:v>
                </c:pt>
              </c:numCache>
            </c:numRef>
          </c:cat>
          <c:val>
            <c:numRef>
              <c:f>Лист1!$B$2:$B$7</c:f>
              <c:numCache>
                <c:formatCode>General</c:formatCode>
                <c:ptCount val="6"/>
              </c:numCache>
            </c:numRef>
          </c:val>
          <c:smooth val="0"/>
          <c:extLst>
            <c:ext xmlns:c16="http://schemas.microsoft.com/office/drawing/2014/chart" uri="{C3380CC4-5D6E-409C-BE32-E72D297353CC}">
              <c16:uniqueId val="{00000000-B37E-4268-B2DA-AC0122EEBA87}"/>
            </c:ext>
          </c:extLst>
        </c:ser>
        <c:ser>
          <c:idx val="1"/>
          <c:order val="1"/>
          <c:tx>
            <c:strRef>
              <c:f>Лист1!$C$1</c:f>
              <c:strCache>
                <c:ptCount val="1"/>
                <c:pt idx="0">
                  <c:v>Infant mortality rate (per 1,000 live births)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0">
                  <c:v>2012</c:v>
                </c:pt>
                <c:pt idx="1">
                  <c:v>2013</c:v>
                </c:pt>
                <c:pt idx="2">
                  <c:v>2014</c:v>
                </c:pt>
                <c:pt idx="3">
                  <c:v>2015</c:v>
                </c:pt>
                <c:pt idx="4">
                  <c:v>2016</c:v>
                </c:pt>
                <c:pt idx="5">
                  <c:v>2017</c:v>
                </c:pt>
              </c:numCache>
            </c:numRef>
          </c:cat>
          <c:val>
            <c:numRef>
              <c:f>Лист1!$C$2:$C$7</c:f>
              <c:numCache>
                <c:formatCode>General</c:formatCode>
                <c:ptCount val="6"/>
                <c:pt idx="0">
                  <c:v>20</c:v>
                </c:pt>
                <c:pt idx="1">
                  <c:v>19.899999999999999</c:v>
                </c:pt>
                <c:pt idx="2">
                  <c:v>20.2</c:v>
                </c:pt>
                <c:pt idx="3">
                  <c:v>18</c:v>
                </c:pt>
                <c:pt idx="4">
                  <c:v>16.600000000000001</c:v>
                </c:pt>
                <c:pt idx="5">
                  <c:v>15.6</c:v>
                </c:pt>
              </c:numCache>
            </c:numRef>
          </c:val>
          <c:smooth val="0"/>
          <c:extLst>
            <c:ext xmlns:c16="http://schemas.microsoft.com/office/drawing/2014/chart" uri="{C3380CC4-5D6E-409C-BE32-E72D297353CC}">
              <c16:uniqueId val="{00000001-B37E-4268-B2DA-AC0122EEBA87}"/>
            </c:ext>
          </c:extLst>
        </c:ser>
        <c:dLbls>
          <c:showLegendKey val="0"/>
          <c:showVal val="0"/>
          <c:showCatName val="0"/>
          <c:showSerName val="0"/>
          <c:showPercent val="0"/>
          <c:showBubbleSize val="0"/>
        </c:dLbls>
        <c:marker val="1"/>
        <c:smooth val="0"/>
        <c:axId val="292272008"/>
        <c:axId val="292272400"/>
      </c:lineChart>
      <c:catAx>
        <c:axId val="292272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292272400"/>
        <c:crosses val="autoZero"/>
        <c:auto val="1"/>
        <c:lblAlgn val="ctr"/>
        <c:lblOffset val="100"/>
        <c:noMultiLvlLbl val="0"/>
      </c:catAx>
      <c:valAx>
        <c:axId val="292272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292272008"/>
        <c:crosses val="autoZero"/>
        <c:crossBetween val="between"/>
      </c:valAx>
      <c:spPr>
        <a:noFill/>
        <a:ln>
          <a:noFill/>
        </a:ln>
        <a:effectLst/>
      </c:spPr>
    </c:plotArea>
    <c:legend>
      <c:legendPos val="b"/>
      <c:legendEntry>
        <c:idx val="0"/>
        <c:delete val="1"/>
      </c:legendEntry>
      <c:layout>
        <c:manualLayout>
          <c:xMode val="edge"/>
          <c:yMode val="edge"/>
          <c:x val="8.8523632568376823E-2"/>
          <c:y val="0.84365190046067129"/>
          <c:w val="0.80584941313121539"/>
          <c:h val="0.15634809953932871"/>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Столбец1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4.5740330026892026E-2"/>
                  <c:y val="9.69526718412867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D5A-4341-9E48-CA0922ED9E7A}"/>
                </c:ext>
              </c:extLst>
            </c:dLbl>
            <c:spPr>
              <a:noFill/>
              <a:ln>
                <a:noFill/>
              </a:ln>
              <a:effectLst/>
            </c:spPr>
            <c:txPr>
              <a:bodyPr rot="0" vert="horz"/>
              <a:lstStyle/>
              <a:p>
                <a:pPr>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2012</c:v>
                </c:pt>
                <c:pt idx="1">
                  <c:v>2013</c:v>
                </c:pt>
                <c:pt idx="2">
                  <c:v>2014</c:v>
                </c:pt>
                <c:pt idx="3">
                  <c:v>2015</c:v>
                </c:pt>
                <c:pt idx="4">
                  <c:v>2016</c:v>
                </c:pt>
                <c:pt idx="5">
                  <c:v>2017</c:v>
                </c:pt>
              </c:numCache>
            </c:numRef>
          </c:cat>
          <c:val>
            <c:numRef>
              <c:f>Лист1!$B$2:$B$8</c:f>
              <c:numCache>
                <c:formatCode>General</c:formatCode>
                <c:ptCount val="7"/>
              </c:numCache>
            </c:numRef>
          </c:val>
          <c:smooth val="0"/>
          <c:extLst>
            <c:ext xmlns:c16="http://schemas.microsoft.com/office/drawing/2014/chart" uri="{C3380CC4-5D6E-409C-BE32-E72D297353CC}">
              <c16:uniqueId val="{00000001-3D5A-4341-9E48-CA0922ED9E7A}"/>
            </c:ext>
          </c:extLst>
        </c:ser>
        <c:ser>
          <c:idx val="1"/>
          <c:order val="1"/>
          <c:tx>
            <c:strRef>
              <c:f>Лист1!$C$1</c:f>
              <c:strCache>
                <c:ptCount val="1"/>
                <c:pt idx="0">
                  <c:v>Maternal mortality rate (per 100,000 live births)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vert="horz"/>
              <a:lstStyle/>
              <a:p>
                <a:pPr>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Лист1!$A$2:$A$8</c:f>
              <c:numCache>
                <c:formatCode>General</c:formatCode>
                <c:ptCount val="7"/>
                <c:pt idx="0">
                  <c:v>2012</c:v>
                </c:pt>
                <c:pt idx="1">
                  <c:v>2013</c:v>
                </c:pt>
                <c:pt idx="2">
                  <c:v>2014</c:v>
                </c:pt>
                <c:pt idx="3">
                  <c:v>2015</c:v>
                </c:pt>
                <c:pt idx="4">
                  <c:v>2016</c:v>
                </c:pt>
                <c:pt idx="5">
                  <c:v>2017</c:v>
                </c:pt>
              </c:numCache>
            </c:numRef>
          </c:cat>
          <c:val>
            <c:numRef>
              <c:f>Лист1!$C$2:$C$8</c:f>
              <c:numCache>
                <c:formatCode>General</c:formatCode>
                <c:ptCount val="7"/>
                <c:pt idx="0">
                  <c:v>50.3</c:v>
                </c:pt>
                <c:pt idx="1">
                  <c:v>39.200000000000003</c:v>
                </c:pt>
                <c:pt idx="2">
                  <c:v>50.7</c:v>
                </c:pt>
                <c:pt idx="3">
                  <c:v>38.5</c:v>
                </c:pt>
                <c:pt idx="4">
                  <c:v>30.3</c:v>
                </c:pt>
                <c:pt idx="5">
                  <c:v>31.2</c:v>
                </c:pt>
              </c:numCache>
            </c:numRef>
          </c:val>
          <c:smooth val="0"/>
          <c:extLst>
            <c:ext xmlns:c16="http://schemas.microsoft.com/office/drawing/2014/chart" uri="{C3380CC4-5D6E-409C-BE32-E72D297353CC}">
              <c16:uniqueId val="{00000002-3D5A-4341-9E48-CA0922ED9E7A}"/>
            </c:ext>
          </c:extLst>
        </c:ser>
        <c:dLbls>
          <c:showLegendKey val="0"/>
          <c:showVal val="0"/>
          <c:showCatName val="0"/>
          <c:showSerName val="0"/>
          <c:showPercent val="0"/>
          <c:showBubbleSize val="0"/>
        </c:dLbls>
        <c:marker val="1"/>
        <c:smooth val="0"/>
        <c:axId val="292273576"/>
        <c:axId val="292267696"/>
      </c:lineChart>
      <c:catAx>
        <c:axId val="292273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292267696"/>
        <c:crosses val="autoZero"/>
        <c:auto val="1"/>
        <c:lblAlgn val="ctr"/>
        <c:lblOffset val="100"/>
        <c:noMultiLvlLbl val="0"/>
      </c:catAx>
      <c:valAx>
        <c:axId val="292267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en-US"/>
          </a:p>
        </c:txPr>
        <c:crossAx val="292273576"/>
        <c:crosses val="autoZero"/>
        <c:crossBetween val="between"/>
      </c:valAx>
      <c:spPr>
        <a:noFill/>
        <a:ln>
          <a:noFill/>
        </a:ln>
        <a:effectLst/>
      </c:spPr>
    </c:plotArea>
    <c:legend>
      <c:legendPos val="b"/>
      <c:legendEntry>
        <c:idx val="0"/>
        <c:delete val="1"/>
      </c:legendEntry>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itchFamily="18" charset="0"/>
          <a:ea typeface="Tahoma" pitchFamily="34" charset="0"/>
          <a:cs typeface="Times New Roman" pitchFamily="18"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Bleeding</c:v>
                </c:pt>
              </c:strCache>
            </c:strRef>
          </c:tx>
          <c:spPr>
            <a:solidFill>
              <a:schemeClr val="accent6"/>
            </a:solidFill>
            <a:ln>
              <a:noFill/>
            </a:ln>
            <a:effectLst/>
          </c:spPr>
          <c:invertIfNegative val="0"/>
          <c:dLbls>
            <c:spPr>
              <a:noFill/>
              <a:ln>
                <a:noFill/>
              </a:ln>
              <a:effectLst/>
            </c:spPr>
            <c:txPr>
              <a:bodyPr rot="0" vert="horz"/>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2012</c:v>
                </c:pt>
                <c:pt idx="1">
                  <c:v>2013</c:v>
                </c:pt>
                <c:pt idx="2">
                  <c:v>2014</c:v>
                </c:pt>
                <c:pt idx="3">
                  <c:v>2015</c:v>
                </c:pt>
                <c:pt idx="4">
                  <c:v>2016</c:v>
                </c:pt>
                <c:pt idx="5">
                  <c:v>2017</c:v>
                </c:pt>
              </c:numCache>
            </c:numRef>
          </c:cat>
          <c:val>
            <c:numRef>
              <c:f>Лист1!$B$2:$B$7</c:f>
              <c:numCache>
                <c:formatCode>General</c:formatCode>
                <c:ptCount val="6"/>
                <c:pt idx="0">
                  <c:v>29.5</c:v>
                </c:pt>
                <c:pt idx="1">
                  <c:v>32.799999999999997</c:v>
                </c:pt>
                <c:pt idx="2">
                  <c:v>24.4</c:v>
                </c:pt>
                <c:pt idx="3">
                  <c:v>30.2</c:v>
                </c:pt>
                <c:pt idx="4">
                  <c:v>18.8</c:v>
                </c:pt>
                <c:pt idx="5">
                  <c:v>14.6</c:v>
                </c:pt>
              </c:numCache>
            </c:numRef>
          </c:val>
          <c:extLst>
            <c:ext xmlns:c16="http://schemas.microsoft.com/office/drawing/2014/chart" uri="{C3380CC4-5D6E-409C-BE32-E72D297353CC}">
              <c16:uniqueId val="{00000000-BCE0-4E47-A413-F6DE8627949B}"/>
            </c:ext>
          </c:extLst>
        </c:ser>
        <c:ser>
          <c:idx val="1"/>
          <c:order val="1"/>
          <c:tx>
            <c:strRef>
              <c:f>Лист1!$C$1</c:f>
              <c:strCache>
                <c:ptCount val="1"/>
                <c:pt idx="0">
                  <c:v>Pre-eclampsia</c:v>
                </c:pt>
              </c:strCache>
            </c:strRef>
          </c:tx>
          <c:spPr>
            <a:solidFill>
              <a:schemeClr val="accent5"/>
            </a:solidFill>
            <a:ln>
              <a:noFill/>
            </a:ln>
            <a:effectLst/>
          </c:spPr>
          <c:invertIfNegative val="0"/>
          <c:dLbls>
            <c:spPr>
              <a:noFill/>
              <a:ln>
                <a:noFill/>
              </a:ln>
              <a:effectLst/>
            </c:spPr>
            <c:txPr>
              <a:bodyPr rot="0" vert="horz"/>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2012</c:v>
                </c:pt>
                <c:pt idx="1">
                  <c:v>2013</c:v>
                </c:pt>
                <c:pt idx="2">
                  <c:v>2014</c:v>
                </c:pt>
                <c:pt idx="3">
                  <c:v>2015</c:v>
                </c:pt>
                <c:pt idx="4">
                  <c:v>2016</c:v>
                </c:pt>
                <c:pt idx="5">
                  <c:v>2017</c:v>
                </c:pt>
              </c:numCache>
            </c:numRef>
          </c:cat>
          <c:val>
            <c:numRef>
              <c:f>Лист1!$C$2:$C$7</c:f>
              <c:numCache>
                <c:formatCode>General</c:formatCode>
                <c:ptCount val="6"/>
                <c:pt idx="0">
                  <c:v>20.5</c:v>
                </c:pt>
                <c:pt idx="1">
                  <c:v>16.399999999999999</c:v>
                </c:pt>
                <c:pt idx="2">
                  <c:v>15.9</c:v>
                </c:pt>
                <c:pt idx="3">
                  <c:v>12.7</c:v>
                </c:pt>
                <c:pt idx="4">
                  <c:v>22.9</c:v>
                </c:pt>
                <c:pt idx="5">
                  <c:v>10.4</c:v>
                </c:pt>
              </c:numCache>
            </c:numRef>
          </c:val>
          <c:extLst>
            <c:ext xmlns:c16="http://schemas.microsoft.com/office/drawing/2014/chart" uri="{C3380CC4-5D6E-409C-BE32-E72D297353CC}">
              <c16:uniqueId val="{00000001-BCE0-4E47-A413-F6DE8627949B}"/>
            </c:ext>
          </c:extLst>
        </c:ser>
        <c:ser>
          <c:idx val="2"/>
          <c:order val="2"/>
          <c:tx>
            <c:strRef>
              <c:f>Лист1!$D$1</c:f>
              <c:strCache>
                <c:ptCount val="1"/>
                <c:pt idx="0">
                  <c:v>Sepsis</c:v>
                </c:pt>
              </c:strCache>
            </c:strRef>
          </c:tx>
          <c:spPr>
            <a:solidFill>
              <a:schemeClr val="accent4"/>
            </a:solidFill>
            <a:ln>
              <a:noFill/>
            </a:ln>
            <a:effectLst/>
          </c:spPr>
          <c:invertIfNegative val="0"/>
          <c:dLbls>
            <c:spPr>
              <a:noFill/>
              <a:ln>
                <a:noFill/>
              </a:ln>
              <a:effectLst/>
            </c:spPr>
            <c:txPr>
              <a:bodyPr rot="0" vert="horz"/>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2012</c:v>
                </c:pt>
                <c:pt idx="1">
                  <c:v>2013</c:v>
                </c:pt>
                <c:pt idx="2">
                  <c:v>2014</c:v>
                </c:pt>
                <c:pt idx="3">
                  <c:v>2015</c:v>
                </c:pt>
                <c:pt idx="4">
                  <c:v>2016</c:v>
                </c:pt>
                <c:pt idx="5">
                  <c:v>2017</c:v>
                </c:pt>
              </c:numCache>
            </c:numRef>
          </c:cat>
          <c:val>
            <c:numRef>
              <c:f>Лист1!$D$2:$D$7</c:f>
              <c:numCache>
                <c:formatCode>General</c:formatCode>
                <c:ptCount val="6"/>
                <c:pt idx="0">
                  <c:v>14.1</c:v>
                </c:pt>
                <c:pt idx="1">
                  <c:v>11.5</c:v>
                </c:pt>
                <c:pt idx="2">
                  <c:v>20.7</c:v>
                </c:pt>
                <c:pt idx="3">
                  <c:v>22.8</c:v>
                </c:pt>
                <c:pt idx="4">
                  <c:v>6.3</c:v>
                </c:pt>
                <c:pt idx="5">
                  <c:v>22.9</c:v>
                </c:pt>
              </c:numCache>
            </c:numRef>
          </c:val>
          <c:extLst>
            <c:ext xmlns:c16="http://schemas.microsoft.com/office/drawing/2014/chart" uri="{C3380CC4-5D6E-409C-BE32-E72D297353CC}">
              <c16:uniqueId val="{00000002-BCE0-4E47-A413-F6DE8627949B}"/>
            </c:ext>
          </c:extLst>
        </c:ser>
        <c:ser>
          <c:idx val="3"/>
          <c:order val="3"/>
          <c:tx>
            <c:strRef>
              <c:f>Лист1!$E$1</c:f>
              <c:strCache>
                <c:ptCount val="1"/>
                <c:pt idx="0">
                  <c:v>Extragenital diseases</c:v>
                </c:pt>
              </c:strCache>
            </c:strRef>
          </c:tx>
          <c:spPr>
            <a:solidFill>
              <a:schemeClr val="accent6">
                <a:lumMod val="60000"/>
              </a:schemeClr>
            </a:solidFill>
            <a:ln>
              <a:noFill/>
            </a:ln>
            <a:effectLst/>
          </c:spPr>
          <c:invertIfNegative val="0"/>
          <c:dLbls>
            <c:dLbl>
              <c:idx val="3"/>
              <c:layout>
                <c:manualLayout>
                  <c:x val="1.0536297545042672E-2"/>
                  <c:y val="5.107252298263534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CE0-4E47-A413-F6DE8627949B}"/>
                </c:ext>
              </c:extLst>
            </c:dLbl>
            <c:spPr>
              <a:noFill/>
              <a:ln>
                <a:noFill/>
              </a:ln>
              <a:effectLst/>
            </c:spPr>
            <c:txPr>
              <a:bodyPr rot="0" vert="horz"/>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2012</c:v>
                </c:pt>
                <c:pt idx="1">
                  <c:v>2013</c:v>
                </c:pt>
                <c:pt idx="2">
                  <c:v>2014</c:v>
                </c:pt>
                <c:pt idx="3">
                  <c:v>2015</c:v>
                </c:pt>
                <c:pt idx="4">
                  <c:v>2016</c:v>
                </c:pt>
                <c:pt idx="5">
                  <c:v>2017</c:v>
                </c:pt>
              </c:numCache>
            </c:numRef>
          </c:cat>
          <c:val>
            <c:numRef>
              <c:f>Лист1!$E$2:$E$7</c:f>
              <c:numCache>
                <c:formatCode>General</c:formatCode>
                <c:ptCount val="6"/>
                <c:pt idx="0">
                  <c:v>23.1</c:v>
                </c:pt>
                <c:pt idx="1">
                  <c:v>21.3</c:v>
                </c:pt>
                <c:pt idx="2">
                  <c:v>22</c:v>
                </c:pt>
                <c:pt idx="3">
                  <c:v>23.8</c:v>
                </c:pt>
                <c:pt idx="4">
                  <c:v>33.299999999999997</c:v>
                </c:pt>
                <c:pt idx="5">
                  <c:v>39.6</c:v>
                </c:pt>
              </c:numCache>
            </c:numRef>
          </c:val>
          <c:extLst>
            <c:ext xmlns:c16="http://schemas.microsoft.com/office/drawing/2014/chart" uri="{C3380CC4-5D6E-409C-BE32-E72D297353CC}">
              <c16:uniqueId val="{00000004-BCE0-4E47-A413-F6DE8627949B}"/>
            </c:ext>
          </c:extLst>
        </c:ser>
        <c:ser>
          <c:idx val="4"/>
          <c:order val="4"/>
          <c:tx>
            <c:strRef>
              <c:f>Лист1!$F$1</c:f>
              <c:strCache>
                <c:ptCount val="1"/>
                <c:pt idx="0">
                  <c:v>Uterine rupture</c:v>
                </c:pt>
              </c:strCache>
            </c:strRef>
          </c:tx>
          <c:spPr>
            <a:solidFill>
              <a:schemeClr val="accent5">
                <a:lumMod val="60000"/>
              </a:schemeClr>
            </a:solidFill>
            <a:ln>
              <a:noFill/>
            </a:ln>
            <a:effectLst/>
          </c:spPr>
          <c:invertIfNegative val="0"/>
          <c:dLbls>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2012</c:v>
                </c:pt>
                <c:pt idx="1">
                  <c:v>2013</c:v>
                </c:pt>
                <c:pt idx="2">
                  <c:v>2014</c:v>
                </c:pt>
                <c:pt idx="3">
                  <c:v>2015</c:v>
                </c:pt>
                <c:pt idx="4">
                  <c:v>2016</c:v>
                </c:pt>
                <c:pt idx="5">
                  <c:v>2017</c:v>
                </c:pt>
              </c:numCache>
            </c:numRef>
          </c:cat>
          <c:val>
            <c:numRef>
              <c:f>Лист1!$F$2:$F$7</c:f>
              <c:numCache>
                <c:formatCode>General</c:formatCode>
                <c:ptCount val="6"/>
                <c:pt idx="0">
                  <c:v>0</c:v>
                </c:pt>
                <c:pt idx="1">
                  <c:v>6.6</c:v>
                </c:pt>
                <c:pt idx="2">
                  <c:v>0</c:v>
                </c:pt>
                <c:pt idx="3">
                  <c:v>2.2999999999999998</c:v>
                </c:pt>
                <c:pt idx="4">
                  <c:v>2.1</c:v>
                </c:pt>
                <c:pt idx="5">
                  <c:v>4.2</c:v>
                </c:pt>
              </c:numCache>
            </c:numRef>
          </c:val>
          <c:extLst>
            <c:ext xmlns:c16="http://schemas.microsoft.com/office/drawing/2014/chart" uri="{C3380CC4-5D6E-409C-BE32-E72D297353CC}">
              <c16:uniqueId val="{00000005-BCE0-4E47-A413-F6DE8627949B}"/>
            </c:ext>
          </c:extLst>
        </c:ser>
        <c:dLbls>
          <c:dLblPos val="inEnd"/>
          <c:showLegendKey val="0"/>
          <c:showVal val="1"/>
          <c:showCatName val="0"/>
          <c:showSerName val="0"/>
          <c:showPercent val="0"/>
          <c:showBubbleSize val="0"/>
        </c:dLbls>
        <c:gapWidth val="219"/>
        <c:overlap val="-27"/>
        <c:axId val="292268872"/>
        <c:axId val="292269264"/>
      </c:barChart>
      <c:catAx>
        <c:axId val="292268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292269264"/>
        <c:crosses val="autoZero"/>
        <c:auto val="1"/>
        <c:lblAlgn val="ctr"/>
        <c:lblOffset val="100"/>
        <c:noMultiLvlLbl val="0"/>
      </c:catAx>
      <c:valAx>
        <c:axId val="292269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en-US"/>
          </a:p>
        </c:txPr>
        <c:crossAx val="292268872"/>
        <c:crosses val="autoZero"/>
        <c:crossBetween val="between"/>
      </c:valAx>
      <c:spPr>
        <a:noFill/>
        <a:ln>
          <a:no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itchFamily="18" charset="0"/>
          <a:cs typeface="Times New Roman" pitchFamily="18"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1164900556389194"/>
          <c:y val="4.6171993206731508E-2"/>
          <c:w val="0.76750992786858729"/>
          <c:h val="0.85576771653543304"/>
        </c:manualLayout>
      </c:layout>
      <c:bar3DChart>
        <c:barDir val="col"/>
        <c:grouping val="clustered"/>
        <c:varyColors val="0"/>
        <c:ser>
          <c:idx val="0"/>
          <c:order val="0"/>
          <c:tx>
            <c:strRef>
              <c:f>'[Диаграмма в Microsoft PowerPoint]Лист1'!$B$3</c:f>
              <c:strCache>
                <c:ptCount val="1"/>
                <c:pt idx="0">
                  <c:v>средний размер ЕСП (сом)</c:v>
                </c:pt>
              </c:strCache>
            </c:strRef>
          </c:tx>
          <c:invertIfNegative val="0"/>
          <c:dLbls>
            <c:dLbl>
              <c:idx val="0"/>
              <c:layout>
                <c:manualLayout>
                  <c:x val="5.0588086505627926E-3"/>
                  <c:y val="4.844961240310077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2F3-4C41-BC56-4D5E6EC7DB94}"/>
                </c:ext>
              </c:extLst>
            </c:dLbl>
            <c:spPr>
              <a:noFill/>
              <a:ln>
                <a:noFill/>
              </a:ln>
              <a:effectLst/>
            </c:spPr>
            <c:txPr>
              <a:bodyPr wrap="square" lIns="38100" tIns="19050" rIns="38100" bIns="19050" anchor="ctr">
                <a:spAutoFit/>
              </a:bodyPr>
              <a:lstStyle/>
              <a:p>
                <a:pPr>
                  <a:defRPr sz="800" baseline="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'[Диаграмма в Microsoft PowerPoint]Лист1'!$A$4:$A$14</c:f>
              <c:numCache>
                <c:formatCode>General</c:formatCode>
                <c:ptCount val="11"/>
                <c:pt idx="0">
                  <c:v>2009</c:v>
                </c:pt>
                <c:pt idx="1">
                  <c:v>2010</c:v>
                </c:pt>
                <c:pt idx="2">
                  <c:v>2011</c:v>
                </c:pt>
                <c:pt idx="3">
                  <c:v>2012</c:v>
                </c:pt>
                <c:pt idx="4">
                  <c:v>2013</c:v>
                </c:pt>
                <c:pt idx="5">
                  <c:v>2014</c:v>
                </c:pt>
                <c:pt idx="6">
                  <c:v>2015</c:v>
                </c:pt>
                <c:pt idx="7">
                  <c:v>2016</c:v>
                </c:pt>
                <c:pt idx="8">
                  <c:v>2017</c:v>
                </c:pt>
                <c:pt idx="9">
                  <c:v>2018</c:v>
                </c:pt>
              </c:numCache>
            </c:numRef>
          </c:cat>
          <c:val>
            <c:numRef>
              <c:f>'[Диаграмма в Microsoft PowerPoint]Лист1'!$B$4:$B$14</c:f>
              <c:numCache>
                <c:formatCode>General</c:formatCode>
                <c:ptCount val="11"/>
                <c:pt idx="0">
                  <c:v>826.9</c:v>
                </c:pt>
                <c:pt idx="1">
                  <c:v>1502.9</c:v>
                </c:pt>
                <c:pt idx="2">
                  <c:v>2011.5</c:v>
                </c:pt>
                <c:pt idx="3">
                  <c:v>2403.6999999999998</c:v>
                </c:pt>
                <c:pt idx="4">
                  <c:v>2405.6999999999998</c:v>
                </c:pt>
                <c:pt idx="5">
                  <c:v>2403.3000000000002</c:v>
                </c:pt>
                <c:pt idx="6">
                  <c:v>2415.4</c:v>
                </c:pt>
                <c:pt idx="7">
                  <c:v>2394.3000000000002</c:v>
                </c:pt>
                <c:pt idx="8">
                  <c:v>2394.3000000000002</c:v>
                </c:pt>
                <c:pt idx="9">
                  <c:v>3062</c:v>
                </c:pt>
              </c:numCache>
            </c:numRef>
          </c:val>
          <c:extLst>
            <c:ext xmlns:c16="http://schemas.microsoft.com/office/drawing/2014/chart" uri="{C3380CC4-5D6E-409C-BE32-E72D297353CC}">
              <c16:uniqueId val="{00000001-32F3-4C41-BC56-4D5E6EC7DB94}"/>
            </c:ext>
          </c:extLst>
        </c:ser>
        <c:ser>
          <c:idx val="1"/>
          <c:order val="1"/>
          <c:tx>
            <c:strRef>
              <c:f>'[Диаграмма в Microsoft PowerPoint]Лист1'!$C$3</c:f>
              <c:strCache>
                <c:ptCount val="1"/>
                <c:pt idx="0">
                  <c:v>средний размер ЕПМС (сом)</c:v>
                </c:pt>
              </c:strCache>
            </c:strRef>
          </c:tx>
          <c:invertIfNegative val="0"/>
          <c:dLbls>
            <c:dLbl>
              <c:idx val="0"/>
              <c:layout>
                <c:manualLayout>
                  <c:x val="0"/>
                  <c:y val="9.689922480620154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2F3-4C41-BC56-4D5E6EC7DB94}"/>
                </c:ext>
              </c:extLst>
            </c:dLbl>
            <c:dLbl>
              <c:idx val="1"/>
              <c:layout>
                <c:manualLayout>
                  <c:x val="-2.5294043252814193E-3"/>
                  <c:y val="9.689922480620154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2F3-4C41-BC56-4D5E6EC7DB94}"/>
                </c:ext>
              </c:extLst>
            </c:dLbl>
            <c:dLbl>
              <c:idx val="2"/>
              <c:layout>
                <c:manualLayout>
                  <c:x val="-2.5294043252814427E-3"/>
                  <c:y val="9.689922480620066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2F3-4C41-BC56-4D5E6EC7DB94}"/>
                </c:ext>
              </c:extLst>
            </c:dLbl>
            <c:dLbl>
              <c:idx val="3"/>
              <c:layout>
                <c:manualLayout>
                  <c:x val="0"/>
                  <c:y val="1.45348837209302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2F3-4C41-BC56-4D5E6EC7DB94}"/>
                </c:ext>
              </c:extLst>
            </c:dLbl>
            <c:dLbl>
              <c:idx val="4"/>
              <c:layout>
                <c:manualLayout>
                  <c:x val="0"/>
                  <c:y val="4.8449612403099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2F3-4C41-BC56-4D5E6EC7DB94}"/>
                </c:ext>
              </c:extLst>
            </c:dLbl>
            <c:dLbl>
              <c:idx val="5"/>
              <c:layout>
                <c:manualLayout>
                  <c:x val="0"/>
                  <c:y val="1.45348837209301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2F3-4C41-BC56-4D5E6EC7DB94}"/>
                </c:ext>
              </c:extLst>
            </c:dLbl>
            <c:dLbl>
              <c:idx val="6"/>
              <c:layout>
                <c:manualLayout>
                  <c:x val="0"/>
                  <c:y val="9.689922480620154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2F3-4C41-BC56-4D5E6EC7DB94}"/>
                </c:ext>
              </c:extLst>
            </c:dLbl>
            <c:dLbl>
              <c:idx val="7"/>
              <c:layout>
                <c:manualLayout>
                  <c:x val="-5.0588086505627926E-3"/>
                  <c:y val="1.45348837209302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2F3-4C41-BC56-4D5E6EC7DB94}"/>
                </c:ext>
              </c:extLst>
            </c:dLbl>
            <c:dLbl>
              <c:idx val="8"/>
              <c:layout>
                <c:manualLayout>
                  <c:x val="0"/>
                  <c:y val="9.689922480620154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2F3-4C41-BC56-4D5E6EC7DB94}"/>
                </c:ext>
              </c:extLst>
            </c:dLbl>
            <c:dLbl>
              <c:idx val="9"/>
              <c:layout>
                <c:manualLayout>
                  <c:x val="-9.2743753876558946E-17"/>
                  <c:y val="1.9379844961240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2F3-4C41-BC56-4D5E6EC7DB94}"/>
                </c:ext>
              </c:extLst>
            </c:dLbl>
            <c:spPr>
              <a:noFill/>
              <a:ln>
                <a:noFill/>
              </a:ln>
              <a:effectLst/>
            </c:spPr>
            <c:txPr>
              <a:bodyPr wrap="square" lIns="38100" tIns="19050" rIns="38100" bIns="19050" anchor="ctr">
                <a:spAutoFit/>
              </a:bodyPr>
              <a:lstStyle/>
              <a:p>
                <a:pPr>
                  <a:defRPr sz="800" baseline="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'[Диаграмма в Microsoft PowerPoint]Лист1'!$A$4:$A$14</c:f>
              <c:numCache>
                <c:formatCode>General</c:formatCode>
                <c:ptCount val="11"/>
                <c:pt idx="0">
                  <c:v>2009</c:v>
                </c:pt>
                <c:pt idx="1">
                  <c:v>2010</c:v>
                </c:pt>
                <c:pt idx="2">
                  <c:v>2011</c:v>
                </c:pt>
                <c:pt idx="3">
                  <c:v>2012</c:v>
                </c:pt>
                <c:pt idx="4">
                  <c:v>2013</c:v>
                </c:pt>
                <c:pt idx="5">
                  <c:v>2014</c:v>
                </c:pt>
                <c:pt idx="6">
                  <c:v>2015</c:v>
                </c:pt>
                <c:pt idx="7">
                  <c:v>2016</c:v>
                </c:pt>
                <c:pt idx="8">
                  <c:v>2017</c:v>
                </c:pt>
                <c:pt idx="9">
                  <c:v>2018</c:v>
                </c:pt>
              </c:numCache>
            </c:numRef>
          </c:cat>
          <c:val>
            <c:numRef>
              <c:f>'[Диаграмма в Microsoft PowerPoint]Лист1'!$C$4:$C$14</c:f>
              <c:numCache>
                <c:formatCode>General</c:formatCode>
                <c:ptCount val="11"/>
                <c:pt idx="0">
                  <c:v>172</c:v>
                </c:pt>
                <c:pt idx="1">
                  <c:v>235</c:v>
                </c:pt>
                <c:pt idx="2">
                  <c:v>305</c:v>
                </c:pt>
                <c:pt idx="3">
                  <c:v>463</c:v>
                </c:pt>
                <c:pt idx="4">
                  <c:v>487</c:v>
                </c:pt>
                <c:pt idx="5">
                  <c:v>554</c:v>
                </c:pt>
                <c:pt idx="6">
                  <c:v>769</c:v>
                </c:pt>
                <c:pt idx="7">
                  <c:v>873</c:v>
                </c:pt>
                <c:pt idx="8">
                  <c:v>875</c:v>
                </c:pt>
                <c:pt idx="9">
                  <c:v>877</c:v>
                </c:pt>
              </c:numCache>
            </c:numRef>
          </c:val>
          <c:extLst>
            <c:ext xmlns:c16="http://schemas.microsoft.com/office/drawing/2014/chart" uri="{C3380CC4-5D6E-409C-BE32-E72D297353CC}">
              <c16:uniqueId val="{0000000C-32F3-4C41-BC56-4D5E6EC7DB94}"/>
            </c:ext>
          </c:extLst>
        </c:ser>
        <c:ser>
          <c:idx val="2"/>
          <c:order val="2"/>
          <c:tx>
            <c:strRef>
              <c:f>'[Диаграмма в Microsoft PowerPoint]Лист1'!$D$3</c:f>
              <c:strCache>
                <c:ptCount val="1"/>
                <c:pt idx="0">
                  <c:v>Размер ГМД (сом)</c:v>
                </c:pt>
              </c:strCache>
            </c:strRef>
          </c:tx>
          <c:invertIfNegative val="0"/>
          <c:dLbls>
            <c:dLbl>
              <c:idx val="0"/>
              <c:layout>
                <c:manualLayout>
                  <c:x val="0"/>
                  <c:y val="-9.689922480620154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2F3-4C41-BC56-4D5E6EC7DB94}"/>
                </c:ext>
              </c:extLst>
            </c:dLbl>
            <c:dLbl>
              <c:idx val="1"/>
              <c:layout>
                <c:manualLayout>
                  <c:x val="0"/>
                  <c:y val="-9.689922480620154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2F3-4C41-BC56-4D5E6EC7DB94}"/>
                </c:ext>
              </c:extLst>
            </c:dLbl>
            <c:dLbl>
              <c:idx val="2"/>
              <c:layout>
                <c:manualLayout>
                  <c:x val="-4.6371876938279473E-17"/>
                  <c:y val="-9.689922480620154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2F3-4C41-BC56-4D5E6EC7DB94}"/>
                </c:ext>
              </c:extLst>
            </c:dLbl>
            <c:dLbl>
              <c:idx val="6"/>
              <c:layout>
                <c:manualLayout>
                  <c:x val="0"/>
                  <c:y val="-1.937984496124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2F3-4C41-BC56-4D5E6EC7DB94}"/>
                </c:ext>
              </c:extLst>
            </c:dLbl>
            <c:dLbl>
              <c:idx val="7"/>
              <c:layout>
                <c:manualLayout>
                  <c:x val="7.5882129758441889E-3"/>
                  <c:y val="-9.689922480620154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2F3-4C41-BC56-4D5E6EC7DB94}"/>
                </c:ext>
              </c:extLst>
            </c:dLbl>
            <c:dLbl>
              <c:idx val="8"/>
              <c:layout>
                <c:manualLayout>
                  <c:x val="2.5294043252814891E-3"/>
                  <c:y val="-1.45348837209302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2F3-4C41-BC56-4D5E6EC7DB94}"/>
                </c:ext>
              </c:extLst>
            </c:dLbl>
            <c:dLbl>
              <c:idx val="9"/>
              <c:layout>
                <c:manualLayout>
                  <c:x val="-9.2743753876558946E-17"/>
                  <c:y val="-9.689922480620154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32F3-4C41-BC56-4D5E6EC7DB94}"/>
                </c:ext>
              </c:extLst>
            </c:dLbl>
            <c:spPr>
              <a:noFill/>
              <a:ln>
                <a:noFill/>
              </a:ln>
              <a:effectLst/>
            </c:spPr>
            <c:txPr>
              <a:bodyPr wrap="square" lIns="38100" tIns="19050" rIns="38100" bIns="19050" anchor="ctr">
                <a:spAutoFit/>
              </a:bodyPr>
              <a:lstStyle/>
              <a:p>
                <a:pPr>
                  <a:defRPr sz="800" baseline="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'[Диаграмма в Microsoft PowerPoint]Лист1'!$A$4:$A$14</c:f>
              <c:numCache>
                <c:formatCode>General</c:formatCode>
                <c:ptCount val="11"/>
                <c:pt idx="0">
                  <c:v>2009</c:v>
                </c:pt>
                <c:pt idx="1">
                  <c:v>2010</c:v>
                </c:pt>
                <c:pt idx="2">
                  <c:v>2011</c:v>
                </c:pt>
                <c:pt idx="3">
                  <c:v>2012</c:v>
                </c:pt>
                <c:pt idx="4">
                  <c:v>2013</c:v>
                </c:pt>
                <c:pt idx="5">
                  <c:v>2014</c:v>
                </c:pt>
                <c:pt idx="6">
                  <c:v>2015</c:v>
                </c:pt>
                <c:pt idx="7">
                  <c:v>2016</c:v>
                </c:pt>
                <c:pt idx="8">
                  <c:v>2017</c:v>
                </c:pt>
                <c:pt idx="9">
                  <c:v>2018</c:v>
                </c:pt>
              </c:numCache>
            </c:numRef>
          </c:cat>
          <c:val>
            <c:numRef>
              <c:f>'[Диаграмма в Microsoft PowerPoint]Лист1'!$D$4:$D$14</c:f>
              <c:numCache>
                <c:formatCode>General</c:formatCode>
                <c:ptCount val="11"/>
                <c:pt idx="0">
                  <c:v>240</c:v>
                </c:pt>
                <c:pt idx="1">
                  <c:v>310</c:v>
                </c:pt>
                <c:pt idx="2">
                  <c:v>370</c:v>
                </c:pt>
                <c:pt idx="3">
                  <c:v>580</c:v>
                </c:pt>
                <c:pt idx="4">
                  <c:v>640</c:v>
                </c:pt>
                <c:pt idx="5">
                  <c:v>705</c:v>
                </c:pt>
                <c:pt idx="6">
                  <c:v>810</c:v>
                </c:pt>
                <c:pt idx="7">
                  <c:v>900</c:v>
                </c:pt>
                <c:pt idx="8">
                  <c:v>900</c:v>
                </c:pt>
                <c:pt idx="9">
                  <c:v>900</c:v>
                </c:pt>
              </c:numCache>
            </c:numRef>
          </c:val>
          <c:extLst>
            <c:ext xmlns:c16="http://schemas.microsoft.com/office/drawing/2014/chart" uri="{C3380CC4-5D6E-409C-BE32-E72D297353CC}">
              <c16:uniqueId val="{00000014-32F3-4C41-BC56-4D5E6EC7DB94}"/>
            </c:ext>
          </c:extLst>
        </c:ser>
        <c:dLbls>
          <c:showLegendKey val="0"/>
          <c:showVal val="1"/>
          <c:showCatName val="0"/>
          <c:showSerName val="0"/>
          <c:showPercent val="0"/>
          <c:showBubbleSize val="0"/>
        </c:dLbls>
        <c:gapWidth val="150"/>
        <c:shape val="cylinder"/>
        <c:axId val="345838280"/>
        <c:axId val="345834360"/>
        <c:axId val="0"/>
      </c:bar3DChart>
      <c:catAx>
        <c:axId val="345838280"/>
        <c:scaling>
          <c:orientation val="minMax"/>
        </c:scaling>
        <c:delete val="0"/>
        <c:axPos val="b"/>
        <c:numFmt formatCode="General" sourceLinked="1"/>
        <c:majorTickMark val="out"/>
        <c:minorTickMark val="none"/>
        <c:tickLblPos val="nextTo"/>
        <c:txPr>
          <a:bodyPr/>
          <a:lstStyle/>
          <a:p>
            <a:pPr>
              <a:defRPr sz="900"/>
            </a:pPr>
            <a:endParaRPr lang="en-US"/>
          </a:p>
        </c:txPr>
        <c:crossAx val="345834360"/>
        <c:crosses val="autoZero"/>
        <c:auto val="1"/>
        <c:lblAlgn val="ctr"/>
        <c:lblOffset val="100"/>
        <c:noMultiLvlLbl val="0"/>
      </c:catAx>
      <c:valAx>
        <c:axId val="345834360"/>
        <c:scaling>
          <c:orientation val="minMax"/>
        </c:scaling>
        <c:delete val="0"/>
        <c:axPos val="l"/>
        <c:numFmt formatCode="General" sourceLinked="1"/>
        <c:majorTickMark val="out"/>
        <c:minorTickMark val="none"/>
        <c:tickLblPos val="nextTo"/>
        <c:txPr>
          <a:bodyPr/>
          <a:lstStyle/>
          <a:p>
            <a:pPr>
              <a:defRPr sz="900"/>
            </a:pPr>
            <a:endParaRPr lang="en-US"/>
          </a:p>
        </c:txPr>
        <c:crossAx val="345838280"/>
        <c:crosses val="autoZero"/>
        <c:crossBetween val="between"/>
      </c:valAx>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0.86276</cdr:x>
      <cdr:y>0.23569</cdr:y>
    </cdr:from>
    <cdr:to>
      <cdr:x>0.879</cdr:x>
      <cdr:y>0.26811</cdr:y>
    </cdr:to>
    <cdr:sp macro="" textlink="">
      <cdr:nvSpPr>
        <cdr:cNvPr id="2" name="Rectangle 1"/>
        <cdr:cNvSpPr/>
      </cdr:nvSpPr>
      <cdr:spPr>
        <a:xfrm xmlns:a="http://schemas.openxmlformats.org/drawingml/2006/main">
          <a:off x="4331893" y="617811"/>
          <a:ext cx="81540" cy="84982"/>
        </a:xfrm>
        <a:prstGeom xmlns:a="http://schemas.openxmlformats.org/drawingml/2006/main" prst="rect">
          <a:avLst/>
        </a:prstGeom>
        <a:solidFill xmlns:a="http://schemas.openxmlformats.org/drawingml/2006/main">
          <a:schemeClr val="accent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001">
          <a:schemeClr val="l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n-US"/>
        </a:p>
      </cdr:txBody>
    </cdr:sp>
  </cdr:relSizeAnchor>
  <cdr:relSizeAnchor xmlns:cdr="http://schemas.openxmlformats.org/drawingml/2006/chartDrawing">
    <cdr:from>
      <cdr:x>0.86017</cdr:x>
      <cdr:y>0.43685</cdr:y>
    </cdr:from>
    <cdr:to>
      <cdr:x>0.87641</cdr:x>
      <cdr:y>0.46927</cdr:y>
    </cdr:to>
    <cdr:sp macro="" textlink="">
      <cdr:nvSpPr>
        <cdr:cNvPr id="3" name="Rectangle 2"/>
        <cdr:cNvSpPr/>
      </cdr:nvSpPr>
      <cdr:spPr>
        <a:xfrm xmlns:a="http://schemas.openxmlformats.org/drawingml/2006/main">
          <a:off x="4318866" y="1145099"/>
          <a:ext cx="81540" cy="84982"/>
        </a:xfrm>
        <a:prstGeom xmlns:a="http://schemas.openxmlformats.org/drawingml/2006/main" prst="rect">
          <a:avLst/>
        </a:prstGeom>
        <a:solidFill xmlns:a="http://schemas.openxmlformats.org/drawingml/2006/main">
          <a:schemeClr val="accent2"/>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001">
          <a:schemeClr val="l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n-US"/>
        </a:p>
      </cdr:txBody>
    </cdr:sp>
  </cdr:relSizeAnchor>
  <cdr:relSizeAnchor xmlns:cdr="http://schemas.openxmlformats.org/drawingml/2006/chartDrawing">
    <cdr:from>
      <cdr:x>0.86276</cdr:x>
      <cdr:y>0.66441</cdr:y>
    </cdr:from>
    <cdr:to>
      <cdr:x>0.879</cdr:x>
      <cdr:y>0.69682</cdr:y>
    </cdr:to>
    <cdr:sp macro="" textlink="">
      <cdr:nvSpPr>
        <cdr:cNvPr id="4" name="Rectangle 3"/>
        <cdr:cNvSpPr/>
      </cdr:nvSpPr>
      <cdr:spPr>
        <a:xfrm xmlns:a="http://schemas.openxmlformats.org/drawingml/2006/main">
          <a:off x="4331893" y="1741597"/>
          <a:ext cx="81540" cy="84955"/>
        </a:xfrm>
        <a:prstGeom xmlns:a="http://schemas.openxmlformats.org/drawingml/2006/main" prst="rect">
          <a:avLst/>
        </a:prstGeom>
        <a:solidFill xmlns:a="http://schemas.openxmlformats.org/drawingml/2006/main">
          <a:schemeClr val="accent3"/>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001">
          <a:schemeClr val="l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36</Pages>
  <Words>16468</Words>
  <Characters>86955</Characters>
  <Application>Microsoft Office Word</Application>
  <DocSecurity>0</DocSecurity>
  <Lines>2415</Lines>
  <Paragraphs>1124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Marie Adair</dc:creator>
  <cp:keywords/>
  <dc:description/>
  <cp:lastModifiedBy>Selwa Yousif</cp:lastModifiedBy>
  <cp:revision>3</cp:revision>
  <cp:lastPrinted>2019-04-22T23:49:00Z</cp:lastPrinted>
  <dcterms:created xsi:type="dcterms:W3CDTF">2019-04-22T23:49:00Z</dcterms:created>
  <dcterms:modified xsi:type="dcterms:W3CDTF">2019-04-22T23:49:00Z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1905743</vt:lpwstr>
  </property>
  <property fmtid="{D5CDD505-2E9C-101B-9397-08002B2CF9AE}" pid="3" name="ODSRefJobNo">
    <vt:lpwstr>1910032E</vt:lpwstr>
  </property>
  <property fmtid="{D5CDD505-2E9C-101B-9397-08002B2CF9AE}" pid="4" name="Symbol1">
    <vt:lpwstr>CEDAW/C/KGZ/5</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36</vt:lpwstr>
  </property>
  <property fmtid="{D5CDD505-2E9C-101B-9397-08002B2CF9AE}" pid="12" name="Operator">
    <vt:lpwstr>sy (f)</vt:lpwstr>
  </property>
  <property fmtid="{D5CDD505-2E9C-101B-9397-08002B2CF9AE}" pid="13" name="Release Date">
    <vt:lpwstr/>
  </property>
  <property fmtid="{D5CDD505-2E9C-101B-9397-08002B2CF9AE}" pid="14" name="Title1">
    <vt:lpwstr>		Fifth periodic report submitted by Kyrgyzstan under article 18 of the Convention, due in 2019*_x000d_</vt:lpwstr>
  </property>
</Properties>
</file>