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F41610"/>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F41610" w:rsidP="00F41610">
            <w:pPr>
              <w:jc w:val="right"/>
            </w:pPr>
            <w:r w:rsidRPr="00F41610">
              <w:rPr>
                <w:sz w:val="40"/>
              </w:rPr>
              <w:t>CERD</w:t>
            </w:r>
            <w:r>
              <w:t>/C/SAU/CO/4-9</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w:t>
            </w:r>
            <w:r w:rsidR="006F0410">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F41610" w:rsidP="009D5F1A">
            <w:pPr>
              <w:spacing w:before="240"/>
            </w:pPr>
            <w:r>
              <w:t>Distr. générale</w:t>
            </w:r>
          </w:p>
          <w:p w:rsidR="00F41610" w:rsidRDefault="00F41610" w:rsidP="00F41610">
            <w:pPr>
              <w:spacing w:line="240" w:lineRule="exact"/>
            </w:pPr>
            <w:r>
              <w:t>8 juin 2018</w:t>
            </w:r>
          </w:p>
          <w:p w:rsidR="00F41610" w:rsidRDefault="00F41610" w:rsidP="00F41610">
            <w:pPr>
              <w:spacing w:line="240" w:lineRule="exact"/>
            </w:pPr>
            <w:r>
              <w:t>Français</w:t>
            </w:r>
          </w:p>
          <w:p w:rsidR="00F41610" w:rsidRPr="00DB58B5" w:rsidRDefault="00F41610" w:rsidP="00F41610">
            <w:pPr>
              <w:spacing w:line="240" w:lineRule="exact"/>
            </w:pPr>
            <w:r>
              <w:t>Original</w:t>
            </w:r>
            <w:r w:rsidR="00BB37DE">
              <w:t> :</w:t>
            </w:r>
            <w:r>
              <w:t xml:space="preserve"> anglais</w:t>
            </w:r>
          </w:p>
        </w:tc>
      </w:tr>
    </w:tbl>
    <w:p w:rsidR="00623CA8" w:rsidRDefault="00623CA8" w:rsidP="00623CA8">
      <w:pPr>
        <w:spacing w:before="120"/>
        <w:rPr>
          <w:b/>
          <w:sz w:val="24"/>
          <w:szCs w:val="24"/>
        </w:rPr>
      </w:pPr>
      <w:r w:rsidRPr="00C56102">
        <w:rPr>
          <w:b/>
          <w:sz w:val="24"/>
          <w:szCs w:val="24"/>
        </w:rPr>
        <w:t>Comité pour l</w:t>
      </w:r>
      <w:r w:rsidR="006F0410">
        <w:rPr>
          <w:b/>
          <w:sz w:val="24"/>
          <w:szCs w:val="24"/>
        </w:rPr>
        <w:t>’</w:t>
      </w:r>
      <w:r w:rsidRPr="00C56102">
        <w:rPr>
          <w:b/>
          <w:sz w:val="24"/>
          <w:szCs w:val="24"/>
        </w:rPr>
        <w:t>élimination de la discrimination raciale</w:t>
      </w:r>
    </w:p>
    <w:p w:rsidR="00E30D2C" w:rsidRPr="00A034F0" w:rsidRDefault="00E30D2C" w:rsidP="00E30D2C">
      <w:pPr>
        <w:pStyle w:val="HChG"/>
        <w:rPr>
          <w:lang w:val="fr-FR"/>
        </w:rPr>
      </w:pPr>
      <w:r>
        <w:rPr>
          <w:lang w:val="fr-FR"/>
        </w:rPr>
        <w:tab/>
      </w:r>
      <w:r>
        <w:rPr>
          <w:lang w:val="fr-FR"/>
        </w:rPr>
        <w:tab/>
      </w:r>
      <w:r w:rsidRPr="00A034F0">
        <w:rPr>
          <w:lang w:val="fr-FR"/>
        </w:rPr>
        <w:t>Observations finales concernant le rapport</w:t>
      </w:r>
      <w:r w:rsidRPr="00A034F0">
        <w:rPr>
          <w:lang w:val="fr-FR"/>
        </w:rPr>
        <w:br/>
        <w:t>de l</w:t>
      </w:r>
      <w:r w:rsidR="006F0410">
        <w:rPr>
          <w:lang w:val="fr-FR"/>
        </w:rPr>
        <w:t>’</w:t>
      </w:r>
      <w:r w:rsidRPr="00A034F0">
        <w:rPr>
          <w:lang w:val="fr-FR"/>
        </w:rPr>
        <w:t>Arabie saoudite valant quatrième</w:t>
      </w:r>
      <w:r w:rsidRPr="00A034F0">
        <w:rPr>
          <w:lang w:val="fr-FR"/>
        </w:rPr>
        <w:br/>
        <w:t>à neuvième rapports périodiques</w:t>
      </w:r>
      <w:r w:rsidRPr="00E30D2C">
        <w:rPr>
          <w:rStyle w:val="Appelnotedebasdep"/>
          <w:b w:val="0"/>
          <w:sz w:val="20"/>
          <w:vertAlign w:val="baseline"/>
        </w:rPr>
        <w:footnoteReference w:customMarkFollows="1" w:id="2"/>
        <w:t>*</w:t>
      </w:r>
    </w:p>
    <w:p w:rsidR="00E30D2C" w:rsidRPr="00A034F0" w:rsidRDefault="00E30D2C" w:rsidP="006F0410">
      <w:pPr>
        <w:pStyle w:val="SingleTxtG"/>
        <w:rPr>
          <w:lang w:val="fr-FR"/>
        </w:rPr>
      </w:pPr>
      <w:r w:rsidRPr="00A034F0">
        <w:rPr>
          <w:lang w:val="fr-FR"/>
        </w:rPr>
        <w:t>1.</w:t>
      </w:r>
      <w:r w:rsidRPr="00A034F0">
        <w:rPr>
          <w:lang w:val="fr-FR"/>
        </w:rPr>
        <w:tab/>
        <w:t>Le Comité a examiné le rapport de l</w:t>
      </w:r>
      <w:r w:rsidR="006F0410">
        <w:rPr>
          <w:lang w:val="fr-FR"/>
        </w:rPr>
        <w:t>’</w:t>
      </w:r>
      <w:r w:rsidRPr="00A034F0">
        <w:rPr>
          <w:lang w:val="fr-FR"/>
        </w:rPr>
        <w:t>Arabie saoudite valant quatrième à neuvième rapports périodiques (CERD/C/SAU/4-9) à ses 2622</w:t>
      </w:r>
      <w:r w:rsidRPr="00A034F0">
        <w:rPr>
          <w:vertAlign w:val="superscript"/>
          <w:lang w:val="fr-FR"/>
        </w:rPr>
        <w:t>e</w:t>
      </w:r>
      <w:r w:rsidRPr="00A034F0">
        <w:rPr>
          <w:lang w:val="fr-FR"/>
        </w:rPr>
        <w:t xml:space="preserve"> et 2623</w:t>
      </w:r>
      <w:r w:rsidRPr="00A034F0">
        <w:rPr>
          <w:vertAlign w:val="superscript"/>
          <w:lang w:val="fr-FR"/>
        </w:rPr>
        <w:t>e</w:t>
      </w:r>
      <w:r w:rsidR="00E55B6F">
        <w:rPr>
          <w:vertAlign w:val="superscript"/>
          <w:lang w:val="fr-FR"/>
        </w:rPr>
        <w:t> </w:t>
      </w:r>
      <w:r w:rsidRPr="00A034F0">
        <w:rPr>
          <w:lang w:val="fr-FR"/>
        </w:rPr>
        <w:t>séances (voir CERD/C/SR.2622 et 2623), les 26 et 27 avril 2018. À sa 2636</w:t>
      </w:r>
      <w:r w:rsidRPr="00A034F0">
        <w:rPr>
          <w:vertAlign w:val="superscript"/>
          <w:lang w:val="fr-FR"/>
        </w:rPr>
        <w:t>e</w:t>
      </w:r>
      <w:r w:rsidR="00E55B6F">
        <w:rPr>
          <w:lang w:val="fr-FR"/>
        </w:rPr>
        <w:t> </w:t>
      </w:r>
      <w:r w:rsidRPr="00A034F0">
        <w:rPr>
          <w:lang w:val="fr-FR"/>
        </w:rPr>
        <w:t>séance, le 7 mai 2018, il a adopté les présentes observations finales.</w:t>
      </w:r>
    </w:p>
    <w:p w:rsidR="00E30D2C" w:rsidRPr="00A034F0" w:rsidRDefault="00E30D2C" w:rsidP="006F0410">
      <w:pPr>
        <w:pStyle w:val="H1G"/>
        <w:rPr>
          <w:lang w:val="fr-FR"/>
        </w:rPr>
      </w:pPr>
      <w:r w:rsidRPr="00A034F0">
        <w:rPr>
          <w:lang w:val="fr-FR"/>
        </w:rPr>
        <w:tab/>
        <w:t>A.</w:t>
      </w:r>
      <w:r w:rsidRPr="00A034F0">
        <w:rPr>
          <w:lang w:val="fr-FR"/>
        </w:rPr>
        <w:tab/>
        <w:t>Introduction</w:t>
      </w:r>
    </w:p>
    <w:p w:rsidR="00E30D2C" w:rsidRPr="00F979C9" w:rsidRDefault="00E30D2C" w:rsidP="006F0410">
      <w:pPr>
        <w:pStyle w:val="SingleTxtG"/>
        <w:rPr>
          <w:lang w:val="fr-FR"/>
        </w:rPr>
      </w:pPr>
      <w:r w:rsidRPr="00A034F0">
        <w:rPr>
          <w:lang w:val="fr-FR"/>
        </w:rPr>
        <w:t>2.</w:t>
      </w:r>
      <w:r w:rsidRPr="00A034F0">
        <w:rPr>
          <w:lang w:val="fr-FR"/>
        </w:rPr>
        <w:tab/>
        <w:t xml:space="preserve">Le Comité </w:t>
      </w:r>
      <w:r>
        <w:rPr>
          <w:lang w:val="fr-FR"/>
        </w:rPr>
        <w:t>accueille avec satisfaction</w:t>
      </w:r>
      <w:r w:rsidRPr="00A034F0">
        <w:rPr>
          <w:lang w:val="fr-FR"/>
        </w:rPr>
        <w:t xml:space="preserve"> le rapport de l</w:t>
      </w:r>
      <w:r w:rsidR="006F0410">
        <w:rPr>
          <w:lang w:val="fr-FR"/>
        </w:rPr>
        <w:t>’</w:t>
      </w:r>
      <w:r w:rsidRPr="00A034F0">
        <w:rPr>
          <w:lang w:val="fr-FR"/>
        </w:rPr>
        <w:t>État partie valant quatrième à neuvième rapport</w:t>
      </w:r>
      <w:r>
        <w:rPr>
          <w:lang w:val="fr-FR"/>
        </w:rPr>
        <w:t>s</w:t>
      </w:r>
      <w:r w:rsidRPr="00A034F0">
        <w:rPr>
          <w:lang w:val="fr-FR"/>
        </w:rPr>
        <w:t xml:space="preserve"> périodique</w:t>
      </w:r>
      <w:r>
        <w:rPr>
          <w:lang w:val="fr-FR"/>
        </w:rPr>
        <w:t>s</w:t>
      </w:r>
      <w:r w:rsidRPr="00A034F0">
        <w:rPr>
          <w:lang w:val="fr-FR"/>
        </w:rPr>
        <w:t xml:space="preserve"> mais regrette qu</w:t>
      </w:r>
      <w:r w:rsidR="006F0410">
        <w:rPr>
          <w:lang w:val="fr-FR"/>
        </w:rPr>
        <w:t>’</w:t>
      </w:r>
      <w:r w:rsidRPr="00A034F0">
        <w:rPr>
          <w:lang w:val="fr-FR"/>
        </w:rPr>
        <w:t xml:space="preserve">il ait été soumis avec un retard de plus de </w:t>
      </w:r>
      <w:r w:rsidR="00F25CD0">
        <w:rPr>
          <w:lang w:val="fr-FR"/>
        </w:rPr>
        <w:t>dix </w:t>
      </w:r>
      <w:r w:rsidRPr="00A034F0">
        <w:rPr>
          <w:lang w:val="fr-FR"/>
        </w:rPr>
        <w:t>ans. Il remercie l</w:t>
      </w:r>
      <w:r w:rsidR="006F0410">
        <w:rPr>
          <w:lang w:val="fr-FR"/>
        </w:rPr>
        <w:t>’</w:t>
      </w:r>
      <w:r w:rsidRPr="00A034F0">
        <w:rPr>
          <w:lang w:val="fr-FR"/>
        </w:rPr>
        <w:t>imposante délégation de l</w:t>
      </w:r>
      <w:r w:rsidR="006F0410">
        <w:rPr>
          <w:lang w:val="fr-FR"/>
        </w:rPr>
        <w:t>’</w:t>
      </w:r>
      <w:r w:rsidRPr="00A034F0">
        <w:rPr>
          <w:lang w:val="fr-FR"/>
        </w:rPr>
        <w:t>État partie d</w:t>
      </w:r>
      <w:r w:rsidR="006F0410">
        <w:rPr>
          <w:lang w:val="fr-FR"/>
        </w:rPr>
        <w:t>’</w:t>
      </w:r>
      <w:r w:rsidRPr="00A034F0">
        <w:rPr>
          <w:lang w:val="fr-FR"/>
        </w:rPr>
        <w:t>avoir eu avec lui un dialogue ouvert et constructif. Il tient à la remercier aussi pour les renseignements fournis pendant l</w:t>
      </w:r>
      <w:r w:rsidR="006F0410">
        <w:rPr>
          <w:lang w:val="fr-FR"/>
        </w:rPr>
        <w:t>’</w:t>
      </w:r>
      <w:r w:rsidRPr="00A034F0">
        <w:rPr>
          <w:lang w:val="fr-FR"/>
        </w:rPr>
        <w:t>examen du rapport.</w:t>
      </w:r>
    </w:p>
    <w:p w:rsidR="00E30D2C" w:rsidRPr="00F979C9" w:rsidRDefault="00E30D2C" w:rsidP="006F0410">
      <w:pPr>
        <w:pStyle w:val="H1G"/>
        <w:rPr>
          <w:lang w:val="fr-FR"/>
        </w:rPr>
      </w:pPr>
      <w:r w:rsidRPr="00A034F0">
        <w:rPr>
          <w:lang w:val="fr-FR"/>
        </w:rPr>
        <w:tab/>
        <w:t>B.</w:t>
      </w:r>
      <w:r w:rsidRPr="00A034F0">
        <w:rPr>
          <w:lang w:val="fr-FR"/>
        </w:rPr>
        <w:tab/>
        <w:t>Aspects positifs</w:t>
      </w:r>
    </w:p>
    <w:p w:rsidR="00E30D2C" w:rsidRPr="00A034F0" w:rsidRDefault="00E30D2C" w:rsidP="006F0410">
      <w:pPr>
        <w:pStyle w:val="SingleTxtG"/>
        <w:rPr>
          <w:lang w:val="fr-FR"/>
        </w:rPr>
      </w:pPr>
      <w:r w:rsidRPr="00A034F0">
        <w:rPr>
          <w:lang w:val="fr-FR"/>
        </w:rPr>
        <w:t>3.</w:t>
      </w:r>
      <w:r w:rsidRPr="00A034F0">
        <w:rPr>
          <w:lang w:val="fr-FR"/>
        </w:rPr>
        <w:tab/>
        <w:t>Le Comité salue la ratification par l</w:t>
      </w:r>
      <w:r w:rsidR="006F0410">
        <w:rPr>
          <w:lang w:val="fr-FR"/>
        </w:rPr>
        <w:t>’</w:t>
      </w:r>
      <w:r w:rsidRPr="00A034F0">
        <w:rPr>
          <w:lang w:val="fr-FR"/>
        </w:rPr>
        <w:t xml:space="preserve">État partie des instruments internationaux </w:t>
      </w:r>
      <w:r w:rsidR="00E55B6F">
        <w:rPr>
          <w:lang w:val="fr-FR"/>
        </w:rPr>
        <w:t>ci</w:t>
      </w:r>
      <w:r w:rsidR="00E55B6F">
        <w:rPr>
          <w:lang w:val="fr-FR"/>
        </w:rPr>
        <w:noBreakHyphen/>
      </w:r>
      <w:r w:rsidRPr="00A034F0">
        <w:rPr>
          <w:lang w:val="fr-FR"/>
        </w:rPr>
        <w:t>après, relatifs aux droits de l</w:t>
      </w:r>
      <w:r w:rsidR="006F0410">
        <w:rPr>
          <w:lang w:val="fr-FR"/>
        </w:rPr>
        <w:t>’</w:t>
      </w:r>
      <w:r w:rsidRPr="00A034F0">
        <w:rPr>
          <w:lang w:val="fr-FR"/>
        </w:rPr>
        <w:t>homme</w:t>
      </w:r>
      <w:r w:rsidR="00BB37DE">
        <w:rPr>
          <w:lang w:val="fr-FR"/>
        </w:rPr>
        <w:t> :</w:t>
      </w:r>
    </w:p>
    <w:p w:rsidR="00E30D2C" w:rsidRPr="00A034F0" w:rsidRDefault="00E30D2C" w:rsidP="00093A3C">
      <w:pPr>
        <w:pStyle w:val="SingleTxtG"/>
        <w:ind w:firstLine="567"/>
        <w:rPr>
          <w:lang w:val="fr-FR"/>
        </w:rPr>
      </w:pPr>
      <w:r w:rsidRPr="00A034F0">
        <w:rPr>
          <w:lang w:val="fr-FR"/>
        </w:rPr>
        <w:t>a)</w:t>
      </w:r>
      <w:r w:rsidRPr="00A034F0">
        <w:rPr>
          <w:lang w:val="fr-FR"/>
        </w:rPr>
        <w:tab/>
        <w:t>La Convention relative aux droits des personnes handicapées, en 2008</w:t>
      </w:r>
      <w:r w:rsidR="00BB37DE">
        <w:rPr>
          <w:lang w:val="fr-FR"/>
        </w:rPr>
        <w:t> ;</w:t>
      </w:r>
    </w:p>
    <w:p w:rsidR="00E30D2C" w:rsidRPr="00A034F0" w:rsidRDefault="00E30D2C" w:rsidP="00093A3C">
      <w:pPr>
        <w:pStyle w:val="SingleTxtG"/>
        <w:ind w:firstLine="567"/>
        <w:rPr>
          <w:lang w:val="fr-FR"/>
        </w:rPr>
      </w:pPr>
      <w:r w:rsidRPr="00A034F0">
        <w:rPr>
          <w:lang w:val="fr-FR"/>
        </w:rPr>
        <w:t>b)</w:t>
      </w:r>
      <w:r w:rsidRPr="00A034F0">
        <w:rPr>
          <w:lang w:val="fr-FR"/>
        </w:rPr>
        <w:tab/>
        <w:t>Le Protocole facultatif se rapportant à la Convention relative aux droits des personnes handicapées, en 2008</w:t>
      </w:r>
      <w:r w:rsidR="00BB37DE">
        <w:rPr>
          <w:lang w:val="fr-FR"/>
        </w:rPr>
        <w:t> ;</w:t>
      </w:r>
    </w:p>
    <w:p w:rsidR="00E30D2C" w:rsidRPr="00A034F0" w:rsidRDefault="00E30D2C" w:rsidP="00093A3C">
      <w:pPr>
        <w:pStyle w:val="SingleTxtG"/>
        <w:ind w:firstLine="567"/>
        <w:rPr>
          <w:lang w:val="fr-FR"/>
        </w:rPr>
      </w:pPr>
      <w:r w:rsidRPr="00A034F0">
        <w:rPr>
          <w:lang w:val="fr-FR"/>
        </w:rPr>
        <w:t>c)</w:t>
      </w:r>
      <w:r w:rsidRPr="00A034F0">
        <w:rPr>
          <w:lang w:val="fr-FR"/>
        </w:rPr>
        <w:tab/>
        <w:t>Le Protocole facultatif à la Convention relative aux droits de l</w:t>
      </w:r>
      <w:r w:rsidR="006F0410">
        <w:rPr>
          <w:lang w:val="fr-FR"/>
        </w:rPr>
        <w:t>’</w:t>
      </w:r>
      <w:r w:rsidRPr="00A034F0">
        <w:rPr>
          <w:lang w:val="fr-FR"/>
        </w:rPr>
        <w:t>enfant, concernant la vente d</w:t>
      </w:r>
      <w:r w:rsidR="006F0410">
        <w:rPr>
          <w:lang w:val="fr-FR"/>
        </w:rPr>
        <w:t>’</w:t>
      </w:r>
      <w:r w:rsidRPr="00A034F0">
        <w:rPr>
          <w:lang w:val="fr-FR"/>
        </w:rPr>
        <w:t>enfants, la prostitution des enfants et la pornographie mettant en scène des enfants, en 2010</w:t>
      </w:r>
      <w:r w:rsidR="00BB37DE">
        <w:rPr>
          <w:lang w:val="fr-FR"/>
        </w:rPr>
        <w:t> ;</w:t>
      </w:r>
    </w:p>
    <w:p w:rsidR="00E30D2C" w:rsidRPr="00A034F0" w:rsidRDefault="00E30D2C" w:rsidP="00093A3C">
      <w:pPr>
        <w:pStyle w:val="SingleTxtG"/>
        <w:ind w:firstLine="567"/>
        <w:rPr>
          <w:color w:val="000000"/>
          <w:lang w:val="fr-FR"/>
        </w:rPr>
      </w:pPr>
      <w:r w:rsidRPr="00A034F0">
        <w:rPr>
          <w:lang w:val="fr-FR"/>
        </w:rPr>
        <w:t>d)</w:t>
      </w:r>
      <w:r w:rsidRPr="00A034F0">
        <w:rPr>
          <w:lang w:val="fr-FR"/>
        </w:rPr>
        <w:tab/>
        <w:t>Le Protocole facultatif à la Convention relative aux droits de l</w:t>
      </w:r>
      <w:r w:rsidR="006F0410">
        <w:rPr>
          <w:lang w:val="fr-FR"/>
        </w:rPr>
        <w:t>’</w:t>
      </w:r>
      <w:r w:rsidRPr="00A034F0">
        <w:rPr>
          <w:lang w:val="fr-FR"/>
        </w:rPr>
        <w:t>enfant, concernant l</w:t>
      </w:r>
      <w:r w:rsidR="006F0410">
        <w:rPr>
          <w:lang w:val="fr-FR"/>
        </w:rPr>
        <w:t>’</w:t>
      </w:r>
      <w:r w:rsidRPr="00A034F0">
        <w:rPr>
          <w:lang w:val="fr-FR"/>
        </w:rPr>
        <w:t>implication d</w:t>
      </w:r>
      <w:r w:rsidR="006F0410">
        <w:rPr>
          <w:lang w:val="fr-FR"/>
        </w:rPr>
        <w:t>’</w:t>
      </w:r>
      <w:r w:rsidRPr="00A034F0">
        <w:rPr>
          <w:lang w:val="fr-FR"/>
        </w:rPr>
        <w:t>enfants dans les conflits armés, en 2011.</w:t>
      </w:r>
    </w:p>
    <w:p w:rsidR="00E30D2C" w:rsidRPr="00A034F0" w:rsidRDefault="00E30D2C" w:rsidP="006F0410">
      <w:pPr>
        <w:pStyle w:val="SingleTxtG"/>
        <w:rPr>
          <w:lang w:val="fr-FR"/>
        </w:rPr>
      </w:pPr>
      <w:r w:rsidRPr="00A034F0">
        <w:rPr>
          <w:lang w:val="fr-FR"/>
        </w:rPr>
        <w:t>4.</w:t>
      </w:r>
      <w:r w:rsidRPr="00A034F0">
        <w:rPr>
          <w:lang w:val="fr-FR"/>
        </w:rPr>
        <w:tab/>
        <w:t>Le Comité salue les mesures législatives et mesures de politique générale suivantes, prises par l</w:t>
      </w:r>
      <w:r w:rsidR="006F0410">
        <w:rPr>
          <w:lang w:val="fr-FR"/>
        </w:rPr>
        <w:t>’</w:t>
      </w:r>
      <w:r w:rsidRPr="00A034F0">
        <w:rPr>
          <w:lang w:val="fr-FR"/>
        </w:rPr>
        <w:t>État partie</w:t>
      </w:r>
      <w:r w:rsidR="00BB37DE">
        <w:rPr>
          <w:lang w:val="fr-FR"/>
        </w:rPr>
        <w:t> :</w:t>
      </w:r>
      <w:r w:rsidRPr="00A034F0">
        <w:rPr>
          <w:lang w:val="fr-FR"/>
        </w:rPr>
        <w:t xml:space="preserve"> </w:t>
      </w:r>
    </w:p>
    <w:p w:rsidR="00E30D2C" w:rsidRPr="00A034F0" w:rsidRDefault="00E30D2C" w:rsidP="00093A3C">
      <w:pPr>
        <w:pStyle w:val="SingleTxtG"/>
        <w:ind w:firstLine="567"/>
        <w:rPr>
          <w:lang w:val="fr-FR"/>
        </w:rPr>
      </w:pPr>
      <w:r w:rsidRPr="00A034F0">
        <w:rPr>
          <w:lang w:val="fr-FR"/>
        </w:rPr>
        <w:t>a)</w:t>
      </w:r>
      <w:r w:rsidRPr="00A034F0">
        <w:rPr>
          <w:lang w:val="fr-FR"/>
        </w:rPr>
        <w:tab/>
        <w:t>Création de la Commission des droits de l</w:t>
      </w:r>
      <w:r w:rsidR="006F0410">
        <w:rPr>
          <w:lang w:val="fr-FR"/>
        </w:rPr>
        <w:t>’</w:t>
      </w:r>
      <w:r w:rsidRPr="00A034F0">
        <w:rPr>
          <w:lang w:val="fr-FR"/>
        </w:rPr>
        <w:t xml:space="preserve">homme en exécution de la décision </w:t>
      </w:r>
      <w:r w:rsidRPr="00A034F0">
        <w:rPr>
          <w:rFonts w:eastAsia="MS Mincho"/>
          <w:lang w:val="fr-FR"/>
        </w:rPr>
        <w:t>n</w:t>
      </w:r>
      <w:r w:rsidRPr="00A034F0">
        <w:rPr>
          <w:rFonts w:eastAsia="MS Mincho"/>
          <w:vertAlign w:val="superscript"/>
          <w:lang w:val="fr-FR"/>
        </w:rPr>
        <w:t>o</w:t>
      </w:r>
      <w:r w:rsidRPr="00A034F0">
        <w:rPr>
          <w:lang w:val="fr-FR"/>
        </w:rPr>
        <w:t> 207 du Conseil des ministres en date du 12 septembre 2005</w:t>
      </w:r>
      <w:r w:rsidR="00BB37DE">
        <w:rPr>
          <w:lang w:val="fr-FR"/>
        </w:rPr>
        <w:t> ;</w:t>
      </w:r>
    </w:p>
    <w:p w:rsidR="00E30D2C" w:rsidRPr="00A034F0" w:rsidRDefault="00E30D2C" w:rsidP="00093A3C">
      <w:pPr>
        <w:pStyle w:val="SingleTxtG"/>
        <w:ind w:firstLine="567"/>
        <w:rPr>
          <w:lang w:val="fr-FR"/>
        </w:rPr>
      </w:pPr>
      <w:r w:rsidRPr="00A034F0">
        <w:rPr>
          <w:lang w:val="fr-FR"/>
        </w:rPr>
        <w:t>b)</w:t>
      </w:r>
      <w:r w:rsidRPr="00A034F0">
        <w:rPr>
          <w:lang w:val="fr-FR"/>
        </w:rPr>
        <w:tab/>
        <w:t>Création d</w:t>
      </w:r>
      <w:r w:rsidR="006F0410">
        <w:rPr>
          <w:lang w:val="fr-FR"/>
        </w:rPr>
        <w:t>’</w:t>
      </w:r>
      <w:r w:rsidRPr="00A034F0">
        <w:rPr>
          <w:lang w:val="fr-FR"/>
        </w:rPr>
        <w:t xml:space="preserve">un comité permanent de lutte contre la traite des personnes en exécution de la décision </w:t>
      </w:r>
      <w:r w:rsidRPr="00A034F0">
        <w:rPr>
          <w:rFonts w:eastAsia="MS Mincho"/>
          <w:lang w:val="fr-FR"/>
        </w:rPr>
        <w:t>n</w:t>
      </w:r>
      <w:r w:rsidRPr="00A034F0">
        <w:rPr>
          <w:rFonts w:eastAsia="MS Mincho"/>
          <w:vertAlign w:val="superscript"/>
          <w:lang w:val="fr-FR"/>
        </w:rPr>
        <w:t>o</w:t>
      </w:r>
      <w:r w:rsidRPr="00A034F0">
        <w:rPr>
          <w:lang w:val="fr-FR"/>
        </w:rPr>
        <w:t> 244 du Conseil des ministres en date du 13 juillet 2009</w:t>
      </w:r>
      <w:r w:rsidR="00BB37DE">
        <w:rPr>
          <w:lang w:val="fr-FR"/>
        </w:rPr>
        <w:t> ;</w:t>
      </w:r>
    </w:p>
    <w:p w:rsidR="00E30D2C" w:rsidRPr="00A034F0" w:rsidRDefault="00E30D2C" w:rsidP="00093A3C">
      <w:pPr>
        <w:pStyle w:val="SingleTxtG"/>
        <w:ind w:firstLine="567"/>
        <w:rPr>
          <w:lang w:val="fr-FR"/>
        </w:rPr>
      </w:pPr>
      <w:r w:rsidRPr="00A034F0">
        <w:rPr>
          <w:lang w:val="fr-FR"/>
        </w:rPr>
        <w:t>c)</w:t>
      </w:r>
      <w:r w:rsidRPr="00A034F0">
        <w:rPr>
          <w:lang w:val="fr-FR"/>
        </w:rPr>
        <w:tab/>
        <w:t xml:space="preserve">Interdiction de la traite des personnes énoncée dans la loi contre la traite des personnes, promulguée par le décret royal </w:t>
      </w:r>
      <w:r w:rsidRPr="00A034F0">
        <w:rPr>
          <w:rFonts w:eastAsia="MS Mincho"/>
          <w:lang w:val="fr-FR"/>
        </w:rPr>
        <w:t>n</w:t>
      </w:r>
      <w:r w:rsidRPr="00A034F0">
        <w:rPr>
          <w:rFonts w:eastAsia="MS Mincho"/>
          <w:vertAlign w:val="superscript"/>
          <w:lang w:val="fr-FR"/>
        </w:rPr>
        <w:t>o</w:t>
      </w:r>
      <w:r w:rsidRPr="00A034F0">
        <w:rPr>
          <w:lang w:val="fr-FR"/>
        </w:rPr>
        <w:t> M/40 du 14 juillet 2009</w:t>
      </w:r>
      <w:r w:rsidR="00BB37DE">
        <w:rPr>
          <w:lang w:val="fr-FR"/>
        </w:rPr>
        <w:t> ;</w:t>
      </w:r>
    </w:p>
    <w:p w:rsidR="00E30D2C" w:rsidRPr="00A034F0" w:rsidRDefault="00E30D2C" w:rsidP="00093A3C">
      <w:pPr>
        <w:pStyle w:val="SingleTxtG"/>
        <w:ind w:firstLine="567"/>
        <w:rPr>
          <w:lang w:val="fr-FR"/>
        </w:rPr>
      </w:pPr>
      <w:r w:rsidRPr="00A034F0">
        <w:rPr>
          <w:lang w:val="fr-FR"/>
        </w:rPr>
        <w:t>d)</w:t>
      </w:r>
      <w:r w:rsidRPr="00A034F0">
        <w:rPr>
          <w:lang w:val="fr-FR"/>
        </w:rPr>
        <w:tab/>
        <w:t>Adoption de la loi sur la protection contre les sévices, en 2013</w:t>
      </w:r>
      <w:r w:rsidR="00BB37DE">
        <w:rPr>
          <w:lang w:val="fr-FR"/>
        </w:rPr>
        <w:t> ;</w:t>
      </w:r>
    </w:p>
    <w:p w:rsidR="00E30D2C" w:rsidRPr="00A034F0" w:rsidRDefault="00E30D2C" w:rsidP="00093A3C">
      <w:pPr>
        <w:pStyle w:val="SingleTxtG"/>
        <w:ind w:firstLine="567"/>
        <w:rPr>
          <w:lang w:val="fr-FR"/>
        </w:rPr>
      </w:pPr>
      <w:r w:rsidRPr="00A034F0">
        <w:rPr>
          <w:lang w:val="fr-FR"/>
        </w:rPr>
        <w:t>e)</w:t>
      </w:r>
      <w:r w:rsidRPr="00A034F0">
        <w:rPr>
          <w:lang w:val="fr-FR"/>
        </w:rPr>
        <w:tab/>
        <w:t>Adoption de la loi de procédure pénale, en 2013</w:t>
      </w:r>
      <w:r w:rsidR="00BB37DE">
        <w:rPr>
          <w:lang w:val="fr-FR"/>
        </w:rPr>
        <w:t> ;</w:t>
      </w:r>
    </w:p>
    <w:p w:rsidR="00D01AD1" w:rsidRDefault="00E148EB" w:rsidP="00D01AD1">
      <w:pPr>
        <w:pStyle w:val="SingleTxtG"/>
        <w:ind w:firstLine="567"/>
        <w:rPr>
          <w:lang w:val="fr-FR"/>
        </w:rPr>
      </w:pPr>
      <w:r>
        <w:rPr>
          <w:lang w:val="fr-FR"/>
        </w:rPr>
        <w:t>f)</w:t>
      </w:r>
      <w:r w:rsidR="00E30D2C" w:rsidRPr="00A034F0">
        <w:rPr>
          <w:lang w:val="fr-FR"/>
        </w:rPr>
        <w:tab/>
        <w:t>Adoption d</w:t>
      </w:r>
      <w:r w:rsidR="006F0410">
        <w:rPr>
          <w:lang w:val="fr-FR"/>
        </w:rPr>
        <w:t>’</w:t>
      </w:r>
      <w:r w:rsidR="00E30D2C" w:rsidRPr="00A034F0">
        <w:rPr>
          <w:lang w:val="fr-FR"/>
        </w:rPr>
        <w:t>un plan national de lutte contre les infractions à la législation sur la traite des personnes pour la période 2017-2020</w:t>
      </w:r>
      <w:r w:rsidR="00D01AD1">
        <w:rPr>
          <w:lang w:val="fr-FR"/>
        </w:rPr>
        <w:t> ;</w:t>
      </w:r>
    </w:p>
    <w:p w:rsidR="00D01AD1" w:rsidRDefault="00E148EB" w:rsidP="00D01AD1">
      <w:pPr>
        <w:pStyle w:val="SingleTxtG"/>
        <w:ind w:firstLine="567"/>
        <w:rPr>
          <w:lang w:val="fr-FR"/>
        </w:rPr>
      </w:pPr>
      <w:r>
        <w:rPr>
          <w:lang w:val="fr-FR"/>
        </w:rPr>
        <w:t>g)</w:t>
      </w:r>
      <w:r>
        <w:rPr>
          <w:lang w:val="fr-FR"/>
        </w:rPr>
        <w:tab/>
      </w:r>
      <w:r w:rsidR="00D01AD1">
        <w:rPr>
          <w:lang w:val="fr-FR"/>
        </w:rPr>
        <w:t xml:space="preserve">Adoption de la décision </w:t>
      </w:r>
      <w:r w:rsidR="00D01AD1" w:rsidRPr="00D01AD1">
        <w:rPr>
          <w:rFonts w:eastAsia="MS Mincho"/>
          <w:lang w:val="fr-FR"/>
        </w:rPr>
        <w:t>n</w:t>
      </w:r>
      <w:r w:rsidR="00D01AD1" w:rsidRPr="00D01AD1">
        <w:rPr>
          <w:rFonts w:eastAsia="MS Mincho"/>
          <w:vertAlign w:val="superscript"/>
          <w:lang w:val="fr-FR"/>
        </w:rPr>
        <w:t>o</w:t>
      </w:r>
      <w:r w:rsidR="00D01AD1">
        <w:rPr>
          <w:lang w:val="fr-FR"/>
        </w:rPr>
        <w:t> </w:t>
      </w:r>
      <w:r w:rsidR="00D01AD1">
        <w:rPr>
          <w:lang w:val="fr-FR"/>
        </w:rPr>
        <w:t xml:space="preserve">308 du Conseil des ministres relative à la Vision Arabie </w:t>
      </w:r>
      <w:r w:rsidR="00D01AD1">
        <w:rPr>
          <w:lang w:val="fr-FR"/>
        </w:rPr>
        <w:t>s</w:t>
      </w:r>
      <w:r w:rsidR="00D01AD1">
        <w:rPr>
          <w:lang w:val="fr-FR"/>
        </w:rPr>
        <w:t xml:space="preserve">aoudite 2030, en 2016. </w:t>
      </w:r>
    </w:p>
    <w:p w:rsidR="00E30D2C" w:rsidRPr="00A034F0" w:rsidRDefault="00E30D2C" w:rsidP="006F0410">
      <w:pPr>
        <w:pStyle w:val="H1G"/>
        <w:rPr>
          <w:lang w:val="fr-FR"/>
        </w:rPr>
      </w:pPr>
      <w:r w:rsidRPr="00A034F0">
        <w:rPr>
          <w:lang w:val="fr-FR"/>
        </w:rPr>
        <w:tab/>
        <w:t>C.</w:t>
      </w:r>
      <w:r w:rsidRPr="00A034F0">
        <w:rPr>
          <w:lang w:val="fr-FR"/>
        </w:rPr>
        <w:tab/>
        <w:t>Sujets de préoccupation et recommandations</w:t>
      </w:r>
    </w:p>
    <w:p w:rsidR="00E30D2C" w:rsidRPr="00F979C9" w:rsidRDefault="00E30D2C" w:rsidP="006F0410">
      <w:pPr>
        <w:pStyle w:val="H23G"/>
        <w:rPr>
          <w:lang w:val="fr-FR"/>
        </w:rPr>
      </w:pPr>
      <w:r w:rsidRPr="00A034F0">
        <w:rPr>
          <w:lang w:val="fr-FR"/>
        </w:rPr>
        <w:tab/>
      </w:r>
      <w:r w:rsidRPr="00A034F0">
        <w:rPr>
          <w:lang w:val="fr-FR"/>
        </w:rPr>
        <w:tab/>
        <w:t xml:space="preserve">Réserves à la Convention </w:t>
      </w:r>
    </w:p>
    <w:p w:rsidR="00E30D2C" w:rsidRPr="00A034F0" w:rsidRDefault="00E30D2C" w:rsidP="006F0410">
      <w:pPr>
        <w:pStyle w:val="SingleTxtG"/>
        <w:rPr>
          <w:lang w:val="fr-FR"/>
        </w:rPr>
      </w:pPr>
      <w:r w:rsidRPr="00A034F0">
        <w:rPr>
          <w:lang w:val="fr-FR"/>
        </w:rPr>
        <w:t>5.</w:t>
      </w:r>
      <w:r w:rsidRPr="00A034F0">
        <w:rPr>
          <w:lang w:val="fr-FR"/>
        </w:rPr>
        <w:tab/>
        <w:t>Le Comité note avec préoccupation que l</w:t>
      </w:r>
      <w:r w:rsidR="006F0410">
        <w:rPr>
          <w:lang w:val="fr-FR"/>
        </w:rPr>
        <w:t>’</w:t>
      </w:r>
      <w:r w:rsidRPr="00A034F0">
        <w:rPr>
          <w:lang w:val="fr-FR"/>
        </w:rPr>
        <w:t>État partie maintient sa réserve générale à la mise en œuvre des dispositions de la Convention, à savoir que ces dispositions ne doivent pas être contraires à la charia, et sa réserve à l</w:t>
      </w:r>
      <w:r w:rsidR="006F0410">
        <w:rPr>
          <w:lang w:val="fr-FR"/>
        </w:rPr>
        <w:t>’</w:t>
      </w:r>
      <w:r w:rsidRPr="00A034F0">
        <w:rPr>
          <w:lang w:val="fr-FR"/>
        </w:rPr>
        <w:t xml:space="preserve">article 22 de la Convention, </w:t>
      </w:r>
      <w:r>
        <w:rPr>
          <w:lang w:val="fr-FR"/>
        </w:rPr>
        <w:t>lesquelles</w:t>
      </w:r>
      <w:r w:rsidRPr="00A034F0">
        <w:rPr>
          <w:lang w:val="fr-FR"/>
        </w:rPr>
        <w:t xml:space="preserve"> peuvent compromettre la pleine application de la Convention dans l</w:t>
      </w:r>
      <w:r w:rsidR="006F0410">
        <w:rPr>
          <w:lang w:val="fr-FR"/>
        </w:rPr>
        <w:t>’</w:t>
      </w:r>
      <w:r w:rsidRPr="00A034F0">
        <w:rPr>
          <w:lang w:val="fr-FR"/>
        </w:rPr>
        <w:t>État partie (art. 2).</w:t>
      </w:r>
    </w:p>
    <w:p w:rsidR="00E30D2C" w:rsidRPr="00A034F0" w:rsidRDefault="00E30D2C" w:rsidP="006F0410">
      <w:pPr>
        <w:pStyle w:val="SingleTxtG"/>
        <w:rPr>
          <w:b/>
          <w:lang w:val="fr-FR"/>
        </w:rPr>
      </w:pPr>
      <w:r w:rsidRPr="00A034F0">
        <w:rPr>
          <w:lang w:val="fr-FR"/>
        </w:rPr>
        <w:t>6.</w:t>
      </w:r>
      <w:r w:rsidRPr="00A034F0">
        <w:rPr>
          <w:lang w:val="fr-FR"/>
        </w:rPr>
        <w:tab/>
      </w:r>
      <w:r w:rsidRPr="00A034F0">
        <w:rPr>
          <w:b/>
          <w:lang w:val="fr-FR"/>
        </w:rPr>
        <w:t>Le Comité invite l</w:t>
      </w:r>
      <w:r w:rsidR="006F0410">
        <w:rPr>
          <w:b/>
          <w:lang w:val="fr-FR"/>
        </w:rPr>
        <w:t>’</w:t>
      </w:r>
      <w:r w:rsidRPr="00A034F0">
        <w:rPr>
          <w:b/>
          <w:lang w:val="fr-FR"/>
        </w:rPr>
        <w:t>État partie à réexaminer et à envisager de lever sa réserve générale à la Convention afin d</w:t>
      </w:r>
      <w:r w:rsidR="006F0410">
        <w:rPr>
          <w:b/>
          <w:lang w:val="fr-FR"/>
        </w:rPr>
        <w:t>’</w:t>
      </w:r>
      <w:r w:rsidRPr="00A034F0">
        <w:rPr>
          <w:b/>
          <w:lang w:val="fr-FR"/>
        </w:rPr>
        <w:t>assurer la pleine mise en œuvre des dispositions de la Convention dans l</w:t>
      </w:r>
      <w:r w:rsidR="006F0410">
        <w:rPr>
          <w:b/>
          <w:lang w:val="fr-FR"/>
        </w:rPr>
        <w:t>’</w:t>
      </w:r>
      <w:r w:rsidRPr="00A034F0">
        <w:rPr>
          <w:b/>
          <w:lang w:val="fr-FR"/>
        </w:rPr>
        <w:t>État partie.</w:t>
      </w:r>
    </w:p>
    <w:p w:rsidR="00E30D2C" w:rsidRPr="00F979C9" w:rsidRDefault="00E30D2C" w:rsidP="006F0410">
      <w:pPr>
        <w:pStyle w:val="H23G"/>
        <w:rPr>
          <w:lang w:val="fr-FR"/>
        </w:rPr>
      </w:pPr>
      <w:r w:rsidRPr="00A034F0">
        <w:rPr>
          <w:lang w:val="fr-FR"/>
        </w:rPr>
        <w:tab/>
      </w:r>
      <w:r w:rsidRPr="00A034F0">
        <w:rPr>
          <w:lang w:val="fr-FR"/>
        </w:rPr>
        <w:tab/>
        <w:t xml:space="preserve">Données statistiques </w:t>
      </w:r>
    </w:p>
    <w:p w:rsidR="00E30D2C" w:rsidRPr="00A034F0" w:rsidRDefault="00E30D2C" w:rsidP="006F0410">
      <w:pPr>
        <w:pStyle w:val="SingleTxtG"/>
        <w:rPr>
          <w:lang w:val="fr-FR"/>
        </w:rPr>
      </w:pPr>
      <w:r w:rsidRPr="00A034F0">
        <w:rPr>
          <w:lang w:val="fr-FR"/>
        </w:rPr>
        <w:t>7.</w:t>
      </w:r>
      <w:r w:rsidRPr="00A034F0">
        <w:rPr>
          <w:lang w:val="fr-FR"/>
        </w:rPr>
        <w:tab/>
        <w:t xml:space="preserve">Le Comité </w:t>
      </w:r>
      <w:r>
        <w:rPr>
          <w:lang w:val="fr-FR"/>
        </w:rPr>
        <w:t xml:space="preserve">prend note avec satisfaction </w:t>
      </w:r>
      <w:r w:rsidRPr="00A034F0">
        <w:rPr>
          <w:lang w:val="fr-FR"/>
        </w:rPr>
        <w:t xml:space="preserve">des informations sur le recensement qui </w:t>
      </w:r>
      <w:r>
        <w:rPr>
          <w:lang w:val="fr-FR"/>
        </w:rPr>
        <w:t>aura lieu</w:t>
      </w:r>
      <w:r w:rsidRPr="00A034F0">
        <w:rPr>
          <w:lang w:val="fr-FR"/>
        </w:rPr>
        <w:t xml:space="preserve"> en 2020, mais il est préoccupé par l</w:t>
      </w:r>
      <w:r w:rsidR="006F0410">
        <w:rPr>
          <w:lang w:val="fr-FR"/>
        </w:rPr>
        <w:t>’</w:t>
      </w:r>
      <w:r w:rsidRPr="00A034F0">
        <w:rPr>
          <w:lang w:val="fr-FR"/>
        </w:rPr>
        <w:t xml:space="preserve">absence de données statistiques détaillées sur la composition ethnique de la population, notamment sur </w:t>
      </w:r>
      <w:r w:rsidRPr="00A034F0">
        <w:rPr>
          <w:lang w:val="fr-FR"/>
        </w:rPr>
        <w:lastRenderedPageBreak/>
        <w:t>les non-ressortissants, ainsi que sur l</w:t>
      </w:r>
      <w:r w:rsidR="006F0410">
        <w:rPr>
          <w:lang w:val="fr-FR"/>
        </w:rPr>
        <w:t>’</w:t>
      </w:r>
      <w:r w:rsidRPr="00A034F0">
        <w:rPr>
          <w:lang w:val="fr-FR"/>
        </w:rPr>
        <w:t>exercice des droits économiques, sociaux et culturels par les groupes ethniques et les non-ressortissants (art. 1</w:t>
      </w:r>
      <w:r w:rsidRPr="00A034F0">
        <w:rPr>
          <w:vertAlign w:val="superscript"/>
          <w:lang w:val="fr-FR"/>
        </w:rPr>
        <w:t>er</w:t>
      </w:r>
      <w:r w:rsidRPr="00A034F0">
        <w:rPr>
          <w:lang w:val="fr-FR"/>
        </w:rPr>
        <w:t xml:space="preserve">). </w:t>
      </w:r>
    </w:p>
    <w:p w:rsidR="00E30D2C" w:rsidRPr="00A034F0" w:rsidRDefault="00E30D2C" w:rsidP="006F0410">
      <w:pPr>
        <w:pStyle w:val="SingleTxtG"/>
        <w:rPr>
          <w:b/>
          <w:lang w:val="fr-FR"/>
        </w:rPr>
      </w:pPr>
      <w:r w:rsidRPr="00A034F0">
        <w:rPr>
          <w:lang w:val="fr-FR"/>
        </w:rPr>
        <w:t>8.</w:t>
      </w:r>
      <w:r w:rsidRPr="00A034F0">
        <w:rPr>
          <w:lang w:val="fr-FR"/>
        </w:rPr>
        <w:tab/>
      </w:r>
      <w:r w:rsidRPr="00A034F0">
        <w:rPr>
          <w:b/>
          <w:lang w:val="fr-FR"/>
        </w:rPr>
        <w:t>Rappelant les paragraphes</w:t>
      </w:r>
      <w:r w:rsidR="00C06D77">
        <w:rPr>
          <w:b/>
          <w:lang w:val="fr-FR"/>
        </w:rPr>
        <w:t> </w:t>
      </w:r>
      <w:r w:rsidRPr="00A034F0">
        <w:rPr>
          <w:b/>
          <w:lang w:val="fr-FR"/>
        </w:rPr>
        <w:t>10 à 12 de ses directives pour l</w:t>
      </w:r>
      <w:r w:rsidR="006F0410">
        <w:rPr>
          <w:b/>
          <w:lang w:val="fr-FR"/>
        </w:rPr>
        <w:t>’</w:t>
      </w:r>
      <w:r w:rsidRPr="00A034F0">
        <w:rPr>
          <w:b/>
          <w:lang w:val="fr-FR"/>
        </w:rPr>
        <w:t>établissement des rapports au titre de la Convention (CERD/C/2007/1), le Comité recommande à l</w:t>
      </w:r>
      <w:r w:rsidR="006F0410">
        <w:rPr>
          <w:b/>
          <w:lang w:val="fr-FR"/>
        </w:rPr>
        <w:t>’</w:t>
      </w:r>
      <w:r w:rsidRPr="00A034F0">
        <w:rPr>
          <w:b/>
          <w:lang w:val="fr-FR"/>
        </w:rPr>
        <w:t>État partie de fournir dans son prochain rapport périodique</w:t>
      </w:r>
      <w:r w:rsidR="00BB37DE">
        <w:rPr>
          <w:b/>
          <w:lang w:val="fr-FR"/>
        </w:rPr>
        <w:t> :</w:t>
      </w:r>
      <w:r w:rsidRPr="00A034F0">
        <w:rPr>
          <w:b/>
          <w:lang w:val="fr-FR"/>
        </w:rPr>
        <w:t xml:space="preserve"> a) des données statistiques sur la composition démographique de la population, y compris </w:t>
      </w:r>
      <w:r>
        <w:rPr>
          <w:b/>
          <w:lang w:val="fr-FR"/>
        </w:rPr>
        <w:t xml:space="preserve">sur </w:t>
      </w:r>
      <w:r w:rsidR="00215F91">
        <w:rPr>
          <w:b/>
          <w:lang w:val="fr-FR"/>
        </w:rPr>
        <w:t>les non</w:t>
      </w:r>
      <w:r w:rsidR="00215F91">
        <w:rPr>
          <w:b/>
          <w:lang w:val="fr-FR"/>
        </w:rPr>
        <w:noBreakHyphen/>
      </w:r>
      <w:r w:rsidRPr="00A034F0">
        <w:rPr>
          <w:b/>
          <w:lang w:val="fr-FR"/>
        </w:rPr>
        <w:t>ressortissants, sur la base de l</w:t>
      </w:r>
      <w:r w:rsidR="006F0410">
        <w:rPr>
          <w:b/>
          <w:lang w:val="fr-FR"/>
        </w:rPr>
        <w:t>’</w:t>
      </w:r>
      <w:r w:rsidRPr="00A034F0">
        <w:rPr>
          <w:b/>
          <w:lang w:val="fr-FR"/>
        </w:rPr>
        <w:t xml:space="preserve">auto-identification des groupes ethniques, ventilées au </w:t>
      </w:r>
      <w:r>
        <w:rPr>
          <w:b/>
          <w:lang w:val="fr-FR"/>
        </w:rPr>
        <w:t xml:space="preserve">regard du </w:t>
      </w:r>
      <w:r w:rsidRPr="00A034F0">
        <w:rPr>
          <w:b/>
          <w:lang w:val="fr-FR"/>
        </w:rPr>
        <w:t>paragraphe 1 de l</w:t>
      </w:r>
      <w:r w:rsidR="006F0410">
        <w:rPr>
          <w:b/>
          <w:lang w:val="fr-FR"/>
        </w:rPr>
        <w:t>’</w:t>
      </w:r>
      <w:r w:rsidRPr="00A034F0">
        <w:rPr>
          <w:b/>
          <w:lang w:val="fr-FR"/>
        </w:rPr>
        <w:t>article premier de la Convention</w:t>
      </w:r>
      <w:r w:rsidR="00BB37DE">
        <w:rPr>
          <w:b/>
          <w:lang w:val="fr-FR"/>
        </w:rPr>
        <w:t> ;</w:t>
      </w:r>
      <w:r w:rsidRPr="00A034F0">
        <w:rPr>
          <w:b/>
          <w:lang w:val="fr-FR"/>
        </w:rPr>
        <w:t xml:space="preserve"> b) des données statistiques détaillées sur l</w:t>
      </w:r>
      <w:r w:rsidR="006F0410">
        <w:rPr>
          <w:b/>
          <w:lang w:val="fr-FR"/>
        </w:rPr>
        <w:t>’</w:t>
      </w:r>
      <w:r w:rsidRPr="00A034F0">
        <w:rPr>
          <w:b/>
          <w:lang w:val="fr-FR"/>
        </w:rPr>
        <w:t xml:space="preserve">exercice des droits économiques, sociaux et culturels, ventilées par groupe ethnique et par </w:t>
      </w:r>
      <w:r>
        <w:rPr>
          <w:b/>
          <w:lang w:val="fr-FR"/>
        </w:rPr>
        <w:t>origine</w:t>
      </w:r>
      <w:r w:rsidRPr="00A034F0">
        <w:rPr>
          <w:b/>
          <w:lang w:val="fr-FR"/>
        </w:rPr>
        <w:t xml:space="preserve"> nationale (ressortissants/</w:t>
      </w:r>
      <w:r w:rsidR="00E55B6F">
        <w:rPr>
          <w:b/>
          <w:lang w:val="fr-FR"/>
        </w:rPr>
        <w:t xml:space="preserve"> non</w:t>
      </w:r>
      <w:r w:rsidR="00E55B6F">
        <w:rPr>
          <w:b/>
          <w:lang w:val="fr-FR"/>
        </w:rPr>
        <w:noBreakHyphen/>
      </w:r>
      <w:r w:rsidRPr="00A034F0">
        <w:rPr>
          <w:b/>
          <w:lang w:val="fr-FR"/>
        </w:rPr>
        <w:t>ressortissants), afin que le Comité dispose d</w:t>
      </w:r>
      <w:r w:rsidR="006F0410">
        <w:rPr>
          <w:b/>
          <w:lang w:val="fr-FR"/>
        </w:rPr>
        <w:t>’</w:t>
      </w:r>
      <w:r w:rsidRPr="00A034F0">
        <w:rPr>
          <w:b/>
          <w:lang w:val="fr-FR"/>
        </w:rPr>
        <w:t>une base empirique permettant d</w:t>
      </w:r>
      <w:r w:rsidR="006F0410">
        <w:rPr>
          <w:b/>
          <w:lang w:val="fr-FR"/>
        </w:rPr>
        <w:t>’</w:t>
      </w:r>
      <w:r w:rsidRPr="00A034F0">
        <w:rPr>
          <w:b/>
          <w:lang w:val="fr-FR"/>
        </w:rPr>
        <w:t>évaluer la jouissance, dans des conditions d</w:t>
      </w:r>
      <w:r w:rsidR="006F0410">
        <w:rPr>
          <w:b/>
          <w:lang w:val="fr-FR"/>
        </w:rPr>
        <w:t>’</w:t>
      </w:r>
      <w:r w:rsidRPr="00A034F0">
        <w:rPr>
          <w:b/>
          <w:lang w:val="fr-FR"/>
        </w:rPr>
        <w:t>égalité, des droits consacrés par la Convention.</w:t>
      </w:r>
    </w:p>
    <w:p w:rsidR="00E30D2C" w:rsidRPr="00A034F0" w:rsidRDefault="00E30D2C" w:rsidP="006F0410">
      <w:pPr>
        <w:pStyle w:val="H23G"/>
        <w:rPr>
          <w:lang w:val="fr-FR"/>
        </w:rPr>
      </w:pPr>
      <w:r w:rsidRPr="00A034F0">
        <w:rPr>
          <w:lang w:val="fr-FR"/>
        </w:rPr>
        <w:tab/>
      </w:r>
      <w:r w:rsidRPr="00A034F0">
        <w:rPr>
          <w:lang w:val="fr-FR"/>
        </w:rPr>
        <w:tab/>
        <w:t>Commission nationale des droits de l</w:t>
      </w:r>
      <w:r w:rsidR="006F0410">
        <w:rPr>
          <w:lang w:val="fr-FR"/>
        </w:rPr>
        <w:t>’</w:t>
      </w:r>
      <w:r w:rsidRPr="00A034F0">
        <w:rPr>
          <w:lang w:val="fr-FR"/>
        </w:rPr>
        <w:t>homme</w:t>
      </w:r>
    </w:p>
    <w:p w:rsidR="00E30D2C" w:rsidRPr="00A034F0" w:rsidRDefault="00E30D2C" w:rsidP="006F0410">
      <w:pPr>
        <w:pStyle w:val="SingleTxtG"/>
        <w:rPr>
          <w:lang w:val="fr-FR"/>
        </w:rPr>
      </w:pPr>
      <w:r w:rsidRPr="00A034F0">
        <w:rPr>
          <w:lang w:val="fr-FR"/>
        </w:rPr>
        <w:t>9.</w:t>
      </w:r>
      <w:r w:rsidRPr="00A034F0">
        <w:rPr>
          <w:lang w:val="fr-FR"/>
        </w:rPr>
        <w:tab/>
        <w:t>Le Comité prend note des modifications apportées en 2016 afin d</w:t>
      </w:r>
      <w:r w:rsidR="006F0410">
        <w:rPr>
          <w:lang w:val="fr-FR"/>
        </w:rPr>
        <w:t>’</w:t>
      </w:r>
      <w:r w:rsidRPr="00A034F0">
        <w:rPr>
          <w:lang w:val="fr-FR"/>
        </w:rPr>
        <w:t>accorder une plus grande indépendance à la Commission nationale des droits de l</w:t>
      </w:r>
      <w:r w:rsidR="006F0410">
        <w:rPr>
          <w:lang w:val="fr-FR"/>
        </w:rPr>
        <w:t>’</w:t>
      </w:r>
      <w:r w:rsidRPr="00A034F0">
        <w:rPr>
          <w:lang w:val="fr-FR"/>
        </w:rPr>
        <w:t>homme, mais regrette que la Commission ne soit pas encore pleinement conforme aux Principes concernant le statut des institutions nationales pour la promotion et la protection des droits de l</w:t>
      </w:r>
      <w:r w:rsidR="006F0410">
        <w:rPr>
          <w:lang w:val="fr-FR"/>
        </w:rPr>
        <w:t>’</w:t>
      </w:r>
      <w:r w:rsidRPr="00A034F0">
        <w:rPr>
          <w:lang w:val="fr-FR"/>
        </w:rPr>
        <w:t>homme (Principes de Paris) (art. 2).</w:t>
      </w:r>
    </w:p>
    <w:p w:rsidR="00E30D2C" w:rsidRPr="00A034F0" w:rsidRDefault="00E30D2C" w:rsidP="006F0410">
      <w:pPr>
        <w:pStyle w:val="SingleTxtG"/>
        <w:rPr>
          <w:b/>
          <w:lang w:val="fr-FR"/>
        </w:rPr>
      </w:pPr>
      <w:r w:rsidRPr="00A034F0">
        <w:rPr>
          <w:lang w:val="fr-FR"/>
        </w:rPr>
        <w:t>10.</w:t>
      </w:r>
      <w:r w:rsidRPr="00A034F0">
        <w:rPr>
          <w:lang w:val="fr-FR"/>
        </w:rPr>
        <w:tab/>
      </w:r>
      <w:r w:rsidRPr="00A034F0">
        <w:rPr>
          <w:b/>
          <w:lang w:val="fr-FR"/>
        </w:rPr>
        <w:t>Le Comité recommande à l</w:t>
      </w:r>
      <w:r w:rsidR="006F0410">
        <w:rPr>
          <w:b/>
          <w:lang w:val="fr-FR"/>
        </w:rPr>
        <w:t>’</w:t>
      </w:r>
      <w:r w:rsidRPr="00A034F0">
        <w:rPr>
          <w:b/>
          <w:lang w:val="fr-FR"/>
        </w:rPr>
        <w:t>État partie de prendre les mesures nécessaires pour mettre la Commission nationale des droits de l</w:t>
      </w:r>
      <w:r w:rsidR="006F0410">
        <w:rPr>
          <w:b/>
          <w:lang w:val="fr-FR"/>
        </w:rPr>
        <w:t>’</w:t>
      </w:r>
      <w:r w:rsidRPr="00A034F0">
        <w:rPr>
          <w:b/>
          <w:lang w:val="fr-FR"/>
        </w:rPr>
        <w:t>homme en conformité avec les Principes de Paris et de fournir à la Commission des ressources humaines et financières suffisantes afin qu</w:t>
      </w:r>
      <w:r w:rsidR="006F0410">
        <w:rPr>
          <w:b/>
          <w:lang w:val="fr-FR"/>
        </w:rPr>
        <w:t>’</w:t>
      </w:r>
      <w:r w:rsidRPr="00A034F0">
        <w:rPr>
          <w:b/>
          <w:lang w:val="fr-FR"/>
        </w:rPr>
        <w:t>elle puisse s</w:t>
      </w:r>
      <w:r w:rsidR="006F0410">
        <w:rPr>
          <w:b/>
          <w:lang w:val="fr-FR"/>
        </w:rPr>
        <w:t>’</w:t>
      </w:r>
      <w:r w:rsidRPr="00A034F0">
        <w:rPr>
          <w:b/>
          <w:lang w:val="fr-FR"/>
        </w:rPr>
        <w:t>acquitter de manière efficace et indépendante de son mandat. Il encourage également l</w:t>
      </w:r>
      <w:r w:rsidR="006F0410">
        <w:rPr>
          <w:b/>
          <w:lang w:val="fr-FR"/>
        </w:rPr>
        <w:t>’</w:t>
      </w:r>
      <w:r w:rsidRPr="00A034F0">
        <w:rPr>
          <w:b/>
          <w:lang w:val="fr-FR"/>
        </w:rPr>
        <w:t>État partie à déposer une demande auprès de l</w:t>
      </w:r>
      <w:r w:rsidR="006F0410">
        <w:rPr>
          <w:b/>
          <w:lang w:val="fr-FR"/>
        </w:rPr>
        <w:t>’</w:t>
      </w:r>
      <w:r w:rsidRPr="00A034F0">
        <w:rPr>
          <w:b/>
          <w:lang w:val="fr-FR"/>
        </w:rPr>
        <w:t>Alliance globale des institutions nationales des droits de l</w:t>
      </w:r>
      <w:r w:rsidR="006F0410">
        <w:rPr>
          <w:b/>
          <w:lang w:val="fr-FR"/>
        </w:rPr>
        <w:t>’</w:t>
      </w:r>
      <w:r w:rsidRPr="00A034F0">
        <w:rPr>
          <w:b/>
          <w:lang w:val="fr-FR"/>
        </w:rPr>
        <w:t>homme pour que la Commission puisse être accréditée.</w:t>
      </w:r>
    </w:p>
    <w:p w:rsidR="00E30D2C" w:rsidRPr="00F979C9" w:rsidRDefault="00E30D2C" w:rsidP="006F0410">
      <w:pPr>
        <w:pStyle w:val="H23G"/>
        <w:rPr>
          <w:lang w:val="fr-FR"/>
        </w:rPr>
      </w:pPr>
      <w:r w:rsidRPr="00A034F0">
        <w:rPr>
          <w:lang w:val="fr-FR"/>
        </w:rPr>
        <w:tab/>
      </w:r>
      <w:r w:rsidRPr="00A034F0">
        <w:rPr>
          <w:lang w:val="fr-FR"/>
        </w:rPr>
        <w:tab/>
        <w:t xml:space="preserve">Interdiction de la discrimination raciale </w:t>
      </w:r>
    </w:p>
    <w:p w:rsidR="00E30D2C" w:rsidRPr="00A034F0" w:rsidRDefault="00E30D2C" w:rsidP="00215F91">
      <w:pPr>
        <w:pStyle w:val="SingleTxtG"/>
        <w:keepLines/>
        <w:rPr>
          <w:lang w:val="fr-FR"/>
        </w:rPr>
      </w:pPr>
      <w:r w:rsidRPr="00A034F0">
        <w:rPr>
          <w:lang w:val="fr-FR"/>
        </w:rPr>
        <w:t>11.</w:t>
      </w:r>
      <w:r w:rsidRPr="00A034F0">
        <w:rPr>
          <w:lang w:val="fr-FR"/>
        </w:rPr>
        <w:tab/>
        <w:t>Le Comité prend note des informations selon lesquelles l</w:t>
      </w:r>
      <w:r w:rsidR="006F0410">
        <w:rPr>
          <w:lang w:val="fr-FR"/>
        </w:rPr>
        <w:t>’</w:t>
      </w:r>
      <w:r w:rsidRPr="00A034F0">
        <w:rPr>
          <w:lang w:val="fr-FR"/>
        </w:rPr>
        <w:t>article</w:t>
      </w:r>
      <w:r w:rsidR="00215F91">
        <w:rPr>
          <w:lang w:val="fr-FR"/>
        </w:rPr>
        <w:t> </w:t>
      </w:r>
      <w:r w:rsidRPr="00A034F0">
        <w:rPr>
          <w:lang w:val="fr-FR"/>
        </w:rPr>
        <w:t>8 de la Loi fondamentale garantit la justice et l</w:t>
      </w:r>
      <w:r w:rsidR="006F0410">
        <w:rPr>
          <w:lang w:val="fr-FR"/>
        </w:rPr>
        <w:t>’</w:t>
      </w:r>
      <w:r w:rsidRPr="00A034F0">
        <w:rPr>
          <w:lang w:val="fr-FR"/>
        </w:rPr>
        <w:t>égalité et relève que la Convention fait partie du droit interne et revêt le même caractère obligatoire que les lois ordinaires. Il craint toutefois que l</w:t>
      </w:r>
      <w:r w:rsidR="006F0410">
        <w:rPr>
          <w:lang w:val="fr-FR"/>
        </w:rPr>
        <w:t>’</w:t>
      </w:r>
      <w:r w:rsidRPr="00A034F0">
        <w:rPr>
          <w:lang w:val="fr-FR"/>
        </w:rPr>
        <w:t xml:space="preserve">absence, en droit interne, de disposition interdisant </w:t>
      </w:r>
      <w:r w:rsidRPr="001A4160">
        <w:rPr>
          <w:lang w:val="fr-FR"/>
        </w:rPr>
        <w:t>express</w:t>
      </w:r>
      <w:r>
        <w:rPr>
          <w:lang w:val="fr-FR"/>
        </w:rPr>
        <w:t>ément</w:t>
      </w:r>
      <w:r w:rsidRPr="001A4160">
        <w:rPr>
          <w:lang w:val="fr-FR"/>
        </w:rPr>
        <w:t xml:space="preserve"> </w:t>
      </w:r>
      <w:r w:rsidRPr="00A034F0">
        <w:rPr>
          <w:lang w:val="fr-FR"/>
        </w:rPr>
        <w:t>la discrimination raciale directe et indirecte fondée sur les motifs visés à l</w:t>
      </w:r>
      <w:r w:rsidR="006F0410">
        <w:rPr>
          <w:lang w:val="fr-FR"/>
        </w:rPr>
        <w:t>’</w:t>
      </w:r>
      <w:r w:rsidRPr="00A034F0">
        <w:rPr>
          <w:lang w:val="fr-FR"/>
        </w:rPr>
        <w:t>article premier n</w:t>
      </w:r>
      <w:r w:rsidR="006F0410">
        <w:rPr>
          <w:lang w:val="fr-FR"/>
        </w:rPr>
        <w:t>’</w:t>
      </w:r>
      <w:r w:rsidRPr="00A034F0">
        <w:rPr>
          <w:lang w:val="fr-FR"/>
        </w:rPr>
        <w:t xml:space="preserve">entrave la mise en œuvre des droits consacrés par la Convention. Il est en outre préoccupé par le manque de renseignements sur les mesures prises pour mettre la législation </w:t>
      </w:r>
      <w:r>
        <w:rPr>
          <w:lang w:val="fr-FR"/>
        </w:rPr>
        <w:t>en vigueur</w:t>
      </w:r>
      <w:r w:rsidRPr="00A034F0">
        <w:rPr>
          <w:lang w:val="fr-FR"/>
        </w:rPr>
        <w:t xml:space="preserve"> en conformité avec la Convention (art. 1</w:t>
      </w:r>
      <w:r w:rsidRPr="00A034F0">
        <w:rPr>
          <w:vertAlign w:val="superscript"/>
          <w:lang w:val="fr-FR"/>
        </w:rPr>
        <w:t>er</w:t>
      </w:r>
      <w:r w:rsidRPr="00A034F0">
        <w:rPr>
          <w:lang w:val="fr-FR"/>
        </w:rPr>
        <w:t xml:space="preserve">). </w:t>
      </w:r>
    </w:p>
    <w:p w:rsidR="00E30D2C" w:rsidRPr="00A034F0" w:rsidRDefault="00E30D2C" w:rsidP="006F0410">
      <w:pPr>
        <w:pStyle w:val="SingleTxtG"/>
        <w:rPr>
          <w:lang w:val="fr-FR"/>
        </w:rPr>
      </w:pPr>
      <w:r w:rsidRPr="00A034F0">
        <w:rPr>
          <w:lang w:val="fr-FR"/>
        </w:rPr>
        <w:t>12.</w:t>
      </w:r>
      <w:r w:rsidRPr="00A034F0">
        <w:rPr>
          <w:lang w:val="fr-FR"/>
        </w:rPr>
        <w:tab/>
      </w:r>
      <w:r w:rsidRPr="00A034F0">
        <w:rPr>
          <w:b/>
          <w:lang w:val="fr-FR"/>
        </w:rPr>
        <w:t>Réaffirmant ses précédentes observations finales (voir CERD/C/62/CO/8, par. 10), le Comité recommande à l</w:t>
      </w:r>
      <w:r w:rsidR="006F0410">
        <w:rPr>
          <w:b/>
          <w:lang w:val="fr-FR"/>
        </w:rPr>
        <w:t>’</w:t>
      </w:r>
      <w:r w:rsidRPr="00A034F0">
        <w:rPr>
          <w:b/>
          <w:lang w:val="fr-FR"/>
        </w:rPr>
        <w:t>État partie d</w:t>
      </w:r>
      <w:r w:rsidR="006F0410">
        <w:rPr>
          <w:b/>
          <w:lang w:val="fr-FR"/>
        </w:rPr>
        <w:t>’</w:t>
      </w:r>
      <w:r w:rsidRPr="00A034F0">
        <w:rPr>
          <w:b/>
          <w:lang w:val="fr-FR"/>
        </w:rPr>
        <w:t xml:space="preserve">adopter une législation nationale </w:t>
      </w:r>
      <w:r>
        <w:rPr>
          <w:b/>
          <w:lang w:val="fr-FR"/>
        </w:rPr>
        <w:t>d</w:t>
      </w:r>
      <w:r w:rsidR="006F0410">
        <w:rPr>
          <w:b/>
          <w:lang w:val="fr-FR"/>
        </w:rPr>
        <w:t>’</w:t>
      </w:r>
      <w:r>
        <w:rPr>
          <w:b/>
          <w:lang w:val="fr-FR"/>
        </w:rPr>
        <w:t>ensemble</w:t>
      </w:r>
      <w:r w:rsidRPr="00A034F0">
        <w:rPr>
          <w:b/>
          <w:lang w:val="fr-FR"/>
        </w:rPr>
        <w:t xml:space="preserve"> qui interdise la discrimination raciale directe et indirecte, conformément à la Convention, </w:t>
      </w:r>
      <w:r>
        <w:rPr>
          <w:b/>
          <w:lang w:val="fr-FR"/>
        </w:rPr>
        <w:t>notamment</w:t>
      </w:r>
      <w:r w:rsidRPr="00A034F0">
        <w:rPr>
          <w:b/>
          <w:lang w:val="fr-FR"/>
        </w:rPr>
        <w:t xml:space="preserve"> tous les motifs interdits de discrimination visés à l</w:t>
      </w:r>
      <w:r w:rsidR="006F0410">
        <w:rPr>
          <w:b/>
          <w:lang w:val="fr-FR"/>
        </w:rPr>
        <w:t>’</w:t>
      </w:r>
      <w:r w:rsidR="009F0D84">
        <w:rPr>
          <w:b/>
          <w:lang w:val="fr-FR"/>
        </w:rPr>
        <w:t>article </w:t>
      </w:r>
      <w:r w:rsidRPr="00A034F0">
        <w:rPr>
          <w:b/>
          <w:lang w:val="fr-FR"/>
        </w:rPr>
        <w:t>premier. Il lui recommande également de veiller à ce que la législation nationale en vigueur soit pleinement conforme à la Convention.</w:t>
      </w:r>
    </w:p>
    <w:p w:rsidR="00E30D2C" w:rsidRPr="00A034F0" w:rsidRDefault="00E30D2C" w:rsidP="006F0410">
      <w:pPr>
        <w:pStyle w:val="H23G"/>
        <w:rPr>
          <w:lang w:val="fr-FR"/>
        </w:rPr>
      </w:pPr>
      <w:r w:rsidRPr="00A034F0">
        <w:rPr>
          <w:lang w:val="fr-FR"/>
        </w:rPr>
        <w:tab/>
      </w:r>
      <w:r w:rsidRPr="00A034F0">
        <w:rPr>
          <w:lang w:val="fr-FR"/>
        </w:rPr>
        <w:tab/>
        <w:t>Crimes et discours de haine à caractère raciste</w:t>
      </w:r>
    </w:p>
    <w:p w:rsidR="00E30D2C" w:rsidRPr="00A034F0" w:rsidRDefault="00E30D2C" w:rsidP="006F0410">
      <w:pPr>
        <w:pStyle w:val="SingleTxtG"/>
        <w:rPr>
          <w:lang w:val="fr-FR"/>
        </w:rPr>
      </w:pPr>
      <w:r w:rsidRPr="00A034F0">
        <w:rPr>
          <w:lang w:val="fr-FR"/>
        </w:rPr>
        <w:t>13.</w:t>
      </w:r>
      <w:r w:rsidRPr="00A034F0">
        <w:rPr>
          <w:lang w:val="fr-FR"/>
        </w:rPr>
        <w:tab/>
        <w:t>Le Comité regrette d</w:t>
      </w:r>
      <w:r>
        <w:rPr>
          <w:lang w:val="fr-FR"/>
        </w:rPr>
        <w:t>e ne pas avoir reçu d</w:t>
      </w:r>
      <w:r w:rsidR="006F0410">
        <w:rPr>
          <w:lang w:val="fr-FR"/>
        </w:rPr>
        <w:t>’</w:t>
      </w:r>
      <w:r w:rsidRPr="00A034F0">
        <w:rPr>
          <w:lang w:val="fr-FR"/>
        </w:rPr>
        <w:t>informations détaillées sur la mise en œuvre et les effets des dispositions lég</w:t>
      </w:r>
      <w:r>
        <w:rPr>
          <w:lang w:val="fr-FR"/>
        </w:rPr>
        <w:t>islativ</w:t>
      </w:r>
      <w:r w:rsidRPr="00A034F0">
        <w:rPr>
          <w:lang w:val="fr-FR"/>
        </w:rPr>
        <w:t>es interdisant les crimes</w:t>
      </w:r>
      <w:r w:rsidR="00E55B6F">
        <w:rPr>
          <w:lang w:val="fr-FR"/>
        </w:rPr>
        <w:t xml:space="preserve"> et les discours de haine (art. </w:t>
      </w:r>
      <w:r w:rsidRPr="00A034F0">
        <w:rPr>
          <w:lang w:val="fr-FR"/>
        </w:rPr>
        <w:t xml:space="preserve">4). </w:t>
      </w:r>
    </w:p>
    <w:p w:rsidR="00E30D2C" w:rsidRPr="00C06D77" w:rsidRDefault="00E30D2C" w:rsidP="006F0410">
      <w:pPr>
        <w:pStyle w:val="SingleTxtG"/>
        <w:rPr>
          <w:b/>
          <w:lang w:val="fr-FR"/>
        </w:rPr>
      </w:pPr>
      <w:r w:rsidRPr="00A034F0">
        <w:rPr>
          <w:lang w:val="fr-FR"/>
        </w:rPr>
        <w:t>14.</w:t>
      </w:r>
      <w:r w:rsidRPr="00A034F0">
        <w:rPr>
          <w:lang w:val="fr-FR"/>
        </w:rPr>
        <w:tab/>
      </w:r>
      <w:r w:rsidRPr="00C06D77">
        <w:rPr>
          <w:b/>
          <w:lang w:val="fr-FR"/>
        </w:rPr>
        <w:t xml:space="preserve">Rappelant ses recommandations générales </w:t>
      </w:r>
      <w:r w:rsidR="00080C8C" w:rsidRPr="00080C8C">
        <w:rPr>
          <w:rFonts w:eastAsia="MS Mincho"/>
          <w:b/>
          <w:lang w:val="fr-FR"/>
        </w:rPr>
        <w:t>n</w:t>
      </w:r>
      <w:r w:rsidR="00080C8C" w:rsidRPr="00080C8C">
        <w:rPr>
          <w:rFonts w:eastAsia="MS Mincho"/>
          <w:b/>
          <w:vertAlign w:val="superscript"/>
          <w:lang w:val="fr-FR"/>
        </w:rPr>
        <w:t>o</w:t>
      </w:r>
      <w:r w:rsidR="00080C8C">
        <w:rPr>
          <w:rFonts w:eastAsia="MS Mincho"/>
          <w:b/>
          <w:lang w:val="fr-FR"/>
        </w:rPr>
        <w:t xml:space="preserve"> 7 </w:t>
      </w:r>
      <w:r w:rsidRPr="00C06D77">
        <w:rPr>
          <w:b/>
          <w:lang w:val="fr-FR"/>
        </w:rPr>
        <w:t>(1985) concernant l</w:t>
      </w:r>
      <w:r w:rsidR="006F0410" w:rsidRPr="00C06D77">
        <w:rPr>
          <w:b/>
          <w:lang w:val="fr-FR"/>
        </w:rPr>
        <w:t>’</w:t>
      </w:r>
      <w:r w:rsidRPr="00C06D77">
        <w:rPr>
          <w:b/>
          <w:lang w:val="fr-FR"/>
        </w:rPr>
        <w:t>application de l</w:t>
      </w:r>
      <w:r w:rsidR="006F0410" w:rsidRPr="00C06D77">
        <w:rPr>
          <w:b/>
          <w:lang w:val="fr-FR"/>
        </w:rPr>
        <w:t>’</w:t>
      </w:r>
      <w:r w:rsidR="00E55B6F" w:rsidRPr="00C06D77">
        <w:rPr>
          <w:b/>
          <w:lang w:val="fr-FR"/>
        </w:rPr>
        <w:t>article </w:t>
      </w:r>
      <w:r w:rsidRPr="00C06D77">
        <w:rPr>
          <w:b/>
          <w:lang w:val="fr-FR"/>
        </w:rPr>
        <w:t xml:space="preserve">4 de la Convention, </w:t>
      </w:r>
      <w:r w:rsidR="00080C8C" w:rsidRPr="00080C8C">
        <w:rPr>
          <w:rFonts w:eastAsia="MS Mincho"/>
          <w:b/>
          <w:lang w:val="fr-FR"/>
        </w:rPr>
        <w:t>n</w:t>
      </w:r>
      <w:r w:rsidR="00080C8C" w:rsidRPr="00080C8C">
        <w:rPr>
          <w:rFonts w:eastAsia="MS Mincho"/>
          <w:b/>
          <w:vertAlign w:val="superscript"/>
          <w:lang w:val="fr-FR"/>
        </w:rPr>
        <w:t>o</w:t>
      </w:r>
      <w:r w:rsidR="00080C8C">
        <w:rPr>
          <w:rFonts w:eastAsia="MS Mincho"/>
          <w:b/>
          <w:lang w:val="fr-FR"/>
        </w:rPr>
        <w:t> 8</w:t>
      </w:r>
      <w:r w:rsidRPr="00C06D77">
        <w:rPr>
          <w:b/>
          <w:lang w:val="fr-FR"/>
        </w:rPr>
        <w:t xml:space="preserve"> (1990) concernant l</w:t>
      </w:r>
      <w:r w:rsidR="006F0410" w:rsidRPr="00C06D77">
        <w:rPr>
          <w:b/>
          <w:lang w:val="fr-FR"/>
        </w:rPr>
        <w:t>’</w:t>
      </w:r>
      <w:r w:rsidRPr="00C06D77">
        <w:rPr>
          <w:b/>
          <w:lang w:val="fr-FR"/>
        </w:rPr>
        <w:t>interprétation et l</w:t>
      </w:r>
      <w:r w:rsidR="006F0410" w:rsidRPr="00C06D77">
        <w:rPr>
          <w:b/>
          <w:lang w:val="fr-FR"/>
        </w:rPr>
        <w:t>’</w:t>
      </w:r>
      <w:r w:rsidRPr="00C06D77">
        <w:rPr>
          <w:b/>
          <w:lang w:val="fr-FR"/>
        </w:rPr>
        <w:t>application des paragraphes</w:t>
      </w:r>
      <w:r w:rsidR="002C24CC">
        <w:rPr>
          <w:b/>
          <w:lang w:val="fr-FR"/>
        </w:rPr>
        <w:t> </w:t>
      </w:r>
      <w:r w:rsidRPr="00C06D77">
        <w:rPr>
          <w:b/>
          <w:lang w:val="fr-FR"/>
        </w:rPr>
        <w:t>1 et 4 de l</w:t>
      </w:r>
      <w:r w:rsidR="006F0410" w:rsidRPr="00C06D77">
        <w:rPr>
          <w:b/>
          <w:lang w:val="fr-FR"/>
        </w:rPr>
        <w:t>’</w:t>
      </w:r>
      <w:r w:rsidRPr="00C06D77">
        <w:rPr>
          <w:b/>
          <w:lang w:val="fr-FR"/>
        </w:rPr>
        <w:t xml:space="preserve">article premier de la Convention, </w:t>
      </w:r>
      <w:r w:rsidR="00080C8C" w:rsidRPr="00080C8C">
        <w:rPr>
          <w:rFonts w:eastAsia="MS Mincho"/>
          <w:b/>
          <w:lang w:val="fr-FR"/>
        </w:rPr>
        <w:t>n</w:t>
      </w:r>
      <w:r w:rsidR="00080C8C" w:rsidRPr="00080C8C">
        <w:rPr>
          <w:rFonts w:eastAsia="MS Mincho"/>
          <w:b/>
          <w:vertAlign w:val="superscript"/>
          <w:lang w:val="fr-FR"/>
        </w:rPr>
        <w:t>o</w:t>
      </w:r>
      <w:r w:rsidR="00080C8C">
        <w:rPr>
          <w:rFonts w:eastAsia="MS Mincho"/>
          <w:b/>
          <w:lang w:val="fr-FR"/>
        </w:rPr>
        <w:t> 15</w:t>
      </w:r>
      <w:r w:rsidRPr="00C06D77">
        <w:rPr>
          <w:b/>
          <w:lang w:val="fr-FR"/>
        </w:rPr>
        <w:t xml:space="preserve"> (1993) concernant l</w:t>
      </w:r>
      <w:r w:rsidR="006F0410" w:rsidRPr="00C06D77">
        <w:rPr>
          <w:b/>
          <w:lang w:val="fr-FR"/>
        </w:rPr>
        <w:t>’</w:t>
      </w:r>
      <w:r w:rsidRPr="00C06D77">
        <w:rPr>
          <w:b/>
          <w:lang w:val="fr-FR"/>
        </w:rPr>
        <w:t xml:space="preserve">article 4 de la Convention et </w:t>
      </w:r>
      <w:r w:rsidRPr="00C06D77">
        <w:rPr>
          <w:rFonts w:eastAsia="MS Mincho"/>
          <w:b/>
          <w:lang w:val="fr-FR"/>
        </w:rPr>
        <w:t>n</w:t>
      </w:r>
      <w:r w:rsidRPr="00C06D77">
        <w:rPr>
          <w:rFonts w:eastAsia="MS Mincho"/>
          <w:b/>
          <w:vertAlign w:val="superscript"/>
          <w:lang w:val="fr-FR"/>
        </w:rPr>
        <w:t>o</w:t>
      </w:r>
      <w:r w:rsidRPr="00C06D77">
        <w:rPr>
          <w:b/>
          <w:lang w:val="fr-FR"/>
        </w:rPr>
        <w:t> 35 (2013) sur la lutte contre les discours de haine raciale, le Comité engage l</w:t>
      </w:r>
      <w:r w:rsidR="006F0410" w:rsidRPr="00C06D77">
        <w:rPr>
          <w:b/>
          <w:lang w:val="fr-FR"/>
        </w:rPr>
        <w:t>’</w:t>
      </w:r>
      <w:r w:rsidRPr="00C06D77">
        <w:rPr>
          <w:b/>
          <w:lang w:val="fr-FR"/>
        </w:rPr>
        <w:t>État partie à faire en sorte que sa législation interdisant les discours de haine soit pleinement conforme à l</w:t>
      </w:r>
      <w:r w:rsidR="006F0410" w:rsidRPr="00C06D77">
        <w:rPr>
          <w:b/>
          <w:lang w:val="fr-FR"/>
        </w:rPr>
        <w:t>’</w:t>
      </w:r>
      <w:r w:rsidR="002C24CC">
        <w:rPr>
          <w:b/>
          <w:lang w:val="fr-FR"/>
        </w:rPr>
        <w:t>article 4 de la Convention. Il </w:t>
      </w:r>
      <w:r w:rsidRPr="00C06D77">
        <w:rPr>
          <w:b/>
          <w:lang w:val="fr-FR"/>
        </w:rPr>
        <w:t>recommande à l</w:t>
      </w:r>
      <w:r w:rsidR="006F0410" w:rsidRPr="00C06D77">
        <w:rPr>
          <w:b/>
          <w:lang w:val="fr-FR"/>
        </w:rPr>
        <w:t>’</w:t>
      </w:r>
      <w:r w:rsidRPr="00C06D77">
        <w:rPr>
          <w:b/>
          <w:lang w:val="fr-FR"/>
        </w:rPr>
        <w:t xml:space="preserve">État partie de faire figurer dans son prochain rapport périodique des informations détaillées sur la mise en œuvre et les effets de la législation nationale sur les crimes motivés par la haine et les propos haineux, notamment des précisions sur les décisions de justice rendues en la matière. </w:t>
      </w:r>
    </w:p>
    <w:p w:rsidR="00E30D2C" w:rsidRPr="00F979C9" w:rsidRDefault="00E30D2C" w:rsidP="006F0410">
      <w:pPr>
        <w:pStyle w:val="H23G"/>
        <w:rPr>
          <w:lang w:val="fr-FR"/>
        </w:rPr>
      </w:pPr>
      <w:r w:rsidRPr="00A034F0">
        <w:rPr>
          <w:lang w:val="fr-FR"/>
        </w:rPr>
        <w:tab/>
      </w:r>
      <w:r w:rsidRPr="00A034F0">
        <w:rPr>
          <w:lang w:val="fr-FR"/>
        </w:rPr>
        <w:tab/>
        <w:t xml:space="preserve">Plaintes pour discrimination raciale </w:t>
      </w:r>
    </w:p>
    <w:p w:rsidR="00E30D2C" w:rsidRPr="00A034F0" w:rsidRDefault="00E30D2C" w:rsidP="006F0410">
      <w:pPr>
        <w:pStyle w:val="SingleTxtG"/>
        <w:rPr>
          <w:lang w:val="fr-FR"/>
        </w:rPr>
      </w:pPr>
      <w:r w:rsidRPr="00A034F0">
        <w:rPr>
          <w:lang w:val="fr-FR"/>
        </w:rPr>
        <w:t>15.</w:t>
      </w:r>
      <w:r w:rsidRPr="00A034F0">
        <w:rPr>
          <w:lang w:val="fr-FR"/>
        </w:rPr>
        <w:tab/>
        <w:t>Le Comité regrette l</w:t>
      </w:r>
      <w:r w:rsidR="006F0410">
        <w:rPr>
          <w:lang w:val="fr-FR"/>
        </w:rPr>
        <w:t>’</w:t>
      </w:r>
      <w:r w:rsidRPr="00A034F0">
        <w:rPr>
          <w:lang w:val="fr-FR"/>
        </w:rPr>
        <w:t>absence d</w:t>
      </w:r>
      <w:r w:rsidR="006F0410">
        <w:rPr>
          <w:lang w:val="fr-FR"/>
        </w:rPr>
        <w:t>’</w:t>
      </w:r>
      <w:r w:rsidRPr="00A034F0">
        <w:rPr>
          <w:lang w:val="fr-FR"/>
        </w:rPr>
        <w:t xml:space="preserve">informations sur le point de savoir si la Convention peut être directement invoquée devant les tribunaux nationaux, </w:t>
      </w:r>
      <w:r w:rsidRPr="003F173E">
        <w:rPr>
          <w:lang w:val="fr-FR"/>
        </w:rPr>
        <w:t>et d</w:t>
      </w:r>
      <w:r w:rsidR="006F0410">
        <w:rPr>
          <w:lang w:val="fr-FR"/>
        </w:rPr>
        <w:t>’</w:t>
      </w:r>
      <w:r w:rsidRPr="003F173E">
        <w:rPr>
          <w:lang w:val="fr-FR"/>
        </w:rPr>
        <w:t>exemples</w:t>
      </w:r>
      <w:r w:rsidRPr="00A034F0">
        <w:rPr>
          <w:lang w:val="fr-FR"/>
        </w:rPr>
        <w:t xml:space="preserve"> d</w:t>
      </w:r>
      <w:r w:rsidR="006F0410">
        <w:rPr>
          <w:lang w:val="fr-FR"/>
        </w:rPr>
        <w:t>’</w:t>
      </w:r>
      <w:r w:rsidRPr="00A034F0">
        <w:rPr>
          <w:lang w:val="fr-FR"/>
        </w:rPr>
        <w:t>affaires dans lesquelles la Convention a</w:t>
      </w:r>
      <w:r>
        <w:rPr>
          <w:lang w:val="fr-FR"/>
        </w:rPr>
        <w:t xml:space="preserve"> été</w:t>
      </w:r>
      <w:r w:rsidRPr="00A034F0">
        <w:rPr>
          <w:lang w:val="fr-FR"/>
        </w:rPr>
        <w:t xml:space="preserve"> </w:t>
      </w:r>
      <w:r>
        <w:rPr>
          <w:lang w:val="fr-FR"/>
        </w:rPr>
        <w:t>invoquée comme</w:t>
      </w:r>
      <w:r w:rsidRPr="00A034F0">
        <w:rPr>
          <w:lang w:val="fr-FR"/>
        </w:rPr>
        <w:t xml:space="preserve"> base légale </w:t>
      </w:r>
      <w:r>
        <w:rPr>
          <w:lang w:val="fr-FR"/>
        </w:rPr>
        <w:t>d</w:t>
      </w:r>
      <w:r w:rsidR="006F0410">
        <w:rPr>
          <w:lang w:val="fr-FR"/>
        </w:rPr>
        <w:t>’</w:t>
      </w:r>
      <w:r>
        <w:rPr>
          <w:lang w:val="fr-FR"/>
        </w:rPr>
        <w:t>une</w:t>
      </w:r>
      <w:r w:rsidRPr="00A034F0">
        <w:rPr>
          <w:lang w:val="fr-FR"/>
        </w:rPr>
        <w:t xml:space="preserve"> décision de justice. </w:t>
      </w:r>
      <w:r>
        <w:rPr>
          <w:lang w:val="fr-FR"/>
        </w:rPr>
        <w:t>Il s</w:t>
      </w:r>
      <w:r w:rsidR="006F0410">
        <w:rPr>
          <w:lang w:val="fr-FR"/>
        </w:rPr>
        <w:t>’</w:t>
      </w:r>
      <w:r>
        <w:rPr>
          <w:lang w:val="fr-FR"/>
        </w:rPr>
        <w:t>inquiète, en outre, de</w:t>
      </w:r>
      <w:r w:rsidRPr="00A034F0">
        <w:rPr>
          <w:lang w:val="fr-FR"/>
        </w:rPr>
        <w:t xml:space="preserve"> </w:t>
      </w:r>
      <w:r>
        <w:rPr>
          <w:lang w:val="fr-FR"/>
        </w:rPr>
        <w:t>n</w:t>
      </w:r>
      <w:r w:rsidR="006F0410">
        <w:rPr>
          <w:lang w:val="fr-FR"/>
        </w:rPr>
        <w:t>’</w:t>
      </w:r>
      <w:r>
        <w:rPr>
          <w:lang w:val="fr-FR"/>
        </w:rPr>
        <w:t>avoir pas reçu d</w:t>
      </w:r>
      <w:r w:rsidR="006F0410">
        <w:rPr>
          <w:lang w:val="fr-FR"/>
        </w:rPr>
        <w:t>’</w:t>
      </w:r>
      <w:r>
        <w:rPr>
          <w:lang w:val="fr-FR"/>
        </w:rPr>
        <w:t>informations et de données exhaustives</w:t>
      </w:r>
      <w:r w:rsidRPr="00A034F0">
        <w:rPr>
          <w:lang w:val="fr-FR"/>
        </w:rPr>
        <w:t xml:space="preserve"> sur les plaintes pour discrimination raciale et rappelle à l</w:t>
      </w:r>
      <w:r w:rsidR="006F0410">
        <w:rPr>
          <w:lang w:val="fr-FR"/>
        </w:rPr>
        <w:t>’</w:t>
      </w:r>
      <w:r w:rsidRPr="00A034F0">
        <w:rPr>
          <w:lang w:val="fr-FR"/>
        </w:rPr>
        <w:t>État partie qu</w:t>
      </w:r>
      <w:r w:rsidR="006F0410">
        <w:rPr>
          <w:lang w:val="fr-FR"/>
        </w:rPr>
        <w:t>’</w:t>
      </w:r>
      <w:r w:rsidRPr="00A034F0">
        <w:rPr>
          <w:lang w:val="fr-FR"/>
        </w:rPr>
        <w:t>un faible nombre de plaintes ne signifie pas nécessairement qu</w:t>
      </w:r>
      <w:r w:rsidR="006F0410">
        <w:rPr>
          <w:lang w:val="fr-FR"/>
        </w:rPr>
        <w:t>’</w:t>
      </w:r>
      <w:r w:rsidRPr="00A034F0">
        <w:rPr>
          <w:lang w:val="fr-FR"/>
        </w:rPr>
        <w:t>il n</w:t>
      </w:r>
      <w:r w:rsidR="006F0410">
        <w:rPr>
          <w:lang w:val="fr-FR"/>
        </w:rPr>
        <w:t>’</w:t>
      </w:r>
      <w:r w:rsidRPr="00A034F0">
        <w:rPr>
          <w:lang w:val="fr-FR"/>
        </w:rPr>
        <w:t>existe pas de discrimination raciale dans le pays, mais plutôt qu</w:t>
      </w:r>
      <w:r w:rsidR="006F0410">
        <w:rPr>
          <w:lang w:val="fr-FR"/>
        </w:rPr>
        <w:t>’</w:t>
      </w:r>
      <w:r w:rsidRPr="00A034F0">
        <w:rPr>
          <w:lang w:val="fr-FR"/>
        </w:rPr>
        <w:t>il existe peut-être des obstacles à l</w:t>
      </w:r>
      <w:r w:rsidR="006F0410">
        <w:rPr>
          <w:lang w:val="fr-FR"/>
        </w:rPr>
        <w:t>’</w:t>
      </w:r>
      <w:r w:rsidRPr="00A034F0">
        <w:rPr>
          <w:lang w:val="fr-FR"/>
        </w:rPr>
        <w:t xml:space="preserve">invocation devant les tribunaux nationaux des droits consacrés par la Convention, </w:t>
      </w:r>
      <w:r>
        <w:rPr>
          <w:lang w:val="fr-FR"/>
        </w:rPr>
        <w:t>parmi lesquels</w:t>
      </w:r>
      <w:r w:rsidRPr="00A034F0">
        <w:rPr>
          <w:lang w:val="fr-FR"/>
        </w:rPr>
        <w:t xml:space="preserve"> le manque de sensibilisation du public à ces droits ou aux voies de recours judiciaire disponibles (art. </w:t>
      </w:r>
      <w:r w:rsidR="00093A3C">
        <w:rPr>
          <w:lang w:val="fr-FR"/>
        </w:rPr>
        <w:t>6 et </w:t>
      </w:r>
      <w:r w:rsidRPr="00A034F0">
        <w:rPr>
          <w:lang w:val="fr-FR"/>
        </w:rPr>
        <w:t>7).</w:t>
      </w:r>
    </w:p>
    <w:p w:rsidR="00E30D2C" w:rsidRPr="001703D0" w:rsidRDefault="00E30D2C" w:rsidP="006F0410">
      <w:pPr>
        <w:pStyle w:val="SingleTxtG"/>
        <w:rPr>
          <w:b/>
          <w:lang w:val="fr-FR"/>
        </w:rPr>
      </w:pPr>
      <w:r w:rsidRPr="00A034F0">
        <w:rPr>
          <w:lang w:val="fr-FR"/>
        </w:rPr>
        <w:t>16.</w:t>
      </w:r>
      <w:r w:rsidRPr="00A034F0">
        <w:rPr>
          <w:lang w:val="fr-FR"/>
        </w:rPr>
        <w:tab/>
      </w:r>
      <w:r w:rsidRPr="001703D0">
        <w:rPr>
          <w:b/>
          <w:lang w:val="fr-FR"/>
        </w:rPr>
        <w:t>Le Comité recommande à l</w:t>
      </w:r>
      <w:r w:rsidR="006F0410" w:rsidRPr="001703D0">
        <w:rPr>
          <w:b/>
          <w:lang w:val="fr-FR"/>
        </w:rPr>
        <w:t>’</w:t>
      </w:r>
      <w:r w:rsidRPr="001703D0">
        <w:rPr>
          <w:b/>
          <w:lang w:val="fr-FR"/>
        </w:rPr>
        <w:t>État partie</w:t>
      </w:r>
      <w:r w:rsidR="00BB37DE" w:rsidRPr="001703D0">
        <w:rPr>
          <w:b/>
          <w:lang w:val="fr-FR"/>
        </w:rPr>
        <w:t> :</w:t>
      </w:r>
      <w:r w:rsidRPr="001703D0">
        <w:rPr>
          <w:b/>
          <w:lang w:val="fr-FR"/>
        </w:rPr>
        <w:t xml:space="preserve"> </w:t>
      </w:r>
    </w:p>
    <w:p w:rsidR="00E30D2C" w:rsidRPr="00093A3C" w:rsidRDefault="00E30D2C" w:rsidP="00093A3C">
      <w:pPr>
        <w:pStyle w:val="SingleTxtG"/>
        <w:ind w:firstLine="567"/>
        <w:rPr>
          <w:b/>
          <w:lang w:val="fr-FR"/>
        </w:rPr>
      </w:pPr>
      <w:r w:rsidRPr="00093A3C">
        <w:rPr>
          <w:b/>
          <w:lang w:val="fr-FR"/>
        </w:rPr>
        <w:t>a)</w:t>
      </w:r>
      <w:r w:rsidRPr="00093A3C">
        <w:rPr>
          <w:b/>
          <w:lang w:val="fr-FR"/>
        </w:rPr>
        <w:tab/>
        <w:t>De donner dans son prochain rapport périodique des éclaircissements sur la question de savoir si la Convention peut être invoquée devant les tribunaux nationaux, notamment de citer des exemples d</w:t>
      </w:r>
      <w:r w:rsidR="006F0410" w:rsidRPr="00093A3C">
        <w:rPr>
          <w:b/>
          <w:lang w:val="fr-FR"/>
        </w:rPr>
        <w:t>’</w:t>
      </w:r>
      <w:r w:rsidRPr="00093A3C">
        <w:rPr>
          <w:b/>
          <w:lang w:val="fr-FR"/>
        </w:rPr>
        <w:t>affaire. Il recommande également à l</w:t>
      </w:r>
      <w:r w:rsidR="006F0410" w:rsidRPr="00093A3C">
        <w:rPr>
          <w:b/>
          <w:lang w:val="fr-FR"/>
        </w:rPr>
        <w:t>’</w:t>
      </w:r>
      <w:r w:rsidRPr="00093A3C">
        <w:rPr>
          <w:b/>
          <w:lang w:val="fr-FR"/>
        </w:rPr>
        <w:t>État partie de fournir des données statistiques indiquant le nombre de plaintes pour discrimination raciale, la nature de ces plaintes et le nombre de poursuites engagées et de condamnations prononcées, ventilées par âge, sexe et origine ethnique des victimes, ainsi que des informations sur les indemnités accordées aux victimes</w:t>
      </w:r>
      <w:r w:rsidR="00BB37DE">
        <w:rPr>
          <w:b/>
          <w:lang w:val="fr-FR"/>
        </w:rPr>
        <w:t> ;</w:t>
      </w:r>
      <w:r w:rsidRPr="00093A3C">
        <w:rPr>
          <w:b/>
          <w:lang w:val="fr-FR"/>
        </w:rPr>
        <w:t xml:space="preserve"> </w:t>
      </w:r>
    </w:p>
    <w:p w:rsidR="00E30D2C" w:rsidRPr="00093A3C" w:rsidRDefault="00E30D2C" w:rsidP="00093A3C">
      <w:pPr>
        <w:pStyle w:val="SingleTxtG"/>
        <w:ind w:firstLine="567"/>
        <w:rPr>
          <w:b/>
          <w:lang w:val="fr-FR"/>
        </w:rPr>
      </w:pPr>
      <w:r w:rsidRPr="00093A3C">
        <w:rPr>
          <w:b/>
          <w:lang w:val="fr-FR"/>
        </w:rPr>
        <w:t>b)</w:t>
      </w:r>
      <w:r w:rsidRPr="00093A3C">
        <w:rPr>
          <w:b/>
          <w:lang w:val="fr-FR"/>
        </w:rPr>
        <w:tab/>
        <w:t>D</w:t>
      </w:r>
      <w:r w:rsidR="006F0410" w:rsidRPr="00093A3C">
        <w:rPr>
          <w:b/>
          <w:lang w:val="fr-FR"/>
        </w:rPr>
        <w:t>’</w:t>
      </w:r>
      <w:r w:rsidRPr="00093A3C">
        <w:rPr>
          <w:b/>
          <w:lang w:val="fr-FR"/>
        </w:rPr>
        <w:t>organiser, à l</w:t>
      </w:r>
      <w:r w:rsidR="006F0410" w:rsidRPr="00093A3C">
        <w:rPr>
          <w:b/>
          <w:lang w:val="fr-FR"/>
        </w:rPr>
        <w:t>’</w:t>
      </w:r>
      <w:r w:rsidRPr="00093A3C">
        <w:rPr>
          <w:b/>
          <w:lang w:val="fr-FR"/>
        </w:rPr>
        <w:t>intention des agents de la force publique, des procureurs et des juges, des programmes de formation à la détection et à l</w:t>
      </w:r>
      <w:r w:rsidR="006F0410" w:rsidRPr="00093A3C">
        <w:rPr>
          <w:b/>
          <w:lang w:val="fr-FR"/>
        </w:rPr>
        <w:t>’</w:t>
      </w:r>
      <w:r w:rsidRPr="00093A3C">
        <w:rPr>
          <w:b/>
          <w:lang w:val="fr-FR"/>
        </w:rPr>
        <w:t>enregistrement des faits de discrimination raciale</w:t>
      </w:r>
      <w:r w:rsidR="00BB37DE">
        <w:rPr>
          <w:b/>
          <w:lang w:val="fr-FR"/>
        </w:rPr>
        <w:t> ;</w:t>
      </w:r>
    </w:p>
    <w:p w:rsidR="00E30D2C" w:rsidRPr="00093A3C" w:rsidRDefault="00E30D2C" w:rsidP="00093A3C">
      <w:pPr>
        <w:pStyle w:val="SingleTxtG"/>
        <w:ind w:firstLine="567"/>
        <w:rPr>
          <w:b/>
          <w:lang w:val="fr-FR"/>
        </w:rPr>
      </w:pPr>
      <w:r w:rsidRPr="00093A3C">
        <w:rPr>
          <w:b/>
          <w:lang w:val="fr-FR"/>
        </w:rPr>
        <w:t>c)</w:t>
      </w:r>
      <w:r w:rsidRPr="00093A3C">
        <w:rPr>
          <w:b/>
          <w:lang w:val="fr-FR"/>
        </w:rPr>
        <w:tab/>
        <w:t>De mener des campagnes d</w:t>
      </w:r>
      <w:r w:rsidR="006F0410" w:rsidRPr="00093A3C">
        <w:rPr>
          <w:b/>
          <w:lang w:val="fr-FR"/>
        </w:rPr>
        <w:t>’</w:t>
      </w:r>
      <w:r w:rsidRPr="00093A3C">
        <w:rPr>
          <w:b/>
          <w:lang w:val="fr-FR"/>
        </w:rPr>
        <w:t>information sur les droits énoncés dans la Convention et sur la manière de porter plainte pour discrimination raciale.</w:t>
      </w:r>
    </w:p>
    <w:p w:rsidR="00E30D2C" w:rsidRPr="00A034F0" w:rsidRDefault="00E30D2C" w:rsidP="006F0410">
      <w:pPr>
        <w:pStyle w:val="H23G"/>
        <w:rPr>
          <w:lang w:val="fr-FR"/>
        </w:rPr>
      </w:pPr>
      <w:r w:rsidRPr="00A034F0">
        <w:rPr>
          <w:lang w:val="fr-FR"/>
        </w:rPr>
        <w:tab/>
      </w:r>
      <w:r w:rsidRPr="00A034F0">
        <w:rPr>
          <w:lang w:val="fr-FR"/>
        </w:rPr>
        <w:tab/>
        <w:t>Travailleurs migrants</w:t>
      </w:r>
    </w:p>
    <w:p w:rsidR="00E30D2C" w:rsidRPr="00A034F0" w:rsidRDefault="00E30D2C" w:rsidP="00E12E30">
      <w:pPr>
        <w:pStyle w:val="SingleTxtG"/>
        <w:keepLines/>
        <w:rPr>
          <w:color w:val="000000"/>
          <w:lang w:val="fr-FR"/>
        </w:rPr>
      </w:pPr>
      <w:r w:rsidRPr="00A034F0">
        <w:rPr>
          <w:lang w:val="fr-FR"/>
        </w:rPr>
        <w:t>17.</w:t>
      </w:r>
      <w:r w:rsidRPr="00A034F0">
        <w:rPr>
          <w:lang w:val="fr-FR"/>
        </w:rPr>
        <w:tab/>
        <w:t>Le Comité note qu</w:t>
      </w:r>
      <w:r w:rsidR="006F0410">
        <w:rPr>
          <w:lang w:val="fr-FR"/>
        </w:rPr>
        <w:t>’</w:t>
      </w:r>
      <w:r w:rsidRPr="00A034F0">
        <w:rPr>
          <w:lang w:val="fr-FR"/>
        </w:rPr>
        <w:t xml:space="preserve">en </w:t>
      </w:r>
      <w:r>
        <w:rPr>
          <w:lang w:val="fr-FR"/>
        </w:rPr>
        <w:t>exécution</w:t>
      </w:r>
      <w:r w:rsidRPr="00A034F0">
        <w:rPr>
          <w:lang w:val="fr-FR"/>
        </w:rPr>
        <w:t xml:space="preserve"> de la décision </w:t>
      </w:r>
      <w:r w:rsidRPr="00A034F0">
        <w:rPr>
          <w:rFonts w:eastAsia="MS Mincho"/>
          <w:lang w:val="fr-FR"/>
        </w:rPr>
        <w:t>n</w:t>
      </w:r>
      <w:r w:rsidRPr="00A034F0">
        <w:rPr>
          <w:rFonts w:eastAsia="MS Mincho"/>
          <w:vertAlign w:val="superscript"/>
          <w:lang w:val="fr-FR"/>
        </w:rPr>
        <w:t>o</w:t>
      </w:r>
      <w:r w:rsidRPr="00A034F0">
        <w:rPr>
          <w:lang w:val="fr-FR"/>
        </w:rPr>
        <w:t xml:space="preserve"> 166 du Conseil des ministres </w:t>
      </w:r>
      <w:r>
        <w:rPr>
          <w:lang w:val="fr-FR"/>
        </w:rPr>
        <w:t xml:space="preserve">en date du </w:t>
      </w:r>
      <w:r w:rsidRPr="00A034F0">
        <w:rPr>
          <w:lang w:val="fr-FR"/>
        </w:rPr>
        <w:t>9 octobre 2000, le terme « kafil » a été remplacé par le terme « employeur ».</w:t>
      </w:r>
      <w:bookmarkStart w:id="0" w:name="_Hlk517093922"/>
      <w:r w:rsidRPr="00F979C9">
        <w:rPr>
          <w:lang w:val="fr-FR"/>
        </w:rPr>
        <w:t xml:space="preserve"> </w:t>
      </w:r>
      <w:r w:rsidRPr="00A034F0">
        <w:rPr>
          <w:lang w:val="fr-FR"/>
        </w:rPr>
        <w:t>Cependant, il relève une nouvelle fois avec préoccupation que le système de parrainage existe toujours dans la pratique et que les employés concernés peuvent difficilement changer d</w:t>
      </w:r>
      <w:r w:rsidR="006F0410">
        <w:rPr>
          <w:lang w:val="fr-FR"/>
        </w:rPr>
        <w:t>’</w:t>
      </w:r>
      <w:r w:rsidRPr="00A034F0">
        <w:rPr>
          <w:lang w:val="fr-FR"/>
        </w:rPr>
        <w:t>emploi ou mettre fin à une relation de travail et risquent d</w:t>
      </w:r>
      <w:r w:rsidR="006F0410">
        <w:rPr>
          <w:lang w:val="fr-FR"/>
        </w:rPr>
        <w:t>’</w:t>
      </w:r>
      <w:r w:rsidRPr="00A034F0">
        <w:rPr>
          <w:lang w:val="fr-FR"/>
        </w:rPr>
        <w:t>être victimes de travail forcé et d</w:t>
      </w:r>
      <w:r w:rsidR="006F0410">
        <w:rPr>
          <w:lang w:val="fr-FR"/>
        </w:rPr>
        <w:t>’</w:t>
      </w:r>
      <w:r w:rsidRPr="00A034F0">
        <w:rPr>
          <w:lang w:val="fr-FR"/>
        </w:rPr>
        <w:t>autres pratiques abusives (exploitation, non-paiement d</w:t>
      </w:r>
      <w:r>
        <w:rPr>
          <w:lang w:val="fr-FR"/>
        </w:rPr>
        <w:t>e</w:t>
      </w:r>
      <w:r w:rsidRPr="00A034F0">
        <w:rPr>
          <w:lang w:val="fr-FR"/>
        </w:rPr>
        <w:t xml:space="preserve"> salaire, confiscation du passeport, restrictions à la liberté de circulation, etc.). Il note</w:t>
      </w:r>
      <w:r w:rsidRPr="00F979C9">
        <w:rPr>
          <w:lang w:val="fr-FR"/>
        </w:rPr>
        <w:t xml:space="preserve"> également avec préoccupation que le droit d</w:t>
      </w:r>
      <w:r w:rsidR="006F0410">
        <w:rPr>
          <w:lang w:val="fr-FR"/>
        </w:rPr>
        <w:t>’</w:t>
      </w:r>
      <w:r w:rsidRPr="00F979C9">
        <w:rPr>
          <w:lang w:val="fr-FR"/>
        </w:rPr>
        <w:t>association et de réunion des migrants peut être limité par la loi</w:t>
      </w:r>
      <w:r w:rsidRPr="00A034F0">
        <w:rPr>
          <w:lang w:val="fr-FR"/>
        </w:rPr>
        <w:t>. Il s</w:t>
      </w:r>
      <w:r w:rsidR="006F0410">
        <w:rPr>
          <w:lang w:val="fr-FR"/>
        </w:rPr>
        <w:t>’</w:t>
      </w:r>
      <w:r w:rsidRPr="00A034F0">
        <w:rPr>
          <w:lang w:val="fr-FR"/>
        </w:rPr>
        <w:t xml:space="preserve">inquiète en outre </w:t>
      </w:r>
      <w:r w:rsidRPr="00F979C9">
        <w:rPr>
          <w:lang w:val="fr-FR"/>
        </w:rPr>
        <w:t>d</w:t>
      </w:r>
      <w:r>
        <w:rPr>
          <w:lang w:val="fr-FR"/>
        </w:rPr>
        <w:t xml:space="preserve">e la proportion importante </w:t>
      </w:r>
      <w:r w:rsidRPr="00F979C9">
        <w:rPr>
          <w:lang w:val="fr-FR"/>
        </w:rPr>
        <w:t xml:space="preserve">de migrants détenus arbitrairement et du nombre anormalement élevé de migrants au sein de la population carcérale et parmi les personnes condamnées à mort </w:t>
      </w:r>
      <w:bookmarkEnd w:id="0"/>
      <w:r w:rsidRPr="00A034F0">
        <w:rPr>
          <w:lang w:val="fr-FR"/>
        </w:rPr>
        <w:t>(art. 5).</w:t>
      </w:r>
    </w:p>
    <w:p w:rsidR="00E30D2C" w:rsidRPr="00A034F0" w:rsidRDefault="00E30D2C" w:rsidP="006F0410">
      <w:pPr>
        <w:pStyle w:val="SingleTxtG"/>
        <w:rPr>
          <w:b/>
          <w:lang w:val="fr-FR"/>
        </w:rPr>
      </w:pPr>
      <w:r w:rsidRPr="00A034F0">
        <w:rPr>
          <w:lang w:val="fr-FR"/>
        </w:rPr>
        <w:t>18.</w:t>
      </w:r>
      <w:r w:rsidRPr="00A034F0">
        <w:rPr>
          <w:lang w:val="fr-FR"/>
        </w:rPr>
        <w:tab/>
      </w:r>
      <w:r w:rsidRPr="00A034F0">
        <w:rPr>
          <w:b/>
          <w:lang w:val="fr-FR"/>
        </w:rPr>
        <w:t>Le Comité recommande à l</w:t>
      </w:r>
      <w:r w:rsidR="006F0410">
        <w:rPr>
          <w:b/>
          <w:lang w:val="fr-FR"/>
        </w:rPr>
        <w:t>’</w:t>
      </w:r>
      <w:r w:rsidRPr="00A034F0">
        <w:rPr>
          <w:b/>
          <w:lang w:val="fr-FR"/>
        </w:rPr>
        <w:t>État partie</w:t>
      </w:r>
      <w:r w:rsidR="00BB37DE">
        <w:rPr>
          <w:b/>
          <w:lang w:val="fr-FR"/>
        </w:rPr>
        <w:t> :</w:t>
      </w:r>
    </w:p>
    <w:p w:rsidR="00E30D2C" w:rsidRPr="00093A3C" w:rsidRDefault="00E30D2C" w:rsidP="00093A3C">
      <w:pPr>
        <w:pStyle w:val="SingleTxtG"/>
        <w:ind w:firstLine="567"/>
        <w:rPr>
          <w:b/>
          <w:lang w:val="fr-FR"/>
        </w:rPr>
      </w:pPr>
      <w:r w:rsidRPr="00093A3C">
        <w:rPr>
          <w:b/>
          <w:bCs/>
          <w:lang w:val="fr-FR"/>
        </w:rPr>
        <w:t>a)</w:t>
      </w:r>
      <w:r w:rsidRPr="00093A3C">
        <w:rPr>
          <w:b/>
          <w:lang w:val="fr-FR"/>
        </w:rPr>
        <w:t xml:space="preserve"> </w:t>
      </w:r>
      <w:r w:rsidRPr="00093A3C">
        <w:rPr>
          <w:b/>
          <w:lang w:val="fr-FR"/>
        </w:rPr>
        <w:tab/>
        <w:t>De mettre fin, dans les faits, au système de parrainage et de veiller à ce que l</w:t>
      </w:r>
      <w:r w:rsidR="006F0410" w:rsidRPr="00093A3C">
        <w:rPr>
          <w:b/>
          <w:lang w:val="fr-FR"/>
        </w:rPr>
        <w:t>’</w:t>
      </w:r>
      <w:r w:rsidRPr="00093A3C">
        <w:rPr>
          <w:b/>
          <w:lang w:val="fr-FR"/>
        </w:rPr>
        <w:t xml:space="preserve">emploi </w:t>
      </w:r>
      <w:r w:rsidR="00BB37DE">
        <w:rPr>
          <w:b/>
          <w:lang w:val="fr-FR"/>
        </w:rPr>
        <w:t>de travailleurs migrants soit ré</w:t>
      </w:r>
      <w:r w:rsidRPr="00093A3C">
        <w:rPr>
          <w:b/>
          <w:lang w:val="fr-FR"/>
        </w:rPr>
        <w:t>glementé par le droit du travail et à ce que la délivrance de visas et de permis de résidence soit assurée par l</w:t>
      </w:r>
      <w:r w:rsidR="006F0410" w:rsidRPr="00093A3C">
        <w:rPr>
          <w:b/>
          <w:lang w:val="fr-FR"/>
        </w:rPr>
        <w:t>’</w:t>
      </w:r>
      <w:r w:rsidRPr="00093A3C">
        <w:rPr>
          <w:b/>
          <w:lang w:val="fr-FR"/>
        </w:rPr>
        <w:t>intermédiaire du ministère compétent</w:t>
      </w:r>
      <w:r w:rsidR="00BB37DE">
        <w:rPr>
          <w:b/>
          <w:lang w:val="fr-FR"/>
        </w:rPr>
        <w:t> ;</w:t>
      </w:r>
    </w:p>
    <w:p w:rsidR="00E30D2C" w:rsidRPr="00093A3C" w:rsidRDefault="00E30D2C" w:rsidP="00093A3C">
      <w:pPr>
        <w:pStyle w:val="SingleTxtG"/>
        <w:ind w:firstLine="567"/>
        <w:rPr>
          <w:b/>
          <w:lang w:val="fr-FR"/>
        </w:rPr>
      </w:pPr>
      <w:r w:rsidRPr="00093A3C">
        <w:rPr>
          <w:b/>
          <w:bCs/>
          <w:lang w:val="fr-FR"/>
        </w:rPr>
        <w:t>b)</w:t>
      </w:r>
      <w:r w:rsidRPr="00093A3C">
        <w:rPr>
          <w:b/>
          <w:lang w:val="fr-FR"/>
        </w:rPr>
        <w:tab/>
        <w:t>De veiller à ce que toutes les dispositions adoptées pour protéger les travailleurs migrants des sévices et de l</w:t>
      </w:r>
      <w:r w:rsidR="006F0410" w:rsidRPr="00093A3C">
        <w:rPr>
          <w:b/>
          <w:lang w:val="fr-FR"/>
        </w:rPr>
        <w:t>’</w:t>
      </w:r>
      <w:r w:rsidRPr="00093A3C">
        <w:rPr>
          <w:b/>
          <w:lang w:val="fr-FR"/>
        </w:rPr>
        <w:t>exploitation soient effectivement appliquées</w:t>
      </w:r>
      <w:r w:rsidR="00BB37DE">
        <w:rPr>
          <w:b/>
          <w:lang w:val="fr-FR"/>
        </w:rPr>
        <w:t> ;</w:t>
      </w:r>
    </w:p>
    <w:p w:rsidR="00E30D2C" w:rsidRPr="00093A3C" w:rsidRDefault="00E30D2C" w:rsidP="00093A3C">
      <w:pPr>
        <w:pStyle w:val="SingleTxtG"/>
        <w:ind w:firstLine="567"/>
        <w:rPr>
          <w:b/>
          <w:lang w:val="fr-FR"/>
        </w:rPr>
      </w:pPr>
      <w:r w:rsidRPr="00093A3C">
        <w:rPr>
          <w:b/>
          <w:lang w:val="fr-FR"/>
        </w:rPr>
        <w:t>c)</w:t>
      </w:r>
      <w:r w:rsidRPr="00093A3C">
        <w:rPr>
          <w:b/>
          <w:lang w:val="fr-FR"/>
        </w:rPr>
        <w:tab/>
        <w:t>De garantir le droit des migrants à la liberté d</w:t>
      </w:r>
      <w:r w:rsidR="006F0410" w:rsidRPr="00093A3C">
        <w:rPr>
          <w:b/>
          <w:lang w:val="fr-FR"/>
        </w:rPr>
        <w:t>’</w:t>
      </w:r>
      <w:r w:rsidRPr="00093A3C">
        <w:rPr>
          <w:b/>
          <w:lang w:val="fr-FR"/>
        </w:rPr>
        <w:t>association et de réunion</w:t>
      </w:r>
      <w:r w:rsidR="00BB37DE">
        <w:rPr>
          <w:b/>
          <w:lang w:val="fr-FR"/>
        </w:rPr>
        <w:t> ;</w:t>
      </w:r>
    </w:p>
    <w:p w:rsidR="00E30D2C" w:rsidRPr="00093A3C" w:rsidRDefault="00E30D2C" w:rsidP="00093A3C">
      <w:pPr>
        <w:pStyle w:val="SingleTxtG"/>
        <w:ind w:firstLine="567"/>
        <w:rPr>
          <w:b/>
          <w:lang w:val="fr-FR"/>
        </w:rPr>
      </w:pPr>
      <w:r w:rsidRPr="00093A3C">
        <w:rPr>
          <w:b/>
          <w:lang w:val="fr-FR"/>
        </w:rPr>
        <w:t xml:space="preserve">d) </w:t>
      </w:r>
      <w:r w:rsidRPr="00093A3C">
        <w:rPr>
          <w:b/>
          <w:lang w:val="fr-FR"/>
        </w:rPr>
        <w:tab/>
        <w:t>De veiller à ce que des inspections efficaces soient réalisées par des responsables qualifiés, le but étant de repérer les pratiques abusives des employeurs et d</w:t>
      </w:r>
      <w:r w:rsidR="006F0410" w:rsidRPr="00093A3C">
        <w:rPr>
          <w:b/>
          <w:lang w:val="fr-FR"/>
        </w:rPr>
        <w:t>’</w:t>
      </w:r>
      <w:r w:rsidRPr="00093A3C">
        <w:rPr>
          <w:b/>
          <w:lang w:val="fr-FR"/>
        </w:rPr>
        <w:t>y mettre fin</w:t>
      </w:r>
      <w:r w:rsidR="00BB37DE">
        <w:rPr>
          <w:b/>
          <w:lang w:val="fr-FR"/>
        </w:rPr>
        <w:t> ;</w:t>
      </w:r>
    </w:p>
    <w:p w:rsidR="00E30D2C" w:rsidRPr="00093A3C" w:rsidRDefault="00E30D2C" w:rsidP="00093A3C">
      <w:pPr>
        <w:pStyle w:val="SingleTxtG"/>
        <w:ind w:firstLine="567"/>
        <w:rPr>
          <w:b/>
          <w:lang w:val="fr-FR"/>
        </w:rPr>
      </w:pPr>
      <w:r w:rsidRPr="00093A3C">
        <w:rPr>
          <w:b/>
          <w:lang w:val="fr-FR"/>
        </w:rPr>
        <w:t>e)</w:t>
      </w:r>
      <w:r w:rsidRPr="00093A3C">
        <w:rPr>
          <w:b/>
          <w:lang w:val="fr-FR"/>
        </w:rPr>
        <w:tab/>
        <w:t>De garantir toutes facilités d</w:t>
      </w:r>
      <w:r w:rsidR="006F0410" w:rsidRPr="00093A3C">
        <w:rPr>
          <w:b/>
          <w:lang w:val="fr-FR"/>
        </w:rPr>
        <w:t>’</w:t>
      </w:r>
      <w:r w:rsidRPr="00093A3C">
        <w:rPr>
          <w:b/>
          <w:lang w:val="fr-FR"/>
        </w:rPr>
        <w:t>accès aux mécanismes de plainte et à des voies de recours appropriées</w:t>
      </w:r>
      <w:r w:rsidR="00BB37DE">
        <w:rPr>
          <w:b/>
          <w:lang w:val="fr-FR"/>
        </w:rPr>
        <w:t> ;</w:t>
      </w:r>
      <w:r w:rsidRPr="00093A3C">
        <w:rPr>
          <w:b/>
          <w:lang w:val="fr-FR"/>
        </w:rPr>
        <w:t xml:space="preserve"> </w:t>
      </w:r>
    </w:p>
    <w:p w:rsidR="00E30D2C" w:rsidRPr="00093A3C" w:rsidRDefault="00E30D2C" w:rsidP="00093A3C">
      <w:pPr>
        <w:pStyle w:val="SingleTxtG"/>
        <w:ind w:firstLine="567"/>
        <w:rPr>
          <w:b/>
          <w:lang w:val="fr-FR"/>
        </w:rPr>
      </w:pPr>
      <w:r w:rsidRPr="00093A3C">
        <w:rPr>
          <w:b/>
          <w:lang w:val="fr-FR"/>
        </w:rPr>
        <w:t>f)</w:t>
      </w:r>
      <w:r w:rsidRPr="00093A3C">
        <w:rPr>
          <w:b/>
          <w:lang w:val="fr-FR"/>
        </w:rPr>
        <w:tab/>
        <w:t xml:space="preserve">De mener une étude sur les causes profondes de la surreprésentation des travailleurs migrants dans le système de justice pénale en vue de remédier à ces causes, à la lumière de la recommandation générale </w:t>
      </w:r>
      <w:r w:rsidR="001E5CE3" w:rsidRPr="001E5CE3">
        <w:rPr>
          <w:rFonts w:eastAsia="MS Mincho"/>
          <w:b/>
          <w:lang w:val="fr-FR"/>
        </w:rPr>
        <w:t>n</w:t>
      </w:r>
      <w:r w:rsidR="001E5CE3" w:rsidRPr="001E5CE3">
        <w:rPr>
          <w:rFonts w:eastAsia="MS Mincho"/>
          <w:b/>
          <w:vertAlign w:val="superscript"/>
          <w:lang w:val="fr-FR"/>
        </w:rPr>
        <w:t>o</w:t>
      </w:r>
      <w:r w:rsidR="001E5CE3">
        <w:rPr>
          <w:b/>
          <w:lang w:val="fr-FR"/>
        </w:rPr>
        <w:t xml:space="preserve"> 31 </w:t>
      </w:r>
      <w:r w:rsidRPr="00093A3C">
        <w:rPr>
          <w:b/>
          <w:lang w:val="fr-FR"/>
        </w:rPr>
        <w:t>(2005) concernant la discrimination raciale dans l</w:t>
      </w:r>
      <w:r w:rsidR="006F0410" w:rsidRPr="00093A3C">
        <w:rPr>
          <w:b/>
          <w:lang w:val="fr-FR"/>
        </w:rPr>
        <w:t>’</w:t>
      </w:r>
      <w:r w:rsidRPr="00093A3C">
        <w:rPr>
          <w:b/>
          <w:lang w:val="fr-FR"/>
        </w:rPr>
        <w:t>administration et le fonctionnement du système de justice pénale</w:t>
      </w:r>
      <w:r w:rsidR="00BB37DE">
        <w:rPr>
          <w:b/>
          <w:lang w:val="fr-FR"/>
        </w:rPr>
        <w:t> ;</w:t>
      </w:r>
    </w:p>
    <w:p w:rsidR="00E30D2C" w:rsidRPr="00093A3C" w:rsidRDefault="00E30D2C" w:rsidP="00093A3C">
      <w:pPr>
        <w:pStyle w:val="SingleTxtG"/>
        <w:ind w:firstLine="567"/>
        <w:rPr>
          <w:b/>
          <w:bCs/>
          <w:lang w:val="fr-FR"/>
        </w:rPr>
      </w:pPr>
      <w:r w:rsidRPr="00093A3C">
        <w:rPr>
          <w:b/>
          <w:bCs/>
          <w:lang w:val="fr-FR"/>
        </w:rPr>
        <w:t>g</w:t>
      </w:r>
      <w:r w:rsidR="00215F91">
        <w:rPr>
          <w:b/>
          <w:bCs/>
          <w:lang w:val="fr-FR"/>
        </w:rPr>
        <w:t>)</w:t>
      </w:r>
      <w:r w:rsidRPr="00093A3C">
        <w:rPr>
          <w:b/>
          <w:bCs/>
          <w:lang w:val="fr-FR"/>
        </w:rPr>
        <w:tab/>
        <w:t>D</w:t>
      </w:r>
      <w:r w:rsidR="006F0410" w:rsidRPr="00093A3C">
        <w:rPr>
          <w:b/>
          <w:bCs/>
          <w:lang w:val="fr-FR"/>
        </w:rPr>
        <w:t>’</w:t>
      </w:r>
      <w:r w:rsidRPr="00093A3C">
        <w:rPr>
          <w:b/>
          <w:bCs/>
          <w:lang w:val="fr-FR"/>
        </w:rPr>
        <w:t>envisager d</w:t>
      </w:r>
      <w:r w:rsidR="006F0410" w:rsidRPr="00093A3C">
        <w:rPr>
          <w:b/>
          <w:bCs/>
          <w:lang w:val="fr-FR"/>
        </w:rPr>
        <w:t>’</w:t>
      </w:r>
      <w:r w:rsidRPr="00093A3C">
        <w:rPr>
          <w:b/>
          <w:bCs/>
          <w:lang w:val="fr-FR"/>
        </w:rPr>
        <w:t>abolir la peine de mort</w:t>
      </w:r>
      <w:r w:rsidR="00BB37DE">
        <w:rPr>
          <w:b/>
          <w:bCs/>
          <w:lang w:val="fr-FR"/>
        </w:rPr>
        <w:t> ;</w:t>
      </w:r>
      <w:r w:rsidRPr="00093A3C">
        <w:rPr>
          <w:b/>
          <w:bCs/>
          <w:lang w:val="fr-FR"/>
        </w:rPr>
        <w:t xml:space="preserve"> </w:t>
      </w:r>
    </w:p>
    <w:p w:rsidR="00E30D2C" w:rsidRPr="00093A3C" w:rsidRDefault="00E30D2C" w:rsidP="00093A3C">
      <w:pPr>
        <w:pStyle w:val="SingleTxtG"/>
        <w:ind w:firstLine="567"/>
        <w:rPr>
          <w:b/>
          <w:lang w:val="fr-FR"/>
        </w:rPr>
      </w:pPr>
      <w:r w:rsidRPr="00093A3C">
        <w:rPr>
          <w:b/>
          <w:lang w:val="fr-FR"/>
        </w:rPr>
        <w:t>h)</w:t>
      </w:r>
      <w:r w:rsidRPr="00093A3C">
        <w:rPr>
          <w:b/>
          <w:lang w:val="fr-FR"/>
        </w:rPr>
        <w:tab/>
        <w:t>De faire figurer dans son prochain rapport périodique des renseignements détaillés sur les progrès réalisés dans le démantèlement du système de parrainage qui existe dans la pratique et sur la mise en œuvre et les effets des mesures de protection des travailleurs migrants.</w:t>
      </w:r>
    </w:p>
    <w:p w:rsidR="00E30D2C" w:rsidRPr="00A034F0" w:rsidRDefault="00E30D2C" w:rsidP="006F0410">
      <w:pPr>
        <w:pStyle w:val="H23G"/>
        <w:rPr>
          <w:lang w:val="fr-FR"/>
        </w:rPr>
      </w:pPr>
      <w:r w:rsidRPr="00A034F0">
        <w:rPr>
          <w:lang w:val="fr-FR"/>
        </w:rPr>
        <w:tab/>
      </w:r>
      <w:r w:rsidRPr="00A034F0">
        <w:rPr>
          <w:lang w:val="fr-FR"/>
        </w:rPr>
        <w:tab/>
        <w:t xml:space="preserve">Domestiques </w:t>
      </w:r>
    </w:p>
    <w:p w:rsidR="00E30D2C" w:rsidRPr="00A034F0" w:rsidRDefault="00E30D2C" w:rsidP="006F0410">
      <w:pPr>
        <w:pStyle w:val="SingleTxtG"/>
        <w:rPr>
          <w:lang w:val="fr-FR"/>
        </w:rPr>
      </w:pPr>
      <w:r w:rsidRPr="00A034F0">
        <w:rPr>
          <w:lang w:val="fr-FR"/>
        </w:rPr>
        <w:t>19.</w:t>
      </w:r>
      <w:r w:rsidRPr="00A034F0">
        <w:rPr>
          <w:lang w:val="fr-FR"/>
        </w:rPr>
        <w:tab/>
        <w:t xml:space="preserve">Le Comité prend note des mesures qui ont été prises pour améliorer la situation des domestiques, notamment de la réglementation </w:t>
      </w:r>
      <w:r>
        <w:rPr>
          <w:lang w:val="fr-FR"/>
        </w:rPr>
        <w:t>d</w:t>
      </w:r>
      <w:r w:rsidRPr="00A034F0">
        <w:rPr>
          <w:lang w:val="fr-FR"/>
        </w:rPr>
        <w:t xml:space="preserve">es relations </w:t>
      </w:r>
      <w:r>
        <w:rPr>
          <w:lang w:val="fr-FR"/>
        </w:rPr>
        <w:t>entre</w:t>
      </w:r>
      <w:r w:rsidRPr="00A034F0">
        <w:rPr>
          <w:lang w:val="fr-FR"/>
        </w:rPr>
        <w:t xml:space="preserve"> domestiques </w:t>
      </w:r>
      <w:r>
        <w:rPr>
          <w:lang w:val="fr-FR"/>
        </w:rPr>
        <w:t>et</w:t>
      </w:r>
      <w:r w:rsidRPr="00A034F0">
        <w:rPr>
          <w:lang w:val="fr-FR"/>
        </w:rPr>
        <w:t xml:space="preserve"> employeurs, de la mise en place d</w:t>
      </w:r>
      <w:r w:rsidR="006F0410">
        <w:rPr>
          <w:lang w:val="fr-FR"/>
        </w:rPr>
        <w:t>’</w:t>
      </w:r>
      <w:r w:rsidRPr="00A034F0">
        <w:rPr>
          <w:lang w:val="fr-FR"/>
        </w:rPr>
        <w:t>une permanence téléphonique permettant d</w:t>
      </w:r>
      <w:r w:rsidR="006F0410">
        <w:rPr>
          <w:lang w:val="fr-FR"/>
        </w:rPr>
        <w:t>’</w:t>
      </w:r>
      <w:r w:rsidRPr="00A034F0">
        <w:rPr>
          <w:lang w:val="fr-FR"/>
        </w:rPr>
        <w:t>obtenir des informations et un conseil sur les droits des domestiques dans huit langues, et de la tenue d</w:t>
      </w:r>
      <w:r w:rsidR="006F0410">
        <w:rPr>
          <w:lang w:val="fr-FR"/>
        </w:rPr>
        <w:t>’</w:t>
      </w:r>
      <w:r w:rsidRPr="00A034F0">
        <w:rPr>
          <w:lang w:val="fr-FR"/>
        </w:rPr>
        <w:t>ateliers sur les droits des employés de maison. Cependant, il constate une nouvelle fois avec préoccupation que les domestiques, dont deux tiers sont des migrantes, ne jouissent pas des mêmes garanties que les autres travailleurs, et sont aujourd</w:t>
      </w:r>
      <w:r w:rsidR="006F0410">
        <w:rPr>
          <w:lang w:val="fr-FR"/>
        </w:rPr>
        <w:t>’</w:t>
      </w:r>
      <w:r w:rsidRPr="00A034F0">
        <w:rPr>
          <w:lang w:val="fr-FR"/>
        </w:rPr>
        <w:t>hui encore victimes de pratiques abusives de la part de leurs employeurs (l</w:t>
      </w:r>
      <w:r w:rsidR="00215F91">
        <w:rPr>
          <w:lang w:val="fr-FR"/>
        </w:rPr>
        <w:t>ongues journées de travail, non</w:t>
      </w:r>
      <w:r w:rsidR="00215F91">
        <w:rPr>
          <w:lang w:val="fr-FR"/>
        </w:rPr>
        <w:noBreakHyphen/>
      </w:r>
      <w:r w:rsidRPr="00A034F0">
        <w:rPr>
          <w:lang w:val="fr-FR"/>
        </w:rPr>
        <w:t>paiement de salaire, confiscation d</w:t>
      </w:r>
      <w:r>
        <w:rPr>
          <w:lang w:val="fr-FR"/>
        </w:rPr>
        <w:t>u</w:t>
      </w:r>
      <w:r w:rsidRPr="00A034F0">
        <w:rPr>
          <w:lang w:val="fr-FR"/>
        </w:rPr>
        <w:t xml:space="preserve"> passeport, et violences physiques et sexuelles) (art. 5). </w:t>
      </w:r>
    </w:p>
    <w:p w:rsidR="00E30D2C" w:rsidRPr="00A034F0" w:rsidRDefault="00E30D2C" w:rsidP="006F0410">
      <w:pPr>
        <w:pStyle w:val="SingleTxtG"/>
        <w:rPr>
          <w:b/>
          <w:lang w:val="fr-FR"/>
        </w:rPr>
      </w:pPr>
      <w:r w:rsidRPr="00A034F0">
        <w:rPr>
          <w:lang w:val="fr-FR"/>
        </w:rPr>
        <w:t>20.</w:t>
      </w:r>
      <w:r w:rsidRPr="00A034F0">
        <w:rPr>
          <w:lang w:val="fr-FR"/>
        </w:rPr>
        <w:tab/>
      </w:r>
      <w:r w:rsidRPr="00A034F0">
        <w:rPr>
          <w:b/>
          <w:lang w:val="fr-FR"/>
        </w:rPr>
        <w:t xml:space="preserve">Rappelant sa recommandation générale </w:t>
      </w:r>
      <w:r w:rsidR="002C432A" w:rsidRPr="001E5CE3">
        <w:rPr>
          <w:rFonts w:eastAsia="MS Mincho"/>
          <w:b/>
          <w:lang w:val="fr-FR"/>
        </w:rPr>
        <w:t>n</w:t>
      </w:r>
      <w:r w:rsidR="002C432A" w:rsidRPr="001E5CE3">
        <w:rPr>
          <w:rFonts w:eastAsia="MS Mincho"/>
          <w:b/>
          <w:vertAlign w:val="superscript"/>
          <w:lang w:val="fr-FR"/>
        </w:rPr>
        <w:t>o</w:t>
      </w:r>
      <w:r w:rsidR="002C432A">
        <w:rPr>
          <w:b/>
          <w:lang w:val="fr-FR"/>
        </w:rPr>
        <w:t> 25</w:t>
      </w:r>
      <w:r w:rsidRPr="00A034F0">
        <w:rPr>
          <w:b/>
          <w:lang w:val="fr-FR"/>
        </w:rPr>
        <w:t xml:space="preserve"> (2000) concernant la dimension sexiste de la discrimination raciale, le Comité recommande à l</w:t>
      </w:r>
      <w:r w:rsidR="006F0410">
        <w:rPr>
          <w:b/>
          <w:lang w:val="fr-FR"/>
        </w:rPr>
        <w:t>’</w:t>
      </w:r>
      <w:r w:rsidRPr="00A034F0">
        <w:rPr>
          <w:b/>
          <w:lang w:val="fr-FR"/>
        </w:rPr>
        <w:t>État partie</w:t>
      </w:r>
      <w:r w:rsidR="00BB37DE">
        <w:rPr>
          <w:b/>
          <w:lang w:val="fr-FR"/>
        </w:rPr>
        <w:t> :</w:t>
      </w:r>
    </w:p>
    <w:p w:rsidR="00E30D2C" w:rsidRPr="00093A3C" w:rsidRDefault="00E30D2C" w:rsidP="00093A3C">
      <w:pPr>
        <w:pStyle w:val="SingleTxtG"/>
        <w:ind w:firstLine="567"/>
        <w:rPr>
          <w:b/>
          <w:lang w:val="fr-FR"/>
        </w:rPr>
      </w:pPr>
      <w:r w:rsidRPr="00093A3C">
        <w:rPr>
          <w:b/>
          <w:lang w:val="fr-FR"/>
        </w:rPr>
        <w:t>a)</w:t>
      </w:r>
      <w:r w:rsidRPr="00093A3C">
        <w:rPr>
          <w:b/>
          <w:lang w:val="fr-FR"/>
        </w:rPr>
        <w:tab/>
        <w:t>De veiller à ce que l</w:t>
      </w:r>
      <w:r w:rsidR="006F0410" w:rsidRPr="00093A3C">
        <w:rPr>
          <w:b/>
          <w:lang w:val="fr-FR"/>
        </w:rPr>
        <w:t>’</w:t>
      </w:r>
      <w:r w:rsidRPr="00093A3C">
        <w:rPr>
          <w:b/>
          <w:lang w:val="fr-FR"/>
        </w:rPr>
        <w:t>emploi de domestiques étrangers soit réglementé par la législation du travail, au même titre que l</w:t>
      </w:r>
      <w:r w:rsidR="006F0410" w:rsidRPr="00093A3C">
        <w:rPr>
          <w:b/>
          <w:lang w:val="fr-FR"/>
        </w:rPr>
        <w:t>’</w:t>
      </w:r>
      <w:r w:rsidRPr="00093A3C">
        <w:rPr>
          <w:b/>
          <w:lang w:val="fr-FR"/>
        </w:rPr>
        <w:t>emploi de tous les travailleurs migrants, et à ce que toutes les dispositions adoptées pour protéger les domestiques étrangers contre les pratiques abusives et l</w:t>
      </w:r>
      <w:r w:rsidR="006F0410" w:rsidRPr="00093A3C">
        <w:rPr>
          <w:b/>
          <w:lang w:val="fr-FR"/>
        </w:rPr>
        <w:t>’</w:t>
      </w:r>
      <w:r w:rsidRPr="00093A3C">
        <w:rPr>
          <w:b/>
          <w:lang w:val="fr-FR"/>
        </w:rPr>
        <w:t>exploitation soient effectivement appliquées</w:t>
      </w:r>
      <w:r w:rsidR="00BB37DE">
        <w:rPr>
          <w:b/>
          <w:lang w:val="fr-FR"/>
        </w:rPr>
        <w:t> ;</w:t>
      </w:r>
    </w:p>
    <w:p w:rsidR="00E30D2C" w:rsidRPr="00093A3C" w:rsidRDefault="00E30D2C" w:rsidP="00093A3C">
      <w:pPr>
        <w:pStyle w:val="SingleTxtG"/>
        <w:ind w:firstLine="567"/>
        <w:rPr>
          <w:b/>
          <w:lang w:val="fr-FR"/>
        </w:rPr>
      </w:pPr>
      <w:r w:rsidRPr="00093A3C">
        <w:rPr>
          <w:b/>
          <w:lang w:val="fr-FR"/>
        </w:rPr>
        <w:t>b)</w:t>
      </w:r>
      <w:r w:rsidRPr="00093A3C">
        <w:rPr>
          <w:b/>
          <w:lang w:val="fr-FR"/>
        </w:rPr>
        <w:tab/>
        <w:t>D</w:t>
      </w:r>
      <w:r w:rsidR="006F0410" w:rsidRPr="00093A3C">
        <w:rPr>
          <w:b/>
          <w:lang w:val="fr-FR"/>
        </w:rPr>
        <w:t>’</w:t>
      </w:r>
      <w:r w:rsidRPr="00093A3C">
        <w:rPr>
          <w:b/>
          <w:lang w:val="fr-FR"/>
        </w:rPr>
        <w:t>assurer à tous les travailleurs victimes d</w:t>
      </w:r>
      <w:r w:rsidR="006F0410" w:rsidRPr="00093A3C">
        <w:rPr>
          <w:b/>
          <w:lang w:val="fr-FR"/>
        </w:rPr>
        <w:t>’</w:t>
      </w:r>
      <w:r w:rsidRPr="00093A3C">
        <w:rPr>
          <w:b/>
          <w:lang w:val="fr-FR"/>
        </w:rPr>
        <w:t>abus et de pratiques relevant de l</w:t>
      </w:r>
      <w:r w:rsidR="006F0410" w:rsidRPr="00093A3C">
        <w:rPr>
          <w:b/>
          <w:lang w:val="fr-FR"/>
        </w:rPr>
        <w:t>’</w:t>
      </w:r>
      <w:r w:rsidRPr="00093A3C">
        <w:rPr>
          <w:b/>
          <w:lang w:val="fr-FR"/>
        </w:rPr>
        <w:t>exploitation l</w:t>
      </w:r>
      <w:r w:rsidR="006F0410" w:rsidRPr="00093A3C">
        <w:rPr>
          <w:b/>
          <w:lang w:val="fr-FR"/>
        </w:rPr>
        <w:t>’</w:t>
      </w:r>
      <w:r w:rsidRPr="00093A3C">
        <w:rPr>
          <w:b/>
          <w:lang w:val="fr-FR"/>
        </w:rPr>
        <w:t>accès à des mécanismes de plainte, à des voies de recours judiciaire et à des foyers d</w:t>
      </w:r>
      <w:r w:rsidR="006F0410" w:rsidRPr="00093A3C">
        <w:rPr>
          <w:b/>
          <w:lang w:val="fr-FR"/>
        </w:rPr>
        <w:t>’</w:t>
      </w:r>
      <w:r w:rsidRPr="00093A3C">
        <w:rPr>
          <w:b/>
          <w:lang w:val="fr-FR"/>
        </w:rPr>
        <w:t>hébergement</w:t>
      </w:r>
      <w:r w:rsidR="00BB37DE">
        <w:rPr>
          <w:b/>
          <w:lang w:val="fr-FR"/>
        </w:rPr>
        <w:t> ;</w:t>
      </w:r>
    </w:p>
    <w:p w:rsidR="00E30D2C" w:rsidRPr="00093A3C" w:rsidRDefault="00E30D2C" w:rsidP="00093A3C">
      <w:pPr>
        <w:pStyle w:val="SingleTxtG"/>
        <w:ind w:firstLine="567"/>
        <w:rPr>
          <w:b/>
          <w:lang w:val="fr-FR"/>
        </w:rPr>
      </w:pPr>
      <w:r w:rsidRPr="00093A3C">
        <w:rPr>
          <w:b/>
          <w:lang w:val="fr-FR"/>
        </w:rPr>
        <w:t>c)</w:t>
      </w:r>
      <w:r w:rsidRPr="00093A3C">
        <w:rPr>
          <w:b/>
          <w:lang w:val="fr-FR"/>
        </w:rPr>
        <w:tab/>
        <w:t>De ratifier la Convention (</w:t>
      </w:r>
      <w:r w:rsidRPr="00093A3C">
        <w:rPr>
          <w:rFonts w:eastAsia="MS Mincho"/>
          <w:b/>
          <w:lang w:val="fr-FR"/>
        </w:rPr>
        <w:t>n</w:t>
      </w:r>
      <w:r w:rsidRPr="00093A3C">
        <w:rPr>
          <w:rFonts w:eastAsia="MS Mincho"/>
          <w:b/>
          <w:vertAlign w:val="superscript"/>
          <w:lang w:val="fr-FR"/>
        </w:rPr>
        <w:t>o</w:t>
      </w:r>
      <w:r w:rsidRPr="00093A3C">
        <w:rPr>
          <w:b/>
          <w:lang w:val="fr-FR"/>
        </w:rPr>
        <w:t> 189) de l</w:t>
      </w:r>
      <w:r w:rsidR="006F0410" w:rsidRPr="00093A3C">
        <w:rPr>
          <w:b/>
          <w:lang w:val="fr-FR"/>
        </w:rPr>
        <w:t>’</w:t>
      </w:r>
      <w:r w:rsidRPr="00093A3C">
        <w:rPr>
          <w:b/>
          <w:lang w:val="fr-FR"/>
        </w:rPr>
        <w:t>Organisation internationale du Travail sur les travailleuses et travailleurs domestiques, 2011</w:t>
      </w:r>
      <w:r w:rsidR="00BB37DE">
        <w:rPr>
          <w:b/>
          <w:lang w:val="fr-FR"/>
        </w:rPr>
        <w:t> ;</w:t>
      </w:r>
      <w:r w:rsidRPr="00093A3C">
        <w:rPr>
          <w:b/>
          <w:lang w:val="fr-FR"/>
        </w:rPr>
        <w:t xml:space="preserve"> </w:t>
      </w:r>
    </w:p>
    <w:p w:rsidR="00E30D2C" w:rsidRPr="00093A3C" w:rsidRDefault="00E30D2C" w:rsidP="00093A3C">
      <w:pPr>
        <w:pStyle w:val="SingleTxtG"/>
        <w:ind w:firstLine="567"/>
        <w:rPr>
          <w:b/>
          <w:lang w:val="fr-FR"/>
        </w:rPr>
      </w:pPr>
      <w:r w:rsidRPr="00093A3C">
        <w:rPr>
          <w:b/>
          <w:lang w:val="fr-FR"/>
        </w:rPr>
        <w:t>d)</w:t>
      </w:r>
      <w:r w:rsidRPr="00093A3C">
        <w:rPr>
          <w:b/>
          <w:lang w:val="fr-FR"/>
        </w:rPr>
        <w:tab/>
        <w:t>De fournir dans son prochain rapport périodique des informations détaillées sur la mise en œuvre et les effets des lois et politiques visant à protéger les domestiques étrangers contre l</w:t>
      </w:r>
      <w:r w:rsidR="006F0410" w:rsidRPr="00093A3C">
        <w:rPr>
          <w:b/>
          <w:lang w:val="fr-FR"/>
        </w:rPr>
        <w:t>’</w:t>
      </w:r>
      <w:r w:rsidRPr="00093A3C">
        <w:rPr>
          <w:b/>
          <w:lang w:val="fr-FR"/>
        </w:rPr>
        <w:t>exploitation par le travail, ainsi que des informations et des données sur les plaintes déposées et leur issue, notamment sur les cas où des domestiques ont eu la possibilité de changer d</w:t>
      </w:r>
      <w:r w:rsidR="006F0410" w:rsidRPr="00093A3C">
        <w:rPr>
          <w:b/>
          <w:lang w:val="fr-FR"/>
        </w:rPr>
        <w:t>’</w:t>
      </w:r>
      <w:r w:rsidRPr="00093A3C">
        <w:rPr>
          <w:b/>
          <w:lang w:val="fr-FR"/>
        </w:rPr>
        <w:t xml:space="preserve">employeur. </w:t>
      </w:r>
    </w:p>
    <w:p w:rsidR="00E30D2C" w:rsidRPr="00F979C9" w:rsidRDefault="00E30D2C" w:rsidP="006F0410">
      <w:pPr>
        <w:pStyle w:val="H23G"/>
        <w:rPr>
          <w:lang w:val="fr-FR"/>
        </w:rPr>
      </w:pPr>
      <w:r w:rsidRPr="00D8373D">
        <w:rPr>
          <w:lang w:val="fr-FR"/>
        </w:rPr>
        <w:tab/>
      </w:r>
      <w:r w:rsidRPr="00D8373D">
        <w:rPr>
          <w:lang w:val="fr-FR"/>
        </w:rPr>
        <w:tab/>
      </w:r>
      <w:r w:rsidRPr="00A034F0">
        <w:rPr>
          <w:lang w:val="fr-FR"/>
        </w:rPr>
        <w:t xml:space="preserve">Accès des travailleurs migrants à la justice </w:t>
      </w:r>
    </w:p>
    <w:p w:rsidR="00E30D2C" w:rsidRPr="00F979C9" w:rsidRDefault="00E30D2C" w:rsidP="006F0410">
      <w:pPr>
        <w:pStyle w:val="SingleTxtG"/>
        <w:rPr>
          <w:bCs/>
          <w:iCs/>
          <w:lang w:val="fr-FR"/>
        </w:rPr>
      </w:pPr>
      <w:r w:rsidRPr="00A034F0">
        <w:rPr>
          <w:lang w:val="fr-FR"/>
        </w:rPr>
        <w:t>21.</w:t>
      </w:r>
      <w:r w:rsidRPr="00A034F0">
        <w:rPr>
          <w:lang w:val="fr-FR"/>
        </w:rPr>
        <w:tab/>
        <w:t>Le Comité prend note avec intérêt des données fournies pendant le dialogue sur le nombre de plaintes déposées par des travailleurs auprès des commissions de conciliation en matière de travail ainsi que des renseignements fournis sur la mise en place d</w:t>
      </w:r>
      <w:r w:rsidR="006F0410">
        <w:rPr>
          <w:lang w:val="fr-FR"/>
        </w:rPr>
        <w:t>’</w:t>
      </w:r>
      <w:r w:rsidRPr="00A034F0">
        <w:rPr>
          <w:lang w:val="fr-FR"/>
        </w:rPr>
        <w:t>un mécanisme d</w:t>
      </w:r>
      <w:r w:rsidR="006F0410">
        <w:rPr>
          <w:lang w:val="fr-FR"/>
        </w:rPr>
        <w:t>’</w:t>
      </w:r>
      <w:r w:rsidRPr="00A034F0">
        <w:rPr>
          <w:lang w:val="fr-FR"/>
        </w:rPr>
        <w:t>examen de plaintes par le Ministère du travail, mais regrette de ne pas avoir reçu d</w:t>
      </w:r>
      <w:r w:rsidR="006F0410">
        <w:rPr>
          <w:lang w:val="fr-FR"/>
        </w:rPr>
        <w:t>’</w:t>
      </w:r>
      <w:r w:rsidRPr="00A034F0">
        <w:rPr>
          <w:lang w:val="fr-FR"/>
        </w:rPr>
        <w:t>informations détaillées sur ces plaintes et leur issue. Il note en outre avec inquiétude que les travailleurs étrangers peuvent rencontrer des obstacles dans l</w:t>
      </w:r>
      <w:r w:rsidR="006F0410">
        <w:rPr>
          <w:lang w:val="fr-FR"/>
        </w:rPr>
        <w:t>’</w:t>
      </w:r>
      <w:r w:rsidRPr="00A034F0">
        <w:rPr>
          <w:lang w:val="fr-FR"/>
        </w:rPr>
        <w:t xml:space="preserve">accès à la justice </w:t>
      </w:r>
      <w:r w:rsidR="00215F91">
        <w:rPr>
          <w:lang w:val="fr-FR"/>
        </w:rPr>
        <w:t>− </w:t>
      </w:r>
      <w:r w:rsidRPr="00A034F0">
        <w:rPr>
          <w:lang w:val="fr-FR"/>
        </w:rPr>
        <w:t>il est notamment possible qu</w:t>
      </w:r>
      <w:r w:rsidR="006F0410">
        <w:rPr>
          <w:lang w:val="fr-FR"/>
        </w:rPr>
        <w:t>’</w:t>
      </w:r>
      <w:r w:rsidRPr="00A034F0">
        <w:rPr>
          <w:lang w:val="fr-FR"/>
        </w:rPr>
        <w:t>ils ne soient pas en mesure de porter plainte ou qu</w:t>
      </w:r>
      <w:r w:rsidR="006F0410">
        <w:rPr>
          <w:lang w:val="fr-FR"/>
        </w:rPr>
        <w:t>’</w:t>
      </w:r>
      <w:r w:rsidRPr="00A034F0">
        <w:rPr>
          <w:lang w:val="fr-FR"/>
        </w:rPr>
        <w:t>ils craignent d</w:t>
      </w:r>
      <w:r w:rsidR="006F0410">
        <w:rPr>
          <w:lang w:val="fr-FR"/>
        </w:rPr>
        <w:t>’</w:t>
      </w:r>
      <w:r w:rsidRPr="00A034F0">
        <w:rPr>
          <w:lang w:val="fr-FR"/>
        </w:rPr>
        <w:t>être expulsés ou de faire l</w:t>
      </w:r>
      <w:r w:rsidR="006F0410">
        <w:rPr>
          <w:lang w:val="fr-FR"/>
        </w:rPr>
        <w:t>’</w:t>
      </w:r>
      <w:r w:rsidRPr="00A034F0">
        <w:rPr>
          <w:lang w:val="fr-FR"/>
        </w:rPr>
        <w:t>objet de mesures de représailles</w:t>
      </w:r>
      <w:r w:rsidR="00215F91">
        <w:rPr>
          <w:lang w:val="fr-FR"/>
        </w:rPr>
        <w:t> −</w:t>
      </w:r>
      <w:r w:rsidRPr="00A034F0">
        <w:rPr>
          <w:lang w:val="fr-FR"/>
        </w:rPr>
        <w:t xml:space="preserve"> et que les auteurs de violations restent impunis (art. 5 et 6). </w:t>
      </w:r>
    </w:p>
    <w:p w:rsidR="00E30D2C" w:rsidRPr="00F979C9" w:rsidRDefault="00E30D2C" w:rsidP="006F0410">
      <w:pPr>
        <w:pStyle w:val="SingleTxtG"/>
        <w:rPr>
          <w:b/>
          <w:lang w:val="fr-FR"/>
        </w:rPr>
      </w:pPr>
      <w:r w:rsidRPr="00A034F0">
        <w:rPr>
          <w:lang w:val="fr-FR"/>
        </w:rPr>
        <w:t>22.</w:t>
      </w:r>
      <w:r w:rsidRPr="00A034F0">
        <w:rPr>
          <w:lang w:val="fr-FR"/>
        </w:rPr>
        <w:tab/>
      </w:r>
      <w:r w:rsidRPr="00A034F0">
        <w:rPr>
          <w:b/>
          <w:lang w:val="fr-FR"/>
        </w:rPr>
        <w:t xml:space="preserve">Rappelant sa recommandation générale </w:t>
      </w:r>
      <w:r w:rsidR="006257BF" w:rsidRPr="001E5CE3">
        <w:rPr>
          <w:rFonts w:eastAsia="MS Mincho"/>
          <w:b/>
          <w:lang w:val="fr-FR"/>
        </w:rPr>
        <w:t>n</w:t>
      </w:r>
      <w:r w:rsidR="006257BF" w:rsidRPr="001E5CE3">
        <w:rPr>
          <w:rFonts w:eastAsia="MS Mincho"/>
          <w:b/>
          <w:vertAlign w:val="superscript"/>
          <w:lang w:val="fr-FR"/>
        </w:rPr>
        <w:t>o</w:t>
      </w:r>
      <w:r w:rsidR="00F64DB5">
        <w:rPr>
          <w:b/>
          <w:lang w:val="fr-FR"/>
        </w:rPr>
        <w:t> 31</w:t>
      </w:r>
      <w:r w:rsidRPr="00A034F0">
        <w:rPr>
          <w:b/>
          <w:lang w:val="fr-FR"/>
        </w:rPr>
        <w:t>, le Comité recommande à l</w:t>
      </w:r>
      <w:r w:rsidR="006F0410">
        <w:rPr>
          <w:b/>
          <w:lang w:val="fr-FR"/>
        </w:rPr>
        <w:t>’</w:t>
      </w:r>
      <w:r w:rsidRPr="00A034F0">
        <w:rPr>
          <w:b/>
          <w:lang w:val="fr-FR"/>
        </w:rPr>
        <w:t>État partie</w:t>
      </w:r>
      <w:r w:rsidR="00BB37DE">
        <w:rPr>
          <w:b/>
          <w:lang w:val="fr-FR"/>
        </w:rPr>
        <w:t> :</w:t>
      </w:r>
      <w:r w:rsidRPr="00A034F0">
        <w:rPr>
          <w:b/>
          <w:lang w:val="fr-FR"/>
        </w:rPr>
        <w:t xml:space="preserve"> </w:t>
      </w:r>
    </w:p>
    <w:p w:rsidR="00E30D2C" w:rsidRPr="00093A3C" w:rsidRDefault="00E30D2C" w:rsidP="00093A3C">
      <w:pPr>
        <w:pStyle w:val="SingleTxtG"/>
        <w:ind w:firstLine="567"/>
        <w:rPr>
          <w:b/>
          <w:bCs/>
          <w:iCs/>
          <w:lang w:val="fr-FR"/>
        </w:rPr>
      </w:pPr>
      <w:r w:rsidRPr="00093A3C">
        <w:rPr>
          <w:b/>
          <w:lang w:val="fr-FR"/>
        </w:rPr>
        <w:t>a)</w:t>
      </w:r>
      <w:r w:rsidRPr="00093A3C">
        <w:rPr>
          <w:b/>
          <w:lang w:val="fr-FR"/>
        </w:rPr>
        <w:tab/>
        <w:t>D</w:t>
      </w:r>
      <w:r w:rsidR="006F0410" w:rsidRPr="00093A3C">
        <w:rPr>
          <w:b/>
          <w:lang w:val="fr-FR"/>
        </w:rPr>
        <w:t>’</w:t>
      </w:r>
      <w:r w:rsidRPr="00093A3C">
        <w:rPr>
          <w:b/>
          <w:lang w:val="fr-FR"/>
        </w:rPr>
        <w:t>éliminer tous les obstacles à l</w:t>
      </w:r>
      <w:r w:rsidR="006F0410" w:rsidRPr="00093A3C">
        <w:rPr>
          <w:b/>
          <w:lang w:val="fr-FR"/>
        </w:rPr>
        <w:t>’</w:t>
      </w:r>
      <w:r w:rsidRPr="00093A3C">
        <w:rPr>
          <w:b/>
          <w:lang w:val="fr-FR"/>
        </w:rPr>
        <w:t>accès à la justice en faisant en sorte que tous les travailleurs étrangers puissent accéder à des mécanismes de plainte indépendants et efficaces, sans craindre de subir des représailles</w:t>
      </w:r>
      <w:r w:rsidR="00BB37DE">
        <w:rPr>
          <w:b/>
          <w:lang w:val="fr-FR"/>
        </w:rPr>
        <w:t> ;</w:t>
      </w:r>
    </w:p>
    <w:p w:rsidR="00E30D2C" w:rsidRPr="00093A3C" w:rsidRDefault="00E30D2C" w:rsidP="00093A3C">
      <w:pPr>
        <w:pStyle w:val="SingleTxtG"/>
        <w:ind w:firstLine="567"/>
        <w:rPr>
          <w:b/>
          <w:lang w:val="fr-FR"/>
        </w:rPr>
      </w:pPr>
      <w:r w:rsidRPr="00093A3C">
        <w:rPr>
          <w:b/>
          <w:lang w:val="fr-FR"/>
        </w:rPr>
        <w:t>b)</w:t>
      </w:r>
      <w:r w:rsidRPr="00093A3C">
        <w:rPr>
          <w:b/>
          <w:lang w:val="fr-FR"/>
        </w:rPr>
        <w:tab/>
        <w:t>De mener des activités de sensibilisation aux droits et aux devoirs respectifs des travailleurs et des employeurs</w:t>
      </w:r>
      <w:r w:rsidR="00BB37DE">
        <w:rPr>
          <w:b/>
          <w:lang w:val="fr-FR"/>
        </w:rPr>
        <w:t> ;</w:t>
      </w:r>
    </w:p>
    <w:p w:rsidR="00E30D2C" w:rsidRPr="00093A3C" w:rsidRDefault="00E30D2C" w:rsidP="00093A3C">
      <w:pPr>
        <w:pStyle w:val="SingleTxtG"/>
        <w:ind w:firstLine="567"/>
        <w:rPr>
          <w:b/>
          <w:lang w:val="fr-FR"/>
        </w:rPr>
      </w:pPr>
      <w:r w:rsidRPr="00093A3C">
        <w:rPr>
          <w:b/>
          <w:lang w:val="fr-FR"/>
        </w:rPr>
        <w:t>c)</w:t>
      </w:r>
      <w:r w:rsidRPr="00093A3C">
        <w:rPr>
          <w:b/>
          <w:lang w:val="fr-FR"/>
        </w:rPr>
        <w:tab/>
        <w:t>De faire appliquer les politiques et les lois en vigueur visant à protéger les travailleurs migrants et de veiller à ce que tous les cas signalés d</w:t>
      </w:r>
      <w:r w:rsidR="006F0410" w:rsidRPr="00093A3C">
        <w:rPr>
          <w:b/>
          <w:lang w:val="fr-FR"/>
        </w:rPr>
        <w:t>’</w:t>
      </w:r>
      <w:r w:rsidRPr="00093A3C">
        <w:rPr>
          <w:b/>
          <w:lang w:val="fr-FR"/>
        </w:rPr>
        <w:t>abus à l</w:t>
      </w:r>
      <w:r w:rsidR="006F0410" w:rsidRPr="00093A3C">
        <w:rPr>
          <w:b/>
          <w:lang w:val="fr-FR"/>
        </w:rPr>
        <w:t>’</w:t>
      </w:r>
      <w:r w:rsidRPr="00093A3C">
        <w:rPr>
          <w:b/>
          <w:lang w:val="fr-FR"/>
        </w:rPr>
        <w:t>égard de travailleurs migrants donnent lieu à une enquête et à des poursuites et à ce que les auteurs des faits soient dûment sanctionnés</w:t>
      </w:r>
      <w:r w:rsidR="00BB37DE">
        <w:rPr>
          <w:b/>
          <w:lang w:val="fr-FR"/>
        </w:rPr>
        <w:t> ;</w:t>
      </w:r>
    </w:p>
    <w:p w:rsidR="00E30D2C" w:rsidRPr="00093A3C" w:rsidRDefault="00E30D2C" w:rsidP="00093A3C">
      <w:pPr>
        <w:pStyle w:val="SingleTxtG"/>
        <w:ind w:firstLine="567"/>
        <w:rPr>
          <w:b/>
          <w:bCs/>
          <w:iCs/>
          <w:lang w:val="fr-FR"/>
        </w:rPr>
      </w:pPr>
      <w:r w:rsidRPr="00093A3C">
        <w:rPr>
          <w:b/>
          <w:lang w:val="fr-FR"/>
        </w:rPr>
        <w:t>d)</w:t>
      </w:r>
      <w:r w:rsidRPr="00093A3C">
        <w:rPr>
          <w:b/>
          <w:lang w:val="fr-FR"/>
        </w:rPr>
        <w:tab/>
        <w:t>De communiquer des informations sur le nombre et la nature des plaintes déposées par des travailleurs étrangers, ventilées par sexe et par origine ethnique, ainsi que sur le nombre d</w:t>
      </w:r>
      <w:r w:rsidR="006F0410" w:rsidRPr="00093A3C">
        <w:rPr>
          <w:b/>
          <w:lang w:val="fr-FR"/>
        </w:rPr>
        <w:t>’</w:t>
      </w:r>
      <w:r w:rsidRPr="00093A3C">
        <w:rPr>
          <w:b/>
          <w:lang w:val="fr-FR"/>
        </w:rPr>
        <w:t>enquêtes, de poursuites et de condamnations auxquelles ont donné lieu ces plaintes et sur les peines imposées et les réparations accordées aux victimes.</w:t>
      </w:r>
    </w:p>
    <w:p w:rsidR="00E30D2C" w:rsidRPr="00F979C9" w:rsidRDefault="00E30D2C" w:rsidP="006F0410">
      <w:pPr>
        <w:pStyle w:val="H23G"/>
        <w:rPr>
          <w:lang w:val="fr-FR"/>
        </w:rPr>
      </w:pPr>
      <w:r w:rsidRPr="00A034F0">
        <w:rPr>
          <w:lang w:val="fr-FR"/>
        </w:rPr>
        <w:tab/>
      </w:r>
      <w:r w:rsidRPr="00A034F0">
        <w:rPr>
          <w:lang w:val="fr-FR"/>
        </w:rPr>
        <w:tab/>
        <w:t>Liberté de religion</w:t>
      </w:r>
    </w:p>
    <w:p w:rsidR="00E30D2C" w:rsidRPr="00A034F0" w:rsidRDefault="00E30D2C" w:rsidP="006F0410">
      <w:pPr>
        <w:pStyle w:val="SingleTxtG"/>
        <w:rPr>
          <w:lang w:val="fr-FR"/>
        </w:rPr>
      </w:pPr>
      <w:r w:rsidRPr="00A034F0">
        <w:rPr>
          <w:lang w:val="fr-FR"/>
        </w:rPr>
        <w:t>23.</w:t>
      </w:r>
      <w:r w:rsidRPr="00A034F0">
        <w:rPr>
          <w:lang w:val="fr-FR"/>
        </w:rPr>
        <w:tab/>
        <w:t xml:space="preserve">Le Comité </w:t>
      </w:r>
      <w:r>
        <w:rPr>
          <w:lang w:val="fr-FR"/>
        </w:rPr>
        <w:t>note avec préoccupation</w:t>
      </w:r>
      <w:r w:rsidRPr="00A034F0">
        <w:rPr>
          <w:lang w:val="fr-FR"/>
        </w:rPr>
        <w:t xml:space="preserve"> que les minorités ethn</w:t>
      </w:r>
      <w:r>
        <w:rPr>
          <w:lang w:val="fr-FR"/>
        </w:rPr>
        <w:t>o</w:t>
      </w:r>
      <w:r w:rsidRPr="00A034F0">
        <w:rPr>
          <w:lang w:val="fr-FR"/>
        </w:rPr>
        <w:t>religieuses rencontrent des obstacles dans l</w:t>
      </w:r>
      <w:r w:rsidR="006F0410">
        <w:rPr>
          <w:lang w:val="fr-FR"/>
        </w:rPr>
        <w:t>’</w:t>
      </w:r>
      <w:r w:rsidRPr="00A034F0">
        <w:rPr>
          <w:lang w:val="fr-FR"/>
        </w:rPr>
        <w:t xml:space="preserve">exercice de leur droit à la liberté de religion ou de conviction, notamment </w:t>
      </w:r>
      <w:r>
        <w:rPr>
          <w:lang w:val="fr-FR"/>
        </w:rPr>
        <w:t>qu</w:t>
      </w:r>
      <w:r w:rsidR="006F0410">
        <w:rPr>
          <w:lang w:val="fr-FR"/>
        </w:rPr>
        <w:t>’</w:t>
      </w:r>
      <w:r>
        <w:rPr>
          <w:lang w:val="fr-FR"/>
        </w:rPr>
        <w:t>il leur est interdit</w:t>
      </w:r>
      <w:r w:rsidRPr="00A034F0">
        <w:rPr>
          <w:lang w:val="fr-FR"/>
        </w:rPr>
        <w:t xml:space="preserve"> de construire des lieux de culte ou de célébrer </w:t>
      </w:r>
      <w:r>
        <w:rPr>
          <w:lang w:val="fr-FR"/>
        </w:rPr>
        <w:t>publiquement leur culte</w:t>
      </w:r>
      <w:r w:rsidRPr="00A034F0">
        <w:rPr>
          <w:lang w:val="fr-FR"/>
        </w:rPr>
        <w:t xml:space="preserve">. Il </w:t>
      </w:r>
      <w:r>
        <w:rPr>
          <w:lang w:val="fr-FR"/>
        </w:rPr>
        <w:t>relève également avec inquiétude</w:t>
      </w:r>
      <w:r w:rsidRPr="00A034F0">
        <w:rPr>
          <w:lang w:val="fr-FR"/>
        </w:rPr>
        <w:t xml:space="preserve"> que certaines minorités ethnoreligieuses sont victimes de discrimination </w:t>
      </w:r>
      <w:r>
        <w:rPr>
          <w:lang w:val="fr-FR"/>
        </w:rPr>
        <w:t>en matière</w:t>
      </w:r>
      <w:r w:rsidRPr="00A034F0">
        <w:rPr>
          <w:lang w:val="fr-FR"/>
        </w:rPr>
        <w:t xml:space="preserve"> </w:t>
      </w:r>
      <w:r>
        <w:rPr>
          <w:lang w:val="fr-FR"/>
        </w:rPr>
        <w:t>d</w:t>
      </w:r>
      <w:r w:rsidR="006F0410">
        <w:rPr>
          <w:lang w:val="fr-FR"/>
        </w:rPr>
        <w:t>’</w:t>
      </w:r>
      <w:r w:rsidRPr="00A034F0">
        <w:rPr>
          <w:lang w:val="fr-FR"/>
        </w:rPr>
        <w:t xml:space="preserve">éducation, </w:t>
      </w:r>
      <w:r>
        <w:rPr>
          <w:lang w:val="fr-FR"/>
        </w:rPr>
        <w:t xml:space="preserve">ainsi que dans </w:t>
      </w:r>
      <w:r w:rsidRPr="00A034F0">
        <w:rPr>
          <w:lang w:val="fr-FR"/>
        </w:rPr>
        <w:t>l</w:t>
      </w:r>
      <w:r w:rsidR="006F0410">
        <w:rPr>
          <w:lang w:val="fr-FR"/>
        </w:rPr>
        <w:t>’</w:t>
      </w:r>
      <w:r w:rsidRPr="00A034F0">
        <w:rPr>
          <w:lang w:val="fr-FR"/>
        </w:rPr>
        <w:t xml:space="preserve">emploi et le système </w:t>
      </w:r>
      <w:r>
        <w:rPr>
          <w:lang w:val="fr-FR"/>
        </w:rPr>
        <w:t xml:space="preserve">de </w:t>
      </w:r>
      <w:r w:rsidRPr="00A034F0">
        <w:rPr>
          <w:lang w:val="fr-FR"/>
        </w:rPr>
        <w:t>ju</w:t>
      </w:r>
      <w:r>
        <w:rPr>
          <w:lang w:val="fr-FR"/>
        </w:rPr>
        <w:t>st</w:t>
      </w:r>
      <w:r w:rsidRPr="00A034F0">
        <w:rPr>
          <w:lang w:val="fr-FR"/>
        </w:rPr>
        <w:t>i</w:t>
      </w:r>
      <w:r>
        <w:rPr>
          <w:lang w:val="fr-FR"/>
        </w:rPr>
        <w:t>c</w:t>
      </w:r>
      <w:r w:rsidRPr="00A034F0">
        <w:rPr>
          <w:lang w:val="fr-FR"/>
        </w:rPr>
        <w:t xml:space="preserve">e (art. 5). </w:t>
      </w:r>
    </w:p>
    <w:p w:rsidR="00E30D2C" w:rsidRPr="00F979C9" w:rsidRDefault="00E30D2C" w:rsidP="006F0410">
      <w:pPr>
        <w:pStyle w:val="SingleTxtG"/>
        <w:rPr>
          <w:b/>
          <w:bCs/>
          <w:lang w:val="fr-FR"/>
        </w:rPr>
      </w:pPr>
      <w:r w:rsidRPr="00A034F0">
        <w:rPr>
          <w:lang w:val="fr-FR"/>
        </w:rPr>
        <w:t>24.</w:t>
      </w:r>
      <w:r w:rsidRPr="00A034F0">
        <w:rPr>
          <w:lang w:val="fr-FR"/>
        </w:rPr>
        <w:tab/>
      </w:r>
      <w:r w:rsidRPr="00A034F0">
        <w:rPr>
          <w:b/>
          <w:lang w:val="fr-FR"/>
        </w:rPr>
        <w:t>Le Comité recommande à l</w:t>
      </w:r>
      <w:r w:rsidR="006F0410">
        <w:rPr>
          <w:b/>
          <w:lang w:val="fr-FR"/>
        </w:rPr>
        <w:t>’</w:t>
      </w:r>
      <w:r w:rsidRPr="00A034F0">
        <w:rPr>
          <w:b/>
          <w:lang w:val="fr-FR"/>
        </w:rPr>
        <w:t xml:space="preserve">État partie de prendre toutes les mesures nécessaires pour </w:t>
      </w:r>
      <w:r>
        <w:rPr>
          <w:b/>
          <w:lang w:val="fr-FR"/>
        </w:rPr>
        <w:t>garantir</w:t>
      </w:r>
      <w:r w:rsidRPr="00A034F0">
        <w:rPr>
          <w:b/>
          <w:lang w:val="fr-FR"/>
        </w:rPr>
        <w:t xml:space="preserve"> les droits des minorités ethnoreligieuses, notamment leur droit à la liberté de pensée, de conscience et de religion, sans aucune discrimination fondée sur la race, la couleur, l</w:t>
      </w:r>
      <w:r w:rsidR="006F0410">
        <w:rPr>
          <w:b/>
          <w:lang w:val="fr-FR"/>
        </w:rPr>
        <w:t>’</w:t>
      </w:r>
      <w:r w:rsidRPr="00A034F0">
        <w:rPr>
          <w:b/>
          <w:lang w:val="fr-FR"/>
        </w:rPr>
        <w:t>ascendance ou l</w:t>
      </w:r>
      <w:r w:rsidR="006F0410">
        <w:rPr>
          <w:b/>
          <w:lang w:val="fr-FR"/>
        </w:rPr>
        <w:t>’</w:t>
      </w:r>
      <w:r w:rsidRPr="00A034F0">
        <w:rPr>
          <w:b/>
          <w:lang w:val="fr-FR"/>
        </w:rPr>
        <w:t>origine nationale ou ethnique, comme le prescrit l</w:t>
      </w:r>
      <w:r w:rsidR="006F0410">
        <w:rPr>
          <w:b/>
          <w:lang w:val="fr-FR"/>
        </w:rPr>
        <w:t>’</w:t>
      </w:r>
      <w:r w:rsidRPr="00A034F0">
        <w:rPr>
          <w:b/>
          <w:lang w:val="fr-FR"/>
        </w:rPr>
        <w:t>article 5 de la Convention. Il recommande également à l</w:t>
      </w:r>
      <w:r w:rsidR="006F0410">
        <w:rPr>
          <w:b/>
          <w:lang w:val="fr-FR"/>
        </w:rPr>
        <w:t>’</w:t>
      </w:r>
      <w:r w:rsidRPr="00A034F0">
        <w:rPr>
          <w:b/>
          <w:lang w:val="fr-FR"/>
        </w:rPr>
        <w:t>État partie d</w:t>
      </w:r>
      <w:r w:rsidR="006F0410">
        <w:rPr>
          <w:b/>
          <w:lang w:val="fr-FR"/>
        </w:rPr>
        <w:t>’</w:t>
      </w:r>
      <w:r w:rsidRPr="00A034F0">
        <w:rPr>
          <w:b/>
          <w:lang w:val="fr-FR"/>
        </w:rPr>
        <w:t>éliminer tous les obstacles auxquels se heurtent les minorités ethnoreligieuses en matière d</w:t>
      </w:r>
      <w:r w:rsidR="006F0410">
        <w:rPr>
          <w:b/>
          <w:lang w:val="fr-FR"/>
        </w:rPr>
        <w:t>’</w:t>
      </w:r>
      <w:r w:rsidRPr="00A034F0">
        <w:rPr>
          <w:b/>
          <w:lang w:val="fr-FR"/>
        </w:rPr>
        <w:t>éducation − notamment de faire disparaître des manuels scolaires les propos désobligeants à l</w:t>
      </w:r>
      <w:r w:rsidR="006F0410">
        <w:rPr>
          <w:b/>
          <w:lang w:val="fr-FR"/>
        </w:rPr>
        <w:t>’</w:t>
      </w:r>
      <w:r w:rsidRPr="00A034F0">
        <w:rPr>
          <w:b/>
          <w:lang w:val="fr-FR"/>
        </w:rPr>
        <w:t>égard d</w:t>
      </w:r>
      <w:r w:rsidR="006F0410">
        <w:rPr>
          <w:b/>
          <w:lang w:val="fr-FR"/>
        </w:rPr>
        <w:t>’</w:t>
      </w:r>
      <w:r w:rsidRPr="00A034F0">
        <w:rPr>
          <w:b/>
          <w:lang w:val="fr-FR"/>
        </w:rPr>
        <w:t>autres religions −, ainsi que dans l</w:t>
      </w:r>
      <w:r w:rsidR="006F0410">
        <w:rPr>
          <w:b/>
          <w:lang w:val="fr-FR"/>
        </w:rPr>
        <w:t>’</w:t>
      </w:r>
      <w:r w:rsidRPr="00A034F0">
        <w:rPr>
          <w:b/>
          <w:lang w:val="fr-FR"/>
        </w:rPr>
        <w:t xml:space="preserve">emploi et le système de justice. </w:t>
      </w:r>
    </w:p>
    <w:p w:rsidR="00E30D2C" w:rsidRPr="00F979C9" w:rsidRDefault="00E30D2C" w:rsidP="006F0410">
      <w:pPr>
        <w:pStyle w:val="H23G"/>
        <w:rPr>
          <w:lang w:val="fr-FR"/>
        </w:rPr>
      </w:pPr>
      <w:r w:rsidRPr="00A034F0">
        <w:rPr>
          <w:lang w:val="fr-FR"/>
        </w:rPr>
        <w:tab/>
      </w:r>
      <w:r w:rsidRPr="00A034F0">
        <w:rPr>
          <w:lang w:val="fr-FR"/>
        </w:rPr>
        <w:tab/>
        <w:t xml:space="preserve">Situation des minorités ethniques </w:t>
      </w:r>
    </w:p>
    <w:p w:rsidR="00E30D2C" w:rsidRPr="00F979C9" w:rsidRDefault="00E30D2C" w:rsidP="006F0410">
      <w:pPr>
        <w:pStyle w:val="SingleTxtG"/>
        <w:rPr>
          <w:lang w:val="fr-FR"/>
        </w:rPr>
      </w:pPr>
      <w:r w:rsidRPr="00A034F0">
        <w:rPr>
          <w:lang w:val="fr-FR"/>
        </w:rPr>
        <w:t>25.</w:t>
      </w:r>
      <w:r w:rsidRPr="00A034F0">
        <w:rPr>
          <w:lang w:val="fr-FR"/>
        </w:rPr>
        <w:tab/>
        <w:t>Le Comité est préoccupé par les informations selon lesquelles les personnes d</w:t>
      </w:r>
      <w:r w:rsidR="006F0410">
        <w:rPr>
          <w:lang w:val="fr-FR"/>
        </w:rPr>
        <w:t>’</w:t>
      </w:r>
      <w:r w:rsidRPr="00A034F0">
        <w:rPr>
          <w:lang w:val="fr-FR"/>
        </w:rPr>
        <w:t>ascendance asiatique ou africaine sont victimes de discrimination dans l</w:t>
      </w:r>
      <w:r w:rsidR="006F0410">
        <w:rPr>
          <w:lang w:val="fr-FR"/>
        </w:rPr>
        <w:t>’</w:t>
      </w:r>
      <w:r w:rsidRPr="00A034F0">
        <w:rPr>
          <w:lang w:val="fr-FR"/>
        </w:rPr>
        <w:t>accès au logement, à l</w:t>
      </w:r>
      <w:r w:rsidR="006F0410">
        <w:rPr>
          <w:lang w:val="fr-FR"/>
        </w:rPr>
        <w:t>’</w:t>
      </w:r>
      <w:r w:rsidRPr="00A034F0">
        <w:rPr>
          <w:lang w:val="fr-FR"/>
        </w:rPr>
        <w:t>éducation, aux soins de santé et à l</w:t>
      </w:r>
      <w:r w:rsidR="006F0410">
        <w:rPr>
          <w:lang w:val="fr-FR"/>
        </w:rPr>
        <w:t>’</w:t>
      </w:r>
      <w:r w:rsidRPr="00A034F0">
        <w:rPr>
          <w:lang w:val="fr-FR"/>
        </w:rPr>
        <w:t xml:space="preserve">emploi, ainsi que de racisme au sein de la société (art. 5). </w:t>
      </w:r>
    </w:p>
    <w:p w:rsidR="00E30D2C" w:rsidRPr="00F979C9" w:rsidRDefault="00E30D2C" w:rsidP="006F0410">
      <w:pPr>
        <w:pStyle w:val="SingleTxtG"/>
        <w:rPr>
          <w:b/>
          <w:lang w:val="fr-FR"/>
        </w:rPr>
      </w:pPr>
      <w:r w:rsidRPr="00A034F0">
        <w:rPr>
          <w:lang w:val="fr-FR"/>
        </w:rPr>
        <w:t>26.</w:t>
      </w:r>
      <w:r w:rsidRPr="00A034F0">
        <w:rPr>
          <w:lang w:val="fr-FR"/>
        </w:rPr>
        <w:tab/>
      </w:r>
      <w:r w:rsidRPr="00A034F0">
        <w:rPr>
          <w:b/>
          <w:lang w:val="fr-FR"/>
        </w:rPr>
        <w:t>Le Comité recommande à l</w:t>
      </w:r>
      <w:r w:rsidR="006F0410">
        <w:rPr>
          <w:b/>
          <w:lang w:val="fr-FR"/>
        </w:rPr>
        <w:t>’</w:t>
      </w:r>
      <w:r w:rsidRPr="00A034F0">
        <w:rPr>
          <w:b/>
          <w:lang w:val="fr-FR"/>
        </w:rPr>
        <w:t>État partie d</w:t>
      </w:r>
      <w:r w:rsidR="006F0410">
        <w:rPr>
          <w:b/>
          <w:lang w:val="fr-FR"/>
        </w:rPr>
        <w:t>’</w:t>
      </w:r>
      <w:r w:rsidRPr="00A034F0">
        <w:rPr>
          <w:b/>
          <w:lang w:val="fr-FR"/>
        </w:rPr>
        <w:t>éliminer les obstacles rencontrés par les personnes d</w:t>
      </w:r>
      <w:r w:rsidR="006F0410">
        <w:rPr>
          <w:b/>
          <w:lang w:val="fr-FR"/>
        </w:rPr>
        <w:t>’</w:t>
      </w:r>
      <w:r w:rsidRPr="00A034F0">
        <w:rPr>
          <w:b/>
          <w:lang w:val="fr-FR"/>
        </w:rPr>
        <w:t>ascendance asiatique ou africaine et d</w:t>
      </w:r>
      <w:r w:rsidR="006F0410">
        <w:rPr>
          <w:b/>
          <w:lang w:val="fr-FR"/>
        </w:rPr>
        <w:t>’</w:t>
      </w:r>
      <w:r w:rsidRPr="00A034F0">
        <w:rPr>
          <w:b/>
          <w:lang w:val="fr-FR"/>
        </w:rPr>
        <w:t>assurer à celles-ci l</w:t>
      </w:r>
      <w:r w:rsidR="006F0410">
        <w:rPr>
          <w:b/>
          <w:lang w:val="fr-FR"/>
        </w:rPr>
        <w:t>’</w:t>
      </w:r>
      <w:r w:rsidRPr="00A034F0">
        <w:rPr>
          <w:b/>
          <w:lang w:val="fr-FR"/>
        </w:rPr>
        <w:t>égalité d</w:t>
      </w:r>
      <w:r w:rsidR="006F0410">
        <w:rPr>
          <w:b/>
          <w:lang w:val="fr-FR"/>
        </w:rPr>
        <w:t>’</w:t>
      </w:r>
      <w:r w:rsidRPr="00A034F0">
        <w:rPr>
          <w:b/>
          <w:lang w:val="fr-FR"/>
        </w:rPr>
        <w:t>accès au logement, à l</w:t>
      </w:r>
      <w:r w:rsidR="006F0410">
        <w:rPr>
          <w:b/>
          <w:lang w:val="fr-FR"/>
        </w:rPr>
        <w:t>’</w:t>
      </w:r>
      <w:r w:rsidRPr="00A034F0">
        <w:rPr>
          <w:b/>
          <w:lang w:val="fr-FR"/>
        </w:rPr>
        <w:t xml:space="preserve">éducation et aux soins de santé, sans discrimination. Il lui recommande aussi de poursuivre ses efforts de formation en vue de mettre un terme au racisme au sein de la société. </w:t>
      </w:r>
    </w:p>
    <w:p w:rsidR="00E30D2C" w:rsidRPr="00F979C9" w:rsidRDefault="00E30D2C" w:rsidP="006F0410">
      <w:pPr>
        <w:pStyle w:val="H23G"/>
        <w:rPr>
          <w:lang w:val="fr-FR"/>
        </w:rPr>
      </w:pPr>
      <w:r w:rsidRPr="00A034F0">
        <w:rPr>
          <w:lang w:val="fr-FR"/>
        </w:rPr>
        <w:tab/>
      </w:r>
      <w:r w:rsidRPr="00A034F0">
        <w:rPr>
          <w:lang w:val="fr-FR"/>
        </w:rPr>
        <w:tab/>
        <w:t xml:space="preserve">Situation des femmes appartenant à des minorités </w:t>
      </w:r>
    </w:p>
    <w:p w:rsidR="00E30D2C" w:rsidRPr="00F979C9" w:rsidRDefault="00E30D2C" w:rsidP="006F0410">
      <w:pPr>
        <w:pStyle w:val="SingleTxtG"/>
        <w:rPr>
          <w:lang w:val="fr-FR"/>
        </w:rPr>
      </w:pPr>
      <w:r w:rsidRPr="00A034F0">
        <w:rPr>
          <w:lang w:val="fr-FR"/>
        </w:rPr>
        <w:t>27.</w:t>
      </w:r>
      <w:r w:rsidRPr="00A034F0">
        <w:rPr>
          <w:lang w:val="fr-FR"/>
        </w:rPr>
        <w:tab/>
        <w:t>Le Comité constate avec préoccupation que les femmes appartenant à des groupes minoritaires sont victimes de multiples formes de discrimination fondée sur l</w:t>
      </w:r>
      <w:r w:rsidR="006F0410">
        <w:rPr>
          <w:lang w:val="fr-FR"/>
        </w:rPr>
        <w:t>’</w:t>
      </w:r>
      <w:r w:rsidRPr="00A034F0">
        <w:rPr>
          <w:lang w:val="fr-FR"/>
        </w:rPr>
        <w:t>origine ethnique comme sur le sexe, notamment qu</w:t>
      </w:r>
      <w:r w:rsidR="006F0410">
        <w:rPr>
          <w:lang w:val="fr-FR"/>
        </w:rPr>
        <w:t>’</w:t>
      </w:r>
      <w:r w:rsidRPr="00A034F0">
        <w:rPr>
          <w:lang w:val="fr-FR"/>
        </w:rPr>
        <w:t>elles ont des difficultés à accéder à l</w:t>
      </w:r>
      <w:r w:rsidR="006F0410">
        <w:rPr>
          <w:lang w:val="fr-FR"/>
        </w:rPr>
        <w:t>’</w:t>
      </w:r>
      <w:r w:rsidRPr="00A034F0">
        <w:rPr>
          <w:lang w:val="fr-FR"/>
        </w:rPr>
        <w:t>emploi, à l</w:t>
      </w:r>
      <w:r w:rsidR="006F0410">
        <w:rPr>
          <w:lang w:val="fr-FR"/>
        </w:rPr>
        <w:t>’</w:t>
      </w:r>
      <w:r w:rsidRPr="00A034F0">
        <w:rPr>
          <w:lang w:val="fr-FR"/>
        </w:rPr>
        <w:t>éducation, aux soins de santé et à la justice (art. 2 et 5).</w:t>
      </w:r>
    </w:p>
    <w:p w:rsidR="00E30D2C" w:rsidRPr="00F979C9" w:rsidRDefault="00E30D2C" w:rsidP="006F0410">
      <w:pPr>
        <w:pStyle w:val="SingleTxtG"/>
        <w:rPr>
          <w:lang w:val="fr-FR"/>
        </w:rPr>
      </w:pPr>
      <w:r w:rsidRPr="00A034F0">
        <w:rPr>
          <w:lang w:val="fr-FR"/>
        </w:rPr>
        <w:t>28.</w:t>
      </w:r>
      <w:r w:rsidRPr="00A034F0">
        <w:rPr>
          <w:lang w:val="fr-FR"/>
        </w:rPr>
        <w:tab/>
      </w:r>
      <w:r w:rsidRPr="00A034F0">
        <w:rPr>
          <w:b/>
          <w:lang w:val="fr-FR"/>
        </w:rPr>
        <w:t xml:space="preserve">Rappelant sa recommandation générale </w:t>
      </w:r>
      <w:r w:rsidR="00B83423" w:rsidRPr="001E5CE3">
        <w:rPr>
          <w:rFonts w:eastAsia="MS Mincho"/>
          <w:b/>
          <w:lang w:val="fr-FR"/>
        </w:rPr>
        <w:t>n</w:t>
      </w:r>
      <w:r w:rsidR="00B83423" w:rsidRPr="001E5CE3">
        <w:rPr>
          <w:rFonts w:eastAsia="MS Mincho"/>
          <w:b/>
          <w:vertAlign w:val="superscript"/>
          <w:lang w:val="fr-FR"/>
        </w:rPr>
        <w:t>o</w:t>
      </w:r>
      <w:r w:rsidR="00B83423">
        <w:rPr>
          <w:b/>
          <w:lang w:val="fr-FR"/>
        </w:rPr>
        <w:t> 25</w:t>
      </w:r>
      <w:r w:rsidRPr="00A034F0">
        <w:rPr>
          <w:b/>
          <w:lang w:val="fr-FR"/>
        </w:rPr>
        <w:t>, le Comité recommande à l</w:t>
      </w:r>
      <w:r w:rsidR="006F0410">
        <w:rPr>
          <w:b/>
          <w:lang w:val="fr-FR"/>
        </w:rPr>
        <w:t>’</w:t>
      </w:r>
      <w:r w:rsidRPr="00A034F0">
        <w:rPr>
          <w:b/>
          <w:lang w:val="fr-FR"/>
        </w:rPr>
        <w:t>État partie d</w:t>
      </w:r>
      <w:r w:rsidR="006F0410">
        <w:rPr>
          <w:b/>
          <w:lang w:val="fr-FR"/>
        </w:rPr>
        <w:t>’</w:t>
      </w:r>
      <w:r w:rsidRPr="00A034F0">
        <w:rPr>
          <w:b/>
          <w:lang w:val="fr-FR"/>
        </w:rPr>
        <w:t>éliminer tous les obstacles auxquels se heurtent les femmes appartenant à des minorités dans l</w:t>
      </w:r>
      <w:r w:rsidR="006F0410">
        <w:rPr>
          <w:b/>
          <w:lang w:val="fr-FR"/>
        </w:rPr>
        <w:t>’</w:t>
      </w:r>
      <w:r w:rsidRPr="00A034F0">
        <w:rPr>
          <w:b/>
          <w:lang w:val="fr-FR"/>
        </w:rPr>
        <w:t>accès à l</w:t>
      </w:r>
      <w:r w:rsidR="006F0410">
        <w:rPr>
          <w:b/>
          <w:lang w:val="fr-FR"/>
        </w:rPr>
        <w:t>’</w:t>
      </w:r>
      <w:r w:rsidRPr="00A034F0">
        <w:rPr>
          <w:b/>
          <w:lang w:val="fr-FR"/>
        </w:rPr>
        <w:t>emploi, à l</w:t>
      </w:r>
      <w:r w:rsidR="006F0410">
        <w:rPr>
          <w:b/>
          <w:lang w:val="fr-FR"/>
        </w:rPr>
        <w:t>’</w:t>
      </w:r>
      <w:r w:rsidRPr="00A034F0">
        <w:rPr>
          <w:b/>
          <w:lang w:val="fr-FR"/>
        </w:rPr>
        <w:t>éducation, aux so</w:t>
      </w:r>
      <w:r w:rsidR="000C4918">
        <w:rPr>
          <w:b/>
          <w:lang w:val="fr-FR"/>
        </w:rPr>
        <w:t>ins de santé et à la justice. À </w:t>
      </w:r>
      <w:r w:rsidRPr="00A034F0">
        <w:rPr>
          <w:b/>
          <w:lang w:val="fr-FR"/>
        </w:rPr>
        <w:t>cette fin, il recommande à l</w:t>
      </w:r>
      <w:r w:rsidR="006F0410">
        <w:rPr>
          <w:b/>
          <w:lang w:val="fr-FR"/>
        </w:rPr>
        <w:t>’</w:t>
      </w:r>
      <w:r w:rsidRPr="00A034F0">
        <w:rPr>
          <w:b/>
          <w:lang w:val="fr-FR"/>
        </w:rPr>
        <w:t>État partie de tenir compte de la situation des femmes appartenant à des minorités dans toutes ses politiques et stratégies relatives au genre.</w:t>
      </w:r>
    </w:p>
    <w:p w:rsidR="00E30D2C" w:rsidRPr="00F979C9" w:rsidRDefault="00E30D2C" w:rsidP="006F0410">
      <w:pPr>
        <w:pStyle w:val="H23G"/>
        <w:rPr>
          <w:lang w:val="fr-FR"/>
        </w:rPr>
      </w:pPr>
      <w:r w:rsidRPr="00A034F0">
        <w:rPr>
          <w:lang w:val="fr-FR"/>
        </w:rPr>
        <w:tab/>
      </w:r>
      <w:r w:rsidRPr="00A034F0">
        <w:rPr>
          <w:lang w:val="fr-FR"/>
        </w:rPr>
        <w:tab/>
        <w:t xml:space="preserve">Droit </w:t>
      </w:r>
      <w:r>
        <w:rPr>
          <w:lang w:val="fr-FR"/>
        </w:rPr>
        <w:t xml:space="preserve">à la </w:t>
      </w:r>
      <w:r w:rsidRPr="00A034F0">
        <w:rPr>
          <w:lang w:val="fr-FR"/>
        </w:rPr>
        <w:t xml:space="preserve">nationalité </w:t>
      </w:r>
    </w:p>
    <w:p w:rsidR="002B49F8" w:rsidRDefault="00E30D2C" w:rsidP="006F0410">
      <w:pPr>
        <w:pStyle w:val="SingleTxtG"/>
        <w:rPr>
          <w:lang w:val="fr-FR"/>
        </w:rPr>
      </w:pPr>
      <w:r w:rsidRPr="00F979C9">
        <w:rPr>
          <w:lang w:val="fr-FR"/>
        </w:rPr>
        <w:t>29.</w:t>
      </w:r>
      <w:r w:rsidRPr="00F979C9">
        <w:rPr>
          <w:lang w:val="fr-FR"/>
        </w:rPr>
        <w:tab/>
      </w:r>
      <w:r w:rsidRPr="00A034F0">
        <w:rPr>
          <w:lang w:val="fr-FR"/>
        </w:rPr>
        <w:t xml:space="preserve">Le Comité note que la décision </w:t>
      </w:r>
      <w:r w:rsidRPr="00A034F0">
        <w:rPr>
          <w:rFonts w:eastAsia="MS Mincho"/>
          <w:lang w:val="fr-FR"/>
        </w:rPr>
        <w:t>n</w:t>
      </w:r>
      <w:r w:rsidRPr="00A034F0">
        <w:rPr>
          <w:rFonts w:eastAsia="MS Mincho"/>
          <w:vertAlign w:val="superscript"/>
          <w:lang w:val="fr-FR"/>
        </w:rPr>
        <w:t>o</w:t>
      </w:r>
      <w:r w:rsidRPr="00A034F0">
        <w:rPr>
          <w:lang w:val="fr-FR"/>
        </w:rPr>
        <w:t xml:space="preserve"> 406 du Conseil des ministres </w:t>
      </w:r>
      <w:r>
        <w:rPr>
          <w:lang w:val="fr-FR"/>
        </w:rPr>
        <w:t xml:space="preserve">en date du </w:t>
      </w:r>
      <w:r w:rsidRPr="00A034F0">
        <w:rPr>
          <w:lang w:val="fr-FR"/>
        </w:rPr>
        <w:t xml:space="preserve">12 novembre 2012 confère certains avantages aux époux étrangers de femmes saoudiennes, et aux enfants nés de ces unions, mais regrette que, selon la loi relative à la nationalité, ces enfants ne se voient toujours pas accorder la nationalité. </w:t>
      </w:r>
      <w:r>
        <w:rPr>
          <w:lang w:val="fr-FR"/>
        </w:rPr>
        <w:t>Il relève</w:t>
      </w:r>
      <w:r w:rsidRPr="00A034F0">
        <w:rPr>
          <w:lang w:val="fr-FR"/>
        </w:rPr>
        <w:t xml:space="preserve"> également </w:t>
      </w:r>
      <w:r>
        <w:rPr>
          <w:lang w:val="fr-FR"/>
        </w:rPr>
        <w:t xml:space="preserve">avec </w:t>
      </w:r>
      <w:r w:rsidRPr="00A034F0">
        <w:rPr>
          <w:lang w:val="fr-FR"/>
        </w:rPr>
        <w:t>préoccup</w:t>
      </w:r>
      <w:r>
        <w:rPr>
          <w:lang w:val="fr-FR"/>
        </w:rPr>
        <w:t xml:space="preserve">ation </w:t>
      </w:r>
      <w:r w:rsidRPr="00A034F0">
        <w:rPr>
          <w:lang w:val="fr-FR"/>
        </w:rPr>
        <w:t>qu</w:t>
      </w:r>
      <w:r w:rsidR="006F0410">
        <w:rPr>
          <w:lang w:val="fr-FR"/>
        </w:rPr>
        <w:t>’</w:t>
      </w:r>
      <w:r w:rsidRPr="00A034F0">
        <w:rPr>
          <w:lang w:val="fr-FR"/>
        </w:rPr>
        <w:t xml:space="preserve">un étranger marié à une </w:t>
      </w:r>
      <w:r>
        <w:rPr>
          <w:lang w:val="fr-FR"/>
        </w:rPr>
        <w:t>S</w:t>
      </w:r>
      <w:r w:rsidRPr="00A034F0">
        <w:rPr>
          <w:lang w:val="fr-FR"/>
        </w:rPr>
        <w:t xml:space="preserve">aoudienne ne </w:t>
      </w:r>
      <w:r>
        <w:rPr>
          <w:lang w:val="fr-FR"/>
        </w:rPr>
        <w:t>peut</w:t>
      </w:r>
      <w:r w:rsidRPr="00A034F0">
        <w:rPr>
          <w:lang w:val="fr-FR"/>
        </w:rPr>
        <w:t xml:space="preserve"> pas obtenir la nationalité saoudienne de la même façon qu</w:t>
      </w:r>
      <w:r w:rsidR="006F0410">
        <w:rPr>
          <w:lang w:val="fr-FR"/>
        </w:rPr>
        <w:t>’</w:t>
      </w:r>
      <w:r w:rsidRPr="00A034F0">
        <w:rPr>
          <w:lang w:val="fr-FR"/>
        </w:rPr>
        <w:t xml:space="preserve">une étrangère mariée à un Saoudien (art. 2 et 5). </w:t>
      </w:r>
    </w:p>
    <w:p w:rsidR="00E30D2C" w:rsidRPr="00F979C9" w:rsidRDefault="00E30D2C" w:rsidP="006F0410">
      <w:pPr>
        <w:pStyle w:val="SingleTxtG"/>
        <w:rPr>
          <w:b/>
          <w:lang w:val="fr-FR"/>
        </w:rPr>
      </w:pPr>
      <w:r w:rsidRPr="00F979C9">
        <w:rPr>
          <w:lang w:val="fr-FR"/>
        </w:rPr>
        <w:t>30.</w:t>
      </w:r>
      <w:r w:rsidRPr="00F979C9">
        <w:rPr>
          <w:lang w:val="fr-FR"/>
        </w:rPr>
        <w:tab/>
      </w:r>
      <w:r w:rsidRPr="00A034F0">
        <w:rPr>
          <w:b/>
          <w:lang w:val="fr-FR"/>
        </w:rPr>
        <w:t xml:space="preserve">Eu égard à sa recommandation générale </w:t>
      </w:r>
      <w:r w:rsidR="003E66B5" w:rsidRPr="001E5CE3">
        <w:rPr>
          <w:rFonts w:eastAsia="MS Mincho"/>
          <w:b/>
          <w:lang w:val="fr-FR"/>
        </w:rPr>
        <w:t>n</w:t>
      </w:r>
      <w:r w:rsidR="003E66B5" w:rsidRPr="001E5CE3">
        <w:rPr>
          <w:rFonts w:eastAsia="MS Mincho"/>
          <w:b/>
          <w:vertAlign w:val="superscript"/>
          <w:lang w:val="fr-FR"/>
        </w:rPr>
        <w:t>o</w:t>
      </w:r>
      <w:r w:rsidR="003E66B5">
        <w:rPr>
          <w:b/>
          <w:lang w:val="fr-FR"/>
        </w:rPr>
        <w:t> 30</w:t>
      </w:r>
      <w:r w:rsidRPr="00A034F0">
        <w:rPr>
          <w:b/>
          <w:lang w:val="fr-FR"/>
        </w:rPr>
        <w:t xml:space="preserve"> (2004) concernant la discrimination contre les non-ressortissants, en particulier au paragraphe 16 de celle</w:t>
      </w:r>
      <w:r w:rsidRPr="00A034F0">
        <w:rPr>
          <w:b/>
          <w:lang w:val="fr-FR"/>
        </w:rPr>
        <w:noBreakHyphen/>
        <w:t>ci, qui porte sur la réduction du nombre d</w:t>
      </w:r>
      <w:r w:rsidR="006F0410">
        <w:rPr>
          <w:b/>
          <w:lang w:val="fr-FR"/>
        </w:rPr>
        <w:t>’</w:t>
      </w:r>
      <w:r w:rsidRPr="00A034F0">
        <w:rPr>
          <w:b/>
          <w:lang w:val="fr-FR"/>
        </w:rPr>
        <w:t>apatrides, notamment parmi les enfants, le Comité recommande à l</w:t>
      </w:r>
      <w:r w:rsidR="006F0410">
        <w:rPr>
          <w:b/>
          <w:lang w:val="fr-FR"/>
        </w:rPr>
        <w:t>’</w:t>
      </w:r>
      <w:r w:rsidRPr="00A034F0">
        <w:rPr>
          <w:b/>
          <w:lang w:val="fr-FR"/>
        </w:rPr>
        <w:t>État partie de mettre sa législation en conformité avec la Convention en modifiant sa loi relative à la nationalité afin d</w:t>
      </w:r>
      <w:r w:rsidR="006F0410">
        <w:rPr>
          <w:b/>
          <w:lang w:val="fr-FR"/>
        </w:rPr>
        <w:t>’</w:t>
      </w:r>
      <w:r w:rsidRPr="00A034F0">
        <w:rPr>
          <w:b/>
          <w:lang w:val="fr-FR"/>
        </w:rPr>
        <w:t>en supprimer les dispositions discriminatoires à l</w:t>
      </w:r>
      <w:r w:rsidR="006F0410">
        <w:rPr>
          <w:b/>
          <w:lang w:val="fr-FR"/>
        </w:rPr>
        <w:t>’</w:t>
      </w:r>
      <w:r w:rsidRPr="00A034F0">
        <w:rPr>
          <w:b/>
          <w:lang w:val="fr-FR"/>
        </w:rPr>
        <w:t xml:space="preserve">égard des conjoints étrangers de femmes saoudiennes et des enfants de </w:t>
      </w:r>
      <w:r>
        <w:rPr>
          <w:b/>
          <w:lang w:val="fr-FR"/>
        </w:rPr>
        <w:t>S</w:t>
      </w:r>
      <w:r w:rsidRPr="00A034F0">
        <w:rPr>
          <w:b/>
          <w:lang w:val="fr-FR"/>
        </w:rPr>
        <w:t>aoudiennes dont le conjoint est étranger et d</w:t>
      </w:r>
      <w:r w:rsidR="006F0410">
        <w:rPr>
          <w:b/>
          <w:lang w:val="fr-FR"/>
        </w:rPr>
        <w:t>’</w:t>
      </w:r>
      <w:r w:rsidRPr="00A034F0">
        <w:rPr>
          <w:b/>
          <w:lang w:val="fr-FR"/>
        </w:rPr>
        <w:t xml:space="preserve">y ajouter des dispositions permettant aux </w:t>
      </w:r>
      <w:r>
        <w:rPr>
          <w:b/>
          <w:lang w:val="fr-FR"/>
        </w:rPr>
        <w:t>S</w:t>
      </w:r>
      <w:r w:rsidRPr="00A034F0">
        <w:rPr>
          <w:b/>
          <w:lang w:val="fr-FR"/>
        </w:rPr>
        <w:t>aoudiennes de transmettre leur nationalité à leur époux étranger et à leurs enfants à la naissance, sans discrimination.</w:t>
      </w:r>
    </w:p>
    <w:p w:rsidR="00E30D2C" w:rsidRPr="00F979C9" w:rsidRDefault="00E30D2C" w:rsidP="006F0410">
      <w:pPr>
        <w:pStyle w:val="H23G"/>
        <w:rPr>
          <w:lang w:val="fr-FR"/>
        </w:rPr>
      </w:pPr>
      <w:r w:rsidRPr="00A034F0">
        <w:rPr>
          <w:lang w:val="fr-FR"/>
        </w:rPr>
        <w:tab/>
      </w:r>
      <w:r w:rsidRPr="00A034F0">
        <w:rPr>
          <w:lang w:val="fr-FR"/>
        </w:rPr>
        <w:tab/>
        <w:t xml:space="preserve">Mesures spéciales </w:t>
      </w:r>
    </w:p>
    <w:p w:rsidR="00E30D2C" w:rsidRPr="00F979C9" w:rsidRDefault="00E30D2C" w:rsidP="006F0410">
      <w:pPr>
        <w:pStyle w:val="SingleTxtG"/>
        <w:rPr>
          <w:lang w:val="fr-FR"/>
        </w:rPr>
      </w:pPr>
      <w:r w:rsidRPr="00A034F0">
        <w:rPr>
          <w:lang w:val="fr-FR"/>
        </w:rPr>
        <w:t>31.</w:t>
      </w:r>
      <w:r w:rsidRPr="00A034F0">
        <w:rPr>
          <w:lang w:val="fr-FR"/>
        </w:rPr>
        <w:tab/>
        <w:t xml:space="preserve">Le Comité est préoccupé par la situation des </w:t>
      </w:r>
      <w:r>
        <w:rPr>
          <w:lang w:val="fr-FR"/>
        </w:rPr>
        <w:t>étrangers</w:t>
      </w:r>
      <w:r w:rsidRPr="00A034F0">
        <w:rPr>
          <w:lang w:val="fr-FR"/>
        </w:rPr>
        <w:t xml:space="preserve"> qui ne sont pas des travailleurs migrants et qui vivent dans la pauvreté, d</w:t>
      </w:r>
      <w:r w:rsidR="006F0410">
        <w:rPr>
          <w:lang w:val="fr-FR"/>
        </w:rPr>
        <w:t>’</w:t>
      </w:r>
      <w:r w:rsidRPr="00A034F0">
        <w:rPr>
          <w:lang w:val="fr-FR"/>
        </w:rPr>
        <w:t xml:space="preserve">autant plus que ces personnes ne peuvent pas recevoir de prestations sociales (art. 5). </w:t>
      </w:r>
    </w:p>
    <w:p w:rsidR="00E30D2C" w:rsidRPr="00F979C9" w:rsidRDefault="00E30D2C" w:rsidP="006F0410">
      <w:pPr>
        <w:pStyle w:val="SingleTxtG"/>
        <w:rPr>
          <w:b/>
          <w:lang w:val="fr-FR"/>
        </w:rPr>
      </w:pPr>
      <w:r w:rsidRPr="00A034F0">
        <w:rPr>
          <w:lang w:val="fr-FR"/>
        </w:rPr>
        <w:t>32.</w:t>
      </w:r>
      <w:r w:rsidRPr="00A034F0">
        <w:rPr>
          <w:lang w:val="fr-FR"/>
        </w:rPr>
        <w:tab/>
      </w:r>
      <w:r w:rsidRPr="00A034F0">
        <w:rPr>
          <w:b/>
          <w:lang w:val="fr-FR"/>
        </w:rPr>
        <w:t>Le Comité recommande à l</w:t>
      </w:r>
      <w:r w:rsidR="006F0410">
        <w:rPr>
          <w:b/>
          <w:lang w:val="fr-FR"/>
        </w:rPr>
        <w:t>’</w:t>
      </w:r>
      <w:r w:rsidRPr="00A034F0">
        <w:rPr>
          <w:b/>
          <w:lang w:val="fr-FR"/>
        </w:rPr>
        <w:t xml:space="preserve">État partie de prendre des mesures efficaces, y compris des mesures spéciales, conformément à sa recommandation générale </w:t>
      </w:r>
      <w:r w:rsidR="00444C2A" w:rsidRPr="001E5CE3">
        <w:rPr>
          <w:rFonts w:eastAsia="MS Mincho"/>
          <w:b/>
          <w:lang w:val="fr-FR"/>
        </w:rPr>
        <w:t>n</w:t>
      </w:r>
      <w:r w:rsidR="00444C2A" w:rsidRPr="001E5CE3">
        <w:rPr>
          <w:rFonts w:eastAsia="MS Mincho"/>
          <w:b/>
          <w:vertAlign w:val="superscript"/>
          <w:lang w:val="fr-FR"/>
        </w:rPr>
        <w:t>o</w:t>
      </w:r>
      <w:r w:rsidR="00444C2A">
        <w:rPr>
          <w:b/>
          <w:lang w:val="fr-FR"/>
        </w:rPr>
        <w:t> 32</w:t>
      </w:r>
      <w:r w:rsidR="00444C2A">
        <w:rPr>
          <w:b/>
          <w:lang w:val="fr-FR"/>
        </w:rPr>
        <w:t xml:space="preserve"> </w:t>
      </w:r>
      <w:r w:rsidRPr="00A034F0">
        <w:rPr>
          <w:b/>
          <w:lang w:val="fr-FR"/>
        </w:rPr>
        <w:t>(2009) sur la signification et la portée des mesures spéciales dans la Convention, en vue d</w:t>
      </w:r>
      <w:r w:rsidR="006F0410">
        <w:rPr>
          <w:b/>
          <w:lang w:val="fr-FR"/>
        </w:rPr>
        <w:t>’</w:t>
      </w:r>
      <w:r w:rsidRPr="00A034F0">
        <w:rPr>
          <w:b/>
          <w:lang w:val="fr-FR"/>
        </w:rPr>
        <w:t xml:space="preserve">améliorer la situation des groupes marginalisés vivant dans la pauvreté, </w:t>
      </w:r>
      <w:r>
        <w:rPr>
          <w:b/>
          <w:lang w:val="fr-FR"/>
        </w:rPr>
        <w:t>notamment des</w:t>
      </w:r>
      <w:r w:rsidRPr="00A034F0">
        <w:rPr>
          <w:b/>
          <w:lang w:val="fr-FR"/>
        </w:rPr>
        <w:t xml:space="preserve"> non-</w:t>
      </w:r>
      <w:r>
        <w:rPr>
          <w:b/>
          <w:lang w:val="fr-FR"/>
        </w:rPr>
        <w:t>ressortissant</w:t>
      </w:r>
      <w:r w:rsidRPr="00A034F0">
        <w:rPr>
          <w:b/>
          <w:lang w:val="fr-FR"/>
        </w:rPr>
        <w:t xml:space="preserve">s qui ne sont pas des travailleurs migrants. </w:t>
      </w:r>
    </w:p>
    <w:p w:rsidR="00E30D2C" w:rsidRPr="00F979C9" w:rsidRDefault="00E30D2C" w:rsidP="006F0410">
      <w:pPr>
        <w:pStyle w:val="H23G"/>
        <w:rPr>
          <w:lang w:val="fr-FR"/>
        </w:rPr>
      </w:pPr>
      <w:r w:rsidRPr="00A034F0">
        <w:rPr>
          <w:lang w:val="fr-FR"/>
        </w:rPr>
        <w:tab/>
      </w:r>
      <w:r w:rsidRPr="00A034F0">
        <w:rPr>
          <w:lang w:val="fr-FR"/>
        </w:rPr>
        <w:tab/>
        <w:t>Réfugiés et demandeurs d</w:t>
      </w:r>
      <w:r w:rsidR="006F0410">
        <w:rPr>
          <w:lang w:val="fr-FR"/>
        </w:rPr>
        <w:t>’</w:t>
      </w:r>
      <w:r w:rsidRPr="00A034F0">
        <w:rPr>
          <w:lang w:val="fr-FR"/>
        </w:rPr>
        <w:t>asile</w:t>
      </w:r>
    </w:p>
    <w:p w:rsidR="00E30D2C" w:rsidRPr="00F979C9" w:rsidRDefault="00E30D2C" w:rsidP="006F0410">
      <w:pPr>
        <w:pStyle w:val="SingleTxtG"/>
        <w:rPr>
          <w:lang w:val="fr-FR"/>
        </w:rPr>
      </w:pPr>
      <w:r w:rsidRPr="00A034F0">
        <w:rPr>
          <w:lang w:val="fr-FR"/>
        </w:rPr>
        <w:t>33.</w:t>
      </w:r>
      <w:r w:rsidRPr="00A034F0">
        <w:rPr>
          <w:lang w:val="fr-FR"/>
        </w:rPr>
        <w:tab/>
        <w:t>Le Comité accueille avec satisfaction les informations fournies par l</w:t>
      </w:r>
      <w:r w:rsidR="006F0410">
        <w:rPr>
          <w:lang w:val="fr-FR"/>
        </w:rPr>
        <w:t>’</w:t>
      </w:r>
      <w:r w:rsidRPr="00A034F0">
        <w:rPr>
          <w:lang w:val="fr-FR"/>
        </w:rPr>
        <w:t xml:space="preserve">État partie selon lesquelles les réfugiés sont traités comme des invités dans le pays, mais </w:t>
      </w:r>
      <w:r>
        <w:rPr>
          <w:lang w:val="fr-FR"/>
        </w:rPr>
        <w:t>note avec</w:t>
      </w:r>
      <w:r w:rsidRPr="00A034F0">
        <w:rPr>
          <w:lang w:val="fr-FR"/>
        </w:rPr>
        <w:t xml:space="preserve"> préoccup</w:t>
      </w:r>
      <w:r>
        <w:rPr>
          <w:lang w:val="fr-FR"/>
        </w:rPr>
        <w:t>ation</w:t>
      </w:r>
      <w:r w:rsidRPr="00A034F0">
        <w:rPr>
          <w:lang w:val="fr-FR"/>
        </w:rPr>
        <w:t xml:space="preserve"> que l</w:t>
      </w:r>
      <w:r w:rsidR="006F0410">
        <w:rPr>
          <w:lang w:val="fr-FR"/>
        </w:rPr>
        <w:t>’</w:t>
      </w:r>
      <w:r w:rsidRPr="00A034F0">
        <w:rPr>
          <w:lang w:val="fr-FR"/>
        </w:rPr>
        <w:t>État partie n</w:t>
      </w:r>
      <w:r w:rsidR="006F0410">
        <w:rPr>
          <w:lang w:val="fr-FR"/>
        </w:rPr>
        <w:t>’</w:t>
      </w:r>
      <w:r w:rsidRPr="00A034F0">
        <w:rPr>
          <w:lang w:val="fr-FR"/>
        </w:rPr>
        <w:t xml:space="preserve">a pas ratifié la Convention relative au statut des réfugiés (art. 5). </w:t>
      </w:r>
    </w:p>
    <w:p w:rsidR="00E30D2C" w:rsidRPr="00F979C9" w:rsidRDefault="00E30D2C" w:rsidP="006F0410">
      <w:pPr>
        <w:pStyle w:val="SingleTxtG"/>
        <w:rPr>
          <w:b/>
          <w:w w:val="103"/>
          <w:lang w:val="fr-FR"/>
        </w:rPr>
      </w:pPr>
      <w:r w:rsidRPr="00A034F0">
        <w:rPr>
          <w:lang w:val="fr-FR"/>
        </w:rPr>
        <w:t>34.</w:t>
      </w:r>
      <w:r w:rsidRPr="00A034F0">
        <w:rPr>
          <w:lang w:val="fr-FR"/>
        </w:rPr>
        <w:tab/>
      </w:r>
      <w:r w:rsidRPr="00A034F0">
        <w:rPr>
          <w:b/>
          <w:lang w:val="fr-FR"/>
        </w:rPr>
        <w:t>Le Comité recommande à l</w:t>
      </w:r>
      <w:r w:rsidR="006F0410">
        <w:rPr>
          <w:b/>
          <w:lang w:val="fr-FR"/>
        </w:rPr>
        <w:t>’</w:t>
      </w:r>
      <w:r w:rsidRPr="00A034F0">
        <w:rPr>
          <w:b/>
          <w:lang w:val="fr-FR"/>
        </w:rPr>
        <w:t>État partie de ratifier la Convention relative au statut des réfugiés et le Protocole relatif au statut des réfugiés.</w:t>
      </w:r>
    </w:p>
    <w:p w:rsidR="00E30D2C" w:rsidRPr="00F979C9" w:rsidRDefault="00E30D2C" w:rsidP="006F0410">
      <w:pPr>
        <w:pStyle w:val="H23G"/>
        <w:rPr>
          <w:w w:val="103"/>
          <w:lang w:val="fr-FR"/>
        </w:rPr>
      </w:pPr>
      <w:r w:rsidRPr="00A034F0">
        <w:rPr>
          <w:lang w:val="fr-FR"/>
        </w:rPr>
        <w:tab/>
      </w:r>
      <w:r w:rsidRPr="00A034F0">
        <w:rPr>
          <w:lang w:val="fr-FR"/>
        </w:rPr>
        <w:tab/>
        <w:t>Traite des personnes</w:t>
      </w:r>
    </w:p>
    <w:p w:rsidR="00E30D2C" w:rsidRPr="00F979C9" w:rsidRDefault="00E30D2C" w:rsidP="006F0410">
      <w:pPr>
        <w:pStyle w:val="SingleTxtG"/>
        <w:rPr>
          <w:w w:val="103"/>
          <w:lang w:val="fr-FR"/>
        </w:rPr>
      </w:pPr>
      <w:r w:rsidRPr="00A034F0">
        <w:rPr>
          <w:lang w:val="fr-FR"/>
        </w:rPr>
        <w:t>35.</w:t>
      </w:r>
      <w:r w:rsidRPr="00A034F0">
        <w:rPr>
          <w:lang w:val="fr-FR"/>
        </w:rPr>
        <w:tab/>
        <w:t>Le Comité prend note des efforts faits par l</w:t>
      </w:r>
      <w:r w:rsidR="006F0410">
        <w:rPr>
          <w:lang w:val="fr-FR"/>
        </w:rPr>
        <w:t>’</w:t>
      </w:r>
      <w:r w:rsidRPr="00A034F0">
        <w:rPr>
          <w:lang w:val="fr-FR"/>
        </w:rPr>
        <w:t xml:space="preserve">État partie pour prévenir la traite des personnes et poursuivre les trafiquants, mais </w:t>
      </w:r>
      <w:r>
        <w:rPr>
          <w:lang w:val="fr-FR"/>
        </w:rPr>
        <w:t xml:space="preserve">note une nouvelle fois avec </w:t>
      </w:r>
      <w:r w:rsidRPr="00A034F0">
        <w:rPr>
          <w:lang w:val="fr-FR"/>
        </w:rPr>
        <w:t>préoccup</w:t>
      </w:r>
      <w:r>
        <w:rPr>
          <w:lang w:val="fr-FR"/>
        </w:rPr>
        <w:t xml:space="preserve">ation </w:t>
      </w:r>
      <w:r w:rsidRPr="00A034F0">
        <w:rPr>
          <w:lang w:val="fr-FR"/>
        </w:rPr>
        <w:t xml:space="preserve">que celui-ci </w:t>
      </w:r>
      <w:r>
        <w:rPr>
          <w:lang w:val="fr-FR"/>
        </w:rPr>
        <w:t>reste</w:t>
      </w:r>
      <w:r w:rsidRPr="00A034F0">
        <w:rPr>
          <w:lang w:val="fr-FR"/>
        </w:rPr>
        <w:t xml:space="preserve"> un pays de destination pour les personnes victimes de la traite à des fins de travail forcé et, dans certains cas, de prostitution forcée (art. 5). </w:t>
      </w:r>
    </w:p>
    <w:p w:rsidR="00E30D2C" w:rsidRPr="00F979C9" w:rsidRDefault="00E30D2C" w:rsidP="006F0410">
      <w:pPr>
        <w:pStyle w:val="SingleTxtG"/>
        <w:rPr>
          <w:b/>
          <w:w w:val="103"/>
          <w:lang w:val="fr-FR"/>
        </w:rPr>
      </w:pPr>
      <w:r w:rsidRPr="00A034F0">
        <w:rPr>
          <w:lang w:val="fr-FR"/>
        </w:rPr>
        <w:t>36.</w:t>
      </w:r>
      <w:r w:rsidRPr="00A034F0">
        <w:rPr>
          <w:lang w:val="fr-FR"/>
        </w:rPr>
        <w:tab/>
      </w:r>
      <w:r w:rsidRPr="00A034F0">
        <w:rPr>
          <w:b/>
          <w:lang w:val="fr-FR"/>
        </w:rPr>
        <w:t>Le Comité recommande à l</w:t>
      </w:r>
      <w:r w:rsidR="006F0410">
        <w:rPr>
          <w:b/>
          <w:lang w:val="fr-FR"/>
        </w:rPr>
        <w:t>’</w:t>
      </w:r>
      <w:r w:rsidRPr="00A034F0">
        <w:rPr>
          <w:b/>
          <w:lang w:val="fr-FR"/>
        </w:rPr>
        <w:t>État partie de continuer de multiplier les initiatives en vue de mettre fin à la traite des personnes, notamment d</w:t>
      </w:r>
      <w:r w:rsidR="006F0410">
        <w:rPr>
          <w:b/>
          <w:lang w:val="fr-FR"/>
        </w:rPr>
        <w:t>’</w:t>
      </w:r>
      <w:r w:rsidRPr="00A034F0">
        <w:rPr>
          <w:b/>
          <w:lang w:val="fr-FR"/>
        </w:rPr>
        <w:t>appliquer les lois et les stratégies visant à garantir que tous les cas de traite fassent l</w:t>
      </w:r>
      <w:r w:rsidR="006F0410">
        <w:rPr>
          <w:b/>
          <w:lang w:val="fr-FR"/>
        </w:rPr>
        <w:t>’</w:t>
      </w:r>
      <w:r w:rsidRPr="00A034F0">
        <w:rPr>
          <w:b/>
          <w:lang w:val="fr-FR"/>
        </w:rPr>
        <w:t>objet d</w:t>
      </w:r>
      <w:r w:rsidR="006F0410">
        <w:rPr>
          <w:b/>
          <w:lang w:val="fr-FR"/>
        </w:rPr>
        <w:t>’</w:t>
      </w:r>
      <w:r>
        <w:rPr>
          <w:b/>
          <w:lang w:val="fr-FR"/>
        </w:rPr>
        <w:t xml:space="preserve">une </w:t>
      </w:r>
      <w:r w:rsidRPr="00A034F0">
        <w:rPr>
          <w:b/>
          <w:lang w:val="fr-FR"/>
        </w:rPr>
        <w:t>enquête et que les auteurs des faits soient poursuivis et dûment punis. Il lui recommande également de renforcer l</w:t>
      </w:r>
      <w:r w:rsidR="006F0410">
        <w:rPr>
          <w:b/>
          <w:lang w:val="fr-FR"/>
        </w:rPr>
        <w:t>’</w:t>
      </w:r>
      <w:r w:rsidRPr="00A034F0">
        <w:rPr>
          <w:b/>
          <w:lang w:val="fr-FR"/>
        </w:rPr>
        <w:t>aide aux victimes et d</w:t>
      </w:r>
      <w:r w:rsidR="006F0410">
        <w:rPr>
          <w:b/>
          <w:lang w:val="fr-FR"/>
        </w:rPr>
        <w:t>’</w:t>
      </w:r>
      <w:r w:rsidRPr="00A034F0">
        <w:rPr>
          <w:b/>
          <w:lang w:val="fr-FR"/>
        </w:rPr>
        <w:t xml:space="preserve">offrir à celles-ci des voies de recours adéquates. </w:t>
      </w:r>
    </w:p>
    <w:p w:rsidR="00E30D2C" w:rsidRPr="00F979C9" w:rsidRDefault="00E30D2C" w:rsidP="006F0410">
      <w:pPr>
        <w:pStyle w:val="H23G"/>
        <w:rPr>
          <w:lang w:val="fr-FR"/>
        </w:rPr>
      </w:pPr>
      <w:r w:rsidRPr="00A034F0">
        <w:rPr>
          <w:lang w:val="fr-FR"/>
        </w:rPr>
        <w:tab/>
      </w:r>
      <w:r w:rsidRPr="00A034F0">
        <w:rPr>
          <w:lang w:val="fr-FR"/>
        </w:rPr>
        <w:tab/>
        <w:t>Programme</w:t>
      </w:r>
      <w:r>
        <w:rPr>
          <w:lang w:val="fr-FR"/>
        </w:rPr>
        <w:t>s</w:t>
      </w:r>
      <w:r w:rsidRPr="00A034F0">
        <w:rPr>
          <w:lang w:val="fr-FR"/>
        </w:rPr>
        <w:t xml:space="preserve"> de formation sur la discrimination raciale </w:t>
      </w:r>
    </w:p>
    <w:p w:rsidR="00E30D2C" w:rsidRPr="00F979C9" w:rsidRDefault="00E30D2C" w:rsidP="006F0410">
      <w:pPr>
        <w:pStyle w:val="SingleTxtG"/>
        <w:rPr>
          <w:lang w:val="fr-FR"/>
        </w:rPr>
      </w:pPr>
      <w:r w:rsidRPr="00F979C9">
        <w:rPr>
          <w:lang w:val="fr-FR"/>
        </w:rPr>
        <w:t>37.</w:t>
      </w:r>
      <w:r w:rsidRPr="00F979C9">
        <w:rPr>
          <w:lang w:val="fr-FR"/>
        </w:rPr>
        <w:tab/>
      </w:r>
      <w:r w:rsidRPr="00A034F0">
        <w:rPr>
          <w:lang w:val="fr-FR"/>
        </w:rPr>
        <w:t>Le Comité prend note avec satisfaction des renseignements fournis sur l</w:t>
      </w:r>
      <w:r w:rsidR="006F0410">
        <w:rPr>
          <w:lang w:val="fr-FR"/>
        </w:rPr>
        <w:t>’</w:t>
      </w:r>
      <w:r w:rsidRPr="00A034F0">
        <w:rPr>
          <w:lang w:val="fr-FR"/>
        </w:rPr>
        <w:t>enseignement de la tolérance et l</w:t>
      </w:r>
      <w:r w:rsidR="006F0410">
        <w:rPr>
          <w:lang w:val="fr-FR"/>
        </w:rPr>
        <w:t>’</w:t>
      </w:r>
      <w:r w:rsidRPr="00A034F0">
        <w:rPr>
          <w:lang w:val="fr-FR"/>
        </w:rPr>
        <w:t xml:space="preserve">enseignement interculturel dans les écoles, ainsi que sur les </w:t>
      </w:r>
      <w:r>
        <w:rPr>
          <w:lang w:val="fr-FR"/>
        </w:rPr>
        <w:t>programmes</w:t>
      </w:r>
      <w:r w:rsidRPr="00A034F0">
        <w:rPr>
          <w:lang w:val="fr-FR"/>
        </w:rPr>
        <w:t xml:space="preserve"> de formation sur la tolérance, la paix et la coexistence qui ont été </w:t>
      </w:r>
      <w:r>
        <w:rPr>
          <w:lang w:val="fr-FR"/>
        </w:rPr>
        <w:t>suivis par</w:t>
      </w:r>
      <w:r w:rsidRPr="00A034F0">
        <w:rPr>
          <w:lang w:val="fr-FR"/>
        </w:rPr>
        <w:t xml:space="preserve"> plusieurs milliers de personnes. Il est préoccupé par le manque d</w:t>
      </w:r>
      <w:r w:rsidR="006F0410">
        <w:rPr>
          <w:lang w:val="fr-FR"/>
        </w:rPr>
        <w:t>’</w:t>
      </w:r>
      <w:r w:rsidRPr="00A034F0">
        <w:rPr>
          <w:lang w:val="fr-FR"/>
        </w:rPr>
        <w:t xml:space="preserve">informations détaillées et actualisées sur les </w:t>
      </w:r>
      <w:r>
        <w:rPr>
          <w:lang w:val="fr-FR"/>
        </w:rPr>
        <w:t>programmes</w:t>
      </w:r>
      <w:r w:rsidRPr="00A034F0">
        <w:rPr>
          <w:lang w:val="fr-FR"/>
        </w:rPr>
        <w:t xml:space="preserve"> de formation portant spécifiquement sur </w:t>
      </w:r>
      <w:r>
        <w:rPr>
          <w:lang w:val="fr-FR"/>
        </w:rPr>
        <w:t xml:space="preserve">la discrimination raciale et </w:t>
      </w:r>
      <w:r w:rsidRPr="00A034F0">
        <w:rPr>
          <w:lang w:val="fr-FR"/>
        </w:rPr>
        <w:t xml:space="preserve">les droits consacrés par la Convention </w:t>
      </w:r>
      <w:r>
        <w:rPr>
          <w:lang w:val="fr-FR"/>
        </w:rPr>
        <w:t>qui ont été organisés à l</w:t>
      </w:r>
      <w:r w:rsidR="006F0410">
        <w:rPr>
          <w:lang w:val="fr-FR"/>
        </w:rPr>
        <w:t>’</w:t>
      </w:r>
      <w:r>
        <w:rPr>
          <w:lang w:val="fr-FR"/>
        </w:rPr>
        <w:t>intention des</w:t>
      </w:r>
      <w:r w:rsidRPr="00A034F0">
        <w:rPr>
          <w:lang w:val="fr-FR"/>
        </w:rPr>
        <w:t xml:space="preserve"> forces de l</w:t>
      </w:r>
      <w:r w:rsidR="006F0410">
        <w:rPr>
          <w:lang w:val="fr-FR"/>
        </w:rPr>
        <w:t>’</w:t>
      </w:r>
      <w:r w:rsidRPr="00A034F0">
        <w:rPr>
          <w:lang w:val="fr-FR"/>
        </w:rPr>
        <w:t xml:space="preserve">ordre, </w:t>
      </w:r>
      <w:r>
        <w:rPr>
          <w:lang w:val="fr-FR"/>
        </w:rPr>
        <w:t>des</w:t>
      </w:r>
      <w:r w:rsidRPr="00A034F0">
        <w:rPr>
          <w:lang w:val="fr-FR"/>
        </w:rPr>
        <w:t xml:space="preserve"> juges, </w:t>
      </w:r>
      <w:r>
        <w:rPr>
          <w:lang w:val="fr-FR"/>
        </w:rPr>
        <w:t>des</w:t>
      </w:r>
      <w:r w:rsidRPr="00A034F0">
        <w:rPr>
          <w:lang w:val="fr-FR"/>
        </w:rPr>
        <w:t xml:space="preserve"> avocats et </w:t>
      </w:r>
      <w:r>
        <w:rPr>
          <w:lang w:val="fr-FR"/>
        </w:rPr>
        <w:t>des</w:t>
      </w:r>
      <w:r w:rsidRPr="00A034F0">
        <w:rPr>
          <w:lang w:val="fr-FR"/>
        </w:rPr>
        <w:t xml:space="preserve"> représentants des organes de l</w:t>
      </w:r>
      <w:r w:rsidR="006F0410">
        <w:rPr>
          <w:lang w:val="fr-FR"/>
        </w:rPr>
        <w:t>’</w:t>
      </w:r>
      <w:r w:rsidRPr="00A034F0">
        <w:rPr>
          <w:lang w:val="fr-FR"/>
        </w:rPr>
        <w:t xml:space="preserve">État, des autorités locales et des associations concernées, et sur les incidences de ces programmes de formation (art. 7). </w:t>
      </w:r>
    </w:p>
    <w:p w:rsidR="00E30D2C" w:rsidRPr="00A034F0" w:rsidRDefault="00E30D2C" w:rsidP="006F0410">
      <w:pPr>
        <w:pStyle w:val="SingleTxtG"/>
        <w:rPr>
          <w:lang w:val="fr-FR"/>
        </w:rPr>
      </w:pPr>
      <w:r w:rsidRPr="00A034F0">
        <w:rPr>
          <w:lang w:val="fr-FR"/>
        </w:rPr>
        <w:t>38.</w:t>
      </w:r>
      <w:r w:rsidRPr="00A034F0">
        <w:rPr>
          <w:lang w:val="fr-FR"/>
        </w:rPr>
        <w:tab/>
      </w:r>
      <w:r w:rsidRPr="00F979C9">
        <w:rPr>
          <w:b/>
          <w:lang w:val="fr-FR"/>
        </w:rPr>
        <w:t>Le Comité recommande à l</w:t>
      </w:r>
      <w:r w:rsidR="006F0410">
        <w:rPr>
          <w:b/>
          <w:lang w:val="fr-FR"/>
        </w:rPr>
        <w:t>’</w:t>
      </w:r>
      <w:r w:rsidRPr="00F979C9">
        <w:rPr>
          <w:b/>
          <w:lang w:val="fr-FR"/>
        </w:rPr>
        <w:t>État partie de poursuivre ses efforts en matière d</w:t>
      </w:r>
      <w:r w:rsidR="006F0410">
        <w:rPr>
          <w:b/>
          <w:lang w:val="fr-FR"/>
        </w:rPr>
        <w:t>’</w:t>
      </w:r>
      <w:r w:rsidRPr="00F979C9">
        <w:rPr>
          <w:b/>
          <w:lang w:val="fr-FR"/>
        </w:rPr>
        <w:t>éducation et de continuer d</w:t>
      </w:r>
      <w:r w:rsidR="006F0410">
        <w:rPr>
          <w:b/>
          <w:lang w:val="fr-FR"/>
        </w:rPr>
        <w:t>’</w:t>
      </w:r>
      <w:r>
        <w:rPr>
          <w:b/>
          <w:lang w:val="fr-FR"/>
        </w:rPr>
        <w:t xml:space="preserve">organiser </w:t>
      </w:r>
      <w:r w:rsidRPr="00F979C9">
        <w:rPr>
          <w:b/>
          <w:lang w:val="fr-FR"/>
        </w:rPr>
        <w:t>des</w:t>
      </w:r>
      <w:r>
        <w:rPr>
          <w:b/>
          <w:lang w:val="fr-FR"/>
        </w:rPr>
        <w:t xml:space="preserve"> programmes de</w:t>
      </w:r>
      <w:r w:rsidRPr="00F979C9">
        <w:rPr>
          <w:b/>
          <w:lang w:val="fr-FR"/>
        </w:rPr>
        <w:t xml:space="preserve"> formation, et de dispenser aux membres des forces de l</w:t>
      </w:r>
      <w:r w:rsidR="006F0410">
        <w:rPr>
          <w:b/>
          <w:lang w:val="fr-FR"/>
        </w:rPr>
        <w:t>’</w:t>
      </w:r>
      <w:r w:rsidRPr="00F979C9">
        <w:rPr>
          <w:b/>
          <w:lang w:val="fr-FR"/>
        </w:rPr>
        <w:t>ordre, aux juges, aux avocats et aux agents de l</w:t>
      </w:r>
      <w:r w:rsidR="006F0410">
        <w:rPr>
          <w:b/>
          <w:lang w:val="fr-FR"/>
        </w:rPr>
        <w:t>’</w:t>
      </w:r>
      <w:r w:rsidRPr="00F979C9">
        <w:rPr>
          <w:b/>
          <w:lang w:val="fr-FR"/>
        </w:rPr>
        <w:t xml:space="preserve">État des cours </w:t>
      </w:r>
      <w:r>
        <w:rPr>
          <w:b/>
          <w:lang w:val="fr-FR"/>
        </w:rPr>
        <w:t xml:space="preserve">portant </w:t>
      </w:r>
      <w:r w:rsidRPr="00F979C9">
        <w:rPr>
          <w:b/>
          <w:lang w:val="fr-FR"/>
        </w:rPr>
        <w:t xml:space="preserve">spécifiquement </w:t>
      </w:r>
      <w:r>
        <w:rPr>
          <w:b/>
          <w:lang w:val="fr-FR"/>
        </w:rPr>
        <w:t>sur les droits consacrés par la Convention</w:t>
      </w:r>
      <w:r w:rsidRPr="00F979C9">
        <w:rPr>
          <w:b/>
          <w:lang w:val="fr-FR"/>
        </w:rPr>
        <w:t xml:space="preserve">, </w:t>
      </w:r>
      <w:r>
        <w:rPr>
          <w:b/>
          <w:lang w:val="fr-FR"/>
        </w:rPr>
        <w:t>notamment</w:t>
      </w:r>
      <w:r w:rsidRPr="00F979C9">
        <w:rPr>
          <w:b/>
          <w:lang w:val="fr-FR"/>
        </w:rPr>
        <w:t xml:space="preserve"> des formations spécialisées sur la prévention de la discrimination raciale. Il prie l</w:t>
      </w:r>
      <w:r w:rsidR="006F0410">
        <w:rPr>
          <w:b/>
          <w:lang w:val="fr-FR"/>
        </w:rPr>
        <w:t>’</w:t>
      </w:r>
      <w:r w:rsidRPr="00F979C9">
        <w:rPr>
          <w:b/>
          <w:lang w:val="fr-FR"/>
        </w:rPr>
        <w:t>État partie de fournir, dans son prochain rapport périodique, des renseignements détaillés et actualisés sur ces formation</w:t>
      </w:r>
      <w:r>
        <w:rPr>
          <w:b/>
          <w:lang w:val="fr-FR"/>
        </w:rPr>
        <w:t>s</w:t>
      </w:r>
      <w:r w:rsidRPr="00F979C9">
        <w:rPr>
          <w:b/>
          <w:lang w:val="fr-FR"/>
        </w:rPr>
        <w:t xml:space="preserve"> et leur incidence sur l</w:t>
      </w:r>
      <w:r w:rsidR="006F0410">
        <w:rPr>
          <w:b/>
          <w:lang w:val="fr-FR"/>
        </w:rPr>
        <w:t>’</w:t>
      </w:r>
      <w:r w:rsidRPr="00F979C9">
        <w:rPr>
          <w:b/>
          <w:lang w:val="fr-FR"/>
        </w:rPr>
        <w:t>élimination de la discrimination raciale dans l</w:t>
      </w:r>
      <w:r w:rsidR="006F0410">
        <w:rPr>
          <w:b/>
          <w:lang w:val="fr-FR"/>
        </w:rPr>
        <w:t>’</w:t>
      </w:r>
      <w:r w:rsidRPr="00F979C9">
        <w:rPr>
          <w:b/>
          <w:lang w:val="fr-FR"/>
        </w:rPr>
        <w:t>État partie.</w:t>
      </w:r>
    </w:p>
    <w:p w:rsidR="00E30D2C" w:rsidRPr="00F979C9" w:rsidRDefault="002B49F8" w:rsidP="006F0410">
      <w:pPr>
        <w:pStyle w:val="H1G"/>
        <w:rPr>
          <w:lang w:val="fr-FR"/>
        </w:rPr>
      </w:pPr>
      <w:r>
        <w:rPr>
          <w:lang w:val="fr-FR"/>
        </w:rPr>
        <w:tab/>
        <w:t>D.</w:t>
      </w:r>
      <w:r>
        <w:rPr>
          <w:lang w:val="fr-FR"/>
        </w:rPr>
        <w:tab/>
        <w:t>Autres recommandations</w:t>
      </w:r>
    </w:p>
    <w:p w:rsidR="00E30D2C" w:rsidRPr="00F979C9" w:rsidRDefault="00E30D2C" w:rsidP="006F0410">
      <w:pPr>
        <w:pStyle w:val="H23G"/>
        <w:rPr>
          <w:lang w:val="fr-FR"/>
        </w:rPr>
      </w:pPr>
      <w:r w:rsidRPr="00F979C9">
        <w:rPr>
          <w:lang w:val="fr-FR"/>
        </w:rPr>
        <w:tab/>
      </w:r>
      <w:r w:rsidRPr="00F979C9">
        <w:rPr>
          <w:lang w:val="fr-FR"/>
        </w:rPr>
        <w:tab/>
        <w:t>Ratification d</w:t>
      </w:r>
      <w:r w:rsidR="006F0410">
        <w:rPr>
          <w:lang w:val="fr-FR"/>
        </w:rPr>
        <w:t>’</w:t>
      </w:r>
      <w:r w:rsidRPr="00F979C9">
        <w:rPr>
          <w:lang w:val="fr-FR"/>
        </w:rPr>
        <w:t>autres instruments</w:t>
      </w:r>
    </w:p>
    <w:p w:rsidR="00E30D2C" w:rsidRPr="00F979C9" w:rsidRDefault="006F0410" w:rsidP="006F0410">
      <w:pPr>
        <w:pStyle w:val="SingleTxtG"/>
        <w:rPr>
          <w:b/>
          <w:lang w:val="fr-FR"/>
        </w:rPr>
      </w:pPr>
      <w:r>
        <w:rPr>
          <w:bCs/>
          <w:lang w:val="fr-FR"/>
        </w:rPr>
        <w:t>39.</w:t>
      </w:r>
      <w:r>
        <w:rPr>
          <w:bCs/>
          <w:lang w:val="fr-FR"/>
        </w:rPr>
        <w:tab/>
      </w:r>
      <w:r w:rsidR="00E30D2C" w:rsidRPr="00F979C9">
        <w:rPr>
          <w:b/>
          <w:bCs/>
          <w:lang w:val="fr-FR"/>
        </w:rPr>
        <w:t>Compte tenu du caractère indivisible de tous les droits de l</w:t>
      </w:r>
      <w:r>
        <w:rPr>
          <w:b/>
          <w:bCs/>
          <w:lang w:val="fr-FR"/>
        </w:rPr>
        <w:t>’</w:t>
      </w:r>
      <w:r w:rsidR="00E30D2C" w:rsidRPr="00F979C9">
        <w:rPr>
          <w:b/>
          <w:bCs/>
          <w:lang w:val="fr-FR"/>
        </w:rPr>
        <w:t xml:space="preserve">homme, le Comité </w:t>
      </w:r>
      <w:r w:rsidR="00E30D2C" w:rsidRPr="00A034F0">
        <w:rPr>
          <w:b/>
          <w:bCs/>
          <w:lang w:val="fr-FR"/>
        </w:rPr>
        <w:t>prie instamment</w:t>
      </w:r>
      <w:r w:rsidR="00E30D2C" w:rsidRPr="00F979C9">
        <w:rPr>
          <w:b/>
          <w:bCs/>
          <w:lang w:val="fr-FR"/>
        </w:rPr>
        <w:t xml:space="preserve"> l</w:t>
      </w:r>
      <w:r>
        <w:rPr>
          <w:b/>
          <w:bCs/>
          <w:lang w:val="fr-FR"/>
        </w:rPr>
        <w:t>’</w:t>
      </w:r>
      <w:r w:rsidR="00E30D2C" w:rsidRPr="00F979C9">
        <w:rPr>
          <w:b/>
          <w:bCs/>
          <w:lang w:val="fr-FR"/>
        </w:rPr>
        <w:t xml:space="preserve">État partie </w:t>
      </w:r>
      <w:r w:rsidR="00E30D2C" w:rsidRPr="00A034F0">
        <w:rPr>
          <w:b/>
          <w:bCs/>
          <w:lang w:val="fr-FR"/>
        </w:rPr>
        <w:t>d</w:t>
      </w:r>
      <w:r>
        <w:rPr>
          <w:b/>
          <w:bCs/>
          <w:lang w:val="fr-FR"/>
        </w:rPr>
        <w:t>’</w:t>
      </w:r>
      <w:r w:rsidR="00E30D2C" w:rsidRPr="00F979C9">
        <w:rPr>
          <w:b/>
          <w:bCs/>
          <w:lang w:val="fr-FR"/>
        </w:rPr>
        <w:t>envisager de ratifier les instruments internationaux relatifs aux droits de l</w:t>
      </w:r>
      <w:r>
        <w:rPr>
          <w:b/>
          <w:bCs/>
          <w:lang w:val="fr-FR"/>
        </w:rPr>
        <w:t>’</w:t>
      </w:r>
      <w:r w:rsidR="00E30D2C" w:rsidRPr="00F979C9">
        <w:rPr>
          <w:b/>
          <w:bCs/>
          <w:lang w:val="fr-FR"/>
        </w:rPr>
        <w:t>homme auxquels il n</w:t>
      </w:r>
      <w:r>
        <w:rPr>
          <w:b/>
          <w:bCs/>
          <w:lang w:val="fr-FR"/>
        </w:rPr>
        <w:t>’</w:t>
      </w:r>
      <w:r w:rsidR="00E30D2C" w:rsidRPr="00F979C9">
        <w:rPr>
          <w:b/>
          <w:bCs/>
          <w:lang w:val="fr-FR"/>
        </w:rPr>
        <w:t>est pas encore partie, en particulier ceux dont les dispositions intéressent directement les communautés qui peuvent faire l</w:t>
      </w:r>
      <w:r>
        <w:rPr>
          <w:b/>
          <w:bCs/>
          <w:lang w:val="fr-FR"/>
        </w:rPr>
        <w:t>’</w:t>
      </w:r>
      <w:r w:rsidR="00E30D2C" w:rsidRPr="00F979C9">
        <w:rPr>
          <w:b/>
          <w:bCs/>
          <w:lang w:val="fr-FR"/>
        </w:rPr>
        <w:t>objet de discrimination raciale, comme</w:t>
      </w:r>
      <w:r w:rsidR="00E30D2C" w:rsidRPr="00F979C9">
        <w:rPr>
          <w:b/>
          <w:lang w:val="fr-FR"/>
        </w:rPr>
        <w:t xml:space="preserve"> </w:t>
      </w:r>
      <w:r w:rsidR="00E30D2C" w:rsidRPr="00A034F0">
        <w:rPr>
          <w:b/>
          <w:lang w:val="fr-FR"/>
        </w:rPr>
        <w:t>le Pacte international relatif aux droits civils et politiques</w:t>
      </w:r>
      <w:r w:rsidR="00E30D2C" w:rsidRPr="00F979C9">
        <w:rPr>
          <w:b/>
          <w:lang w:val="fr-FR"/>
        </w:rPr>
        <w:t xml:space="preserve">, </w:t>
      </w:r>
      <w:r w:rsidR="00E30D2C" w:rsidRPr="00A034F0">
        <w:rPr>
          <w:b/>
          <w:lang w:val="fr-FR"/>
        </w:rPr>
        <w:t>le Pacte international relatif aux droits économiques, sociaux et culturels</w:t>
      </w:r>
      <w:r w:rsidR="00E30D2C" w:rsidRPr="00F979C9">
        <w:rPr>
          <w:b/>
          <w:lang w:val="fr-FR"/>
        </w:rPr>
        <w:t xml:space="preserve">, </w:t>
      </w:r>
      <w:r w:rsidR="00E30D2C" w:rsidRPr="00A034F0">
        <w:rPr>
          <w:b/>
          <w:lang w:val="fr-FR"/>
        </w:rPr>
        <w:t>la Convention internationale sur la protection des droits de tous les travailleurs migrants et des membres de leur famille</w:t>
      </w:r>
      <w:r w:rsidR="00E30D2C">
        <w:rPr>
          <w:b/>
          <w:lang w:val="fr-FR"/>
        </w:rPr>
        <w:t xml:space="preserve">, </w:t>
      </w:r>
      <w:r w:rsidR="00E30D2C" w:rsidRPr="00A034F0">
        <w:rPr>
          <w:b/>
          <w:lang w:val="fr-FR"/>
        </w:rPr>
        <w:t>la</w:t>
      </w:r>
      <w:r w:rsidR="00E30D2C" w:rsidRPr="00F979C9">
        <w:rPr>
          <w:b/>
          <w:lang w:val="fr-FR"/>
        </w:rPr>
        <w:t xml:space="preserve"> </w:t>
      </w:r>
      <w:r w:rsidR="00E30D2C" w:rsidRPr="00A034F0">
        <w:rPr>
          <w:b/>
          <w:lang w:val="fr-FR"/>
        </w:rPr>
        <w:t>Convention internationale pour la protection de toutes les personnes contre les disparitions forcées</w:t>
      </w:r>
      <w:r w:rsidR="00E30D2C" w:rsidRPr="00F979C9">
        <w:rPr>
          <w:b/>
          <w:lang w:val="fr-FR"/>
        </w:rPr>
        <w:t>,</w:t>
      </w:r>
      <w:r w:rsidR="00E30D2C" w:rsidRPr="00A034F0">
        <w:rPr>
          <w:b/>
          <w:lang w:val="fr-FR"/>
        </w:rPr>
        <w:t xml:space="preserve"> la</w:t>
      </w:r>
      <w:r w:rsidR="00E30D2C" w:rsidRPr="00F979C9">
        <w:rPr>
          <w:b/>
          <w:lang w:val="fr-FR"/>
        </w:rPr>
        <w:t xml:space="preserve"> </w:t>
      </w:r>
      <w:r w:rsidR="00E30D2C" w:rsidRPr="00A034F0">
        <w:rPr>
          <w:b/>
          <w:lang w:val="fr-FR"/>
        </w:rPr>
        <w:t xml:space="preserve">Convention relative au statut des apatrides </w:t>
      </w:r>
      <w:r w:rsidR="00E30D2C" w:rsidRPr="00F979C9">
        <w:rPr>
          <w:b/>
          <w:lang w:val="fr-FR"/>
        </w:rPr>
        <w:t>e</w:t>
      </w:r>
      <w:r w:rsidR="00E30D2C" w:rsidRPr="00A034F0">
        <w:rPr>
          <w:b/>
          <w:lang w:val="fr-FR"/>
        </w:rPr>
        <w:t>t la Convention sur la réduction des cas d</w:t>
      </w:r>
      <w:r>
        <w:rPr>
          <w:b/>
          <w:lang w:val="fr-FR"/>
        </w:rPr>
        <w:t>’</w:t>
      </w:r>
      <w:r w:rsidR="00E30D2C" w:rsidRPr="00A034F0">
        <w:rPr>
          <w:b/>
          <w:lang w:val="fr-FR"/>
        </w:rPr>
        <w:t>apatridie</w:t>
      </w:r>
      <w:r w:rsidR="00E30D2C" w:rsidRPr="00F979C9">
        <w:rPr>
          <w:b/>
          <w:lang w:val="fr-FR"/>
        </w:rPr>
        <w:t>.</w:t>
      </w:r>
    </w:p>
    <w:p w:rsidR="00E30D2C" w:rsidRPr="00F979C9" w:rsidRDefault="00E30D2C" w:rsidP="006F0410">
      <w:pPr>
        <w:pStyle w:val="H23G"/>
        <w:rPr>
          <w:lang w:val="fr-FR"/>
        </w:rPr>
      </w:pPr>
      <w:r w:rsidRPr="00F979C9">
        <w:rPr>
          <w:lang w:val="fr-FR"/>
        </w:rPr>
        <w:tab/>
      </w:r>
      <w:r w:rsidRPr="00F979C9">
        <w:rPr>
          <w:lang w:val="fr-FR"/>
        </w:rPr>
        <w:tab/>
        <w:t>Suite donnée à la Déclaration et au Programme d</w:t>
      </w:r>
      <w:r w:rsidR="006F0410">
        <w:rPr>
          <w:lang w:val="fr-FR"/>
        </w:rPr>
        <w:t>’</w:t>
      </w:r>
      <w:r w:rsidRPr="00F979C9">
        <w:rPr>
          <w:lang w:val="fr-FR"/>
        </w:rPr>
        <w:t>action de Durban</w:t>
      </w:r>
    </w:p>
    <w:p w:rsidR="00E30D2C" w:rsidRPr="00F979C9" w:rsidRDefault="006F0410" w:rsidP="006F0410">
      <w:pPr>
        <w:pStyle w:val="SingleTxtG"/>
        <w:rPr>
          <w:b/>
          <w:bCs/>
          <w:lang w:val="fr-FR"/>
        </w:rPr>
      </w:pPr>
      <w:r>
        <w:rPr>
          <w:bCs/>
          <w:lang w:val="fr-FR"/>
        </w:rPr>
        <w:t>40.</w:t>
      </w:r>
      <w:r>
        <w:rPr>
          <w:bCs/>
          <w:lang w:val="fr-FR"/>
        </w:rPr>
        <w:tab/>
      </w:r>
      <w:r w:rsidR="00E30D2C" w:rsidRPr="00F979C9">
        <w:rPr>
          <w:b/>
          <w:bCs/>
          <w:lang w:val="fr-FR"/>
        </w:rPr>
        <w:t>À la lumière d</w:t>
      </w:r>
      <w:r w:rsidR="002B49F8">
        <w:rPr>
          <w:b/>
          <w:bCs/>
          <w:lang w:val="fr-FR"/>
        </w:rPr>
        <w:t xml:space="preserve">e sa recommandation générale </w:t>
      </w:r>
      <w:r w:rsidR="002B49F8" w:rsidRPr="002B49F8">
        <w:rPr>
          <w:rFonts w:eastAsia="MS Mincho"/>
          <w:b/>
          <w:bCs/>
          <w:lang w:val="fr-FR"/>
        </w:rPr>
        <w:t>n</w:t>
      </w:r>
      <w:r w:rsidR="002B49F8" w:rsidRPr="002B49F8">
        <w:rPr>
          <w:rFonts w:eastAsia="MS Mincho"/>
          <w:b/>
          <w:bCs/>
          <w:vertAlign w:val="superscript"/>
          <w:lang w:val="fr-FR"/>
        </w:rPr>
        <w:t>o</w:t>
      </w:r>
      <w:r w:rsidR="002B49F8">
        <w:rPr>
          <w:b/>
          <w:bCs/>
          <w:lang w:val="fr-FR"/>
        </w:rPr>
        <w:t> </w:t>
      </w:r>
      <w:r w:rsidR="00E30D2C" w:rsidRPr="00F979C9">
        <w:rPr>
          <w:b/>
          <w:bCs/>
          <w:lang w:val="fr-FR"/>
        </w:rPr>
        <w:t xml:space="preserve">33 (2009) </w:t>
      </w:r>
      <w:r w:rsidR="00E30D2C" w:rsidRPr="00A034F0">
        <w:rPr>
          <w:b/>
          <w:bCs/>
          <w:lang w:val="fr-FR"/>
        </w:rPr>
        <w:t>concernant</w:t>
      </w:r>
      <w:r w:rsidR="00E30D2C" w:rsidRPr="00F979C9">
        <w:rPr>
          <w:b/>
          <w:bCs/>
          <w:lang w:val="fr-FR"/>
        </w:rPr>
        <w:t xml:space="preserve"> le suivi de la Conférence d</w:t>
      </w:r>
      <w:r>
        <w:rPr>
          <w:b/>
          <w:bCs/>
          <w:lang w:val="fr-FR"/>
        </w:rPr>
        <w:t>’</w:t>
      </w:r>
      <w:r w:rsidR="00E30D2C" w:rsidRPr="00F979C9">
        <w:rPr>
          <w:b/>
          <w:bCs/>
          <w:lang w:val="fr-FR"/>
        </w:rPr>
        <w:t>examen de Durban, le Comité recommande à l</w:t>
      </w:r>
      <w:r>
        <w:rPr>
          <w:b/>
          <w:bCs/>
          <w:lang w:val="fr-FR"/>
        </w:rPr>
        <w:t>’</w:t>
      </w:r>
      <w:r w:rsidR="00E30D2C" w:rsidRPr="00F979C9">
        <w:rPr>
          <w:b/>
          <w:bCs/>
          <w:lang w:val="fr-FR"/>
        </w:rPr>
        <w:t>État partie de donner effet à la Déclaration et au Programme d</w:t>
      </w:r>
      <w:r>
        <w:rPr>
          <w:b/>
          <w:bCs/>
          <w:lang w:val="fr-FR"/>
        </w:rPr>
        <w:t>’</w:t>
      </w:r>
      <w:r w:rsidR="00E30D2C" w:rsidRPr="00F979C9">
        <w:rPr>
          <w:b/>
          <w:bCs/>
          <w:lang w:val="fr-FR"/>
        </w:rPr>
        <w:t>action de Durban, adoptés en septembre 2001 par la Conférence mondiale contre le racisme, la discrimination raciale, la xénophobie et l</w:t>
      </w:r>
      <w:r>
        <w:rPr>
          <w:b/>
          <w:bCs/>
          <w:lang w:val="fr-FR"/>
        </w:rPr>
        <w:t>’</w:t>
      </w:r>
      <w:r w:rsidR="00E30D2C" w:rsidRPr="00F979C9">
        <w:rPr>
          <w:b/>
          <w:bCs/>
          <w:lang w:val="fr-FR"/>
        </w:rPr>
        <w:t>intolérance qui y est associée, en tenant compte du document final de la Conférence d</w:t>
      </w:r>
      <w:r>
        <w:rPr>
          <w:b/>
          <w:bCs/>
          <w:lang w:val="fr-FR"/>
        </w:rPr>
        <w:t>’</w:t>
      </w:r>
      <w:r w:rsidR="00E30D2C" w:rsidRPr="00F979C9">
        <w:rPr>
          <w:b/>
          <w:bCs/>
          <w:lang w:val="fr-FR"/>
        </w:rPr>
        <w:t xml:space="preserve">examen de Durban, tenue à Genève en avril 2009, </w:t>
      </w:r>
      <w:r w:rsidR="00E30D2C" w:rsidRPr="00A034F0">
        <w:rPr>
          <w:b/>
          <w:bCs/>
          <w:lang w:val="fr-FR"/>
        </w:rPr>
        <w:t>et d</w:t>
      </w:r>
      <w:r>
        <w:rPr>
          <w:b/>
          <w:bCs/>
          <w:lang w:val="fr-FR"/>
        </w:rPr>
        <w:t>’</w:t>
      </w:r>
      <w:r w:rsidR="00E30D2C" w:rsidRPr="00A034F0">
        <w:rPr>
          <w:b/>
          <w:bCs/>
          <w:lang w:val="fr-FR"/>
        </w:rPr>
        <w:t>en rendre compte au Comité</w:t>
      </w:r>
      <w:r w:rsidR="00E30D2C" w:rsidRPr="00F979C9">
        <w:rPr>
          <w:b/>
          <w:bCs/>
          <w:lang w:val="fr-FR"/>
        </w:rPr>
        <w:t xml:space="preserve">. </w:t>
      </w:r>
    </w:p>
    <w:p w:rsidR="00E30D2C" w:rsidRPr="00F979C9" w:rsidRDefault="00E30D2C" w:rsidP="006F0410">
      <w:pPr>
        <w:pStyle w:val="H23G"/>
        <w:rPr>
          <w:lang w:val="fr-FR"/>
        </w:rPr>
      </w:pPr>
      <w:r w:rsidRPr="00F979C9">
        <w:rPr>
          <w:lang w:val="fr-FR"/>
        </w:rPr>
        <w:tab/>
      </w:r>
      <w:r w:rsidRPr="00F979C9">
        <w:rPr>
          <w:lang w:val="fr-FR"/>
        </w:rPr>
        <w:tab/>
        <w:t>Décennie internationale des personnes d</w:t>
      </w:r>
      <w:r w:rsidR="006F0410">
        <w:rPr>
          <w:b w:val="0"/>
          <w:lang w:val="fr-FR"/>
        </w:rPr>
        <w:t>’</w:t>
      </w:r>
      <w:r w:rsidRPr="00F979C9">
        <w:rPr>
          <w:lang w:val="fr-FR"/>
        </w:rPr>
        <w:t>ascendance africaine</w:t>
      </w:r>
    </w:p>
    <w:p w:rsidR="00E30D2C" w:rsidRPr="00F979C9" w:rsidRDefault="006F0410" w:rsidP="006F0410">
      <w:pPr>
        <w:pStyle w:val="SingleTxtG"/>
        <w:rPr>
          <w:b/>
          <w:bCs/>
          <w:lang w:val="fr-FR"/>
        </w:rPr>
      </w:pPr>
      <w:r>
        <w:rPr>
          <w:bCs/>
          <w:lang w:val="fr-FR"/>
        </w:rPr>
        <w:t>41.</w:t>
      </w:r>
      <w:r>
        <w:rPr>
          <w:bCs/>
          <w:lang w:val="fr-FR"/>
        </w:rPr>
        <w:tab/>
      </w:r>
      <w:r w:rsidR="00E30D2C" w:rsidRPr="00F979C9">
        <w:rPr>
          <w:b/>
          <w:bCs/>
          <w:lang w:val="fr-FR"/>
        </w:rPr>
        <w:t>À la lumière de la résolution 68/237 de l</w:t>
      </w:r>
      <w:r>
        <w:rPr>
          <w:b/>
          <w:bCs/>
          <w:lang w:val="fr-FR"/>
        </w:rPr>
        <w:t>’</w:t>
      </w:r>
      <w:r w:rsidR="00E30D2C" w:rsidRPr="00F979C9">
        <w:rPr>
          <w:b/>
          <w:bCs/>
          <w:lang w:val="fr-FR"/>
        </w:rPr>
        <w:t>Assemblée générale</w:t>
      </w:r>
      <w:r w:rsidR="00E30D2C" w:rsidRPr="00F979C9">
        <w:rPr>
          <w:b/>
          <w:bCs/>
          <w:lang w:val="fr-FR" w:eastAsia="en-GB"/>
        </w:rPr>
        <w:t xml:space="preserve">, </w:t>
      </w:r>
      <w:r w:rsidR="00E30D2C" w:rsidRPr="00A034F0">
        <w:rPr>
          <w:b/>
          <w:bCs/>
          <w:lang w:val="fr-FR" w:eastAsia="en-GB"/>
        </w:rPr>
        <w:t>l</w:t>
      </w:r>
      <w:r w:rsidR="00E30D2C" w:rsidRPr="00F979C9">
        <w:rPr>
          <w:b/>
          <w:bCs/>
          <w:lang w:val="fr-FR" w:eastAsia="en-GB"/>
        </w:rPr>
        <w:t>e Comité demande à l</w:t>
      </w:r>
      <w:r>
        <w:rPr>
          <w:b/>
          <w:bCs/>
          <w:lang w:val="fr-FR" w:eastAsia="en-GB"/>
        </w:rPr>
        <w:t>’</w:t>
      </w:r>
      <w:r w:rsidR="00E30D2C" w:rsidRPr="00F979C9">
        <w:rPr>
          <w:b/>
          <w:bCs/>
          <w:lang w:val="fr-FR" w:eastAsia="en-GB"/>
        </w:rPr>
        <w:t>État partie d</w:t>
      </w:r>
      <w:r>
        <w:rPr>
          <w:b/>
          <w:bCs/>
          <w:lang w:val="fr-FR" w:eastAsia="en-GB"/>
        </w:rPr>
        <w:t>’</w:t>
      </w:r>
      <w:r w:rsidR="00E30D2C" w:rsidRPr="00F979C9">
        <w:rPr>
          <w:b/>
          <w:bCs/>
          <w:lang w:val="fr-FR" w:eastAsia="en-GB"/>
        </w:rPr>
        <w:t xml:space="preserve">inclure dans son prochain rapport </w:t>
      </w:r>
      <w:r w:rsidR="00E30D2C">
        <w:rPr>
          <w:b/>
          <w:bCs/>
          <w:lang w:val="fr-FR" w:eastAsia="en-GB"/>
        </w:rPr>
        <w:t xml:space="preserve">périodique </w:t>
      </w:r>
      <w:r w:rsidR="00E30D2C" w:rsidRPr="00F979C9">
        <w:rPr>
          <w:b/>
          <w:bCs/>
          <w:lang w:val="fr-FR" w:eastAsia="en-GB"/>
        </w:rPr>
        <w:t>des renseignements précis sur les mesures concrètes qu</w:t>
      </w:r>
      <w:r>
        <w:rPr>
          <w:b/>
          <w:bCs/>
          <w:lang w:val="fr-FR" w:eastAsia="en-GB"/>
        </w:rPr>
        <w:t>’</w:t>
      </w:r>
      <w:r w:rsidR="00E30D2C" w:rsidRPr="00F979C9">
        <w:rPr>
          <w:b/>
          <w:bCs/>
          <w:lang w:val="fr-FR" w:eastAsia="en-GB"/>
        </w:rPr>
        <w:t xml:space="preserve">il aura adoptées dans </w:t>
      </w:r>
      <w:r w:rsidR="00E30D2C" w:rsidRPr="00A034F0">
        <w:rPr>
          <w:b/>
          <w:bCs/>
          <w:lang w:val="fr-FR" w:eastAsia="en-GB"/>
        </w:rPr>
        <w:t>l</w:t>
      </w:r>
      <w:r w:rsidR="00E30D2C" w:rsidRPr="00F979C9">
        <w:rPr>
          <w:b/>
          <w:bCs/>
          <w:lang w:val="fr-FR" w:eastAsia="en-GB"/>
        </w:rPr>
        <w:t>e cadre</w:t>
      </w:r>
      <w:r w:rsidR="00E30D2C" w:rsidRPr="00A034F0">
        <w:rPr>
          <w:b/>
          <w:bCs/>
          <w:lang w:val="fr-FR" w:eastAsia="en-GB"/>
        </w:rPr>
        <w:t xml:space="preserve"> de la Décennie internationale des personnes d</w:t>
      </w:r>
      <w:r>
        <w:rPr>
          <w:b/>
          <w:bCs/>
          <w:lang w:val="fr-FR" w:eastAsia="en-GB"/>
        </w:rPr>
        <w:t>’</w:t>
      </w:r>
      <w:r w:rsidR="00E30D2C" w:rsidRPr="00A034F0">
        <w:rPr>
          <w:b/>
          <w:bCs/>
          <w:lang w:val="fr-FR" w:eastAsia="en-GB"/>
        </w:rPr>
        <w:t>ascendance africaine</w:t>
      </w:r>
      <w:r w:rsidR="00E30D2C" w:rsidRPr="00F979C9">
        <w:rPr>
          <w:b/>
          <w:bCs/>
          <w:lang w:val="fr-FR" w:eastAsia="en-GB"/>
        </w:rPr>
        <w:t>, compte tenu d</w:t>
      </w:r>
      <w:r w:rsidR="002B49F8">
        <w:rPr>
          <w:b/>
          <w:bCs/>
          <w:lang w:val="fr-FR" w:eastAsia="en-GB"/>
        </w:rPr>
        <w:t xml:space="preserve">e sa recommandation générale </w:t>
      </w:r>
      <w:r w:rsidR="002B49F8" w:rsidRPr="002B49F8">
        <w:rPr>
          <w:rFonts w:eastAsia="MS Mincho"/>
          <w:b/>
          <w:bCs/>
          <w:lang w:val="fr-FR" w:eastAsia="en-GB"/>
        </w:rPr>
        <w:t>n</w:t>
      </w:r>
      <w:r w:rsidR="002B49F8" w:rsidRPr="002B49F8">
        <w:rPr>
          <w:rFonts w:eastAsia="MS Mincho"/>
          <w:b/>
          <w:bCs/>
          <w:vertAlign w:val="superscript"/>
          <w:lang w:val="fr-FR" w:eastAsia="en-GB"/>
        </w:rPr>
        <w:t>o</w:t>
      </w:r>
      <w:r w:rsidR="002B49F8">
        <w:rPr>
          <w:b/>
          <w:bCs/>
          <w:lang w:val="fr-FR" w:eastAsia="en-GB"/>
        </w:rPr>
        <w:t> </w:t>
      </w:r>
      <w:r w:rsidR="00E30D2C" w:rsidRPr="00F979C9">
        <w:rPr>
          <w:b/>
          <w:bCs/>
          <w:lang w:val="fr-FR" w:eastAsia="en-GB"/>
        </w:rPr>
        <w:t>34 (2011) sur la discrimination raciale envers les personnes d</w:t>
      </w:r>
      <w:r>
        <w:rPr>
          <w:b/>
          <w:bCs/>
          <w:lang w:val="fr-FR" w:eastAsia="en-GB"/>
        </w:rPr>
        <w:t>’</w:t>
      </w:r>
      <w:r w:rsidR="00E30D2C" w:rsidRPr="00F979C9">
        <w:rPr>
          <w:b/>
          <w:bCs/>
          <w:lang w:val="fr-FR" w:eastAsia="en-GB"/>
        </w:rPr>
        <w:t>ascendance africaine</w:t>
      </w:r>
      <w:r w:rsidR="00E30D2C" w:rsidRPr="00F979C9">
        <w:rPr>
          <w:b/>
          <w:bCs/>
          <w:lang w:val="fr-FR"/>
        </w:rPr>
        <w:t xml:space="preserve">. </w:t>
      </w:r>
    </w:p>
    <w:p w:rsidR="00E30D2C" w:rsidRPr="00F979C9" w:rsidRDefault="00E30D2C" w:rsidP="006F0410">
      <w:pPr>
        <w:pStyle w:val="H23G"/>
        <w:rPr>
          <w:lang w:val="fr-FR"/>
        </w:rPr>
      </w:pPr>
      <w:r w:rsidRPr="00F979C9">
        <w:rPr>
          <w:lang w:val="fr-FR"/>
        </w:rPr>
        <w:tab/>
      </w:r>
      <w:r w:rsidRPr="00F979C9">
        <w:rPr>
          <w:lang w:val="fr-FR"/>
        </w:rPr>
        <w:tab/>
        <w:t>Consultations avec la société civile</w:t>
      </w:r>
    </w:p>
    <w:p w:rsidR="00E30D2C" w:rsidRPr="00F979C9" w:rsidRDefault="006F0410" w:rsidP="006F0410">
      <w:pPr>
        <w:pStyle w:val="SingleTxtG"/>
        <w:rPr>
          <w:b/>
          <w:lang w:val="fr-FR"/>
        </w:rPr>
      </w:pPr>
      <w:r>
        <w:rPr>
          <w:lang w:val="fr-FR"/>
        </w:rPr>
        <w:t>42.</w:t>
      </w:r>
      <w:r>
        <w:rPr>
          <w:lang w:val="fr-FR"/>
        </w:rPr>
        <w:tab/>
      </w:r>
      <w:r w:rsidR="00E30D2C" w:rsidRPr="00F979C9">
        <w:rPr>
          <w:b/>
          <w:lang w:val="fr-FR"/>
        </w:rPr>
        <w:t>Le Comité recommande à l</w:t>
      </w:r>
      <w:r>
        <w:rPr>
          <w:b/>
          <w:lang w:val="fr-FR"/>
        </w:rPr>
        <w:t>’</w:t>
      </w:r>
      <w:r w:rsidR="00E30D2C" w:rsidRPr="00F979C9">
        <w:rPr>
          <w:b/>
          <w:lang w:val="fr-FR"/>
        </w:rPr>
        <w:t>État partie de poursuivre et d</w:t>
      </w:r>
      <w:r>
        <w:rPr>
          <w:b/>
          <w:lang w:val="fr-FR"/>
        </w:rPr>
        <w:t>’</w:t>
      </w:r>
      <w:r w:rsidR="00E30D2C" w:rsidRPr="00F979C9">
        <w:rPr>
          <w:b/>
          <w:lang w:val="fr-FR"/>
        </w:rPr>
        <w:t>élargir le dialogue avec les organisations de la société civile qui travaillent dans le domaine de la protection des droits de l</w:t>
      </w:r>
      <w:r>
        <w:rPr>
          <w:b/>
          <w:lang w:val="fr-FR"/>
        </w:rPr>
        <w:t>’</w:t>
      </w:r>
      <w:r w:rsidR="00E30D2C" w:rsidRPr="00F979C9">
        <w:rPr>
          <w:b/>
          <w:lang w:val="fr-FR"/>
        </w:rPr>
        <w:t>homme, en particulier celles qui luttent contre la discrimination raciale, dans le cadre de l</w:t>
      </w:r>
      <w:r>
        <w:rPr>
          <w:b/>
          <w:lang w:val="fr-FR"/>
        </w:rPr>
        <w:t>’</w:t>
      </w:r>
      <w:r w:rsidR="00E30D2C" w:rsidRPr="00F979C9">
        <w:rPr>
          <w:b/>
          <w:lang w:val="fr-FR"/>
        </w:rPr>
        <w:t>élaboration du prochain rapport périodique et du suivi des présentes observations finales.</w:t>
      </w:r>
    </w:p>
    <w:p w:rsidR="00E30D2C" w:rsidRPr="00F979C9" w:rsidRDefault="00E30D2C" w:rsidP="006F0410">
      <w:pPr>
        <w:pStyle w:val="H23G"/>
        <w:rPr>
          <w:lang w:val="fr-FR"/>
        </w:rPr>
      </w:pPr>
      <w:r w:rsidRPr="00F979C9">
        <w:rPr>
          <w:lang w:val="fr-FR"/>
        </w:rPr>
        <w:tab/>
      </w:r>
      <w:r w:rsidRPr="00F979C9">
        <w:rPr>
          <w:lang w:val="fr-FR"/>
        </w:rPr>
        <w:tab/>
        <w:t>Déclaration visée à l</w:t>
      </w:r>
      <w:r w:rsidR="006F0410">
        <w:rPr>
          <w:lang w:val="fr-FR"/>
        </w:rPr>
        <w:t>’</w:t>
      </w:r>
      <w:r w:rsidRPr="00F979C9">
        <w:rPr>
          <w:lang w:val="fr-FR"/>
        </w:rPr>
        <w:t>article 14 de la Convention</w:t>
      </w:r>
    </w:p>
    <w:p w:rsidR="00E30D2C" w:rsidRPr="00F979C9" w:rsidRDefault="006F0410" w:rsidP="006F0410">
      <w:pPr>
        <w:pStyle w:val="SingleTxtG"/>
        <w:rPr>
          <w:b/>
          <w:bCs/>
          <w:lang w:val="fr-FR"/>
        </w:rPr>
      </w:pPr>
      <w:r>
        <w:rPr>
          <w:lang w:val="fr-FR"/>
        </w:rPr>
        <w:t>43.</w:t>
      </w:r>
      <w:r>
        <w:rPr>
          <w:lang w:val="fr-FR"/>
        </w:rPr>
        <w:tab/>
      </w:r>
      <w:r w:rsidR="00E30D2C" w:rsidRPr="00F979C9">
        <w:rPr>
          <w:b/>
          <w:lang w:val="fr-FR"/>
        </w:rPr>
        <w:t>Le Comité encourage l</w:t>
      </w:r>
      <w:r>
        <w:rPr>
          <w:b/>
          <w:lang w:val="fr-FR"/>
        </w:rPr>
        <w:t>’</w:t>
      </w:r>
      <w:r w:rsidR="00E30D2C" w:rsidRPr="00F979C9">
        <w:rPr>
          <w:b/>
          <w:lang w:val="fr-FR"/>
        </w:rPr>
        <w:t>État partie à faire la déclaration facultative visée à l</w:t>
      </w:r>
      <w:r>
        <w:rPr>
          <w:b/>
          <w:lang w:val="fr-FR"/>
        </w:rPr>
        <w:t>’</w:t>
      </w:r>
      <w:r w:rsidR="002B49F8">
        <w:rPr>
          <w:b/>
          <w:lang w:val="fr-FR"/>
        </w:rPr>
        <w:t>article </w:t>
      </w:r>
      <w:r w:rsidR="00E30D2C" w:rsidRPr="00F979C9">
        <w:rPr>
          <w:b/>
          <w:lang w:val="fr-FR"/>
        </w:rPr>
        <w:t>14 de la Convention, par laquelle les États parties reconnaissent la compétence du Comité pour recevoir et examiner des communications individuelles</w:t>
      </w:r>
      <w:r w:rsidR="00E30D2C" w:rsidRPr="00F979C9">
        <w:rPr>
          <w:b/>
          <w:bCs/>
          <w:lang w:val="fr-FR"/>
        </w:rPr>
        <w:t>.</w:t>
      </w:r>
      <w:r w:rsidR="00E30D2C" w:rsidRPr="00F979C9">
        <w:rPr>
          <w:rStyle w:val="Appelnotedebasdep"/>
          <w:b/>
          <w:bCs/>
          <w:lang w:val="fr-FR"/>
        </w:rPr>
        <w:t xml:space="preserve"> </w:t>
      </w:r>
    </w:p>
    <w:p w:rsidR="00E30D2C" w:rsidRPr="00F979C9" w:rsidRDefault="00E30D2C" w:rsidP="006F0410">
      <w:pPr>
        <w:pStyle w:val="H23G"/>
        <w:rPr>
          <w:lang w:val="fr-FR"/>
        </w:rPr>
      </w:pPr>
      <w:r w:rsidRPr="00F979C9">
        <w:rPr>
          <w:lang w:val="fr-FR"/>
        </w:rPr>
        <w:tab/>
      </w:r>
      <w:r w:rsidRPr="00F979C9">
        <w:rPr>
          <w:lang w:val="fr-FR"/>
        </w:rPr>
        <w:tab/>
        <w:t>Document de base commun</w:t>
      </w:r>
    </w:p>
    <w:p w:rsidR="00E30D2C" w:rsidRPr="00F979C9" w:rsidRDefault="006F0410" w:rsidP="006F0410">
      <w:pPr>
        <w:pStyle w:val="SingleTxtG"/>
        <w:rPr>
          <w:b/>
          <w:lang w:val="fr-FR"/>
        </w:rPr>
      </w:pPr>
      <w:r>
        <w:rPr>
          <w:lang w:val="fr-FR"/>
        </w:rPr>
        <w:t>44.</w:t>
      </w:r>
      <w:r>
        <w:rPr>
          <w:lang w:val="fr-FR"/>
        </w:rPr>
        <w:tab/>
      </w:r>
      <w:r w:rsidR="00E30D2C" w:rsidRPr="00F979C9">
        <w:rPr>
          <w:b/>
          <w:lang w:val="fr-FR"/>
        </w:rPr>
        <w:t>Le Comit</w:t>
      </w:r>
      <w:r w:rsidR="00E30D2C" w:rsidRPr="00A034F0">
        <w:rPr>
          <w:b/>
          <w:lang w:val="fr-FR"/>
        </w:rPr>
        <w:t>é</w:t>
      </w:r>
      <w:r w:rsidR="00E30D2C" w:rsidRPr="00F979C9">
        <w:rPr>
          <w:b/>
          <w:lang w:val="fr-FR"/>
        </w:rPr>
        <w:t xml:space="preserve"> encourage </w:t>
      </w:r>
      <w:r w:rsidR="00E30D2C" w:rsidRPr="00A034F0">
        <w:rPr>
          <w:b/>
          <w:lang w:val="fr-FR"/>
        </w:rPr>
        <w:t>l</w:t>
      </w:r>
      <w:r>
        <w:rPr>
          <w:b/>
          <w:lang w:val="fr-FR"/>
        </w:rPr>
        <w:t>’</w:t>
      </w:r>
      <w:r w:rsidR="00E30D2C" w:rsidRPr="00A034F0">
        <w:rPr>
          <w:b/>
          <w:lang w:val="fr-FR"/>
        </w:rPr>
        <w:t>État partie à lui soumettre un document de base commun</w:t>
      </w:r>
      <w:r w:rsidR="00E30D2C" w:rsidRPr="00F979C9">
        <w:rPr>
          <w:b/>
          <w:lang w:val="fr-FR"/>
        </w:rPr>
        <w:t>, conformément aux directives harmonisées pour l</w:t>
      </w:r>
      <w:r>
        <w:rPr>
          <w:b/>
          <w:lang w:val="fr-FR"/>
        </w:rPr>
        <w:t>’</w:t>
      </w:r>
      <w:r w:rsidR="00E30D2C" w:rsidRPr="00F979C9">
        <w:rPr>
          <w:b/>
          <w:lang w:val="fr-FR"/>
        </w:rPr>
        <w:t>établissement de rapports au titre des instruments internationaux relatifs aux droits de l</w:t>
      </w:r>
      <w:r>
        <w:rPr>
          <w:b/>
          <w:lang w:val="fr-FR"/>
        </w:rPr>
        <w:t>’</w:t>
      </w:r>
      <w:r w:rsidR="00E30D2C" w:rsidRPr="00F979C9">
        <w:rPr>
          <w:b/>
          <w:lang w:val="fr-FR"/>
        </w:rPr>
        <w:t>homme, en particulier celles concernant le document de base commun, adoptées à la cinquième réunion intercomités des organes créés en vertu d</w:t>
      </w:r>
      <w:r>
        <w:rPr>
          <w:b/>
          <w:lang w:val="fr-FR"/>
        </w:rPr>
        <w:t>’</w:t>
      </w:r>
      <w:r w:rsidR="00E30D2C" w:rsidRPr="00F979C9">
        <w:rPr>
          <w:b/>
          <w:lang w:val="fr-FR"/>
        </w:rPr>
        <w:t>instruments internationaux relatifs aux droits de l</w:t>
      </w:r>
      <w:r>
        <w:rPr>
          <w:b/>
          <w:lang w:val="fr-FR"/>
        </w:rPr>
        <w:t>’</w:t>
      </w:r>
      <w:r w:rsidR="00E30D2C" w:rsidRPr="00F979C9">
        <w:rPr>
          <w:b/>
          <w:lang w:val="fr-FR"/>
        </w:rPr>
        <w:t>homme tenue en juin 2006 (HRI/GEN/2/Rev.6, chap.</w:t>
      </w:r>
      <w:r w:rsidR="002B49F8">
        <w:rPr>
          <w:b/>
          <w:lang w:val="fr-FR"/>
        </w:rPr>
        <w:t> </w:t>
      </w:r>
      <w:r w:rsidR="00E30D2C" w:rsidRPr="00F979C9">
        <w:rPr>
          <w:b/>
          <w:lang w:val="fr-FR"/>
        </w:rPr>
        <w:t>I). À la lumière de la résolution 68/268 de l</w:t>
      </w:r>
      <w:r>
        <w:rPr>
          <w:b/>
          <w:lang w:val="fr-FR"/>
        </w:rPr>
        <w:t>’</w:t>
      </w:r>
      <w:r w:rsidR="00E30D2C" w:rsidRPr="00F979C9">
        <w:rPr>
          <w:b/>
          <w:lang w:val="fr-FR"/>
        </w:rPr>
        <w:t>Assemblée générale, le Comité demande instamment à l</w:t>
      </w:r>
      <w:r>
        <w:rPr>
          <w:b/>
          <w:lang w:val="fr-FR"/>
        </w:rPr>
        <w:t>’</w:t>
      </w:r>
      <w:r w:rsidR="00E30D2C" w:rsidRPr="00F979C9">
        <w:rPr>
          <w:b/>
          <w:lang w:val="fr-FR"/>
        </w:rPr>
        <w:t>État partie de respecter la limite de 42 400 mots fixée pour ce document.</w:t>
      </w:r>
    </w:p>
    <w:p w:rsidR="00E30D2C" w:rsidRPr="00F979C9" w:rsidRDefault="00E30D2C" w:rsidP="006F0410">
      <w:pPr>
        <w:pStyle w:val="H23G"/>
        <w:rPr>
          <w:lang w:val="fr-FR"/>
        </w:rPr>
      </w:pPr>
      <w:r w:rsidRPr="00F979C9">
        <w:rPr>
          <w:lang w:val="fr-FR"/>
        </w:rPr>
        <w:tab/>
      </w:r>
      <w:r w:rsidRPr="00F979C9">
        <w:rPr>
          <w:lang w:val="fr-FR"/>
        </w:rPr>
        <w:tab/>
        <w:t>Suite donnée aux présentes observations finales</w:t>
      </w:r>
    </w:p>
    <w:p w:rsidR="00E30D2C" w:rsidRPr="00F979C9" w:rsidRDefault="006F0410" w:rsidP="006F0410">
      <w:pPr>
        <w:pStyle w:val="SingleTxtG"/>
        <w:rPr>
          <w:b/>
          <w:bCs/>
          <w:lang w:val="fr-FR"/>
        </w:rPr>
      </w:pPr>
      <w:r>
        <w:rPr>
          <w:bCs/>
          <w:lang w:val="fr-FR"/>
        </w:rPr>
        <w:t>45.</w:t>
      </w:r>
      <w:r>
        <w:rPr>
          <w:bCs/>
          <w:lang w:val="fr-FR"/>
        </w:rPr>
        <w:tab/>
      </w:r>
      <w:r w:rsidR="00E30D2C" w:rsidRPr="00F979C9">
        <w:rPr>
          <w:b/>
          <w:bCs/>
          <w:lang w:val="fr-FR"/>
        </w:rPr>
        <w:t>Conformément au paragraphe 1 de l</w:t>
      </w:r>
      <w:r>
        <w:rPr>
          <w:b/>
          <w:bCs/>
          <w:lang w:val="fr-FR"/>
        </w:rPr>
        <w:t>’</w:t>
      </w:r>
      <w:r w:rsidR="00E30D2C" w:rsidRPr="00F979C9">
        <w:rPr>
          <w:b/>
          <w:bCs/>
          <w:lang w:val="fr-FR"/>
        </w:rPr>
        <w:t>article 9 de la Convention et à l</w:t>
      </w:r>
      <w:r>
        <w:rPr>
          <w:b/>
          <w:bCs/>
          <w:lang w:val="fr-FR"/>
        </w:rPr>
        <w:t>’</w:t>
      </w:r>
      <w:r w:rsidR="002B49F8">
        <w:rPr>
          <w:b/>
          <w:bCs/>
          <w:lang w:val="fr-FR"/>
        </w:rPr>
        <w:t>article </w:t>
      </w:r>
      <w:r w:rsidR="00E30D2C" w:rsidRPr="00F979C9">
        <w:rPr>
          <w:b/>
          <w:bCs/>
          <w:lang w:val="fr-FR"/>
        </w:rPr>
        <w:t>65 de son règlement intérieur, le Comité demande à l</w:t>
      </w:r>
      <w:r>
        <w:rPr>
          <w:b/>
          <w:bCs/>
          <w:lang w:val="fr-FR"/>
        </w:rPr>
        <w:t>’</w:t>
      </w:r>
      <w:r w:rsidR="00E30D2C" w:rsidRPr="00F979C9">
        <w:rPr>
          <w:b/>
          <w:bCs/>
          <w:lang w:val="fr-FR"/>
        </w:rPr>
        <w:t>État partie de fournir, dans un délai d</w:t>
      </w:r>
      <w:r>
        <w:rPr>
          <w:b/>
          <w:bCs/>
          <w:lang w:val="fr-FR"/>
        </w:rPr>
        <w:t>’</w:t>
      </w:r>
      <w:r w:rsidR="00E30D2C" w:rsidRPr="00F979C9">
        <w:rPr>
          <w:b/>
          <w:bCs/>
          <w:lang w:val="fr-FR"/>
        </w:rPr>
        <w:t>un an à compter de l</w:t>
      </w:r>
      <w:r>
        <w:rPr>
          <w:b/>
          <w:bCs/>
          <w:lang w:val="fr-FR"/>
        </w:rPr>
        <w:t>’</w:t>
      </w:r>
      <w:r w:rsidR="00E30D2C" w:rsidRPr="00F979C9">
        <w:rPr>
          <w:b/>
          <w:bCs/>
          <w:lang w:val="fr-FR"/>
        </w:rPr>
        <w:t>adoption des présentes observations finales, des renseignements sur la suite qu</w:t>
      </w:r>
      <w:r>
        <w:rPr>
          <w:b/>
          <w:bCs/>
          <w:lang w:val="fr-FR"/>
        </w:rPr>
        <w:t>’</w:t>
      </w:r>
      <w:r w:rsidR="00E30D2C" w:rsidRPr="00F979C9">
        <w:rPr>
          <w:b/>
          <w:bCs/>
          <w:lang w:val="fr-FR"/>
        </w:rPr>
        <w:t>il aura donnée aux recommandations figurant dans les paragraph</w:t>
      </w:r>
      <w:r w:rsidR="002B49F8">
        <w:rPr>
          <w:b/>
          <w:bCs/>
          <w:lang w:val="fr-FR"/>
        </w:rPr>
        <w:t>es </w:t>
      </w:r>
      <w:r w:rsidR="00E30D2C" w:rsidRPr="00F979C9">
        <w:rPr>
          <w:b/>
          <w:bCs/>
          <w:lang w:val="fr-FR"/>
        </w:rPr>
        <w:t>20</w:t>
      </w:r>
      <w:r w:rsidR="002B49F8">
        <w:rPr>
          <w:b/>
          <w:bCs/>
          <w:lang w:val="fr-FR"/>
        </w:rPr>
        <w:t> </w:t>
      </w:r>
      <w:r w:rsidR="00E30D2C" w:rsidRPr="00F979C9">
        <w:rPr>
          <w:b/>
          <w:bCs/>
          <w:lang w:val="fr-FR"/>
        </w:rPr>
        <w:t xml:space="preserve">a) </w:t>
      </w:r>
      <w:r w:rsidR="00E30D2C" w:rsidRPr="00A034F0">
        <w:rPr>
          <w:b/>
          <w:bCs/>
          <w:lang w:val="fr-FR"/>
        </w:rPr>
        <w:t>et</w:t>
      </w:r>
      <w:r w:rsidR="00E30D2C" w:rsidRPr="00F979C9">
        <w:rPr>
          <w:b/>
          <w:bCs/>
          <w:lang w:val="fr-FR"/>
        </w:rPr>
        <w:t xml:space="preserve"> b) </w:t>
      </w:r>
      <w:r w:rsidR="00E30D2C" w:rsidRPr="00A034F0">
        <w:rPr>
          <w:b/>
          <w:bCs/>
          <w:lang w:val="fr-FR"/>
        </w:rPr>
        <w:t>et</w:t>
      </w:r>
      <w:r w:rsidR="00E30D2C" w:rsidRPr="00F979C9">
        <w:rPr>
          <w:b/>
          <w:bCs/>
          <w:lang w:val="fr-FR"/>
        </w:rPr>
        <w:t xml:space="preserve"> 24. </w:t>
      </w:r>
    </w:p>
    <w:p w:rsidR="00E30D2C" w:rsidRPr="00F979C9" w:rsidRDefault="00E30D2C" w:rsidP="006F0410">
      <w:pPr>
        <w:pStyle w:val="H23G"/>
        <w:rPr>
          <w:lang w:val="fr-FR"/>
        </w:rPr>
      </w:pPr>
      <w:r w:rsidRPr="00F979C9">
        <w:rPr>
          <w:lang w:val="fr-FR"/>
        </w:rPr>
        <w:tab/>
      </w:r>
      <w:r w:rsidRPr="00F979C9">
        <w:rPr>
          <w:lang w:val="fr-FR"/>
        </w:rPr>
        <w:tab/>
        <w:t>Paragraphes d</w:t>
      </w:r>
      <w:r w:rsidR="006F0410">
        <w:rPr>
          <w:b w:val="0"/>
          <w:lang w:val="fr-FR"/>
        </w:rPr>
        <w:t>’</w:t>
      </w:r>
      <w:r w:rsidRPr="00F979C9">
        <w:rPr>
          <w:lang w:val="fr-FR"/>
        </w:rPr>
        <w:t>importance particulière</w:t>
      </w:r>
    </w:p>
    <w:p w:rsidR="00E30D2C" w:rsidRPr="00F979C9" w:rsidRDefault="006F0410" w:rsidP="006F0410">
      <w:pPr>
        <w:pStyle w:val="SingleTxtG"/>
        <w:rPr>
          <w:b/>
          <w:bCs/>
          <w:lang w:val="fr-FR"/>
        </w:rPr>
      </w:pPr>
      <w:r>
        <w:rPr>
          <w:lang w:val="fr-FR"/>
        </w:rPr>
        <w:t>46.</w:t>
      </w:r>
      <w:r>
        <w:rPr>
          <w:lang w:val="fr-FR"/>
        </w:rPr>
        <w:tab/>
      </w:r>
      <w:r w:rsidR="00E30D2C" w:rsidRPr="00F979C9">
        <w:rPr>
          <w:b/>
          <w:lang w:val="fr-FR"/>
        </w:rPr>
        <w:t>Le Comité souhaite appeler l</w:t>
      </w:r>
      <w:r>
        <w:rPr>
          <w:b/>
          <w:lang w:val="fr-FR"/>
        </w:rPr>
        <w:t>’</w:t>
      </w:r>
      <w:r w:rsidR="00E30D2C" w:rsidRPr="00F979C9">
        <w:rPr>
          <w:b/>
          <w:lang w:val="fr-FR"/>
        </w:rPr>
        <w:t>attention de l</w:t>
      </w:r>
      <w:r>
        <w:rPr>
          <w:b/>
          <w:lang w:val="fr-FR"/>
        </w:rPr>
        <w:t>’</w:t>
      </w:r>
      <w:r w:rsidR="00E30D2C" w:rsidRPr="00F979C9">
        <w:rPr>
          <w:b/>
          <w:lang w:val="fr-FR"/>
        </w:rPr>
        <w:t>État partie sur l</w:t>
      </w:r>
      <w:r>
        <w:rPr>
          <w:b/>
          <w:lang w:val="fr-FR"/>
        </w:rPr>
        <w:t>’</w:t>
      </w:r>
      <w:r w:rsidR="00E30D2C" w:rsidRPr="00F979C9">
        <w:rPr>
          <w:b/>
          <w:lang w:val="fr-FR"/>
        </w:rPr>
        <w:t>importance particulière des recommandation</w:t>
      </w:r>
      <w:r w:rsidR="002B49F8">
        <w:rPr>
          <w:b/>
          <w:lang w:val="fr-FR"/>
        </w:rPr>
        <w:t>s figurant dans les paragraphes</w:t>
      </w:r>
      <w:r w:rsidR="000C4918">
        <w:rPr>
          <w:b/>
          <w:lang w:val="fr-FR"/>
        </w:rPr>
        <w:t> </w:t>
      </w:r>
      <w:r w:rsidR="00E30D2C" w:rsidRPr="00A034F0">
        <w:rPr>
          <w:b/>
          <w:bCs/>
          <w:lang w:val="fr-FR"/>
        </w:rPr>
        <w:t>10, 16, 24, 28 et 30</w:t>
      </w:r>
      <w:r w:rsidR="00E30D2C" w:rsidRPr="00F979C9">
        <w:rPr>
          <w:b/>
          <w:lang w:val="fr-FR"/>
        </w:rPr>
        <w:t>, et lui demande de faire figurer dans son prochain rapport périodique des renseignements détaillés sur les mesures concrètes qu</w:t>
      </w:r>
      <w:r>
        <w:rPr>
          <w:b/>
          <w:lang w:val="fr-FR"/>
        </w:rPr>
        <w:t>’</w:t>
      </w:r>
      <w:r w:rsidR="00E30D2C" w:rsidRPr="00F979C9">
        <w:rPr>
          <w:b/>
          <w:lang w:val="fr-FR"/>
        </w:rPr>
        <w:t>il aura prises pour y donner suite</w:t>
      </w:r>
      <w:r w:rsidR="00E30D2C" w:rsidRPr="00F979C9">
        <w:rPr>
          <w:b/>
          <w:bCs/>
          <w:lang w:val="fr-FR"/>
        </w:rPr>
        <w:t xml:space="preserve">. </w:t>
      </w:r>
    </w:p>
    <w:p w:rsidR="00E30D2C" w:rsidRPr="00F979C9" w:rsidRDefault="00E30D2C" w:rsidP="006F0410">
      <w:pPr>
        <w:pStyle w:val="H23G"/>
        <w:rPr>
          <w:lang w:val="fr-FR"/>
        </w:rPr>
      </w:pPr>
      <w:r w:rsidRPr="00F979C9">
        <w:rPr>
          <w:lang w:val="fr-FR"/>
        </w:rPr>
        <w:tab/>
      </w:r>
      <w:r w:rsidRPr="00F979C9">
        <w:rPr>
          <w:lang w:val="fr-FR"/>
        </w:rPr>
        <w:tab/>
        <w:t>Diffusion d</w:t>
      </w:r>
      <w:r w:rsidR="006F0410">
        <w:rPr>
          <w:b w:val="0"/>
          <w:lang w:val="fr-FR"/>
        </w:rPr>
        <w:t>’</w:t>
      </w:r>
      <w:r w:rsidRPr="00F979C9">
        <w:rPr>
          <w:lang w:val="fr-FR"/>
        </w:rPr>
        <w:t>information</w:t>
      </w:r>
    </w:p>
    <w:p w:rsidR="00E30D2C" w:rsidRPr="00F979C9" w:rsidRDefault="006F0410" w:rsidP="006F0410">
      <w:pPr>
        <w:pStyle w:val="SingleTxtG"/>
        <w:rPr>
          <w:b/>
          <w:bCs/>
          <w:lang w:val="fr-FR"/>
        </w:rPr>
      </w:pPr>
      <w:r>
        <w:rPr>
          <w:bCs/>
          <w:lang w:val="fr-FR"/>
        </w:rPr>
        <w:t>47.</w:t>
      </w:r>
      <w:r>
        <w:rPr>
          <w:bCs/>
          <w:lang w:val="fr-FR"/>
        </w:rPr>
        <w:tab/>
      </w:r>
      <w:r w:rsidR="00E30D2C" w:rsidRPr="00F979C9">
        <w:rPr>
          <w:b/>
          <w:bCs/>
          <w:lang w:val="fr-FR"/>
        </w:rPr>
        <w:t>Le Comité recommande à l</w:t>
      </w:r>
      <w:r>
        <w:rPr>
          <w:b/>
          <w:bCs/>
          <w:lang w:val="fr-FR"/>
        </w:rPr>
        <w:t>’</w:t>
      </w:r>
      <w:r w:rsidR="00E30D2C" w:rsidRPr="00F979C9">
        <w:rPr>
          <w:b/>
          <w:bCs/>
          <w:lang w:val="fr-FR"/>
        </w:rPr>
        <w:t>État partie de mettre ses rapports à la disposition du public dès leur soumission et de diffuser également les observations finales du Comité qui s</w:t>
      </w:r>
      <w:r>
        <w:rPr>
          <w:b/>
          <w:bCs/>
          <w:lang w:val="fr-FR"/>
        </w:rPr>
        <w:t>’</w:t>
      </w:r>
      <w:r w:rsidR="00E30D2C" w:rsidRPr="00F979C9">
        <w:rPr>
          <w:b/>
          <w:bCs/>
          <w:lang w:val="fr-FR"/>
        </w:rPr>
        <w:t>y rapportent dans les langues officielles et les autres langues couramment utilisées, selon qu</w:t>
      </w:r>
      <w:r>
        <w:rPr>
          <w:b/>
          <w:bCs/>
          <w:lang w:val="fr-FR"/>
        </w:rPr>
        <w:t>’</w:t>
      </w:r>
      <w:r w:rsidR="00E30D2C" w:rsidRPr="00F979C9">
        <w:rPr>
          <w:b/>
          <w:bCs/>
          <w:lang w:val="fr-FR"/>
        </w:rPr>
        <w:t xml:space="preserve">il conviendra. </w:t>
      </w:r>
    </w:p>
    <w:p w:rsidR="00E30D2C" w:rsidRPr="00F979C9" w:rsidRDefault="00E30D2C" w:rsidP="006F0410">
      <w:pPr>
        <w:pStyle w:val="H23G"/>
        <w:rPr>
          <w:lang w:val="fr-FR"/>
        </w:rPr>
      </w:pPr>
      <w:r w:rsidRPr="00F979C9">
        <w:rPr>
          <w:lang w:val="fr-FR"/>
        </w:rPr>
        <w:tab/>
      </w:r>
      <w:r w:rsidRPr="00F979C9">
        <w:rPr>
          <w:lang w:val="fr-FR"/>
        </w:rPr>
        <w:tab/>
        <w:t>Élaboration du prochain rapport périodique</w:t>
      </w:r>
    </w:p>
    <w:p w:rsidR="00984B29" w:rsidRDefault="006F0410" w:rsidP="006F0410">
      <w:pPr>
        <w:pStyle w:val="SingleTxtG"/>
        <w:rPr>
          <w:b/>
          <w:bCs/>
          <w:lang w:val="fr-FR"/>
        </w:rPr>
      </w:pPr>
      <w:r>
        <w:rPr>
          <w:bCs/>
          <w:lang w:val="fr-FR"/>
        </w:rPr>
        <w:t>48.</w:t>
      </w:r>
      <w:r>
        <w:rPr>
          <w:bCs/>
          <w:lang w:val="fr-FR"/>
        </w:rPr>
        <w:tab/>
      </w:r>
      <w:r w:rsidR="00E30D2C" w:rsidRPr="00F979C9">
        <w:rPr>
          <w:b/>
          <w:bCs/>
          <w:lang w:val="fr-FR"/>
        </w:rPr>
        <w:t>Le Comité recommande à l</w:t>
      </w:r>
      <w:r>
        <w:rPr>
          <w:b/>
          <w:bCs/>
          <w:lang w:val="fr-FR"/>
        </w:rPr>
        <w:t>’</w:t>
      </w:r>
      <w:r w:rsidR="00E30D2C" w:rsidRPr="00F979C9">
        <w:rPr>
          <w:b/>
          <w:bCs/>
          <w:lang w:val="fr-FR"/>
        </w:rPr>
        <w:t xml:space="preserve">État partie de soumettre son rapport valant </w:t>
      </w:r>
      <w:r w:rsidR="00E30D2C" w:rsidRPr="00A034F0">
        <w:rPr>
          <w:b/>
          <w:bCs/>
          <w:lang w:val="fr-FR"/>
        </w:rPr>
        <w:t>dixième et onzième</w:t>
      </w:r>
      <w:r w:rsidR="00E30D2C" w:rsidRPr="00F979C9">
        <w:rPr>
          <w:b/>
          <w:bCs/>
          <w:lang w:val="fr-FR"/>
        </w:rPr>
        <w:t xml:space="preserve"> rapports périodiques, d</w:t>
      </w:r>
      <w:r>
        <w:rPr>
          <w:b/>
          <w:bCs/>
          <w:lang w:val="fr-FR"/>
        </w:rPr>
        <w:t>’</w:t>
      </w:r>
      <w:r w:rsidR="00E30D2C" w:rsidRPr="00F979C9">
        <w:rPr>
          <w:b/>
          <w:bCs/>
          <w:lang w:val="fr-FR"/>
        </w:rPr>
        <w:t xml:space="preserve">ici au </w:t>
      </w:r>
      <w:r w:rsidR="00396C48">
        <w:rPr>
          <w:b/>
          <w:bCs/>
          <w:lang w:val="fr-FR"/>
        </w:rPr>
        <w:t>22 </w:t>
      </w:r>
      <w:r w:rsidR="00E30D2C" w:rsidRPr="00A034F0">
        <w:rPr>
          <w:b/>
          <w:bCs/>
          <w:lang w:val="fr-FR"/>
        </w:rPr>
        <w:t>octobre 2020</w:t>
      </w:r>
      <w:r w:rsidR="00E30D2C" w:rsidRPr="00F979C9">
        <w:rPr>
          <w:b/>
          <w:bCs/>
          <w:lang w:val="fr-FR"/>
        </w:rPr>
        <w:t>, en tenant compte des directives pour l</w:t>
      </w:r>
      <w:r>
        <w:rPr>
          <w:b/>
          <w:bCs/>
          <w:lang w:val="fr-FR"/>
        </w:rPr>
        <w:t>’</w:t>
      </w:r>
      <w:r w:rsidR="00E30D2C" w:rsidRPr="00F979C9">
        <w:rPr>
          <w:b/>
          <w:bCs/>
          <w:lang w:val="fr-FR"/>
        </w:rPr>
        <w:t>établissement du document se rapportant spécifiquement à la Convention adoptées par le Comité à sa soixante et onzième session (CERD/C/2007/1) et en traitant de tous les points soulevés dans les présentes observations finales. À la lumière de la résolution</w:t>
      </w:r>
      <w:r w:rsidR="00396C48">
        <w:rPr>
          <w:b/>
          <w:bCs/>
          <w:lang w:val="fr-FR"/>
        </w:rPr>
        <w:t> </w:t>
      </w:r>
      <w:r w:rsidR="00E30D2C" w:rsidRPr="00F979C9">
        <w:rPr>
          <w:b/>
          <w:bCs/>
          <w:lang w:val="fr-FR"/>
        </w:rPr>
        <w:t>68/268 de l</w:t>
      </w:r>
      <w:r>
        <w:rPr>
          <w:b/>
          <w:bCs/>
          <w:lang w:val="fr-FR"/>
        </w:rPr>
        <w:t>’</w:t>
      </w:r>
      <w:r w:rsidR="00E30D2C" w:rsidRPr="00F979C9">
        <w:rPr>
          <w:b/>
          <w:bCs/>
          <w:lang w:val="fr-FR"/>
        </w:rPr>
        <w:t>Assemblée générale,</w:t>
      </w:r>
      <w:r w:rsidR="00E30D2C">
        <w:rPr>
          <w:b/>
          <w:bCs/>
          <w:lang w:val="fr-FR"/>
        </w:rPr>
        <w:t xml:space="preserve"> </w:t>
      </w:r>
      <w:r w:rsidR="00E30D2C" w:rsidRPr="00A034F0">
        <w:rPr>
          <w:b/>
          <w:bCs/>
          <w:lang w:val="fr-FR"/>
        </w:rPr>
        <w:t>le Comité demande instamment à l</w:t>
      </w:r>
      <w:r>
        <w:rPr>
          <w:b/>
          <w:bCs/>
          <w:lang w:val="fr-FR"/>
        </w:rPr>
        <w:t>’</w:t>
      </w:r>
      <w:r w:rsidR="00E30D2C" w:rsidRPr="00A034F0">
        <w:rPr>
          <w:b/>
          <w:bCs/>
          <w:lang w:val="fr-FR"/>
        </w:rPr>
        <w:t>État part</w:t>
      </w:r>
      <w:r w:rsidR="002B49F8">
        <w:rPr>
          <w:b/>
          <w:bCs/>
          <w:lang w:val="fr-FR"/>
        </w:rPr>
        <w:t>ie de respecter la limite de 21 </w:t>
      </w:r>
      <w:r w:rsidR="00E30D2C" w:rsidRPr="00A034F0">
        <w:rPr>
          <w:b/>
          <w:bCs/>
          <w:lang w:val="fr-FR"/>
        </w:rPr>
        <w:t>200 mots fixée pour les rapports périodiques</w:t>
      </w:r>
      <w:r w:rsidR="00E30D2C" w:rsidRPr="00F979C9">
        <w:rPr>
          <w:b/>
          <w:bCs/>
          <w:lang w:val="fr-FR"/>
        </w:rPr>
        <w:t>.</w:t>
      </w:r>
      <w:bookmarkStart w:id="1" w:name="_GoBack"/>
      <w:bookmarkEnd w:id="1"/>
    </w:p>
    <w:p w:rsidR="00F25CD0" w:rsidRPr="006F0410" w:rsidRDefault="006F0410" w:rsidP="006F0410">
      <w:pPr>
        <w:pStyle w:val="SingleTxtG"/>
        <w:spacing w:before="240" w:after="0"/>
        <w:jc w:val="center"/>
        <w:rPr>
          <w:u w:val="single"/>
        </w:rPr>
      </w:pPr>
      <w:r>
        <w:rPr>
          <w:u w:val="single"/>
        </w:rPr>
        <w:tab/>
      </w:r>
      <w:r>
        <w:rPr>
          <w:u w:val="single"/>
        </w:rPr>
        <w:tab/>
      </w:r>
      <w:r>
        <w:rPr>
          <w:u w:val="single"/>
        </w:rPr>
        <w:tab/>
      </w:r>
    </w:p>
    <w:sectPr w:rsidR="00F25CD0" w:rsidRPr="006F0410" w:rsidSect="00F4161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F91" w:rsidRDefault="00215F91" w:rsidP="00F95C08">
      <w:pPr>
        <w:spacing w:line="240" w:lineRule="auto"/>
      </w:pPr>
    </w:p>
  </w:endnote>
  <w:endnote w:type="continuationSeparator" w:id="0">
    <w:p w:rsidR="00215F91" w:rsidRPr="00AC3823" w:rsidRDefault="00215F91" w:rsidP="00AC3823">
      <w:pPr>
        <w:pStyle w:val="Pieddepage"/>
      </w:pPr>
    </w:p>
  </w:endnote>
  <w:endnote w:type="continuationNotice" w:id="1">
    <w:p w:rsidR="00215F91" w:rsidRDefault="00215F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F91" w:rsidRPr="00F41610" w:rsidRDefault="00215F91" w:rsidP="00F41610">
    <w:pPr>
      <w:pStyle w:val="Pieddepage"/>
      <w:tabs>
        <w:tab w:val="right" w:pos="9638"/>
      </w:tabs>
    </w:pPr>
    <w:r w:rsidRPr="00F41610">
      <w:rPr>
        <w:b/>
        <w:sz w:val="18"/>
      </w:rPr>
      <w:fldChar w:fldCharType="begin"/>
    </w:r>
    <w:r w:rsidRPr="00F41610">
      <w:rPr>
        <w:b/>
        <w:sz w:val="18"/>
      </w:rPr>
      <w:instrText xml:space="preserve"> PAGE  \* MERGEFORMAT </w:instrText>
    </w:r>
    <w:r w:rsidRPr="00F41610">
      <w:rPr>
        <w:b/>
        <w:sz w:val="18"/>
      </w:rPr>
      <w:fldChar w:fldCharType="separate"/>
    </w:r>
    <w:r w:rsidR="00036C51">
      <w:rPr>
        <w:b/>
        <w:noProof/>
        <w:sz w:val="18"/>
      </w:rPr>
      <w:t>8</w:t>
    </w:r>
    <w:r w:rsidRPr="00F41610">
      <w:rPr>
        <w:b/>
        <w:sz w:val="18"/>
      </w:rPr>
      <w:fldChar w:fldCharType="end"/>
    </w:r>
    <w:r>
      <w:rPr>
        <w:b/>
        <w:sz w:val="18"/>
      </w:rPr>
      <w:tab/>
    </w:r>
    <w:r>
      <w:t>GE.18-09381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F91" w:rsidRPr="00F41610" w:rsidRDefault="00215F91" w:rsidP="00F41610">
    <w:pPr>
      <w:pStyle w:val="Pieddepage"/>
      <w:tabs>
        <w:tab w:val="right" w:pos="9638"/>
      </w:tabs>
      <w:rPr>
        <w:b/>
        <w:sz w:val="18"/>
      </w:rPr>
    </w:pPr>
    <w:r>
      <w:t>GE.18-09381</w:t>
    </w:r>
    <w:r>
      <w:tab/>
    </w:r>
    <w:r w:rsidRPr="00F41610">
      <w:rPr>
        <w:b/>
        <w:sz w:val="18"/>
      </w:rPr>
      <w:fldChar w:fldCharType="begin"/>
    </w:r>
    <w:r w:rsidRPr="00F41610">
      <w:rPr>
        <w:b/>
        <w:sz w:val="18"/>
      </w:rPr>
      <w:instrText xml:space="preserve"> PAGE  \* MERGEFORMAT </w:instrText>
    </w:r>
    <w:r w:rsidRPr="00F41610">
      <w:rPr>
        <w:b/>
        <w:sz w:val="18"/>
      </w:rPr>
      <w:fldChar w:fldCharType="separate"/>
    </w:r>
    <w:r w:rsidR="00036C51">
      <w:rPr>
        <w:b/>
        <w:noProof/>
        <w:sz w:val="18"/>
      </w:rPr>
      <w:t>9</w:t>
    </w:r>
    <w:r w:rsidRPr="00F4161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F91" w:rsidRPr="00F41610" w:rsidRDefault="00215F91" w:rsidP="00F41610">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18-09381  (F)    210618    050718</w:t>
    </w:r>
    <w:r>
      <w:rPr>
        <w:sz w:val="20"/>
      </w:rPr>
      <w:br/>
    </w:r>
    <w:r w:rsidRPr="00F41610">
      <w:rPr>
        <w:rFonts w:ascii="C39T30Lfz" w:hAnsi="C39T30Lfz"/>
        <w:sz w:val="56"/>
      </w:rPr>
      <w:t></w:t>
    </w:r>
    <w:r w:rsidRPr="00F41610">
      <w:rPr>
        <w:rFonts w:ascii="C39T30Lfz" w:hAnsi="C39T30Lfz"/>
        <w:sz w:val="56"/>
      </w:rPr>
      <w:t></w:t>
    </w:r>
    <w:r w:rsidRPr="00F41610">
      <w:rPr>
        <w:rFonts w:ascii="C39T30Lfz" w:hAnsi="C39T30Lfz"/>
        <w:sz w:val="56"/>
      </w:rPr>
      <w:t></w:t>
    </w:r>
    <w:r w:rsidRPr="00F41610">
      <w:rPr>
        <w:rFonts w:ascii="C39T30Lfz" w:hAnsi="C39T30Lfz"/>
        <w:sz w:val="56"/>
      </w:rPr>
      <w:t></w:t>
    </w:r>
    <w:r w:rsidRPr="00F41610">
      <w:rPr>
        <w:rFonts w:ascii="C39T30Lfz" w:hAnsi="C39T30Lfz"/>
        <w:sz w:val="56"/>
      </w:rPr>
      <w:t></w:t>
    </w:r>
    <w:r w:rsidRPr="00F41610">
      <w:rPr>
        <w:rFonts w:ascii="C39T30Lfz" w:hAnsi="C39T30Lfz"/>
        <w:sz w:val="56"/>
      </w:rPr>
      <w:t></w:t>
    </w:r>
    <w:r w:rsidRPr="00F41610">
      <w:rPr>
        <w:rFonts w:ascii="C39T30Lfz" w:hAnsi="C39T30Lfz"/>
        <w:sz w:val="56"/>
      </w:rPr>
      <w:t></w:t>
    </w:r>
    <w:r w:rsidRPr="00F41610">
      <w:rPr>
        <w:rFonts w:ascii="C39T30Lfz" w:hAnsi="C39T30Lfz"/>
        <w:sz w:val="56"/>
      </w:rPr>
      <w:t></w:t>
    </w:r>
    <w:r w:rsidRPr="00F41610">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SAU/CO/4-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AU/CO/4-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F91" w:rsidRPr="00AC3823" w:rsidRDefault="00215F91" w:rsidP="00AC3823">
      <w:pPr>
        <w:pStyle w:val="Pieddepage"/>
        <w:tabs>
          <w:tab w:val="right" w:pos="2155"/>
        </w:tabs>
        <w:spacing w:after="80" w:line="240" w:lineRule="atLeast"/>
        <w:ind w:left="680"/>
        <w:rPr>
          <w:u w:val="single"/>
        </w:rPr>
      </w:pPr>
      <w:r>
        <w:rPr>
          <w:u w:val="single"/>
        </w:rPr>
        <w:tab/>
      </w:r>
    </w:p>
  </w:footnote>
  <w:footnote w:type="continuationSeparator" w:id="0">
    <w:p w:rsidR="00215F91" w:rsidRPr="00AC3823" w:rsidRDefault="00215F91" w:rsidP="00AC3823">
      <w:pPr>
        <w:pStyle w:val="Pieddepage"/>
        <w:tabs>
          <w:tab w:val="right" w:pos="2155"/>
        </w:tabs>
        <w:spacing w:after="80" w:line="240" w:lineRule="atLeast"/>
        <w:ind w:left="680"/>
        <w:rPr>
          <w:u w:val="single"/>
        </w:rPr>
      </w:pPr>
      <w:r>
        <w:rPr>
          <w:u w:val="single"/>
        </w:rPr>
        <w:tab/>
      </w:r>
    </w:p>
  </w:footnote>
  <w:footnote w:type="continuationNotice" w:id="1">
    <w:p w:rsidR="00215F91" w:rsidRPr="00AC3823" w:rsidRDefault="00215F91">
      <w:pPr>
        <w:spacing w:line="240" w:lineRule="auto"/>
        <w:rPr>
          <w:sz w:val="2"/>
          <w:szCs w:val="2"/>
        </w:rPr>
      </w:pPr>
    </w:p>
  </w:footnote>
  <w:footnote w:id="2">
    <w:p w:rsidR="00215F91" w:rsidRPr="00E30D2C" w:rsidRDefault="00215F91">
      <w:pPr>
        <w:pStyle w:val="Notedebasdepage"/>
      </w:pPr>
      <w:r>
        <w:rPr>
          <w:rStyle w:val="Appelnotedebasdep"/>
        </w:rPr>
        <w:tab/>
      </w:r>
      <w:r w:rsidRPr="00E30D2C">
        <w:rPr>
          <w:rStyle w:val="Appelnotedebasdep"/>
          <w:sz w:val="20"/>
          <w:vertAlign w:val="baseline"/>
        </w:rPr>
        <w:t>*</w:t>
      </w:r>
      <w:r>
        <w:rPr>
          <w:rStyle w:val="Appelnotedebasdep"/>
          <w:sz w:val="20"/>
          <w:vertAlign w:val="baseline"/>
        </w:rPr>
        <w:tab/>
      </w:r>
      <w:r w:rsidRPr="00F979C9">
        <w:rPr>
          <w:lang w:val="fr-FR"/>
        </w:rPr>
        <w:t xml:space="preserve">Adoptées par le Comité à </w:t>
      </w:r>
      <w:r>
        <w:rPr>
          <w:lang w:val="fr-FR"/>
        </w:rPr>
        <w:t>sa</w:t>
      </w:r>
      <w:r w:rsidRPr="00F979C9">
        <w:rPr>
          <w:lang w:val="fr-FR"/>
        </w:rPr>
        <w:t xml:space="preserve"> </w:t>
      </w:r>
      <w:r>
        <w:rPr>
          <w:lang w:val="fr-FR"/>
        </w:rPr>
        <w:t>quatre-vingt-quinzième</w:t>
      </w:r>
      <w:r w:rsidRPr="00F979C9">
        <w:rPr>
          <w:lang w:val="fr-FR"/>
        </w:rPr>
        <w:t xml:space="preserve"> session (23 </w:t>
      </w:r>
      <w:r>
        <w:rPr>
          <w:lang w:val="fr-FR"/>
        </w:rPr>
        <w:t>av</w:t>
      </w:r>
      <w:r w:rsidRPr="00F979C9">
        <w:rPr>
          <w:lang w:val="fr-FR"/>
        </w:rPr>
        <w:t>ril</w:t>
      </w:r>
      <w:r>
        <w:rPr>
          <w:lang w:val="fr-FR"/>
        </w:rPr>
        <w:t>-</w:t>
      </w:r>
      <w:r w:rsidRPr="00F979C9">
        <w:rPr>
          <w:lang w:val="fr-FR"/>
        </w:rPr>
        <w:t xml:space="preserve">11 </w:t>
      </w:r>
      <w:r>
        <w:rPr>
          <w:lang w:val="fr-FR"/>
        </w:rPr>
        <w:t>mai</w:t>
      </w:r>
      <w:r w:rsidRPr="00F979C9">
        <w:rPr>
          <w:lang w:val="fr-FR"/>
        </w:rPr>
        <w:t xml:space="preserv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F91" w:rsidRPr="00F41610" w:rsidRDefault="00215F91">
    <w:pPr>
      <w:pStyle w:val="En-tte"/>
    </w:pPr>
    <w:fldSimple w:instr=" TITLE  \* MERGEFORMAT ">
      <w:r w:rsidR="00036C51">
        <w:t>CERD/C/SAU/CO/4-9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F91" w:rsidRPr="00F41610" w:rsidRDefault="00215F91" w:rsidP="00F41610">
    <w:pPr>
      <w:pStyle w:val="En-tte"/>
      <w:jc w:val="right"/>
    </w:pPr>
    <w:fldSimple w:instr=" TITLE  \* MERGEFORMAT ">
      <w:r w:rsidR="00036C51">
        <w:t>CERD/C/SAU/CO/4-9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F324BE4"/>
    <w:multiLevelType w:val="hybridMultilevel"/>
    <w:tmpl w:val="48402DB6"/>
    <w:lvl w:ilvl="0" w:tplc="54AA61DA">
      <w:start w:val="39"/>
      <w:numFmt w:val="decimal"/>
      <w:lvlText w:val="%1."/>
      <w:lvlJc w:val="left"/>
      <w:pPr>
        <w:ind w:left="1636" w:hanging="360"/>
      </w:pPr>
      <w:rPr>
        <w:rFonts w:hint="default"/>
        <w:b/>
        <w:color w:val="000000" w:themeColor="text1"/>
        <w:lang w:val="fr-FR"/>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DF"/>
    <w:rsid w:val="00017F94"/>
    <w:rsid w:val="00023842"/>
    <w:rsid w:val="000334F9"/>
    <w:rsid w:val="00036C51"/>
    <w:rsid w:val="0007796D"/>
    <w:rsid w:val="00080C8C"/>
    <w:rsid w:val="00093A3C"/>
    <w:rsid w:val="000B7790"/>
    <w:rsid w:val="000C4918"/>
    <w:rsid w:val="00111F2F"/>
    <w:rsid w:val="0014365E"/>
    <w:rsid w:val="001703D0"/>
    <w:rsid w:val="00176178"/>
    <w:rsid w:val="001E5CE3"/>
    <w:rsid w:val="001F525A"/>
    <w:rsid w:val="00215BEC"/>
    <w:rsid w:val="00215F91"/>
    <w:rsid w:val="00223272"/>
    <w:rsid w:val="0024779E"/>
    <w:rsid w:val="002B49F8"/>
    <w:rsid w:val="002C24CC"/>
    <w:rsid w:val="002C432A"/>
    <w:rsid w:val="00396C48"/>
    <w:rsid w:val="003E66B5"/>
    <w:rsid w:val="00444C2A"/>
    <w:rsid w:val="00446FE5"/>
    <w:rsid w:val="00452396"/>
    <w:rsid w:val="004F094E"/>
    <w:rsid w:val="005505B7"/>
    <w:rsid w:val="00573BE5"/>
    <w:rsid w:val="00586ED3"/>
    <w:rsid w:val="00596AA9"/>
    <w:rsid w:val="00623CA8"/>
    <w:rsid w:val="006257BF"/>
    <w:rsid w:val="006F0410"/>
    <w:rsid w:val="00712E6E"/>
    <w:rsid w:val="0071601D"/>
    <w:rsid w:val="00780585"/>
    <w:rsid w:val="00783E9F"/>
    <w:rsid w:val="007A62E6"/>
    <w:rsid w:val="0080684C"/>
    <w:rsid w:val="00871C75"/>
    <w:rsid w:val="008776DC"/>
    <w:rsid w:val="00925EDF"/>
    <w:rsid w:val="009705C8"/>
    <w:rsid w:val="00984B29"/>
    <w:rsid w:val="009D5F1A"/>
    <w:rsid w:val="009F0D84"/>
    <w:rsid w:val="00A30353"/>
    <w:rsid w:val="00AC3823"/>
    <w:rsid w:val="00AE323C"/>
    <w:rsid w:val="00B00181"/>
    <w:rsid w:val="00B765F7"/>
    <w:rsid w:val="00B83423"/>
    <w:rsid w:val="00BA0CA9"/>
    <w:rsid w:val="00BB0B66"/>
    <w:rsid w:val="00BB37DE"/>
    <w:rsid w:val="00C02897"/>
    <w:rsid w:val="00C06D77"/>
    <w:rsid w:val="00D01AD1"/>
    <w:rsid w:val="00D3439C"/>
    <w:rsid w:val="00DB1831"/>
    <w:rsid w:val="00DC0149"/>
    <w:rsid w:val="00DD3BFD"/>
    <w:rsid w:val="00DF6678"/>
    <w:rsid w:val="00E12E30"/>
    <w:rsid w:val="00E148EB"/>
    <w:rsid w:val="00E30D2C"/>
    <w:rsid w:val="00E55B6F"/>
    <w:rsid w:val="00F25CD0"/>
    <w:rsid w:val="00F41610"/>
    <w:rsid w:val="00F64DB5"/>
    <w:rsid w:val="00F660DF"/>
    <w:rsid w:val="00F95C08"/>
    <w:rsid w:val="00FA5026"/>
    <w:rsid w:val="00FE0C7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F07C5D"/>
  <w15:docId w15:val="{96FD4EEA-5D50-448D-9CAC-64A80A98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Times 10 Point,Exposant 3 Point,Footnote symbol,Footnote reference number,EN Footnote Reference,note TESI,16 Point,Superscript 6 Point,ftref,Rimando nota a piè di pagina1,Footnotes refss,Footnote Refernece,[0],FZ"/>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character" w:styleId="Marquedecommentaire">
    <w:name w:val="annotation reference"/>
    <w:basedOn w:val="Policepardfaut"/>
    <w:uiPriority w:val="99"/>
    <w:semiHidden/>
    <w:unhideWhenUsed/>
    <w:rsid w:val="00E30D2C"/>
    <w:rPr>
      <w:sz w:val="16"/>
      <w:szCs w:val="16"/>
    </w:rPr>
  </w:style>
  <w:style w:type="paragraph" w:styleId="Rvision">
    <w:name w:val="Revision"/>
    <w:hidden/>
    <w:uiPriority w:val="99"/>
    <w:semiHidden/>
    <w:rsid w:val="00E30D2C"/>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33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9</Pages>
  <Words>4370</Words>
  <Characters>23862</Characters>
  <Application>Microsoft Office Word</Application>
  <DocSecurity>0</DocSecurity>
  <Lines>404</Lines>
  <Paragraphs>139</Paragraphs>
  <ScaleCrop>false</ScaleCrop>
  <HeadingPairs>
    <vt:vector size="2" baseType="variant">
      <vt:variant>
        <vt:lpstr>Titre</vt:lpstr>
      </vt:variant>
      <vt:variant>
        <vt:i4>1</vt:i4>
      </vt:variant>
    </vt:vector>
  </HeadingPairs>
  <TitlesOfParts>
    <vt:vector size="1" baseType="lpstr">
      <vt:lpstr>CERD/C/SAU/CO/4-9</vt:lpstr>
    </vt:vector>
  </TitlesOfParts>
  <Company>DCM</Company>
  <LinksUpToDate>false</LinksUpToDate>
  <CharactersWithSpaces>28093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CERD/C/SAU/CO/4-9</dc:title>
  <dc:subject/>
  <dc:creator>Sylvie LAMY</dc:creator>
  <cp:keywords/>
  <cp:lastModifiedBy>Sylvie Lamy</cp:lastModifiedBy>
  <cp:revision>3</cp:revision>
  <cp:lastPrinted>2018-07-05T12:02:00Z</cp:lastPrinted>
  <dcterms:created xsi:type="dcterms:W3CDTF">2018-07-05T12:02:00Z</dcterms:created>
  <dcterms:modified xsi:type="dcterms:W3CDTF">2018-07-05T12:02:00Z</dcterms:modified>
</cp:coreProperties>
</file>