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ABDF" w14:textId="77777777" w:rsidR="005A4B98" w:rsidRPr="00D367BB" w:rsidRDefault="005A4B98" w:rsidP="005A4B98">
      <w:pPr>
        <w:spacing w:line="240" w:lineRule="auto"/>
        <w:rPr>
          <w:sz w:val="2"/>
          <w:lang w:val="fr-FR"/>
        </w:rPr>
        <w:sectPr w:rsidR="005A4B98" w:rsidRPr="00D367BB" w:rsidSect="00F704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commentRangeStart w:id="0"/>
      <w:commentRangeEnd w:id="0"/>
      <w:r w:rsidRPr="00D367BB">
        <w:rPr>
          <w:rStyle w:val="CommentReference"/>
          <w:lang w:val="fr-FR"/>
        </w:rPr>
        <w:commentReference w:id="0"/>
      </w:r>
    </w:p>
    <w:p w14:paraId="45EFB9E1" w14:textId="4054BA67" w:rsidR="00F7045B" w:rsidRPr="00D367BB" w:rsidRDefault="00F7045B" w:rsidP="00F7045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710"/>
        <w:rPr>
          <w:lang w:val="fr-FR"/>
        </w:rPr>
      </w:pPr>
      <w:r w:rsidRPr="00D367BB">
        <w:rPr>
          <w:lang w:val="fr-FR"/>
        </w:rPr>
        <w:t>Comité pour l</w:t>
      </w:r>
      <w:r w:rsidRPr="00D367BB">
        <w:rPr>
          <w:lang w:val="fr-FR"/>
        </w:rPr>
        <w:t>’</w:t>
      </w:r>
      <w:r w:rsidRPr="00D367BB">
        <w:rPr>
          <w:lang w:val="fr-FR"/>
        </w:rPr>
        <w:t>élimination de la discrimination à l</w:t>
      </w:r>
      <w:r w:rsidRPr="00D367BB">
        <w:rPr>
          <w:lang w:val="fr-FR"/>
        </w:rPr>
        <w:t>’</w:t>
      </w:r>
      <w:r w:rsidRPr="00D367BB">
        <w:rPr>
          <w:lang w:val="fr-FR"/>
        </w:rPr>
        <w:t>égard des femmes</w:t>
      </w:r>
    </w:p>
    <w:p w14:paraId="18BAD6C4" w14:textId="77777777" w:rsidR="00F7045B" w:rsidRPr="00D367BB" w:rsidRDefault="00F7045B" w:rsidP="00F7045B">
      <w:pPr>
        <w:pStyle w:val="Session"/>
      </w:pPr>
      <w:r w:rsidRPr="00D367BB">
        <w:t>Quatre-vingt-unième session</w:t>
      </w:r>
    </w:p>
    <w:p w14:paraId="52CDD181" w14:textId="77777777" w:rsidR="00F7045B" w:rsidRPr="00D367BB" w:rsidRDefault="00F7045B" w:rsidP="00F7045B">
      <w:pPr>
        <w:rPr>
          <w:lang w:val="fr-FR"/>
        </w:rPr>
      </w:pPr>
      <w:r w:rsidRPr="00D367BB">
        <w:rPr>
          <w:lang w:val="fr-FR"/>
        </w:rPr>
        <w:t>7-25 février 2022</w:t>
      </w:r>
    </w:p>
    <w:p w14:paraId="3CEB1376" w14:textId="7D83FF37" w:rsidR="00F7045B" w:rsidRPr="00D367BB" w:rsidRDefault="00F7045B" w:rsidP="00F7045B">
      <w:pPr>
        <w:pStyle w:val="AgendaItemNormal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D367BB">
        <w:rPr>
          <w:lang w:val="fr-FR"/>
        </w:rPr>
        <w:t>Point 2 de l</w:t>
      </w:r>
      <w:r w:rsidRPr="00D367BB">
        <w:rPr>
          <w:lang w:val="fr-FR"/>
        </w:rPr>
        <w:t>’</w:t>
      </w:r>
      <w:r w:rsidRPr="00D367BB">
        <w:rPr>
          <w:lang w:val="fr-FR"/>
        </w:rPr>
        <w:t>ordre du jour provisoire</w:t>
      </w:r>
    </w:p>
    <w:p w14:paraId="2156684A" w14:textId="56E33C7B" w:rsidR="00F7045B" w:rsidRPr="00D367BB" w:rsidRDefault="00F7045B" w:rsidP="00F7045B">
      <w:pPr>
        <w:pStyle w:val="AgendaTitleH2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6420"/>
        <w:rPr>
          <w:lang w:val="fr-FR"/>
        </w:rPr>
      </w:pPr>
      <w:r w:rsidRPr="00D367BB">
        <w:rPr>
          <w:lang w:val="fr-FR"/>
        </w:rPr>
        <w:t>Adoption de l</w:t>
      </w:r>
      <w:r w:rsidRPr="00D367BB">
        <w:rPr>
          <w:lang w:val="fr-FR"/>
        </w:rPr>
        <w:t>’</w:t>
      </w:r>
      <w:r w:rsidRPr="00D367BB">
        <w:rPr>
          <w:lang w:val="fr-FR"/>
        </w:rPr>
        <w:t>ordre du jour et</w:t>
      </w:r>
      <w:r w:rsidRPr="00D367BB">
        <w:rPr>
          <w:lang w:val="fr-FR"/>
        </w:rPr>
        <w:t> </w:t>
      </w:r>
      <w:r w:rsidRPr="00D367BB">
        <w:rPr>
          <w:lang w:val="fr-FR"/>
        </w:rPr>
        <w:t>organisation des travaux</w:t>
      </w:r>
    </w:p>
    <w:p w14:paraId="0AEBB13C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57C40AF0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16E46BD6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5409B1A1" w14:textId="0B0A1AA3" w:rsidR="00F7045B" w:rsidRPr="00D367BB" w:rsidRDefault="00F7045B" w:rsidP="00F7045B">
      <w:pPr>
        <w:pStyle w:val="Title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ab/>
        <w:t>Ordre du jour provisoire annoté</w:t>
      </w:r>
      <w:r w:rsidRPr="00D367BB">
        <w:rPr>
          <w:b w:val="0"/>
          <w:bCs/>
          <w:sz w:val="20"/>
          <w:szCs w:val="20"/>
          <w:lang w:val="fr-FR"/>
        </w:rPr>
        <w:t>*</w:t>
      </w:r>
    </w:p>
    <w:p w14:paraId="12F052DF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28A7DF46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4B2D44FD" w14:textId="77777777" w:rsidR="00F7045B" w:rsidRPr="00D367BB" w:rsidRDefault="00F7045B" w:rsidP="00F7045B">
      <w:pPr>
        <w:pStyle w:val="TitleH1"/>
        <w:tabs>
          <w:tab w:val="clear" w:pos="1742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0"/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ab/>
        <w:t>Ordre du jour provisoire</w:t>
      </w:r>
    </w:p>
    <w:p w14:paraId="22BC7F78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3472E51A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36CBED5D" w14:textId="77777777" w:rsidR="00F7045B" w:rsidRPr="00D367BB" w:rsidRDefault="00F7045B" w:rsidP="00F7045B">
      <w:pPr>
        <w:pStyle w:val="SingleTxt"/>
        <w:jc w:val="left"/>
        <w:rPr>
          <w:lang w:val="fr-FR"/>
        </w:rPr>
      </w:pPr>
      <w:r w:rsidRPr="00D367BB">
        <w:rPr>
          <w:lang w:val="fr-FR"/>
        </w:rPr>
        <w:t>1.</w:t>
      </w:r>
      <w:r w:rsidRPr="00D367BB">
        <w:rPr>
          <w:lang w:val="fr-FR"/>
        </w:rPr>
        <w:tab/>
        <w:t>Ouverture de la session.</w:t>
      </w:r>
    </w:p>
    <w:p w14:paraId="485DD73C" w14:textId="60E687F4" w:rsidR="00F7045B" w:rsidRPr="00D367BB" w:rsidRDefault="00F7045B" w:rsidP="00F7045B">
      <w:pPr>
        <w:pStyle w:val="SingleTxt"/>
        <w:jc w:val="left"/>
        <w:rPr>
          <w:lang w:val="fr-FR"/>
        </w:rPr>
      </w:pPr>
      <w:r w:rsidRPr="00D367BB">
        <w:rPr>
          <w:lang w:val="fr-FR"/>
        </w:rPr>
        <w:t>2.</w:t>
      </w:r>
      <w:r w:rsidRPr="00D367BB">
        <w:rPr>
          <w:lang w:val="fr-FR"/>
        </w:rPr>
        <w:tab/>
        <w:t>Adoption de l</w:t>
      </w:r>
      <w:r w:rsidRPr="00D367BB">
        <w:rPr>
          <w:lang w:val="fr-FR"/>
        </w:rPr>
        <w:t>’</w:t>
      </w:r>
      <w:r w:rsidRPr="00D367BB">
        <w:rPr>
          <w:lang w:val="fr-FR"/>
        </w:rPr>
        <w:t>ordre du jour et organisation des travaux.</w:t>
      </w:r>
    </w:p>
    <w:p w14:paraId="5316F974" w14:textId="77777777" w:rsidR="00F7045B" w:rsidRPr="00D367BB" w:rsidRDefault="00F7045B" w:rsidP="00F7045B">
      <w:pPr>
        <w:pStyle w:val="SingleTxt"/>
        <w:ind w:left="1742" w:hanging="475"/>
        <w:jc w:val="left"/>
        <w:rPr>
          <w:lang w:val="fr-FR"/>
        </w:rPr>
      </w:pPr>
      <w:r w:rsidRPr="00D367BB">
        <w:rPr>
          <w:lang w:val="fr-FR"/>
        </w:rPr>
        <w:t>3.</w:t>
      </w:r>
      <w:r w:rsidRPr="00D367BB">
        <w:rPr>
          <w:lang w:val="fr-FR"/>
        </w:rPr>
        <w:tab/>
        <w:t>Rapport de la Présidente sur les activités menées entre la quatre-vingtième et la quatre-vingt-unième session du Comité.</w:t>
      </w:r>
    </w:p>
    <w:p w14:paraId="336CBD1E" w14:textId="51A2C2CE" w:rsidR="00F7045B" w:rsidRPr="00D367BB" w:rsidRDefault="00F7045B" w:rsidP="00F7045B">
      <w:pPr>
        <w:pStyle w:val="SingleTxt"/>
        <w:ind w:left="1742" w:hanging="475"/>
        <w:jc w:val="left"/>
        <w:rPr>
          <w:lang w:val="fr-FR"/>
        </w:rPr>
      </w:pPr>
      <w:r w:rsidRPr="00D367BB">
        <w:rPr>
          <w:lang w:val="fr-FR"/>
        </w:rPr>
        <w:t>4.</w:t>
      </w:r>
      <w:r w:rsidRPr="00D367BB">
        <w:rPr>
          <w:lang w:val="fr-FR"/>
        </w:rPr>
        <w:tab/>
        <w:t>Examen des rapports soumis par les États parties en application de l</w:t>
      </w:r>
      <w:r w:rsidRPr="00D367BB">
        <w:rPr>
          <w:lang w:val="fr-FR"/>
        </w:rPr>
        <w:t>’</w:t>
      </w:r>
      <w:r w:rsidRPr="00D367BB">
        <w:rPr>
          <w:lang w:val="fr-FR"/>
        </w:rPr>
        <w:t>article 18 de la Convention sur l</w:t>
      </w:r>
      <w:r w:rsidRPr="00D367BB">
        <w:rPr>
          <w:lang w:val="fr-FR"/>
        </w:rPr>
        <w:t>’</w:t>
      </w:r>
      <w:r w:rsidRPr="00D367BB">
        <w:rPr>
          <w:lang w:val="fr-FR"/>
        </w:rPr>
        <w:t>élimination de toutes les formes de discrimination à l</w:t>
      </w:r>
      <w:r w:rsidRPr="00D367BB">
        <w:rPr>
          <w:lang w:val="fr-FR"/>
        </w:rPr>
        <w:t>’</w:t>
      </w:r>
      <w:r w:rsidRPr="00D367BB">
        <w:rPr>
          <w:lang w:val="fr-FR"/>
        </w:rPr>
        <w:t>égard des femmes.</w:t>
      </w:r>
    </w:p>
    <w:p w14:paraId="6DA009E7" w14:textId="6978A301" w:rsidR="00F7045B" w:rsidRPr="00D367BB" w:rsidRDefault="00F7045B" w:rsidP="00F7045B">
      <w:pPr>
        <w:pStyle w:val="SingleTxt"/>
        <w:ind w:left="1742" w:hanging="475"/>
        <w:jc w:val="left"/>
        <w:rPr>
          <w:lang w:val="fr-FR"/>
        </w:rPr>
      </w:pPr>
      <w:r w:rsidRPr="00D367BB">
        <w:rPr>
          <w:lang w:val="fr-FR"/>
        </w:rPr>
        <w:t>5.</w:t>
      </w:r>
      <w:r w:rsidRPr="00D367BB">
        <w:rPr>
          <w:lang w:val="fr-FR"/>
        </w:rPr>
        <w:tab/>
        <w:t>Suite donnée à l</w:t>
      </w:r>
      <w:r w:rsidRPr="00D367BB">
        <w:rPr>
          <w:lang w:val="fr-FR"/>
        </w:rPr>
        <w:t>’</w:t>
      </w:r>
      <w:r w:rsidRPr="00D367BB">
        <w:rPr>
          <w:lang w:val="fr-FR"/>
        </w:rPr>
        <w:t>examen des rapports soumis par les États parties en application de l</w:t>
      </w:r>
      <w:r w:rsidRPr="00D367BB">
        <w:rPr>
          <w:lang w:val="fr-FR"/>
        </w:rPr>
        <w:t>’</w:t>
      </w:r>
      <w:r w:rsidRPr="00D367BB">
        <w:rPr>
          <w:lang w:val="fr-FR"/>
        </w:rPr>
        <w:t>article 18 de la Convention.</w:t>
      </w:r>
    </w:p>
    <w:p w14:paraId="2FA8D33D" w14:textId="77777777" w:rsidR="00F7045B" w:rsidRPr="00D367BB" w:rsidRDefault="00F7045B" w:rsidP="00F7045B">
      <w:pPr>
        <w:pStyle w:val="SingleTxt"/>
        <w:jc w:val="left"/>
        <w:rPr>
          <w:lang w:val="fr-FR"/>
        </w:rPr>
      </w:pPr>
      <w:r w:rsidRPr="00D367BB">
        <w:rPr>
          <w:lang w:val="fr-FR"/>
        </w:rPr>
        <w:t>6.</w:t>
      </w:r>
      <w:r w:rsidRPr="00D367BB">
        <w:rPr>
          <w:lang w:val="fr-FR"/>
        </w:rPr>
        <w:tab/>
        <w:t>Application des articles 21 et 22 de la Convention.</w:t>
      </w:r>
    </w:p>
    <w:p w14:paraId="7ABC896C" w14:textId="5FCD3326" w:rsidR="00F7045B" w:rsidRPr="00D367BB" w:rsidRDefault="00F7045B" w:rsidP="00F7045B">
      <w:pPr>
        <w:pStyle w:val="SingleTxt"/>
        <w:jc w:val="left"/>
        <w:rPr>
          <w:lang w:val="fr-FR"/>
        </w:rPr>
      </w:pPr>
      <w:r w:rsidRPr="00D367BB">
        <w:rPr>
          <w:lang w:val="fr-FR"/>
        </w:rPr>
        <w:t>7.</w:t>
      </w:r>
      <w:r w:rsidRPr="00D367BB">
        <w:rPr>
          <w:lang w:val="fr-FR"/>
        </w:rPr>
        <w:tab/>
        <w:t>Moyens d</w:t>
      </w:r>
      <w:r w:rsidRPr="00D367BB">
        <w:rPr>
          <w:lang w:val="fr-FR"/>
        </w:rPr>
        <w:t>’</w:t>
      </w:r>
      <w:r w:rsidRPr="00D367BB">
        <w:rPr>
          <w:lang w:val="fr-FR"/>
        </w:rPr>
        <w:t>accélérer les travaux du Comité.</w:t>
      </w:r>
    </w:p>
    <w:p w14:paraId="2DF0F244" w14:textId="77777777" w:rsidR="00F7045B" w:rsidRPr="00D367BB" w:rsidRDefault="00F7045B" w:rsidP="00F7045B">
      <w:pPr>
        <w:pStyle w:val="SingleTxt"/>
        <w:ind w:left="1742" w:hanging="475"/>
        <w:jc w:val="left"/>
        <w:rPr>
          <w:lang w:val="fr-FR"/>
        </w:rPr>
      </w:pPr>
      <w:r w:rsidRPr="00D367BB">
        <w:rPr>
          <w:lang w:val="fr-FR"/>
        </w:rPr>
        <w:t>8.</w:t>
      </w:r>
      <w:r w:rsidRPr="00D367BB">
        <w:rPr>
          <w:lang w:val="fr-FR"/>
        </w:rPr>
        <w:tab/>
        <w:t>Activités menées par le Comité au titre du Protocole facultatif à la Convention.</w:t>
      </w:r>
    </w:p>
    <w:p w14:paraId="0F8AE243" w14:textId="77777777" w:rsidR="00F7045B" w:rsidRPr="00D367BB" w:rsidRDefault="00F7045B" w:rsidP="00F7045B">
      <w:pPr>
        <w:pStyle w:val="SingleTxt"/>
        <w:jc w:val="left"/>
        <w:rPr>
          <w:lang w:val="fr-FR"/>
        </w:rPr>
      </w:pPr>
      <w:r w:rsidRPr="00D367BB">
        <w:rPr>
          <w:lang w:val="fr-FR"/>
        </w:rPr>
        <w:t>9.</w:t>
      </w:r>
      <w:r w:rsidRPr="00D367BB">
        <w:rPr>
          <w:lang w:val="fr-FR"/>
        </w:rPr>
        <w:tab/>
        <w:t>Ordre du jour provisoire de la quatre-vingt-deuxième session du Comité.</w:t>
      </w:r>
    </w:p>
    <w:p w14:paraId="5E16E9B9" w14:textId="77777777" w:rsidR="00F7045B" w:rsidRPr="00D367BB" w:rsidRDefault="00F7045B" w:rsidP="00F7045B">
      <w:pPr>
        <w:pStyle w:val="SingleTxt"/>
        <w:ind w:left="1742" w:hanging="475"/>
        <w:jc w:val="left"/>
        <w:rPr>
          <w:lang w:val="fr-FR"/>
        </w:rPr>
      </w:pPr>
      <w:r w:rsidRPr="00D367BB">
        <w:rPr>
          <w:lang w:val="fr-FR"/>
        </w:rPr>
        <w:t>10.</w:t>
      </w:r>
      <w:r w:rsidRPr="00D367BB">
        <w:rPr>
          <w:lang w:val="fr-FR"/>
        </w:rPr>
        <w:tab/>
        <w:t>Adoption du rapport du Comité sur les travaux de sa quatre-vingt-unième session.</w:t>
      </w:r>
    </w:p>
    <w:p w14:paraId="07E1450F" w14:textId="7028243E" w:rsidR="00F7045B" w:rsidRPr="00D367BB" w:rsidRDefault="00F7045B" w:rsidP="00F7045B">
      <w:pPr>
        <w:keepNext/>
        <w:keepLines/>
        <w:framePr w:w="9792" w:h="432" w:hSpace="180" w:wrap="around" w:vAnchor="page" w:hAnchor="page" w:x="1187" w:y="13681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  <w:lang w:val="fr-FR"/>
        </w:rPr>
      </w:pPr>
      <w:r w:rsidRPr="00D367BB">
        <w:rPr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6FAE0" wp14:editId="6195E7EA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F5B1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" strokecolor="#010000" strokeweight=".25pt"/>
            </w:pict>
          </mc:Fallback>
        </mc:AlternateContent>
      </w:r>
      <w:r w:rsidRPr="00D367BB">
        <w:rPr>
          <w:spacing w:val="5"/>
          <w:w w:val="104"/>
          <w:sz w:val="17"/>
          <w:szCs w:val="20"/>
          <w:lang w:val="fr-FR"/>
        </w:rPr>
        <w:tab/>
        <w:t>*</w:t>
      </w:r>
      <w:r w:rsidRPr="00D367BB">
        <w:rPr>
          <w:spacing w:val="5"/>
          <w:w w:val="104"/>
          <w:sz w:val="17"/>
          <w:szCs w:val="20"/>
          <w:lang w:val="fr-FR"/>
        </w:rPr>
        <w:tab/>
      </w:r>
      <w:r w:rsidR="00D367BB" w:rsidRPr="00D367BB">
        <w:rPr>
          <w:spacing w:val="5"/>
          <w:w w:val="104"/>
          <w:sz w:val="17"/>
          <w:szCs w:val="20"/>
          <w:lang w:val="fr-FR"/>
        </w:rPr>
        <w:t>Le présent document a été soumis après la date limite afin que puissent y figurer les</w:t>
      </w:r>
      <w:r w:rsidR="004F3E17">
        <w:rPr>
          <w:spacing w:val="5"/>
          <w:w w:val="104"/>
          <w:sz w:val="17"/>
          <w:szCs w:val="20"/>
          <w:lang w:val="fr-FR"/>
        </w:rPr>
        <w:t> </w:t>
      </w:r>
      <w:r w:rsidR="00D367BB" w:rsidRPr="00D367BB">
        <w:rPr>
          <w:spacing w:val="5"/>
          <w:w w:val="104"/>
          <w:sz w:val="17"/>
          <w:szCs w:val="20"/>
          <w:lang w:val="fr-FR"/>
        </w:rPr>
        <w:t>informations les plus récentes</w:t>
      </w:r>
      <w:r w:rsidRPr="00D367BB">
        <w:rPr>
          <w:spacing w:val="5"/>
          <w:w w:val="104"/>
          <w:sz w:val="17"/>
          <w:szCs w:val="20"/>
          <w:lang w:val="fr-FR"/>
        </w:rPr>
        <w:t>.</w:t>
      </w:r>
    </w:p>
    <w:p w14:paraId="30113FB1" w14:textId="169CCC6B" w:rsidR="00F7045B" w:rsidRPr="00D367BB" w:rsidRDefault="00F7045B">
      <w:pPr>
        <w:spacing w:after="200" w:line="276" w:lineRule="auto"/>
        <w:rPr>
          <w:sz w:val="10"/>
          <w:lang w:val="fr-FR"/>
        </w:rPr>
      </w:pPr>
      <w:r w:rsidRPr="00D367BB">
        <w:rPr>
          <w:sz w:val="10"/>
          <w:lang w:val="fr-FR"/>
        </w:rPr>
        <w:br w:type="page"/>
      </w:r>
    </w:p>
    <w:p w14:paraId="46BC9B25" w14:textId="77777777" w:rsidR="00F7045B" w:rsidRPr="00D367BB" w:rsidRDefault="00F7045B" w:rsidP="00F7045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hanging="1267"/>
        <w:rPr>
          <w:lang w:val="fr-FR"/>
        </w:rPr>
      </w:pPr>
      <w:r w:rsidRPr="00D367BB">
        <w:rPr>
          <w:lang w:val="fr-FR"/>
        </w:rPr>
        <w:lastRenderedPageBreak/>
        <w:tab/>
      </w:r>
      <w:r w:rsidRPr="00D367BB">
        <w:rPr>
          <w:lang w:val="fr-FR"/>
        </w:rPr>
        <w:tab/>
        <w:t>Annotations</w:t>
      </w:r>
    </w:p>
    <w:p w14:paraId="4C98A884" w14:textId="77777777" w:rsidR="00F7045B" w:rsidRPr="00D367BB" w:rsidRDefault="00F7045B" w:rsidP="00F7045B">
      <w:pPr>
        <w:pStyle w:val="SingleTxt"/>
        <w:keepNext/>
        <w:keepLines/>
        <w:suppressAutoHyphens w:val="0"/>
        <w:spacing w:after="0" w:line="120" w:lineRule="exact"/>
        <w:rPr>
          <w:sz w:val="10"/>
          <w:lang w:val="fr-FR"/>
        </w:rPr>
      </w:pPr>
    </w:p>
    <w:p w14:paraId="1785B423" w14:textId="77777777" w:rsidR="00F7045B" w:rsidRPr="00D367BB" w:rsidRDefault="00F7045B" w:rsidP="00F7045B">
      <w:pPr>
        <w:pStyle w:val="SingleTxt"/>
        <w:keepNext/>
        <w:keepLines/>
        <w:suppressAutoHyphens w:val="0"/>
        <w:spacing w:after="0" w:line="120" w:lineRule="exact"/>
        <w:rPr>
          <w:sz w:val="10"/>
          <w:lang w:val="fr-FR"/>
        </w:rPr>
      </w:pPr>
    </w:p>
    <w:p w14:paraId="7F5C5091" w14:textId="2F624313" w:rsidR="00F7045B" w:rsidRPr="00D367BB" w:rsidRDefault="00F7045B" w:rsidP="00F704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>1.</w:t>
      </w:r>
      <w:r w:rsidRPr="00D367BB">
        <w:rPr>
          <w:lang w:val="fr-FR"/>
        </w:rPr>
        <w:tab/>
        <w:t>Ouverture de la session</w:t>
      </w:r>
    </w:p>
    <w:p w14:paraId="138BD12D" w14:textId="77777777" w:rsidR="00F7045B" w:rsidRPr="00D367BB" w:rsidRDefault="00F7045B" w:rsidP="00F7045B">
      <w:pPr>
        <w:pStyle w:val="SingleTxt"/>
        <w:keepNext/>
        <w:keepLines/>
        <w:suppressAutoHyphens w:val="0"/>
        <w:spacing w:after="0" w:line="120" w:lineRule="exact"/>
        <w:rPr>
          <w:sz w:val="10"/>
          <w:lang w:val="fr-FR"/>
        </w:rPr>
      </w:pPr>
    </w:p>
    <w:p w14:paraId="75E4609E" w14:textId="67DC14FE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La quatre-vingt-unième session du Comité pour l</w:t>
      </w:r>
      <w:r w:rsidRPr="00D367BB">
        <w:rPr>
          <w:lang w:val="fr-FR"/>
        </w:rPr>
        <w:t>’</w:t>
      </w:r>
      <w:r w:rsidRPr="00D367BB">
        <w:rPr>
          <w:lang w:val="fr-FR"/>
        </w:rPr>
        <w:t>élimination de la discrimination à l</w:t>
      </w:r>
      <w:r w:rsidRPr="00D367BB">
        <w:rPr>
          <w:lang w:val="fr-FR"/>
        </w:rPr>
        <w:t>’</w:t>
      </w:r>
      <w:r w:rsidRPr="00D367BB">
        <w:rPr>
          <w:lang w:val="fr-FR"/>
        </w:rPr>
        <w:t>égard des femmes sera ouverte par la Présidente du Comité le 7 février 2022.</w:t>
      </w:r>
    </w:p>
    <w:p w14:paraId="555B9338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352BB512" w14:textId="7F37B08E" w:rsidR="00F7045B" w:rsidRPr="00D367BB" w:rsidRDefault="00F7045B" w:rsidP="00F704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>2.</w:t>
      </w:r>
      <w:r w:rsidRPr="00D367BB">
        <w:rPr>
          <w:lang w:val="fr-FR"/>
        </w:rPr>
        <w:tab/>
        <w:t>Adoption de l</w:t>
      </w:r>
      <w:r w:rsidRPr="00D367BB">
        <w:rPr>
          <w:lang w:val="fr-FR"/>
        </w:rPr>
        <w:t>’</w:t>
      </w:r>
      <w:r w:rsidRPr="00D367BB">
        <w:rPr>
          <w:lang w:val="fr-FR"/>
        </w:rPr>
        <w:t>ordre du jour et organisation des travaux</w:t>
      </w:r>
    </w:p>
    <w:p w14:paraId="68CE3254" w14:textId="77777777" w:rsidR="00F7045B" w:rsidRPr="00D367BB" w:rsidRDefault="00F7045B" w:rsidP="00F7045B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14:paraId="496DA299" w14:textId="4F80A4A5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 xml:space="preserve">Aux termes de </w:t>
      </w:r>
      <w:r w:rsidRPr="00D367BB">
        <w:rPr>
          <w:szCs w:val="20"/>
          <w:lang w:val="fr-FR"/>
        </w:rPr>
        <w:t>l</w:t>
      </w:r>
      <w:r w:rsidRPr="00D367BB">
        <w:rPr>
          <w:szCs w:val="20"/>
          <w:lang w:val="fr-FR"/>
        </w:rPr>
        <w:t>’</w:t>
      </w:r>
      <w:r w:rsidRPr="00D367BB">
        <w:rPr>
          <w:szCs w:val="20"/>
          <w:lang w:val="fr-FR"/>
        </w:rPr>
        <w:t>article</w:t>
      </w:r>
      <w:r w:rsidRPr="00D367BB">
        <w:rPr>
          <w:lang w:val="fr-FR"/>
        </w:rPr>
        <w:t xml:space="preserve"> 9 du Règlement intérieur, la première question inscrite à l</w:t>
      </w:r>
      <w:r w:rsidRPr="00D367BB">
        <w:rPr>
          <w:lang w:val="fr-FR"/>
        </w:rPr>
        <w:t>’</w:t>
      </w:r>
      <w:r w:rsidRPr="00D367BB">
        <w:rPr>
          <w:lang w:val="fr-FR"/>
        </w:rPr>
        <w:t>ordre du jour provisoire de chaque session est l</w:t>
      </w:r>
      <w:r w:rsidRPr="00D367BB">
        <w:rPr>
          <w:lang w:val="fr-FR"/>
        </w:rPr>
        <w:t>’</w:t>
      </w:r>
      <w:r w:rsidRPr="00D367BB">
        <w:rPr>
          <w:lang w:val="fr-FR"/>
        </w:rPr>
        <w:t>adoption de l</w:t>
      </w:r>
      <w:r w:rsidRPr="00D367BB">
        <w:rPr>
          <w:lang w:val="fr-FR"/>
        </w:rPr>
        <w:t>’</w:t>
      </w:r>
      <w:r w:rsidRPr="00D367BB">
        <w:rPr>
          <w:lang w:val="fr-FR"/>
        </w:rPr>
        <w:t>ordre du jour. Aux termes de l</w:t>
      </w:r>
      <w:r w:rsidRPr="00D367BB">
        <w:rPr>
          <w:lang w:val="fr-FR"/>
        </w:rPr>
        <w:t>’</w:t>
      </w:r>
      <w:r w:rsidRPr="00D367BB">
        <w:rPr>
          <w:lang w:val="fr-FR"/>
        </w:rPr>
        <w:t>article 7, l</w:t>
      </w:r>
      <w:r w:rsidRPr="00D367BB">
        <w:rPr>
          <w:lang w:val="fr-FR"/>
        </w:rPr>
        <w:t>’</w:t>
      </w:r>
      <w:r w:rsidRPr="00D367BB">
        <w:rPr>
          <w:lang w:val="fr-FR"/>
        </w:rPr>
        <w:t>ordre du jour provisoire de chaque session est établi par le Secrétaire général en consultation avec la présidence du Comité, conformément aux dispositions pertinentes des articles 17 à 22 de la Convention.</w:t>
      </w:r>
    </w:p>
    <w:p w14:paraId="0E039882" w14:textId="4B22A790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À sa quatre-vingtième session, le Comité a approuvé l</w:t>
      </w:r>
      <w:r w:rsidRPr="00D367BB">
        <w:rPr>
          <w:lang w:val="fr-FR"/>
        </w:rPr>
        <w:t>’</w:t>
      </w:r>
      <w:r w:rsidRPr="00D367BB">
        <w:rPr>
          <w:lang w:val="fr-FR"/>
        </w:rPr>
        <w:t>ordre du jour provisoire de la quatre-vingt-unième session.</w:t>
      </w:r>
    </w:p>
    <w:p w14:paraId="3AFE6D4C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4DB3CDAE" w14:textId="43ABBB5F" w:rsidR="00F7045B" w:rsidRPr="00D367BB" w:rsidRDefault="00F7045B" w:rsidP="00F704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>3.</w:t>
      </w:r>
      <w:r w:rsidRPr="00D367BB">
        <w:rPr>
          <w:lang w:val="fr-FR"/>
        </w:rPr>
        <w:tab/>
        <w:t>Rapport de la Présidente sur les activités menées entre la quatre-vingtième et la quatre-vingt-unième session du Comité</w:t>
      </w:r>
    </w:p>
    <w:p w14:paraId="05E67A96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75F96EF5" w14:textId="77777777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 xml:space="preserve">La Présidente rendra </w:t>
      </w:r>
      <w:r w:rsidRPr="00D367BB">
        <w:rPr>
          <w:szCs w:val="20"/>
          <w:lang w:val="fr-FR"/>
        </w:rPr>
        <w:t>compte</w:t>
      </w:r>
      <w:r w:rsidRPr="00D367BB">
        <w:rPr>
          <w:lang w:val="fr-FR"/>
        </w:rPr>
        <w:t xml:space="preserve"> au Comité des activités menées et des faits nouveaux survenus depuis la session précédente qui ont eu une incidence sur les travaux du Comité.</w:t>
      </w:r>
    </w:p>
    <w:p w14:paraId="7D229C1F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33CC397D" w14:textId="77777777" w:rsidR="00F7045B" w:rsidRPr="00D367BB" w:rsidRDefault="00F7045B" w:rsidP="00F7045B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ab/>
        <w:t>Documentation</w:t>
      </w:r>
    </w:p>
    <w:p w14:paraId="3CC63D5D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1C2CE12B" w14:textId="14D12C20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 xml:space="preserve">Ordre du jour </w:t>
      </w:r>
      <w:r w:rsidRPr="00D367BB">
        <w:rPr>
          <w:szCs w:val="20"/>
          <w:lang w:val="fr-FR"/>
        </w:rPr>
        <w:t>provisoire</w:t>
      </w:r>
      <w:r w:rsidRPr="00D367BB">
        <w:rPr>
          <w:lang w:val="fr-FR"/>
        </w:rPr>
        <w:t xml:space="preserve"> annoté (</w:t>
      </w:r>
      <w:hyperlink r:id="rId17" w:history="1">
        <w:r w:rsidRPr="00D367BB">
          <w:rPr>
            <w:rStyle w:val="Hyperlink"/>
            <w:lang w:val="fr-FR"/>
          </w:rPr>
          <w:t>CEDAW/C/81/1</w:t>
        </w:r>
      </w:hyperlink>
      <w:r w:rsidRPr="00D367BB">
        <w:rPr>
          <w:lang w:val="fr-FR"/>
        </w:rPr>
        <w:t>)</w:t>
      </w:r>
    </w:p>
    <w:p w14:paraId="00C6F3EF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6B88CBF9" w14:textId="4C9FC396" w:rsidR="00F7045B" w:rsidRPr="00D367BB" w:rsidRDefault="00F7045B" w:rsidP="00F704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>4.</w:t>
      </w:r>
      <w:r w:rsidRPr="00D367BB">
        <w:rPr>
          <w:lang w:val="fr-FR"/>
        </w:rPr>
        <w:tab/>
        <w:t>Examen des rapports soumis par les États parties en application de l</w:t>
      </w:r>
      <w:r w:rsidRPr="00D367BB">
        <w:rPr>
          <w:lang w:val="fr-FR"/>
        </w:rPr>
        <w:t>’</w:t>
      </w:r>
      <w:r w:rsidRPr="00D367BB">
        <w:rPr>
          <w:lang w:val="fr-FR"/>
        </w:rPr>
        <w:t xml:space="preserve">article 18 </w:t>
      </w:r>
      <w:r w:rsidR="00E555A3" w:rsidRPr="00D367BB">
        <w:rPr>
          <w:lang w:val="fr-FR"/>
        </w:rPr>
        <w:br/>
      </w:r>
      <w:r w:rsidRPr="00D367BB">
        <w:rPr>
          <w:lang w:val="fr-FR"/>
        </w:rPr>
        <w:t>de la Convention sur l</w:t>
      </w:r>
      <w:r w:rsidRPr="00D367BB">
        <w:rPr>
          <w:lang w:val="fr-FR"/>
        </w:rPr>
        <w:t>’</w:t>
      </w:r>
      <w:r w:rsidRPr="00D367BB">
        <w:rPr>
          <w:lang w:val="fr-FR"/>
        </w:rPr>
        <w:t>élimination de toutes les formes de discrimination</w:t>
      </w:r>
      <w:r w:rsidR="00E555A3" w:rsidRPr="00D367BB">
        <w:rPr>
          <w:lang w:val="fr-FR"/>
        </w:rPr>
        <w:br/>
      </w:r>
      <w:r w:rsidRPr="00D367BB">
        <w:rPr>
          <w:lang w:val="fr-FR"/>
        </w:rPr>
        <w:t>à l</w:t>
      </w:r>
      <w:r w:rsidRPr="00D367BB">
        <w:rPr>
          <w:lang w:val="fr-FR"/>
        </w:rPr>
        <w:t>’</w:t>
      </w:r>
      <w:r w:rsidRPr="00D367BB">
        <w:rPr>
          <w:lang w:val="fr-FR"/>
        </w:rPr>
        <w:t>égard des femmes</w:t>
      </w:r>
    </w:p>
    <w:p w14:paraId="7A05F97B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5240C9F6" w14:textId="76741A58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Aux termes de l</w:t>
      </w:r>
      <w:r w:rsidRPr="00D367BB">
        <w:rPr>
          <w:lang w:val="fr-FR"/>
        </w:rPr>
        <w:t>’</w:t>
      </w:r>
      <w:r w:rsidRPr="00D367BB">
        <w:rPr>
          <w:lang w:val="fr-FR"/>
        </w:rPr>
        <w:t>article 18 de la Convention, les États parties s</w:t>
      </w:r>
      <w:r w:rsidRPr="00D367BB">
        <w:rPr>
          <w:lang w:val="fr-FR"/>
        </w:rPr>
        <w:t>’</w:t>
      </w:r>
      <w:r w:rsidRPr="00D367BB">
        <w:rPr>
          <w:lang w:val="fr-FR"/>
        </w:rPr>
        <w:t xml:space="preserve">engagent à présenter au Secrétaire général, pour examen par le </w:t>
      </w:r>
      <w:r w:rsidRPr="00D367BB">
        <w:rPr>
          <w:szCs w:val="20"/>
          <w:lang w:val="fr-FR"/>
        </w:rPr>
        <w:t>Comité</w:t>
      </w:r>
      <w:r w:rsidRPr="00D367BB">
        <w:rPr>
          <w:lang w:val="fr-FR"/>
        </w:rPr>
        <w:t>, un rapport sur les mesures d</w:t>
      </w:r>
      <w:r w:rsidRPr="00D367BB">
        <w:rPr>
          <w:lang w:val="fr-FR"/>
        </w:rPr>
        <w:t>’</w:t>
      </w:r>
      <w:r w:rsidRPr="00D367BB">
        <w:rPr>
          <w:lang w:val="fr-FR"/>
        </w:rPr>
        <w:t>ordre législatif, judiciaire, administratif ou autre qu</w:t>
      </w:r>
      <w:r w:rsidRPr="00D367BB">
        <w:rPr>
          <w:lang w:val="fr-FR"/>
        </w:rPr>
        <w:t>’</w:t>
      </w:r>
      <w:r w:rsidRPr="00D367BB">
        <w:rPr>
          <w:lang w:val="fr-FR"/>
        </w:rPr>
        <w:t>ils ont adoptées pour donner effet aux dispositions de la Convention et sur les progrès réalisés à cet égard. Les rapports doivent être présentés dans l</w:t>
      </w:r>
      <w:r w:rsidRPr="00D367BB">
        <w:rPr>
          <w:lang w:val="fr-FR"/>
        </w:rPr>
        <w:t>’</w:t>
      </w:r>
      <w:r w:rsidRPr="00D367BB">
        <w:rPr>
          <w:lang w:val="fr-FR"/>
        </w:rPr>
        <w:t>année suivant l</w:t>
      </w:r>
      <w:r w:rsidRPr="00D367BB">
        <w:rPr>
          <w:lang w:val="fr-FR"/>
        </w:rPr>
        <w:t>’</w:t>
      </w:r>
      <w:r w:rsidRPr="00D367BB">
        <w:rPr>
          <w:lang w:val="fr-FR"/>
        </w:rPr>
        <w:t>entrée en vigueur de la Convention dans l</w:t>
      </w:r>
      <w:r w:rsidRPr="00D367BB">
        <w:rPr>
          <w:lang w:val="fr-FR"/>
        </w:rPr>
        <w:t>’</w:t>
      </w:r>
      <w:r w:rsidRPr="00D367BB">
        <w:rPr>
          <w:lang w:val="fr-FR"/>
        </w:rPr>
        <w:t>État intéressé, puis tous les quatre ans, ainsi qu</w:t>
      </w:r>
      <w:r w:rsidRPr="00D367BB">
        <w:rPr>
          <w:lang w:val="fr-FR"/>
        </w:rPr>
        <w:t>’</w:t>
      </w:r>
      <w:r w:rsidRPr="00D367BB">
        <w:rPr>
          <w:lang w:val="fr-FR"/>
        </w:rPr>
        <w:t>à la demande du Comité.</w:t>
      </w:r>
    </w:p>
    <w:p w14:paraId="1A90B9F6" w14:textId="77777777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 xml:space="preserve">À sa quatre-vingt-unième session, le Comité examinera les rapports des États parties suivants : Gabon, Liban, Ouganda, </w:t>
      </w:r>
      <w:r w:rsidRPr="00D367BB">
        <w:rPr>
          <w:szCs w:val="20"/>
          <w:lang w:val="fr-FR"/>
        </w:rPr>
        <w:t>Ouzbékistan</w:t>
      </w:r>
      <w:r w:rsidRPr="00D367BB">
        <w:rPr>
          <w:lang w:val="fr-FR"/>
        </w:rPr>
        <w:t>, Panama, Pérou, République dominicaine et Sénégal.</w:t>
      </w:r>
    </w:p>
    <w:p w14:paraId="3D3AD2CE" w14:textId="71C9E97E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En vertu de l</w:t>
      </w:r>
      <w:r w:rsidRPr="00D367BB">
        <w:rPr>
          <w:lang w:val="fr-FR"/>
        </w:rPr>
        <w:t>’</w:t>
      </w:r>
      <w:r w:rsidRPr="00D367BB">
        <w:rPr>
          <w:lang w:val="fr-FR"/>
        </w:rPr>
        <w:t xml:space="preserve">article 51 du Règlement intérieur, les États parties sont représentés aux réunions du Comité au cours desquelles leurs rapports sont examinés ; leurs représentant(e)s participent aux débats et répondent aux questions ayant trait aux </w:t>
      </w:r>
      <w:r w:rsidRPr="00D367BB">
        <w:rPr>
          <w:szCs w:val="20"/>
          <w:lang w:val="fr-FR"/>
        </w:rPr>
        <w:t>rapports</w:t>
      </w:r>
      <w:r w:rsidRPr="00D367BB">
        <w:rPr>
          <w:lang w:val="fr-FR"/>
        </w:rPr>
        <w:t>.</w:t>
      </w:r>
      <w:bookmarkStart w:id="1" w:name="BeginPage"/>
      <w:bookmarkEnd w:id="1"/>
    </w:p>
    <w:p w14:paraId="14B60AC5" w14:textId="567CABFA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En vertu de l</w:t>
      </w:r>
      <w:r w:rsidRPr="00D367BB">
        <w:rPr>
          <w:lang w:val="fr-FR"/>
        </w:rPr>
        <w:t>’</w:t>
      </w:r>
      <w:r w:rsidRPr="00D367BB">
        <w:rPr>
          <w:lang w:val="fr-FR"/>
        </w:rPr>
        <w:t>article 49 du Règlement intérieur, à chaque session, le Secrétaire général fait savoir au Comité quels sont les États parties qui n</w:t>
      </w:r>
      <w:r w:rsidRPr="00D367BB">
        <w:rPr>
          <w:lang w:val="fr-FR"/>
        </w:rPr>
        <w:t>’</w:t>
      </w:r>
      <w:r w:rsidRPr="00D367BB">
        <w:rPr>
          <w:lang w:val="fr-FR"/>
        </w:rPr>
        <w:t>ont pas soumis les rapports prévus par l</w:t>
      </w:r>
      <w:r w:rsidRPr="00D367BB">
        <w:rPr>
          <w:lang w:val="fr-FR"/>
        </w:rPr>
        <w:t>’</w:t>
      </w:r>
      <w:r w:rsidRPr="00D367BB">
        <w:rPr>
          <w:lang w:val="fr-FR"/>
        </w:rPr>
        <w:t>article 18 de la Convention. En outre, il lui fournit périodiquement une liste des rapports soumis par les États parties, ainsi qu</w:t>
      </w:r>
      <w:r w:rsidRPr="00D367BB">
        <w:rPr>
          <w:lang w:val="fr-FR"/>
        </w:rPr>
        <w:t>’</w:t>
      </w:r>
      <w:r w:rsidRPr="00D367BB">
        <w:rPr>
          <w:lang w:val="fr-FR"/>
        </w:rPr>
        <w:t>une liste des rapports soumis par les États parties qui n</w:t>
      </w:r>
      <w:r w:rsidRPr="00D367BB">
        <w:rPr>
          <w:lang w:val="fr-FR"/>
        </w:rPr>
        <w:t>’</w:t>
      </w:r>
      <w:r w:rsidRPr="00D367BB">
        <w:rPr>
          <w:lang w:val="fr-FR"/>
        </w:rPr>
        <w:t>ont pas encore été examinés par le Comité.</w:t>
      </w:r>
    </w:p>
    <w:p w14:paraId="26C7EA8E" w14:textId="7E2338E5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 xml:space="preserve">Un groupe de travail de présession établit des listes de points et de questions concernant les rapports, qui sont transmises aux États </w:t>
      </w:r>
      <w:r w:rsidRPr="00D367BB">
        <w:rPr>
          <w:szCs w:val="20"/>
          <w:lang w:val="fr-FR"/>
        </w:rPr>
        <w:t>parties</w:t>
      </w:r>
      <w:r w:rsidRPr="00D367BB">
        <w:rPr>
          <w:lang w:val="fr-FR"/>
        </w:rPr>
        <w:t xml:space="preserve"> avant les réunions au cours desquelles leurs rapports doivent être examinés. Le groupe de travail de </w:t>
      </w:r>
      <w:r w:rsidRPr="00D367BB">
        <w:rPr>
          <w:lang w:val="fr-FR"/>
        </w:rPr>
        <w:lastRenderedPageBreak/>
        <w:t>présession de la quatre-vingt-unième session s</w:t>
      </w:r>
      <w:r w:rsidRPr="00D367BB">
        <w:rPr>
          <w:lang w:val="fr-FR"/>
        </w:rPr>
        <w:t>’</w:t>
      </w:r>
      <w:r w:rsidRPr="00D367BB">
        <w:rPr>
          <w:lang w:val="fr-FR"/>
        </w:rPr>
        <w:t>est réuni à distance du 5 au 9 juillet 2021. Son rapport (</w:t>
      </w:r>
      <w:hyperlink r:id="rId18" w:history="1">
        <w:r w:rsidRPr="00D367BB">
          <w:rPr>
            <w:rStyle w:val="Hyperlink"/>
            <w:lang w:val="fr-FR"/>
          </w:rPr>
          <w:t>CEDAW/C/PSWG/81/1</w:t>
        </w:r>
      </w:hyperlink>
      <w:r w:rsidRPr="00D367BB">
        <w:rPr>
          <w:lang w:val="fr-FR"/>
        </w:rPr>
        <w:t>) sera présenté au Comité.</w:t>
      </w:r>
    </w:p>
    <w:p w14:paraId="5E7E0BE5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249B46E1" w14:textId="77777777" w:rsidR="00F7045B" w:rsidRPr="00D367BB" w:rsidRDefault="00F7045B" w:rsidP="00F704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367BB">
        <w:rPr>
          <w:i/>
          <w:lang w:val="fr-FR"/>
        </w:rPr>
        <w:tab/>
      </w:r>
      <w:r w:rsidRPr="00D367BB">
        <w:rPr>
          <w:i/>
          <w:lang w:val="fr-FR"/>
        </w:rPr>
        <w:tab/>
      </w:r>
      <w:r w:rsidRPr="00D367BB">
        <w:rPr>
          <w:lang w:val="fr-FR"/>
        </w:rPr>
        <w:t>Documentation</w:t>
      </w:r>
    </w:p>
    <w:p w14:paraId="73FAF4C9" w14:textId="77777777" w:rsidR="00F7045B" w:rsidRPr="00D367BB" w:rsidRDefault="00F7045B" w:rsidP="00F7045B">
      <w:pPr>
        <w:pStyle w:val="SingleTxt"/>
        <w:keepNext/>
        <w:keepLines/>
        <w:spacing w:after="0" w:line="100" w:lineRule="exact"/>
        <w:rPr>
          <w:sz w:val="10"/>
          <w:lang w:val="fr-FR"/>
        </w:rPr>
      </w:pPr>
    </w:p>
    <w:p w14:paraId="7D8DB50F" w14:textId="77777777" w:rsidR="00F7045B" w:rsidRPr="00D367BB" w:rsidRDefault="00F7045B" w:rsidP="00F7045B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ab/>
        <w:t>Rapports</w:t>
      </w:r>
    </w:p>
    <w:p w14:paraId="4067EBF9" w14:textId="77777777" w:rsidR="00F7045B" w:rsidRPr="00D367BB" w:rsidRDefault="00F7045B" w:rsidP="00F7045B">
      <w:pPr>
        <w:pStyle w:val="SingleTxt"/>
        <w:keepNext/>
        <w:keepLines/>
        <w:spacing w:after="0" w:line="100" w:lineRule="exact"/>
        <w:rPr>
          <w:sz w:val="10"/>
          <w:lang w:val="fr-FR"/>
        </w:rPr>
      </w:pPr>
    </w:p>
    <w:p w14:paraId="6DD47C1B" w14:textId="684DCC89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Huitième rapport périodique soumis par la République dominicaine selon la procédure simplifiée de présentation des rapports (</w:t>
      </w:r>
      <w:hyperlink r:id="rId19" w:history="1">
        <w:r w:rsidRPr="00D367BB">
          <w:rPr>
            <w:rStyle w:val="Hyperlink"/>
            <w:lang w:val="fr-FR"/>
          </w:rPr>
          <w:t>CEDAW/C/DOM/8</w:t>
        </w:r>
      </w:hyperlink>
      <w:r w:rsidRPr="00D367BB">
        <w:rPr>
          <w:lang w:val="fr-FR"/>
        </w:rPr>
        <w:t>)</w:t>
      </w:r>
    </w:p>
    <w:p w14:paraId="0BAA110C" w14:textId="02AEC86C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Septième rapport périodique du Gabon (</w:t>
      </w:r>
      <w:hyperlink r:id="rId20" w:history="1">
        <w:r w:rsidRPr="00D367BB">
          <w:rPr>
            <w:rStyle w:val="Hyperlink"/>
            <w:lang w:val="fr-FR"/>
          </w:rPr>
          <w:t>CEDAW/C/GAB/7</w:t>
        </w:r>
      </w:hyperlink>
      <w:r w:rsidRPr="00D367BB">
        <w:rPr>
          <w:lang w:val="fr-FR"/>
        </w:rPr>
        <w:t>)</w:t>
      </w:r>
    </w:p>
    <w:p w14:paraId="165CA8F1" w14:textId="628D511D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Sixième rapport périodique du Liban (</w:t>
      </w:r>
      <w:hyperlink r:id="rId21" w:history="1">
        <w:r w:rsidRPr="00D367BB">
          <w:rPr>
            <w:rStyle w:val="Hyperlink"/>
            <w:lang w:val="fr-FR"/>
          </w:rPr>
          <w:t>CEDAW/C/LBN/6</w:t>
        </w:r>
      </w:hyperlink>
      <w:r w:rsidRPr="00D367BB">
        <w:rPr>
          <w:lang w:val="fr-FR"/>
        </w:rPr>
        <w:t>)</w:t>
      </w:r>
    </w:p>
    <w:p w14:paraId="7BC9E623" w14:textId="7480CFAC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Huitième rapport périodique soumis par le Panama selon la procédure simplifiée de présentation des rapports (</w:t>
      </w:r>
      <w:hyperlink r:id="rId22" w:history="1">
        <w:r w:rsidRPr="00D367BB">
          <w:rPr>
            <w:rStyle w:val="Hyperlink"/>
            <w:lang w:val="fr-FR"/>
          </w:rPr>
          <w:t>CEDAW/C/PAN/8</w:t>
        </w:r>
      </w:hyperlink>
      <w:r w:rsidRPr="00D367BB">
        <w:rPr>
          <w:lang w:val="fr-FR"/>
        </w:rPr>
        <w:t>)</w:t>
      </w:r>
    </w:p>
    <w:p w14:paraId="0B8EBC96" w14:textId="78ADB952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Neuvième rapport périodique du Pérou (</w:t>
      </w:r>
      <w:hyperlink r:id="rId23" w:history="1">
        <w:r w:rsidRPr="00D367BB">
          <w:rPr>
            <w:rStyle w:val="Hyperlink"/>
            <w:lang w:val="fr-FR"/>
          </w:rPr>
          <w:t>CEDAW/C/PER/9</w:t>
        </w:r>
      </w:hyperlink>
      <w:r w:rsidRPr="00D367BB">
        <w:rPr>
          <w:lang w:val="fr-FR"/>
        </w:rPr>
        <w:t>)</w:t>
      </w:r>
    </w:p>
    <w:p w14:paraId="7DE5814F" w14:textId="527CD9CF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Huitième rapport périodique du Sénégal (</w:t>
      </w:r>
      <w:hyperlink r:id="rId24" w:history="1">
        <w:r w:rsidRPr="00D367BB">
          <w:rPr>
            <w:rStyle w:val="Hyperlink"/>
            <w:lang w:val="fr-FR"/>
          </w:rPr>
          <w:t>CEDAW/C/SEN/8</w:t>
        </w:r>
      </w:hyperlink>
      <w:r w:rsidRPr="00D367BB">
        <w:rPr>
          <w:lang w:val="fr-FR"/>
        </w:rPr>
        <w:t>)</w:t>
      </w:r>
    </w:p>
    <w:p w14:paraId="689EA417" w14:textId="53E3F2EB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Rapport unique de l</w:t>
      </w:r>
      <w:r w:rsidRPr="00D367BB">
        <w:rPr>
          <w:lang w:val="fr-FR"/>
        </w:rPr>
        <w:t>’</w:t>
      </w:r>
      <w:r w:rsidRPr="00D367BB">
        <w:rPr>
          <w:lang w:val="fr-FR"/>
        </w:rPr>
        <w:t>Ouganda valant huitième et neuvième rapports périodiques (</w:t>
      </w:r>
      <w:hyperlink r:id="rId25" w:history="1">
        <w:r w:rsidRPr="00D367BB">
          <w:rPr>
            <w:rStyle w:val="Hyperlink"/>
            <w:lang w:val="fr-FR"/>
          </w:rPr>
          <w:t>CEDAW/C/UGA/8-9</w:t>
        </w:r>
      </w:hyperlink>
      <w:r w:rsidRPr="00D367BB">
        <w:rPr>
          <w:lang w:val="fr-FR"/>
        </w:rPr>
        <w:t>)</w:t>
      </w:r>
    </w:p>
    <w:p w14:paraId="7D911150" w14:textId="52F940B2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Sixième rapport périodique de l</w:t>
      </w:r>
      <w:r w:rsidRPr="00D367BB">
        <w:rPr>
          <w:lang w:val="fr-FR"/>
        </w:rPr>
        <w:t>’</w:t>
      </w:r>
      <w:r w:rsidRPr="00D367BB">
        <w:rPr>
          <w:lang w:val="fr-FR"/>
        </w:rPr>
        <w:t>Ouzbékistan (</w:t>
      </w:r>
      <w:hyperlink r:id="rId26" w:history="1">
        <w:r w:rsidRPr="00D367BB">
          <w:rPr>
            <w:rStyle w:val="Hyperlink"/>
            <w:lang w:val="fr-FR"/>
          </w:rPr>
          <w:t>CEDAW/C/UZB/6</w:t>
        </w:r>
      </w:hyperlink>
      <w:r w:rsidRPr="00D367BB">
        <w:rPr>
          <w:lang w:val="fr-FR"/>
        </w:rPr>
        <w:t>)</w:t>
      </w:r>
    </w:p>
    <w:p w14:paraId="41521C54" w14:textId="77777777" w:rsidR="00F7045B" w:rsidRPr="00D367BB" w:rsidRDefault="00F7045B" w:rsidP="00F7045B">
      <w:pPr>
        <w:pStyle w:val="SingleTxt"/>
        <w:spacing w:after="0" w:line="100" w:lineRule="exact"/>
        <w:rPr>
          <w:sz w:val="10"/>
          <w:lang w:val="fr-FR"/>
        </w:rPr>
      </w:pPr>
    </w:p>
    <w:p w14:paraId="06159C82" w14:textId="77777777" w:rsidR="00F7045B" w:rsidRPr="00D367BB" w:rsidRDefault="00F7045B" w:rsidP="00F7045B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ab/>
        <w:t>Listes de points et de questions</w:t>
      </w:r>
    </w:p>
    <w:p w14:paraId="0621E07A" w14:textId="77777777" w:rsidR="00F7045B" w:rsidRPr="00D367BB" w:rsidRDefault="00F7045B" w:rsidP="00F7045B">
      <w:pPr>
        <w:pStyle w:val="SingleTxt"/>
        <w:spacing w:after="0" w:line="100" w:lineRule="exact"/>
        <w:rPr>
          <w:sz w:val="10"/>
          <w:lang w:val="fr-FR"/>
        </w:rPr>
      </w:pPr>
    </w:p>
    <w:p w14:paraId="5CAD531A" w14:textId="60381B1F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République dominicaine (</w:t>
      </w:r>
      <w:hyperlink r:id="rId27" w:history="1">
        <w:r w:rsidRPr="00D367BB">
          <w:rPr>
            <w:rStyle w:val="Hyperlink"/>
            <w:lang w:val="fr-FR"/>
          </w:rPr>
          <w:t>CEDAW/C/DOM/QPR/8</w:t>
        </w:r>
      </w:hyperlink>
      <w:r w:rsidRPr="00D367BB">
        <w:rPr>
          <w:lang w:val="fr-FR"/>
        </w:rPr>
        <w:t>)</w:t>
      </w:r>
    </w:p>
    <w:p w14:paraId="005A01CA" w14:textId="41FC9182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Gabon (</w:t>
      </w:r>
      <w:hyperlink r:id="rId28" w:history="1">
        <w:r w:rsidRPr="00D367BB">
          <w:rPr>
            <w:rStyle w:val="Hyperlink"/>
            <w:lang w:val="fr-FR"/>
          </w:rPr>
          <w:t>CEDAW/C/GAB/Q/7</w:t>
        </w:r>
      </w:hyperlink>
      <w:r w:rsidRPr="00D367BB">
        <w:rPr>
          <w:lang w:val="fr-FR"/>
        </w:rPr>
        <w:t>)</w:t>
      </w:r>
    </w:p>
    <w:p w14:paraId="180340BB" w14:textId="76AB6ED2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Liban (</w:t>
      </w:r>
      <w:hyperlink r:id="rId29" w:history="1">
        <w:r w:rsidRPr="00D367BB">
          <w:rPr>
            <w:rStyle w:val="Hyperlink"/>
            <w:lang w:val="fr-FR"/>
          </w:rPr>
          <w:t>CEDAW/C/LBN/Q/6</w:t>
        </w:r>
      </w:hyperlink>
      <w:r w:rsidRPr="00D367BB">
        <w:rPr>
          <w:lang w:val="fr-FR"/>
        </w:rPr>
        <w:t>)</w:t>
      </w:r>
    </w:p>
    <w:p w14:paraId="4FD70F10" w14:textId="5E3792EF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Panama (</w:t>
      </w:r>
      <w:hyperlink r:id="rId30" w:history="1">
        <w:r w:rsidRPr="00D367BB">
          <w:rPr>
            <w:rStyle w:val="Hyperlink"/>
            <w:lang w:val="fr-FR"/>
          </w:rPr>
          <w:t>CEDAW/C/PAN/QPR/8</w:t>
        </w:r>
      </w:hyperlink>
      <w:r w:rsidRPr="00D367BB">
        <w:rPr>
          <w:lang w:val="fr-FR"/>
        </w:rPr>
        <w:t>)</w:t>
      </w:r>
    </w:p>
    <w:p w14:paraId="0869CBD0" w14:textId="42B1E5D3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Pérou (</w:t>
      </w:r>
      <w:hyperlink r:id="rId31" w:history="1">
        <w:r w:rsidRPr="00D367BB">
          <w:rPr>
            <w:rStyle w:val="Hyperlink"/>
            <w:lang w:val="fr-FR"/>
          </w:rPr>
          <w:t>CEDAW/C/PER/Q/9</w:t>
        </w:r>
      </w:hyperlink>
      <w:r w:rsidRPr="00D367BB">
        <w:rPr>
          <w:lang w:val="fr-FR"/>
        </w:rPr>
        <w:t>)</w:t>
      </w:r>
    </w:p>
    <w:p w14:paraId="5DBC9EF0" w14:textId="0B97658F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Sénégal (</w:t>
      </w:r>
      <w:hyperlink r:id="rId32" w:history="1">
        <w:r w:rsidRPr="00D367BB">
          <w:rPr>
            <w:rStyle w:val="Hyperlink"/>
            <w:lang w:val="fr-FR"/>
          </w:rPr>
          <w:t>CEDAW/C/SEN/Q/8</w:t>
        </w:r>
      </w:hyperlink>
      <w:r w:rsidRPr="00D367BB">
        <w:rPr>
          <w:lang w:val="fr-FR"/>
        </w:rPr>
        <w:t>)</w:t>
      </w:r>
    </w:p>
    <w:p w14:paraId="282A35C1" w14:textId="4919F348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Ouganda (</w:t>
      </w:r>
      <w:hyperlink r:id="rId33" w:history="1">
        <w:r w:rsidRPr="00D367BB">
          <w:rPr>
            <w:rStyle w:val="Hyperlink"/>
            <w:lang w:val="fr-FR"/>
          </w:rPr>
          <w:t>CEDAW/C/UGA/Q/8-9</w:t>
        </w:r>
      </w:hyperlink>
      <w:r w:rsidRPr="00D367BB">
        <w:rPr>
          <w:lang w:val="fr-FR"/>
        </w:rPr>
        <w:t>)</w:t>
      </w:r>
    </w:p>
    <w:p w14:paraId="765CFB69" w14:textId="0F61F3A5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Ouzbékistan (</w:t>
      </w:r>
      <w:hyperlink r:id="rId34" w:history="1">
        <w:r w:rsidRPr="00D367BB">
          <w:rPr>
            <w:rStyle w:val="Hyperlink"/>
            <w:lang w:val="fr-FR"/>
          </w:rPr>
          <w:t>CEDAW/C/UZB/Q/6</w:t>
        </w:r>
      </w:hyperlink>
      <w:r w:rsidRPr="00D367BB">
        <w:rPr>
          <w:lang w:val="fr-FR"/>
        </w:rPr>
        <w:t>)</w:t>
      </w:r>
    </w:p>
    <w:p w14:paraId="10B1734B" w14:textId="77777777" w:rsidR="00F7045B" w:rsidRPr="00D367BB" w:rsidRDefault="00F7045B" w:rsidP="00F7045B">
      <w:pPr>
        <w:pStyle w:val="SingleTxt"/>
        <w:spacing w:after="0" w:line="100" w:lineRule="exact"/>
        <w:rPr>
          <w:sz w:val="10"/>
          <w:lang w:val="fr-FR"/>
        </w:rPr>
      </w:pPr>
    </w:p>
    <w:p w14:paraId="02A0BF25" w14:textId="77777777" w:rsidR="00F7045B" w:rsidRPr="00D367BB" w:rsidRDefault="00F7045B" w:rsidP="00F7045B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ab/>
        <w:t>Réponses aux listes de points et de questions</w:t>
      </w:r>
    </w:p>
    <w:p w14:paraId="6BD19913" w14:textId="77777777" w:rsidR="00F7045B" w:rsidRPr="00D367BB" w:rsidRDefault="00F7045B" w:rsidP="00F7045B">
      <w:pPr>
        <w:pStyle w:val="SingleTxt"/>
        <w:spacing w:after="0" w:line="100" w:lineRule="exact"/>
        <w:rPr>
          <w:sz w:val="10"/>
          <w:lang w:val="fr-FR"/>
        </w:rPr>
      </w:pPr>
    </w:p>
    <w:p w14:paraId="62EA554E" w14:textId="3C8B9F9A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Gabon (</w:t>
      </w:r>
      <w:hyperlink r:id="rId35" w:history="1">
        <w:r w:rsidRPr="00D367BB">
          <w:rPr>
            <w:rStyle w:val="Hyperlink"/>
            <w:lang w:val="fr-FR"/>
          </w:rPr>
          <w:t>CEDAW/C/GAB/RQ/7</w:t>
        </w:r>
      </w:hyperlink>
      <w:r w:rsidRPr="00D367BB">
        <w:rPr>
          <w:lang w:val="fr-FR"/>
        </w:rPr>
        <w:t>)</w:t>
      </w:r>
    </w:p>
    <w:p w14:paraId="52D7755D" w14:textId="14607CFA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Liban (</w:t>
      </w:r>
      <w:hyperlink r:id="rId36" w:history="1">
        <w:r w:rsidRPr="00D367BB">
          <w:rPr>
            <w:rStyle w:val="Hyperlink"/>
            <w:lang w:val="fr-FR"/>
          </w:rPr>
          <w:t>CEDAW/C/LBN/RQ/6</w:t>
        </w:r>
      </w:hyperlink>
      <w:r w:rsidRPr="00D367BB">
        <w:rPr>
          <w:lang w:val="fr-FR"/>
        </w:rPr>
        <w:t>)</w:t>
      </w:r>
    </w:p>
    <w:p w14:paraId="2EBE5D6F" w14:textId="5154CEE1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Pérou (</w:t>
      </w:r>
      <w:hyperlink r:id="rId37" w:history="1">
        <w:r w:rsidRPr="00D367BB">
          <w:rPr>
            <w:rStyle w:val="Hyperlink"/>
            <w:lang w:val="fr-FR"/>
          </w:rPr>
          <w:t>CEDAW/C/PER/RQ/9</w:t>
        </w:r>
      </w:hyperlink>
      <w:r w:rsidRPr="00D367BB">
        <w:rPr>
          <w:lang w:val="fr-FR"/>
        </w:rPr>
        <w:t>)</w:t>
      </w:r>
    </w:p>
    <w:p w14:paraId="58132D56" w14:textId="449AEF51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Sénégal (</w:t>
      </w:r>
      <w:hyperlink r:id="rId38" w:history="1">
        <w:r w:rsidRPr="00D367BB">
          <w:rPr>
            <w:rStyle w:val="Hyperlink"/>
            <w:lang w:val="fr-FR"/>
          </w:rPr>
          <w:t>CEDAW/C/SEN/RQ/8</w:t>
        </w:r>
      </w:hyperlink>
      <w:r w:rsidRPr="00D367BB">
        <w:rPr>
          <w:lang w:val="fr-FR"/>
        </w:rPr>
        <w:t>)</w:t>
      </w:r>
    </w:p>
    <w:p w14:paraId="72BF170D" w14:textId="174D32D4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Ouganda (</w:t>
      </w:r>
      <w:hyperlink r:id="rId39" w:history="1">
        <w:r w:rsidRPr="00D367BB">
          <w:rPr>
            <w:rStyle w:val="Hyperlink"/>
            <w:lang w:val="fr-FR"/>
          </w:rPr>
          <w:t>CEDAW/C/UGA/RQ/8-9</w:t>
        </w:r>
      </w:hyperlink>
      <w:r w:rsidRPr="00D367BB">
        <w:rPr>
          <w:lang w:val="fr-FR"/>
        </w:rPr>
        <w:t>)</w:t>
      </w:r>
    </w:p>
    <w:p w14:paraId="27E4539F" w14:textId="46E3F30A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Ouzbékistan (</w:t>
      </w:r>
      <w:hyperlink r:id="rId40" w:history="1">
        <w:r w:rsidRPr="00D367BB">
          <w:rPr>
            <w:rStyle w:val="Hyperlink"/>
            <w:lang w:val="fr-FR"/>
          </w:rPr>
          <w:t>CEDAW/C/UZB/RQ/6</w:t>
        </w:r>
      </w:hyperlink>
      <w:r w:rsidRPr="00D367BB">
        <w:rPr>
          <w:lang w:val="fr-FR"/>
        </w:rPr>
        <w:t>)</w:t>
      </w:r>
    </w:p>
    <w:p w14:paraId="7D68C503" w14:textId="4E1B9FEE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375B0485" w14:textId="7F6B8147" w:rsidR="00F7045B" w:rsidRPr="00D367BB" w:rsidRDefault="00F7045B" w:rsidP="00F704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>5.</w:t>
      </w:r>
      <w:r w:rsidRPr="00D367BB">
        <w:rPr>
          <w:lang w:val="fr-FR"/>
        </w:rPr>
        <w:tab/>
        <w:t>Suite donnée à l</w:t>
      </w:r>
      <w:r w:rsidRPr="00D367BB">
        <w:rPr>
          <w:lang w:val="fr-FR"/>
        </w:rPr>
        <w:t>’</w:t>
      </w:r>
      <w:r w:rsidRPr="00D367BB">
        <w:rPr>
          <w:lang w:val="fr-FR"/>
        </w:rPr>
        <w:t>examen des rapports soumis par les États parties en application de l</w:t>
      </w:r>
      <w:r w:rsidRPr="00D367BB">
        <w:rPr>
          <w:lang w:val="fr-FR"/>
        </w:rPr>
        <w:t>’</w:t>
      </w:r>
      <w:r w:rsidRPr="00D367BB">
        <w:rPr>
          <w:lang w:val="fr-FR"/>
        </w:rPr>
        <w:t>article 18 de la Convention</w:t>
      </w:r>
    </w:p>
    <w:p w14:paraId="39C922AE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7444482C" w14:textId="77777777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 xml:space="preserve">Le Comité </w:t>
      </w:r>
      <w:r w:rsidRPr="00D367BB">
        <w:rPr>
          <w:szCs w:val="20"/>
          <w:lang w:val="fr-FR"/>
        </w:rPr>
        <w:t>examinera</w:t>
      </w:r>
      <w:r w:rsidRPr="00D367BB">
        <w:rPr>
          <w:lang w:val="fr-FR"/>
        </w:rPr>
        <w:t xml:space="preserve"> les questions se rapportant à la suite donnée à ses observations finales.</w:t>
      </w:r>
    </w:p>
    <w:p w14:paraId="7A91AD74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41B82384" w14:textId="0C367FD0" w:rsidR="00F7045B" w:rsidRPr="00D367BB" w:rsidRDefault="00F7045B" w:rsidP="00E555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367BB">
        <w:rPr>
          <w:lang w:val="fr-FR"/>
        </w:rPr>
        <w:lastRenderedPageBreak/>
        <w:tab/>
      </w:r>
      <w:r w:rsidRPr="00D367BB">
        <w:rPr>
          <w:lang w:val="fr-FR"/>
        </w:rPr>
        <w:t>6.</w:t>
      </w:r>
      <w:r w:rsidRPr="00D367BB">
        <w:rPr>
          <w:lang w:val="fr-FR"/>
        </w:rPr>
        <w:tab/>
        <w:t>Application des articles 21 et 22 de la Convention</w:t>
      </w:r>
    </w:p>
    <w:p w14:paraId="503759D7" w14:textId="77777777" w:rsidR="00F7045B" w:rsidRPr="00D367BB" w:rsidRDefault="00F7045B" w:rsidP="00E555A3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14:paraId="767E739B" w14:textId="7A298260" w:rsidR="00F7045B" w:rsidRPr="00D367BB" w:rsidRDefault="00F7045B" w:rsidP="00E555A3">
      <w:pPr>
        <w:pStyle w:val="SingleTxt"/>
        <w:keepNext/>
        <w:keepLines/>
        <w:rPr>
          <w:lang w:val="fr-FR"/>
        </w:rPr>
      </w:pPr>
      <w:r w:rsidRPr="00D367BB">
        <w:rPr>
          <w:lang w:val="fr-FR"/>
        </w:rPr>
        <w:t>Aux termes de l</w:t>
      </w:r>
      <w:r w:rsidRPr="00D367BB">
        <w:rPr>
          <w:lang w:val="fr-FR"/>
        </w:rPr>
        <w:t>’</w:t>
      </w:r>
      <w:r w:rsidRPr="00D367BB">
        <w:rPr>
          <w:lang w:val="fr-FR"/>
        </w:rPr>
        <w:t xml:space="preserve">article 21 de la Convention, le Comité peut formuler des suggestions et des recommandations générales </w:t>
      </w:r>
      <w:r w:rsidRPr="00D367BB">
        <w:rPr>
          <w:szCs w:val="20"/>
          <w:lang w:val="fr-FR"/>
        </w:rPr>
        <w:t>fondées</w:t>
      </w:r>
      <w:r w:rsidRPr="00D367BB">
        <w:rPr>
          <w:lang w:val="fr-FR"/>
        </w:rPr>
        <w:t xml:space="preserve"> sur l</w:t>
      </w:r>
      <w:r w:rsidRPr="00D367BB">
        <w:rPr>
          <w:lang w:val="fr-FR"/>
        </w:rPr>
        <w:t>’</w:t>
      </w:r>
      <w:r w:rsidRPr="00D367BB">
        <w:rPr>
          <w:lang w:val="fr-FR"/>
        </w:rPr>
        <w:t>examen des rapports et des renseignements reçus des États parties. Ces suggestions et recommandations sont incluses dans le rapport du Comité à l</w:t>
      </w:r>
      <w:r w:rsidRPr="00D367BB">
        <w:rPr>
          <w:lang w:val="fr-FR"/>
        </w:rPr>
        <w:t>’</w:t>
      </w:r>
      <w:r w:rsidRPr="00D367BB">
        <w:rPr>
          <w:lang w:val="fr-FR"/>
        </w:rPr>
        <w:t>Assemblée générale, accompagnées, le cas échéant, des observations des États parties.</w:t>
      </w:r>
    </w:p>
    <w:p w14:paraId="6C25EDBA" w14:textId="222CB92B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Aux termes de l</w:t>
      </w:r>
      <w:r w:rsidRPr="00D367BB">
        <w:rPr>
          <w:lang w:val="fr-FR"/>
        </w:rPr>
        <w:t>’</w:t>
      </w:r>
      <w:r w:rsidRPr="00D367BB">
        <w:rPr>
          <w:lang w:val="fr-FR"/>
        </w:rPr>
        <w:t>article 22 de la Convention, les institutions spécialisées ont le droit d</w:t>
      </w:r>
      <w:r w:rsidRPr="00D367BB">
        <w:rPr>
          <w:lang w:val="fr-FR"/>
        </w:rPr>
        <w:t>’</w:t>
      </w:r>
      <w:r w:rsidRPr="00D367BB">
        <w:rPr>
          <w:lang w:val="fr-FR"/>
        </w:rPr>
        <w:t>être représentées lors de l</w:t>
      </w:r>
      <w:r w:rsidRPr="00D367BB">
        <w:rPr>
          <w:lang w:val="fr-FR"/>
        </w:rPr>
        <w:t>’</w:t>
      </w:r>
      <w:r w:rsidRPr="00D367BB">
        <w:rPr>
          <w:lang w:val="fr-FR"/>
        </w:rPr>
        <w:t>examen de la mise en œuvre de toute disposition de la Convention qui entre dans le cadre de leurs activités, et le Comité peut les inviter à soumettre des rapports sur l</w:t>
      </w:r>
      <w:r w:rsidRPr="00D367BB">
        <w:rPr>
          <w:lang w:val="fr-FR"/>
        </w:rPr>
        <w:t>’</w:t>
      </w:r>
      <w:r w:rsidRPr="00D367BB">
        <w:rPr>
          <w:lang w:val="fr-FR"/>
        </w:rPr>
        <w:t>application de la Convention dans les domaines qui entrent dans le cadre de leurs activités.</w:t>
      </w:r>
    </w:p>
    <w:p w14:paraId="061DF27C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45EC208A" w14:textId="77777777" w:rsidR="00F7045B" w:rsidRPr="00D367BB" w:rsidRDefault="00F7045B" w:rsidP="00F7045B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ab/>
        <w:t>Documentation</w:t>
      </w:r>
    </w:p>
    <w:p w14:paraId="0EA92F65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0B8BE054" w14:textId="2D45D3F0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 xml:space="preserve">Rapports </w:t>
      </w:r>
      <w:r w:rsidRPr="00D367BB">
        <w:rPr>
          <w:szCs w:val="20"/>
          <w:lang w:val="fr-FR"/>
        </w:rPr>
        <w:t>présentés</w:t>
      </w:r>
      <w:r w:rsidRPr="00D367BB">
        <w:rPr>
          <w:lang w:val="fr-FR"/>
        </w:rPr>
        <w:t xml:space="preserve"> par les institutions spécialisées des Nations Unies sur l</w:t>
      </w:r>
      <w:r w:rsidRPr="00D367BB">
        <w:rPr>
          <w:lang w:val="fr-FR"/>
        </w:rPr>
        <w:t>’</w:t>
      </w:r>
      <w:r w:rsidRPr="00D367BB">
        <w:rPr>
          <w:lang w:val="fr-FR"/>
        </w:rPr>
        <w:t>application de la Convention dans les domaines qui entrent dans le cadre de leurs activités</w:t>
      </w:r>
    </w:p>
    <w:p w14:paraId="1029B78E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2B738F8A" w14:textId="40FEEF7D" w:rsidR="00F7045B" w:rsidRPr="00D367BB" w:rsidRDefault="00F7045B" w:rsidP="00F704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>7.</w:t>
      </w:r>
      <w:r w:rsidRPr="00D367BB">
        <w:rPr>
          <w:lang w:val="fr-FR"/>
        </w:rPr>
        <w:tab/>
        <w:t>Moyens d</w:t>
      </w:r>
      <w:r w:rsidRPr="00D367BB">
        <w:rPr>
          <w:lang w:val="fr-FR"/>
        </w:rPr>
        <w:t>’</w:t>
      </w:r>
      <w:r w:rsidRPr="00D367BB">
        <w:rPr>
          <w:lang w:val="fr-FR"/>
        </w:rPr>
        <w:t>accélérer les travaux du Comité</w:t>
      </w:r>
    </w:p>
    <w:p w14:paraId="0B566984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0D1AB244" w14:textId="77777777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 xml:space="preserve">Le </w:t>
      </w:r>
      <w:r w:rsidRPr="00D367BB">
        <w:rPr>
          <w:szCs w:val="20"/>
          <w:lang w:val="fr-FR"/>
        </w:rPr>
        <w:t>Comité</w:t>
      </w:r>
      <w:r w:rsidRPr="00D367BB">
        <w:rPr>
          <w:lang w:val="fr-FR"/>
        </w:rPr>
        <w:t xml:space="preserve"> examinera les questions se rapportant à ses méthodes de travail.</w:t>
      </w:r>
    </w:p>
    <w:p w14:paraId="54358EDA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25B62B39" w14:textId="686375EA" w:rsidR="00F7045B" w:rsidRPr="00D367BB" w:rsidRDefault="00F7045B" w:rsidP="00F704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>8.</w:t>
      </w:r>
      <w:r w:rsidRPr="00D367BB">
        <w:rPr>
          <w:lang w:val="fr-FR"/>
        </w:rPr>
        <w:tab/>
        <w:t>Activités menées par le Comité au titre du Protocole facultatif à la Convention</w:t>
      </w:r>
    </w:p>
    <w:p w14:paraId="58A4DE01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47E5C453" w14:textId="77777777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La cinquante-deuxième session du Groupe de travail des communications présentées en vertu du Protocole facultatif à la Convention se tiendra à Genève, du 1</w:t>
      </w:r>
      <w:r w:rsidRPr="00D367BB">
        <w:rPr>
          <w:vertAlign w:val="superscript"/>
          <w:lang w:val="fr-FR"/>
        </w:rPr>
        <w:t>er</w:t>
      </w:r>
      <w:r w:rsidRPr="00D367BB">
        <w:rPr>
          <w:lang w:val="fr-FR"/>
        </w:rPr>
        <w:t xml:space="preserve"> au 4 février 2022.</w:t>
      </w:r>
    </w:p>
    <w:p w14:paraId="54A97693" w14:textId="77777777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La vingt et unième session du Groupe de travail chargé des enquêtes menées au titre du Protocole facultatif se tiendra à Genève, les 3 et 4 février 2022.</w:t>
      </w:r>
    </w:p>
    <w:p w14:paraId="0436B7C1" w14:textId="3E706F07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>À sa quatre-vingt-unième session, le Comité continuera de s</w:t>
      </w:r>
      <w:r w:rsidRPr="00D367BB">
        <w:rPr>
          <w:lang w:val="fr-FR"/>
        </w:rPr>
        <w:t>’</w:t>
      </w:r>
      <w:r w:rsidRPr="00D367BB">
        <w:rPr>
          <w:lang w:val="fr-FR"/>
        </w:rPr>
        <w:t>acquitter du mandat qu</w:t>
      </w:r>
      <w:r w:rsidRPr="00D367BB">
        <w:rPr>
          <w:lang w:val="fr-FR"/>
        </w:rPr>
        <w:t>’</w:t>
      </w:r>
      <w:r w:rsidRPr="00D367BB">
        <w:rPr>
          <w:lang w:val="fr-FR"/>
        </w:rPr>
        <w:t>il tient des articles 2 et 8 du Protocole facultatif à la Convention.</w:t>
      </w:r>
    </w:p>
    <w:p w14:paraId="42340C21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61C21D7C" w14:textId="4ACC3C6D" w:rsidR="00F7045B" w:rsidRPr="00D367BB" w:rsidRDefault="00F7045B" w:rsidP="00F704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>9.</w:t>
      </w:r>
      <w:r w:rsidRPr="00D367BB">
        <w:rPr>
          <w:lang w:val="fr-FR"/>
        </w:rPr>
        <w:tab/>
        <w:t>Ordre du jour provisoire de la quatre-vingt-deuxième session du Comité</w:t>
      </w:r>
    </w:p>
    <w:p w14:paraId="6EF21388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57E4416A" w14:textId="77777777" w:rsidR="00F7045B" w:rsidRPr="00D367BB" w:rsidRDefault="00F7045B" w:rsidP="00F7045B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ab/>
        <w:t>Documentation</w:t>
      </w:r>
    </w:p>
    <w:p w14:paraId="6AAE66D5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3FABE5BA" w14:textId="26556990" w:rsidR="00F7045B" w:rsidRPr="00D367BB" w:rsidRDefault="00F7045B" w:rsidP="00F7045B">
      <w:pPr>
        <w:pStyle w:val="SingleTxt"/>
        <w:rPr>
          <w:lang w:val="fr-FR"/>
        </w:rPr>
      </w:pPr>
      <w:r w:rsidRPr="00D367BB">
        <w:rPr>
          <w:lang w:val="fr-FR"/>
        </w:rPr>
        <w:t xml:space="preserve">Ordre du </w:t>
      </w:r>
      <w:r w:rsidRPr="00D367BB">
        <w:rPr>
          <w:szCs w:val="20"/>
          <w:lang w:val="fr-FR"/>
        </w:rPr>
        <w:t>jour</w:t>
      </w:r>
      <w:r w:rsidRPr="00D367BB">
        <w:rPr>
          <w:lang w:val="fr-FR"/>
        </w:rPr>
        <w:t xml:space="preserve"> provisoire annoté de la quatre-vingt-deuxième session (</w:t>
      </w:r>
      <w:hyperlink r:id="rId41" w:history="1">
        <w:r w:rsidRPr="00D367BB">
          <w:rPr>
            <w:rStyle w:val="Hyperlink"/>
            <w:lang w:val="fr-FR"/>
          </w:rPr>
          <w:t>CEDAW/C/82/1</w:t>
        </w:r>
      </w:hyperlink>
      <w:r w:rsidRPr="00D367BB">
        <w:rPr>
          <w:lang w:val="fr-FR"/>
        </w:rPr>
        <w:t>)</w:t>
      </w:r>
    </w:p>
    <w:p w14:paraId="4098DD13" w14:textId="77777777" w:rsidR="00F7045B" w:rsidRPr="00D367BB" w:rsidRDefault="00F7045B" w:rsidP="00F7045B">
      <w:pPr>
        <w:pStyle w:val="SingleTxt"/>
        <w:spacing w:after="0" w:line="120" w:lineRule="exact"/>
        <w:rPr>
          <w:sz w:val="10"/>
          <w:lang w:val="fr-FR"/>
        </w:rPr>
      </w:pPr>
    </w:p>
    <w:p w14:paraId="780479FF" w14:textId="6A4BD38E" w:rsidR="005A4B98" w:rsidRPr="00D367BB" w:rsidRDefault="00F7045B" w:rsidP="00F704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367BB">
        <w:rPr>
          <w:lang w:val="fr-FR"/>
        </w:rPr>
        <w:tab/>
      </w:r>
      <w:r w:rsidRPr="00D367BB">
        <w:rPr>
          <w:lang w:val="fr-FR"/>
        </w:rPr>
        <w:t>10.</w:t>
      </w:r>
      <w:r w:rsidRPr="00D367BB">
        <w:rPr>
          <w:lang w:val="fr-FR"/>
        </w:rPr>
        <w:tab/>
        <w:t>Adoption du rapport du Comité sur les travaux de sa quatre-vingt-unième session</w:t>
      </w:r>
    </w:p>
    <w:p w14:paraId="7D8137CE" w14:textId="77CE1071" w:rsidR="00F7045B" w:rsidRPr="00D367BB" w:rsidRDefault="00F7045B" w:rsidP="00F7045B">
      <w:pPr>
        <w:pStyle w:val="SingleTxt"/>
        <w:spacing w:after="0" w:line="240" w:lineRule="auto"/>
        <w:rPr>
          <w:lang w:val="fr-FR"/>
        </w:rPr>
      </w:pPr>
      <w:r w:rsidRPr="00D367BB">
        <w:rPr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9AE65" wp14:editId="7FF30560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149B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F7045B" w:rsidRPr="00D367BB" w:rsidSect="00F7045B">
      <w:type w:val="continuous"/>
      <w:pgSz w:w="12240" w:h="15840"/>
      <w:pgMar w:top="1440" w:right="1195" w:bottom="1152" w:left="1195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art" w:date="2021-12-30T16:17:00Z" w:initials="Start">
    <w:p w14:paraId="261E677A" w14:textId="77777777" w:rsidR="005A4B98" w:rsidRDefault="005A4B98">
      <w:pPr>
        <w:pStyle w:val="CommentText"/>
      </w:pPr>
      <w:r>
        <w:rPr>
          <w:rStyle w:val="CommentReference"/>
        </w:rPr>
        <w:annotationRef/>
      </w:r>
      <w:r>
        <w:t>&lt;&lt;ODS JOB NO&gt;&gt;N2138735F&lt;&lt;ODS JOB NO&gt;&gt;</w:t>
      </w:r>
    </w:p>
    <w:p w14:paraId="77748A75" w14:textId="77777777" w:rsidR="005A4B98" w:rsidRDefault="005A4B98">
      <w:pPr>
        <w:pStyle w:val="CommentText"/>
      </w:pPr>
      <w:r>
        <w:t>&lt;&lt;ODS DOC SYMBOL1&gt;&gt;CEDAW/C/81/1&lt;&lt;ODS DOC SYMBOL1&gt;&gt;</w:t>
      </w:r>
    </w:p>
    <w:p w14:paraId="4CF0B439" w14:textId="77777777" w:rsidR="005A4B98" w:rsidRDefault="005A4B98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F0B4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85A18" w16cex:dateUtc="2021-12-30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F0B439" w16cid:durableId="25785A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79D5A" w14:textId="77777777" w:rsidR="00B32EB1" w:rsidRDefault="00B32EB1" w:rsidP="00101B18">
      <w:pPr>
        <w:spacing w:line="240" w:lineRule="auto"/>
      </w:pPr>
      <w:r>
        <w:separator/>
      </w:r>
    </w:p>
  </w:endnote>
  <w:endnote w:type="continuationSeparator" w:id="0">
    <w:p w14:paraId="5191326D" w14:textId="77777777" w:rsidR="00B32EB1" w:rsidRDefault="00B32EB1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A4B98" w14:paraId="6259B281" w14:textId="77777777" w:rsidTr="005A4B98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</w:tcPr>
        <w:p w14:paraId="5205C981" w14:textId="663B22CE" w:rsidR="005A4B98" w:rsidRPr="005A4B98" w:rsidRDefault="005A4B98" w:rsidP="005A4B9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974B7">
            <w:rPr>
              <w:b w:val="0"/>
              <w:w w:val="103"/>
              <w:sz w:val="14"/>
            </w:rPr>
            <w:t>21-18646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31045FC" w14:textId="77777777" w:rsidR="005A4B98" w:rsidRPr="005A4B98" w:rsidRDefault="005A4B98" w:rsidP="005A4B9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2621F687" w14:textId="77777777" w:rsidR="005A4B98" w:rsidRPr="005A4B98" w:rsidRDefault="005A4B98" w:rsidP="005A4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A4B98" w14:paraId="7EB85A61" w14:textId="77777777" w:rsidTr="005A4B98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</w:tcPr>
        <w:p w14:paraId="672936AF" w14:textId="77777777" w:rsidR="005A4B98" w:rsidRPr="005A4B98" w:rsidRDefault="005A4B98" w:rsidP="005A4B9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323C7E5" w14:textId="4327F9C7" w:rsidR="005A4B98" w:rsidRPr="005A4B98" w:rsidRDefault="005A4B98" w:rsidP="005A4B9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974B7">
            <w:rPr>
              <w:b w:val="0"/>
              <w:w w:val="103"/>
              <w:sz w:val="14"/>
            </w:rPr>
            <w:t>21-18646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0170324E" w14:textId="77777777" w:rsidR="005A4B98" w:rsidRPr="005A4B98" w:rsidRDefault="005A4B98" w:rsidP="005A4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2A2C" w14:textId="77777777" w:rsidR="005A4B98" w:rsidRDefault="005A4B9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8F0735" wp14:editId="06143DD2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5A4B98" w14:paraId="396F84D7" w14:textId="77777777" w:rsidTr="005A4B98">
      <w:tblPrEx>
        <w:tblCellMar>
          <w:top w:w="0" w:type="dxa"/>
          <w:bottom w:w="0" w:type="dxa"/>
        </w:tblCellMar>
      </w:tblPrEx>
      <w:tc>
        <w:tcPr>
          <w:tcW w:w="3758" w:type="dxa"/>
        </w:tcPr>
        <w:p w14:paraId="57D6A164" w14:textId="51D67818" w:rsidR="005A4B98" w:rsidRDefault="005A4B98" w:rsidP="005A4B9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9974B7">
            <w:rPr>
              <w:b w:val="0"/>
              <w:sz w:val="20"/>
            </w:rPr>
            <w:t>21-18646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F7045B">
            <w:rPr>
              <w:b w:val="0"/>
              <w:sz w:val="20"/>
            </w:rPr>
            <w:t>20</w:t>
          </w:r>
          <w:r>
            <w:rPr>
              <w:b w:val="0"/>
              <w:sz w:val="20"/>
            </w:rPr>
            <w:t xml:space="preserve">1221    </w:t>
          </w:r>
          <w:r w:rsidR="00F7045B">
            <w:rPr>
              <w:b w:val="0"/>
              <w:sz w:val="20"/>
            </w:rPr>
            <w:t>050122</w:t>
          </w:r>
        </w:p>
        <w:p w14:paraId="5FFA5723" w14:textId="0200D63F" w:rsidR="005A4B98" w:rsidRPr="005A4B98" w:rsidRDefault="005A4B98" w:rsidP="005A4B9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9974B7">
            <w:rPr>
              <w:rFonts w:ascii="Barcode 3 of 9 by request" w:hAnsi="Barcode 3 of 9 by request"/>
              <w:spacing w:val="0"/>
              <w:w w:val="100"/>
              <w:sz w:val="24"/>
            </w:rPr>
            <w:t>*2118646*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21EDC371" w14:textId="77777777" w:rsidR="005A4B98" w:rsidRDefault="005A4B98" w:rsidP="005A4B9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194524B" wp14:editId="4225D925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480E31" w14:textId="77777777" w:rsidR="005A4B98" w:rsidRPr="005A4B98" w:rsidRDefault="005A4B98" w:rsidP="005A4B98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17DD9" w14:textId="77777777" w:rsidR="00B32EB1" w:rsidRDefault="00B32EB1" w:rsidP="00101B18">
      <w:pPr>
        <w:spacing w:line="240" w:lineRule="auto"/>
      </w:pPr>
      <w:r>
        <w:separator/>
      </w:r>
    </w:p>
  </w:footnote>
  <w:footnote w:type="continuationSeparator" w:id="0">
    <w:p w14:paraId="3F01F7BC" w14:textId="77777777" w:rsidR="00B32EB1" w:rsidRDefault="00B32EB1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A4B98" w14:paraId="6CEE94BD" w14:textId="77777777" w:rsidTr="005A4B9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60BDECE" w14:textId="3BB39415" w:rsidR="005A4B98" w:rsidRPr="005A4B98" w:rsidRDefault="005A4B98" w:rsidP="005A4B98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974B7">
            <w:rPr>
              <w:b/>
              <w:color w:val="000000"/>
            </w:rPr>
            <w:t>CEDAW/C/81/1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06F67D2" w14:textId="77777777" w:rsidR="005A4B98" w:rsidRDefault="005A4B98" w:rsidP="005A4B98">
          <w:pPr>
            <w:pStyle w:val="Header"/>
          </w:pPr>
        </w:p>
      </w:tc>
    </w:tr>
  </w:tbl>
  <w:p w14:paraId="17CD125F" w14:textId="77777777" w:rsidR="005A4B98" w:rsidRPr="005A4B98" w:rsidRDefault="005A4B98" w:rsidP="005A4B98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A4B98" w14:paraId="0AB0BA44" w14:textId="77777777" w:rsidTr="005A4B9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721B7D2" w14:textId="77777777" w:rsidR="005A4B98" w:rsidRDefault="005A4B98" w:rsidP="005A4B98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395F3A4" w14:textId="2F7BEABC" w:rsidR="005A4B98" w:rsidRPr="005A4B98" w:rsidRDefault="005A4B98" w:rsidP="005A4B98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974B7">
            <w:rPr>
              <w:b/>
              <w:color w:val="000000"/>
            </w:rPr>
            <w:t>CEDAW/C/81/1</w:t>
          </w:r>
          <w:r>
            <w:rPr>
              <w:b/>
              <w:color w:val="000000"/>
            </w:rPr>
            <w:fldChar w:fldCharType="end"/>
          </w:r>
        </w:p>
      </w:tc>
    </w:tr>
  </w:tbl>
  <w:p w14:paraId="38E67475" w14:textId="77777777" w:rsidR="005A4B98" w:rsidRPr="005A4B98" w:rsidRDefault="005A4B98" w:rsidP="005A4B9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5A4B98" w:rsidRPr="00D367BB" w14:paraId="06E8455F" w14:textId="77777777" w:rsidTr="005A4B9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3990ECE" w14:textId="77777777" w:rsidR="005A4B98" w:rsidRPr="00D367BB" w:rsidRDefault="005A4B98" w:rsidP="005A4B98">
          <w:pPr>
            <w:pStyle w:val="Header"/>
            <w:spacing w:after="120"/>
            <w:rPr>
              <w:lang w:val="fr-FR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1D9E96D" w14:textId="77777777" w:rsidR="005A4B98" w:rsidRPr="00D367BB" w:rsidRDefault="005A4B98" w:rsidP="005A4B98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FR"/>
            </w:rPr>
          </w:pPr>
          <w:r w:rsidRPr="00D367BB">
            <w:rPr>
              <w:b w:val="0"/>
              <w:color w:val="010000"/>
              <w:spacing w:val="2"/>
              <w:w w:val="96"/>
              <w:lang w:val="fr-FR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FDCC65A" w14:textId="77777777" w:rsidR="005A4B98" w:rsidRPr="00D367BB" w:rsidRDefault="005A4B98" w:rsidP="005A4B98">
          <w:pPr>
            <w:pStyle w:val="Header"/>
            <w:spacing w:after="120"/>
            <w:rPr>
              <w:lang w:val="fr-FR"/>
            </w:rPr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3B236AD" w14:textId="77777777" w:rsidR="005A4B98" w:rsidRPr="00D367BB" w:rsidRDefault="005A4B98" w:rsidP="005A4B98">
          <w:pPr>
            <w:spacing w:after="80" w:line="240" w:lineRule="auto"/>
            <w:jc w:val="right"/>
            <w:rPr>
              <w:position w:val="-4"/>
              <w:lang w:val="fr-FR"/>
            </w:rPr>
          </w:pPr>
          <w:r w:rsidRPr="00D367BB">
            <w:rPr>
              <w:position w:val="-4"/>
              <w:sz w:val="40"/>
              <w:lang w:val="fr-FR"/>
            </w:rPr>
            <w:t>CEDAW</w:t>
          </w:r>
          <w:r w:rsidRPr="00D367BB">
            <w:rPr>
              <w:position w:val="-4"/>
              <w:lang w:val="fr-FR"/>
            </w:rPr>
            <w:t>/C/81/1</w:t>
          </w:r>
        </w:p>
      </w:tc>
    </w:tr>
    <w:tr w:rsidR="005A4B98" w:rsidRPr="00D367BB" w14:paraId="64A75F9E" w14:textId="77777777" w:rsidTr="005A4B98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7B9FBAC" w14:textId="77777777" w:rsidR="005A4B98" w:rsidRPr="00D367BB" w:rsidRDefault="005A4B98" w:rsidP="005A4B98">
          <w:pPr>
            <w:pStyle w:val="Header"/>
            <w:spacing w:before="120" w:line="240" w:lineRule="auto"/>
            <w:ind w:left="-72"/>
            <w:jc w:val="center"/>
            <w:rPr>
              <w:lang w:val="fr-FR"/>
            </w:rPr>
          </w:pPr>
          <w:r w:rsidRPr="00D367BB">
            <w:rPr>
              <w:lang w:val="fr-FR"/>
            </w:rPr>
            <w:t xml:space="preserve">  </w:t>
          </w:r>
          <w:r w:rsidRPr="00D367BB">
            <w:rPr>
              <w:noProof/>
              <w:lang w:val="fr-FR"/>
            </w:rPr>
            <w:drawing>
              <wp:inline distT="0" distB="0" distL="0" distR="0" wp14:anchorId="4CD3CB1F" wp14:editId="74243841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4F8A4C3" w14:textId="7449BDF5" w:rsidR="005A4B98" w:rsidRPr="00D367BB" w:rsidRDefault="005A4B98" w:rsidP="005A4B98">
          <w:pPr>
            <w:pStyle w:val="XLarge"/>
            <w:spacing w:before="120" w:line="360" w:lineRule="exact"/>
            <w:rPr>
              <w:sz w:val="36"/>
              <w:lang w:val="fr-FR"/>
            </w:rPr>
          </w:pPr>
          <w:r w:rsidRPr="00D367BB">
            <w:rPr>
              <w:sz w:val="36"/>
              <w:lang w:val="fr-FR"/>
            </w:rPr>
            <w:t>Convention sur l</w:t>
          </w:r>
          <w:r w:rsidR="00F7045B" w:rsidRPr="00D367BB">
            <w:rPr>
              <w:sz w:val="36"/>
              <w:lang w:val="fr-FR"/>
            </w:rPr>
            <w:t>’</w:t>
          </w:r>
          <w:r w:rsidRPr="00D367BB">
            <w:rPr>
              <w:sz w:val="36"/>
              <w:lang w:val="fr-FR"/>
            </w:rPr>
            <w:t>élimination</w:t>
          </w:r>
          <w:r w:rsidRPr="00D367BB">
            <w:rPr>
              <w:sz w:val="36"/>
              <w:lang w:val="fr-FR"/>
            </w:rPr>
            <w:br/>
            <w:t>de toutes les formes</w:t>
          </w:r>
          <w:r w:rsidRPr="00D367BB">
            <w:rPr>
              <w:sz w:val="36"/>
              <w:lang w:val="fr-FR"/>
            </w:rPr>
            <w:br/>
            <w:t>de discrimination à l</w:t>
          </w:r>
          <w:r w:rsidR="00F7045B" w:rsidRPr="00D367BB">
            <w:rPr>
              <w:sz w:val="36"/>
              <w:lang w:val="fr-FR"/>
            </w:rPr>
            <w:t>’</w:t>
          </w:r>
          <w:r w:rsidRPr="00D367BB">
            <w:rPr>
              <w:sz w:val="36"/>
              <w:lang w:val="fr-FR"/>
            </w:rPr>
            <w:t>égard</w:t>
          </w:r>
          <w:r w:rsidRPr="00D367BB">
            <w:rPr>
              <w:sz w:val="36"/>
              <w:lang w:val="fr-FR"/>
            </w:rPr>
            <w:br/>
            <w:t xml:space="preserve">des femmes 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1D5BE48" w14:textId="77777777" w:rsidR="005A4B98" w:rsidRPr="00D367BB" w:rsidRDefault="005A4B98" w:rsidP="005A4B98">
          <w:pPr>
            <w:pStyle w:val="Header"/>
            <w:spacing w:before="109"/>
            <w:rPr>
              <w:lang w:val="fr-FR"/>
            </w:rPr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FF1AA25" w14:textId="77777777" w:rsidR="005A4B98" w:rsidRPr="00D367BB" w:rsidRDefault="005A4B98" w:rsidP="005A4B98">
          <w:pPr>
            <w:pStyle w:val="Distribution"/>
            <w:rPr>
              <w:color w:val="000000"/>
              <w:lang w:val="fr-FR"/>
            </w:rPr>
          </w:pPr>
          <w:r w:rsidRPr="00D367BB">
            <w:rPr>
              <w:color w:val="000000"/>
              <w:lang w:val="fr-FR"/>
            </w:rPr>
            <w:t>Distr. générale</w:t>
          </w:r>
        </w:p>
        <w:p w14:paraId="55192D0D" w14:textId="77777777" w:rsidR="005A4B98" w:rsidRPr="00D367BB" w:rsidRDefault="005A4B98" w:rsidP="005A4B98">
          <w:pPr>
            <w:pStyle w:val="Publication"/>
            <w:rPr>
              <w:color w:val="000000"/>
              <w:lang w:val="fr-FR"/>
            </w:rPr>
          </w:pPr>
          <w:r w:rsidRPr="00D367BB">
            <w:rPr>
              <w:color w:val="000000"/>
              <w:lang w:val="fr-FR"/>
            </w:rPr>
            <w:t>10 décembre 2021</w:t>
          </w:r>
        </w:p>
        <w:p w14:paraId="41E21CDF" w14:textId="77777777" w:rsidR="005A4B98" w:rsidRPr="00D367BB" w:rsidRDefault="005A4B98" w:rsidP="005A4B98">
          <w:pPr>
            <w:rPr>
              <w:lang w:val="fr-FR"/>
            </w:rPr>
          </w:pPr>
          <w:r w:rsidRPr="00D367BB">
            <w:rPr>
              <w:lang w:val="fr-FR"/>
            </w:rPr>
            <w:t>Français</w:t>
          </w:r>
        </w:p>
        <w:p w14:paraId="606AE24E" w14:textId="77777777" w:rsidR="00F7045B" w:rsidRPr="00F7045B" w:rsidRDefault="00F7045B" w:rsidP="00F7045B">
          <w:pPr>
            <w:pStyle w:val="Original"/>
            <w:rPr>
              <w:color w:val="000000"/>
              <w:lang w:val="fr-FR"/>
            </w:rPr>
          </w:pPr>
          <w:r w:rsidRPr="00F7045B">
            <w:rPr>
              <w:color w:val="000000"/>
              <w:lang w:val="fr-FR"/>
            </w:rPr>
            <w:t>Original : anglais</w:t>
          </w:r>
        </w:p>
        <w:p w14:paraId="1A7A65FD" w14:textId="7F78BDF2" w:rsidR="005A4B98" w:rsidRPr="00D367BB" w:rsidRDefault="00F7045B" w:rsidP="00F7045B">
          <w:pPr>
            <w:pStyle w:val="Original"/>
            <w:rPr>
              <w:color w:val="000000"/>
              <w:lang w:val="fr-FR"/>
            </w:rPr>
          </w:pPr>
          <w:r w:rsidRPr="00D367BB">
            <w:rPr>
              <w:color w:val="000000"/>
              <w:lang w:val="fr-FR"/>
            </w:rPr>
            <w:t>Anglais, espagnol et français seulement</w:t>
          </w:r>
        </w:p>
      </w:tc>
    </w:tr>
  </w:tbl>
  <w:p w14:paraId="040C1FE5" w14:textId="77777777" w:rsidR="005A4B98" w:rsidRPr="00D367BB" w:rsidRDefault="005A4B98" w:rsidP="005A4B98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290"/>
    <w:multiLevelType w:val="hybridMultilevel"/>
    <w:tmpl w:val="DC56664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hideSpellingErrors/>
  <w:revisionView w:markup="0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118646*"/>
    <w:docVar w:name="CreationDt" w:val="30/12/2021 16:17:26"/>
    <w:docVar w:name="DocCategory" w:val="Doc"/>
    <w:docVar w:name="DocType" w:val="Final"/>
    <w:docVar w:name="DutyStation" w:val="New York"/>
    <w:docVar w:name="FooterJN" w:val="21-18646"/>
    <w:docVar w:name="jobn" w:val="21-18646 (F)"/>
    <w:docVar w:name="jobnDT" w:val="21-18646 (F)   301221"/>
    <w:docVar w:name="jobnDTDT" w:val="21-18646 (F)   301221   301221"/>
    <w:docVar w:name="JobNo" w:val="2118646F"/>
    <w:docVar w:name="JobNo2" w:val="2138735F"/>
    <w:docVar w:name="LocalDrive" w:val="-1"/>
    <w:docVar w:name="OandT" w:val="Moise"/>
    <w:docVar w:name="sss1" w:val="CEDAW/C/81/1"/>
    <w:docVar w:name="sss2" w:val="-"/>
    <w:docVar w:name="Symbol1" w:val="CEDAW/C/81/1"/>
    <w:docVar w:name="Symbol2" w:val="-"/>
  </w:docVars>
  <w:rsids>
    <w:rsidRoot w:val="00B32EB1"/>
    <w:rsid w:val="00000EFC"/>
    <w:rsid w:val="00002584"/>
    <w:rsid w:val="000055B0"/>
    <w:rsid w:val="0006491F"/>
    <w:rsid w:val="00071D43"/>
    <w:rsid w:val="00082144"/>
    <w:rsid w:val="00091DB8"/>
    <w:rsid w:val="000C4D94"/>
    <w:rsid w:val="00101B18"/>
    <w:rsid w:val="00106175"/>
    <w:rsid w:val="00122A56"/>
    <w:rsid w:val="00134A87"/>
    <w:rsid w:val="00134FEE"/>
    <w:rsid w:val="0014266B"/>
    <w:rsid w:val="0014538B"/>
    <w:rsid w:val="00146C6A"/>
    <w:rsid w:val="00166A0D"/>
    <w:rsid w:val="00166D64"/>
    <w:rsid w:val="001C159C"/>
    <w:rsid w:val="001E2379"/>
    <w:rsid w:val="001E4B50"/>
    <w:rsid w:val="001F7289"/>
    <w:rsid w:val="00213892"/>
    <w:rsid w:val="00245107"/>
    <w:rsid w:val="00245FDC"/>
    <w:rsid w:val="002478A0"/>
    <w:rsid w:val="00257A5F"/>
    <w:rsid w:val="0027372A"/>
    <w:rsid w:val="00277D9A"/>
    <w:rsid w:val="002A5E20"/>
    <w:rsid w:val="002B120A"/>
    <w:rsid w:val="00304428"/>
    <w:rsid w:val="0030765E"/>
    <w:rsid w:val="0035045A"/>
    <w:rsid w:val="00351455"/>
    <w:rsid w:val="00366D21"/>
    <w:rsid w:val="003905FA"/>
    <w:rsid w:val="003A675A"/>
    <w:rsid w:val="003C6F48"/>
    <w:rsid w:val="003D4AB5"/>
    <w:rsid w:val="003F35FD"/>
    <w:rsid w:val="003F61E1"/>
    <w:rsid w:val="00410BE8"/>
    <w:rsid w:val="00430F61"/>
    <w:rsid w:val="00433F01"/>
    <w:rsid w:val="00433F94"/>
    <w:rsid w:val="00440C93"/>
    <w:rsid w:val="004613C4"/>
    <w:rsid w:val="00472B7F"/>
    <w:rsid w:val="00480B84"/>
    <w:rsid w:val="0048447C"/>
    <w:rsid w:val="004863FE"/>
    <w:rsid w:val="004A39AE"/>
    <w:rsid w:val="004B64F9"/>
    <w:rsid w:val="004C1A25"/>
    <w:rsid w:val="004D7120"/>
    <w:rsid w:val="004E5389"/>
    <w:rsid w:val="004F3E17"/>
    <w:rsid w:val="00505B0F"/>
    <w:rsid w:val="00515991"/>
    <w:rsid w:val="005225EC"/>
    <w:rsid w:val="00525097"/>
    <w:rsid w:val="005328BB"/>
    <w:rsid w:val="005509B6"/>
    <w:rsid w:val="00571235"/>
    <w:rsid w:val="00577A36"/>
    <w:rsid w:val="00580CF2"/>
    <w:rsid w:val="00583158"/>
    <w:rsid w:val="005A2A6E"/>
    <w:rsid w:val="005A4B98"/>
    <w:rsid w:val="005B398E"/>
    <w:rsid w:val="005C03A7"/>
    <w:rsid w:val="005C5330"/>
    <w:rsid w:val="005D039E"/>
    <w:rsid w:val="005F05D9"/>
    <w:rsid w:val="005F0731"/>
    <w:rsid w:val="005F1F5F"/>
    <w:rsid w:val="005F572C"/>
    <w:rsid w:val="006128FF"/>
    <w:rsid w:val="00632C10"/>
    <w:rsid w:val="00653CE3"/>
    <w:rsid w:val="006769E8"/>
    <w:rsid w:val="00690698"/>
    <w:rsid w:val="006A72AB"/>
    <w:rsid w:val="006E4A4B"/>
    <w:rsid w:val="006E5107"/>
    <w:rsid w:val="00703106"/>
    <w:rsid w:val="007459AE"/>
    <w:rsid w:val="007531A5"/>
    <w:rsid w:val="00756090"/>
    <w:rsid w:val="00771C9E"/>
    <w:rsid w:val="00790DCD"/>
    <w:rsid w:val="007A7468"/>
    <w:rsid w:val="007E1619"/>
    <w:rsid w:val="007E1EB9"/>
    <w:rsid w:val="007E5EAB"/>
    <w:rsid w:val="0082045E"/>
    <w:rsid w:val="008222A3"/>
    <w:rsid w:val="00840D3C"/>
    <w:rsid w:val="0085285A"/>
    <w:rsid w:val="00883A83"/>
    <w:rsid w:val="00883D3C"/>
    <w:rsid w:val="0088586C"/>
    <w:rsid w:val="00886CF2"/>
    <w:rsid w:val="008A4AD6"/>
    <w:rsid w:val="008F3462"/>
    <w:rsid w:val="0090104D"/>
    <w:rsid w:val="009237A6"/>
    <w:rsid w:val="00935932"/>
    <w:rsid w:val="009547DC"/>
    <w:rsid w:val="00971E01"/>
    <w:rsid w:val="00973700"/>
    <w:rsid w:val="00975EDD"/>
    <w:rsid w:val="00993CB7"/>
    <w:rsid w:val="00994877"/>
    <w:rsid w:val="009949BD"/>
    <w:rsid w:val="009974B7"/>
    <w:rsid w:val="009C3BFE"/>
    <w:rsid w:val="009D0EE3"/>
    <w:rsid w:val="009E17B2"/>
    <w:rsid w:val="009E3115"/>
    <w:rsid w:val="009E3220"/>
    <w:rsid w:val="009F40B9"/>
    <w:rsid w:val="009F4153"/>
    <w:rsid w:val="00A2494D"/>
    <w:rsid w:val="00A536A1"/>
    <w:rsid w:val="00A7082C"/>
    <w:rsid w:val="00AB0B7D"/>
    <w:rsid w:val="00AD5F2F"/>
    <w:rsid w:val="00B07611"/>
    <w:rsid w:val="00B32EB1"/>
    <w:rsid w:val="00B61DA5"/>
    <w:rsid w:val="00B858D5"/>
    <w:rsid w:val="00BB0D22"/>
    <w:rsid w:val="00BB5556"/>
    <w:rsid w:val="00C138C6"/>
    <w:rsid w:val="00C30A92"/>
    <w:rsid w:val="00C54E1C"/>
    <w:rsid w:val="00C6213D"/>
    <w:rsid w:val="00CB06FB"/>
    <w:rsid w:val="00CB63C5"/>
    <w:rsid w:val="00CF448C"/>
    <w:rsid w:val="00D30EED"/>
    <w:rsid w:val="00D367BB"/>
    <w:rsid w:val="00D41F88"/>
    <w:rsid w:val="00D7526B"/>
    <w:rsid w:val="00D91630"/>
    <w:rsid w:val="00DC7881"/>
    <w:rsid w:val="00E02979"/>
    <w:rsid w:val="00E126C3"/>
    <w:rsid w:val="00E12A77"/>
    <w:rsid w:val="00E14DF5"/>
    <w:rsid w:val="00E343A6"/>
    <w:rsid w:val="00E443AC"/>
    <w:rsid w:val="00E47A1E"/>
    <w:rsid w:val="00E54E74"/>
    <w:rsid w:val="00E555A3"/>
    <w:rsid w:val="00E70FF6"/>
    <w:rsid w:val="00E7105F"/>
    <w:rsid w:val="00E7792F"/>
    <w:rsid w:val="00E85643"/>
    <w:rsid w:val="00EA6014"/>
    <w:rsid w:val="00EE37EC"/>
    <w:rsid w:val="00EF2DFA"/>
    <w:rsid w:val="00F14EEA"/>
    <w:rsid w:val="00F313F6"/>
    <w:rsid w:val="00F5012D"/>
    <w:rsid w:val="00F621E3"/>
    <w:rsid w:val="00F7045B"/>
    <w:rsid w:val="00F73093"/>
    <w:rsid w:val="00F86FF8"/>
    <w:rsid w:val="00F902D0"/>
    <w:rsid w:val="00FA0CE4"/>
    <w:rsid w:val="00FA3D05"/>
    <w:rsid w:val="00FA56ED"/>
    <w:rsid w:val="00FA5CC9"/>
    <w:rsid w:val="00FB0A2C"/>
    <w:rsid w:val="00FC59F1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8285F"/>
  <w15:chartTrackingRefBased/>
  <w15:docId w15:val="{385DEEA0-E5DD-4DF1-93A4-9509E7B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F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F6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FF6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FF6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70FF6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70FF6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70FF6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70FF6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FF6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FF6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E70FF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70FF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E70FF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E70FF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70FF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70FF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E70FF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70FF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70FF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70FF6"/>
    <w:pPr>
      <w:ind w:left="1267" w:right="1267"/>
    </w:pPr>
  </w:style>
  <w:style w:type="paragraph" w:customStyle="1" w:styleId="SingleTxt">
    <w:name w:val="__Single Txt"/>
    <w:basedOn w:val="Normal"/>
    <w:qFormat/>
    <w:rsid w:val="00E70FF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E70FF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E70FF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E70FF6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FF6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E70FF6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70FF6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70FF6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E70FF6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70FF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0FF6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70FF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E70FF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E70FF6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rsid w:val="00E70FF6"/>
    <w:rPr>
      <w:color w:val="auto"/>
      <w:spacing w:val="5"/>
      <w:w w:val="103"/>
      <w:kern w:val="14"/>
      <w:position w:val="0"/>
      <w:sz w:val="17"/>
      <w:szCs w:val="17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E70FF6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E70FF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E70FF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E70FF6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E70FF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E70FF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E70FF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E70FF6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E70FF6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E70FF6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E70FF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E70FF6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E70FF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E70FF6"/>
    <w:rPr>
      <w:sz w:val="14"/>
    </w:rPr>
  </w:style>
  <w:style w:type="paragraph" w:styleId="ListParagraph">
    <w:name w:val="List Paragraph"/>
    <w:basedOn w:val="Normal"/>
    <w:uiPriority w:val="34"/>
    <w:rsid w:val="00E70FF6"/>
    <w:pPr>
      <w:ind w:left="720"/>
      <w:contextualSpacing/>
    </w:pPr>
  </w:style>
  <w:style w:type="paragraph" w:styleId="NoSpacing">
    <w:name w:val="No Spacing"/>
    <w:uiPriority w:val="1"/>
    <w:rsid w:val="00E70FF6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E70FF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E70FF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E70FF6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E70FF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70FF6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E70FF6"/>
    <w:rPr>
      <w:b/>
      <w:bCs/>
    </w:rPr>
  </w:style>
  <w:style w:type="paragraph" w:customStyle="1" w:styleId="Style1">
    <w:name w:val="Style1"/>
    <w:basedOn w:val="Normal"/>
    <w:qFormat/>
    <w:rsid w:val="00E70FF6"/>
  </w:style>
  <w:style w:type="paragraph" w:customStyle="1" w:styleId="Style2">
    <w:name w:val="Style2"/>
    <w:basedOn w:val="Normal"/>
    <w:autoRedefine/>
    <w:qFormat/>
    <w:rsid w:val="00E70FF6"/>
  </w:style>
  <w:style w:type="paragraph" w:customStyle="1" w:styleId="TitleHCH">
    <w:name w:val="Title_H_CH"/>
    <w:basedOn w:val="H1"/>
    <w:next w:val="SingleTxt"/>
    <w:qFormat/>
    <w:rsid w:val="00E70FF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E70FF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E70FF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  <w:rPr>
      <w:lang w:val="fr-FR"/>
    </w:rPr>
  </w:style>
  <w:style w:type="paragraph" w:customStyle="1" w:styleId="Sponsors">
    <w:name w:val="Sponsors"/>
    <w:basedOn w:val="H1"/>
    <w:next w:val="Normal"/>
    <w:qFormat/>
    <w:rsid w:val="003905F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B9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B98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B9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F7045B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7045B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704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67B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fr/CEDAW/C/PSWG/81/1" TargetMode="External"/><Relationship Id="rId26" Type="http://schemas.openxmlformats.org/officeDocument/2006/relationships/hyperlink" Target="https://undocs.org/fr/CEDAW/C/UZB/6" TargetMode="External"/><Relationship Id="rId39" Type="http://schemas.openxmlformats.org/officeDocument/2006/relationships/hyperlink" Target="https://undocs.org/fr/CEDAW/C/UGA/RQ/8-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fr/CEDAW/C/LBN/6" TargetMode="External"/><Relationship Id="rId34" Type="http://schemas.openxmlformats.org/officeDocument/2006/relationships/hyperlink" Target="https://undocs.org/fr/CEDAW/C/UZB/Q/6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fr/CEDAW/C/81/1" TargetMode="External"/><Relationship Id="rId25" Type="http://schemas.openxmlformats.org/officeDocument/2006/relationships/hyperlink" Target="https://undocs.org/fr/CEDAW/C/UGA/8-9" TargetMode="External"/><Relationship Id="rId33" Type="http://schemas.openxmlformats.org/officeDocument/2006/relationships/hyperlink" Target="https://undocs.org/fr/CEDAW/C/UGA/Q/8-9" TargetMode="External"/><Relationship Id="rId38" Type="http://schemas.openxmlformats.org/officeDocument/2006/relationships/hyperlink" Target="https://undocs.org/fr/CEDAW/C/SEN/RQ/8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hyperlink" Target="https://undocs.org/fr/CEDAW/C/GAB/7" TargetMode="External"/><Relationship Id="rId29" Type="http://schemas.openxmlformats.org/officeDocument/2006/relationships/hyperlink" Target="https://undocs.org/fr/CEDAW/C/LBN/Q/6" TargetMode="External"/><Relationship Id="rId41" Type="http://schemas.openxmlformats.org/officeDocument/2006/relationships/hyperlink" Target="https://undocs.org/fr/CEDAW/C/82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fr/CEDAW/C/SEN/8" TargetMode="External"/><Relationship Id="rId32" Type="http://schemas.openxmlformats.org/officeDocument/2006/relationships/hyperlink" Target="https://undocs.org/fr/CEDAW/C/SEN/Q/8" TargetMode="External"/><Relationship Id="rId37" Type="http://schemas.openxmlformats.org/officeDocument/2006/relationships/hyperlink" Target="https://undocs.org/fr/CEDAW/C/PER/RQ/9" TargetMode="External"/><Relationship Id="rId40" Type="http://schemas.openxmlformats.org/officeDocument/2006/relationships/hyperlink" Target="https://undocs.org/fr/CEDAW/C/UZB/RQ/6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s://undocs.org/fr/CEDAW/C/PER/9" TargetMode="External"/><Relationship Id="rId28" Type="http://schemas.openxmlformats.org/officeDocument/2006/relationships/hyperlink" Target="https://undocs.org/fr/CEDAW/C/GAB/Q/7" TargetMode="External"/><Relationship Id="rId36" Type="http://schemas.openxmlformats.org/officeDocument/2006/relationships/hyperlink" Target="https://undocs.org/fr/CEDAW/C/LBN/RQ/6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fr/CEDAW/C/DOM/8" TargetMode="External"/><Relationship Id="rId31" Type="http://schemas.openxmlformats.org/officeDocument/2006/relationships/hyperlink" Target="https://undocs.org/fr/CEDAW/C/PER/Q/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fr/CEDAW/C/PAN/8" TargetMode="External"/><Relationship Id="rId27" Type="http://schemas.openxmlformats.org/officeDocument/2006/relationships/hyperlink" Target="https://undocs.org/fr/CEDAW/C/DOM/QPR/8" TargetMode="External"/><Relationship Id="rId30" Type="http://schemas.openxmlformats.org/officeDocument/2006/relationships/hyperlink" Target="https://undocs.org/fr/CEDAW/C/PAN/QPR/8" TargetMode="External"/><Relationship Id="rId35" Type="http://schemas.openxmlformats.org/officeDocument/2006/relationships/hyperlink" Target="https://undocs.org/fr/CEDAW/C/GAB/RQ/7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ok</dc:creator>
  <cp:keywords/>
  <dc:description/>
  <cp:lastModifiedBy>mao ok</cp:lastModifiedBy>
  <cp:revision>3</cp:revision>
  <cp:lastPrinted>2021-12-30T21:50:00Z</cp:lastPrinted>
  <dcterms:created xsi:type="dcterms:W3CDTF">2021-12-30T21:50:00Z</dcterms:created>
  <dcterms:modified xsi:type="dcterms:W3CDTF">2021-12-30T21:50:00Z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2118646F</vt:lpwstr>
  </property>
  <property fmtid="{D5CDD505-2E9C-101B-9397-08002B2CF9AE}" pid="3" name="ODSRefJobNo">
    <vt:lpwstr>2138735F</vt:lpwstr>
  </property>
  <property fmtid="{D5CDD505-2E9C-101B-9397-08002B2CF9AE}" pid="4" name="Symbol1">
    <vt:lpwstr>CEDAW/C/81/1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Moise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Original">
    <vt:lpwstr>Anglais, espagnol et français seulement_x000d__x0007_</vt:lpwstr>
  </property>
  <property fmtid="{D5CDD505-2E9C-101B-9397-08002B2CF9AE}" pid="13" name="Release Date">
    <vt:lpwstr/>
  </property>
  <property fmtid="{D5CDD505-2E9C-101B-9397-08002B2CF9AE}" pid="14" name="Session1">
    <vt:lpwstr>Quatre-vingt-unième session_x000d_</vt:lpwstr>
  </property>
  <property fmtid="{D5CDD505-2E9C-101B-9397-08002B2CF9AE}" pid="15" name="Agenda1">
    <vt:lpwstr>Point 2 de l’ordre du jour provisoire_x000d_</vt:lpwstr>
  </property>
  <property fmtid="{D5CDD505-2E9C-101B-9397-08002B2CF9AE}" pid="16" name="Agenda Title1">
    <vt:lpwstr>Adoption de l’ordre du jour et organisation des travaux_x000d_</vt:lpwstr>
  </property>
  <property fmtid="{D5CDD505-2E9C-101B-9397-08002B2CF9AE}" pid="17" name="Title1">
    <vt:lpwstr>		Ordre du jour provisoire annoté*_x000d_</vt:lpwstr>
  </property>
  <property fmtid="{D5CDD505-2E9C-101B-9397-08002B2CF9AE}" pid="18" name="Title2">
    <vt:lpwstr>		Ordre du jour provisoire_x000d_</vt:lpwstr>
  </property>
</Properties>
</file>