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750EFAF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2894F2" w14:textId="77777777" w:rsidR="002D5AAC" w:rsidRDefault="002D5AAC" w:rsidP="00501B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BE6D5E9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1A94F38" w14:textId="0BD98BF8" w:rsidR="002D5AAC" w:rsidRDefault="00501B73" w:rsidP="00501B73">
            <w:pPr>
              <w:jc w:val="right"/>
            </w:pPr>
            <w:r w:rsidRPr="008F7686">
              <w:rPr>
                <w:sz w:val="40"/>
              </w:rPr>
              <w:t>CCPR</w:t>
            </w:r>
            <w:r w:rsidRPr="008F7686">
              <w:t>/C/LUX/CO/4</w:t>
            </w:r>
          </w:p>
        </w:tc>
      </w:tr>
      <w:tr w:rsidR="002D5AAC" w:rsidRPr="00223746" w14:paraId="7B424BB0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07EC55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7CC2E5" wp14:editId="1F4DB4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0257F6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CE3148B" w14:textId="77777777" w:rsidR="002D5AAC" w:rsidRPr="00431B40" w:rsidRDefault="00501B73" w:rsidP="00BC3629">
            <w:pPr>
              <w:spacing w:before="240"/>
              <w:rPr>
                <w:lang w:val="en-US"/>
              </w:rPr>
            </w:pPr>
            <w:r w:rsidRPr="00431B40">
              <w:rPr>
                <w:lang w:val="en-US"/>
              </w:rPr>
              <w:t>Distr.: General</w:t>
            </w:r>
          </w:p>
          <w:p w14:paraId="4EBD3B8A" w14:textId="2D13BD9B" w:rsidR="00501B73" w:rsidRPr="006A1623" w:rsidRDefault="00431B40" w:rsidP="00501B73">
            <w:pPr>
              <w:spacing w:line="240" w:lineRule="exact"/>
              <w:rPr>
                <w:lang w:val="en-US"/>
              </w:rPr>
            </w:pPr>
            <w:r w:rsidRPr="00431B40">
              <w:rPr>
                <w:lang w:val="en-US"/>
              </w:rPr>
              <w:t>1</w:t>
            </w:r>
            <w:r w:rsidRPr="006A1623">
              <w:rPr>
                <w:lang w:val="en-US"/>
              </w:rPr>
              <w:t>4 September 2022</w:t>
            </w:r>
          </w:p>
          <w:p w14:paraId="1370E61E" w14:textId="77777777" w:rsidR="00501B73" w:rsidRPr="00431B40" w:rsidRDefault="00501B73" w:rsidP="00501B73">
            <w:pPr>
              <w:spacing w:line="240" w:lineRule="exact"/>
              <w:rPr>
                <w:lang w:val="en-US"/>
              </w:rPr>
            </w:pPr>
            <w:r w:rsidRPr="00431B40">
              <w:rPr>
                <w:lang w:val="en-US"/>
              </w:rPr>
              <w:t>Russian</w:t>
            </w:r>
          </w:p>
          <w:p w14:paraId="62F56576" w14:textId="1C76F53F" w:rsidR="00501B73" w:rsidRPr="00431B40" w:rsidRDefault="00501B73" w:rsidP="00501B73">
            <w:pPr>
              <w:spacing w:line="240" w:lineRule="exact"/>
              <w:rPr>
                <w:lang w:val="en-US"/>
              </w:rPr>
            </w:pPr>
            <w:r w:rsidRPr="00431B40">
              <w:rPr>
                <w:lang w:val="en-US"/>
              </w:rPr>
              <w:t xml:space="preserve">Original: </w:t>
            </w:r>
            <w:r w:rsidR="00431B40">
              <w:rPr>
                <w:lang w:val="en-US"/>
              </w:rPr>
              <w:t>French</w:t>
            </w:r>
          </w:p>
        </w:tc>
      </w:tr>
    </w:tbl>
    <w:p w14:paraId="3DF33D95" w14:textId="77777777" w:rsidR="00501B73" w:rsidRPr="00501B73" w:rsidRDefault="00501B73" w:rsidP="00501B73">
      <w:pPr>
        <w:spacing w:before="120"/>
        <w:rPr>
          <w:b/>
          <w:sz w:val="24"/>
          <w:szCs w:val="24"/>
        </w:rPr>
      </w:pPr>
      <w:r w:rsidRPr="00501B73">
        <w:rPr>
          <w:b/>
          <w:bCs/>
          <w:sz w:val="24"/>
          <w:szCs w:val="24"/>
        </w:rPr>
        <w:t>Комитет по правам человека</w:t>
      </w:r>
    </w:p>
    <w:p w14:paraId="378E455C" w14:textId="77777777" w:rsidR="00501B73" w:rsidRPr="002C046B" w:rsidRDefault="00501B73" w:rsidP="00501B73">
      <w:pPr>
        <w:pStyle w:val="HChG"/>
        <w:tabs>
          <w:tab w:val="clear" w:pos="851"/>
        </w:tabs>
        <w:rPr>
          <w:b w:val="0"/>
          <w:sz w:val="20"/>
        </w:rPr>
      </w:pPr>
      <w:r>
        <w:tab/>
      </w:r>
      <w:r>
        <w:tab/>
      </w:r>
      <w:r>
        <w:rPr>
          <w:bCs/>
        </w:rPr>
        <w:t>Заключительные замечания по четвертому периодическому докладу Люксембурга</w:t>
      </w:r>
      <w:r w:rsidRPr="004A4B36">
        <w:rPr>
          <w:b w:val="0"/>
          <w:sz w:val="20"/>
        </w:rPr>
        <w:footnoteReference w:customMarkFollows="1" w:id="1"/>
        <w:t>*</w:t>
      </w:r>
    </w:p>
    <w:p w14:paraId="6807B828" w14:textId="41607068" w:rsidR="00501B73" w:rsidRPr="002C046B" w:rsidRDefault="00501B73" w:rsidP="00501B73">
      <w:pPr>
        <w:pStyle w:val="SingleTxtG"/>
      </w:pPr>
      <w:r>
        <w:t>1.</w:t>
      </w:r>
      <w:r>
        <w:tab/>
        <w:t>Комитет по правам человека рассмотрел четвертый периодический доклад Люксембурга</w:t>
      </w:r>
      <w:r w:rsidRPr="00392D24">
        <w:rPr>
          <w:rStyle w:val="aa"/>
        </w:rPr>
        <w:footnoteReference w:id="2"/>
      </w:r>
      <w:r>
        <w:t xml:space="preserve"> на своих 3880-м и 3881-м заседаниях</w:t>
      </w:r>
      <w:r w:rsidR="00E53805" w:rsidRPr="00392D24">
        <w:rPr>
          <w:rStyle w:val="aa"/>
        </w:rPr>
        <w:footnoteReference w:id="3"/>
      </w:r>
      <w:r>
        <w:t>, состоявшихся 29 и 30</w:t>
      </w:r>
      <w:r w:rsidR="00E53805">
        <w:rPr>
          <w:lang w:val="fr-CH"/>
        </w:rPr>
        <w:t> </w:t>
      </w:r>
      <w:r>
        <w:t>июня 2022</w:t>
      </w:r>
      <w:r w:rsidR="00E53805">
        <w:rPr>
          <w:lang w:val="fr-CH"/>
        </w:rPr>
        <w:t> </w:t>
      </w:r>
      <w:r>
        <w:t>года. На своем 3908-м заседании, состоявшемся 20 июля 2022 года, он принял настоящие заключительные замечания.</w:t>
      </w:r>
    </w:p>
    <w:p w14:paraId="0B30B94A" w14:textId="18D65093" w:rsidR="00501B73" w:rsidRPr="002C046B" w:rsidRDefault="00501B73" w:rsidP="00501B73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67410ECB" w14:textId="2BC50E77" w:rsidR="00501B73" w:rsidRPr="002C046B" w:rsidRDefault="00501B73" w:rsidP="00501B73">
      <w:pPr>
        <w:pStyle w:val="SingleTxtG"/>
      </w:pPr>
      <w:r>
        <w:t>2.</w:t>
      </w:r>
      <w:r>
        <w:tab/>
        <w:t>Комитет приветствует четвертый периодический доклад государства-участника и содержащуюся в нем информацию, хотя он был представлен со значительной задержкой. Он высоко оценивает возможность возобновить конструктивный диалог с высокопоставленной делегацией государства-участника относительно мер, принятых в течение отчетного периода для осуществления положений Пакта. Комитет выражает признательность государству-участнику за письменные ответы</w:t>
      </w:r>
      <w:r w:rsidRPr="00392D24">
        <w:rPr>
          <w:rStyle w:val="aa"/>
        </w:rPr>
        <w:footnoteReference w:id="4"/>
      </w:r>
      <w:r>
        <w:t xml:space="preserve"> на перечень вопросов</w:t>
      </w:r>
      <w:r w:rsidRPr="00392D24">
        <w:rPr>
          <w:rStyle w:val="aa"/>
        </w:rPr>
        <w:footnoteReference w:id="5"/>
      </w:r>
      <w:r>
        <w:t>, которые были дополнены устными ответами членов делегации, а также за дополнительную информацию, представленную в письменном виде после диалога.</w:t>
      </w:r>
    </w:p>
    <w:p w14:paraId="45E16374" w14:textId="70DDCC13" w:rsidR="00501B73" w:rsidRPr="002C046B" w:rsidRDefault="00501B73" w:rsidP="00501B73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72B12D95" w14:textId="77777777" w:rsidR="00501B73" w:rsidRPr="002C046B" w:rsidRDefault="00501B73" w:rsidP="00501B73">
      <w:pPr>
        <w:pStyle w:val="SingleTxtG"/>
        <w:keepNext/>
      </w:pPr>
      <w:r>
        <w:t>3.</w:t>
      </w:r>
      <w:r>
        <w:tab/>
        <w:t xml:space="preserve">Комитет приветствует принятые государством-участником следующие законодательные, институциональные и политические меры: </w:t>
      </w:r>
    </w:p>
    <w:p w14:paraId="122EA22C" w14:textId="77777777" w:rsidR="00501B73" w:rsidRPr="002C046B" w:rsidRDefault="00501B73" w:rsidP="00501B73">
      <w:pPr>
        <w:pStyle w:val="SingleTxtG"/>
        <w:ind w:firstLine="567"/>
      </w:pPr>
      <w:r>
        <w:t xml:space="preserve">a) </w:t>
      </w:r>
      <w:r>
        <w:tab/>
        <w:t>закон от 1 августа 2018 года об организации Национальной комиссии по защите данных и общем режиме защиты данных;</w:t>
      </w:r>
    </w:p>
    <w:p w14:paraId="22101AF9" w14:textId="77777777" w:rsidR="00501B73" w:rsidRPr="002C046B" w:rsidRDefault="00501B73" w:rsidP="00501B73">
      <w:pPr>
        <w:pStyle w:val="SingleTxtG"/>
        <w:ind w:firstLine="567"/>
      </w:pPr>
      <w:r>
        <w:t xml:space="preserve">b) </w:t>
      </w:r>
      <w:r>
        <w:tab/>
        <w:t>закон от 28 февраля 2018 года, усиливающий борьбу с эксплуатацией проституции, сутенерством и торговлей людьми в сексуальных целях;</w:t>
      </w:r>
    </w:p>
    <w:p w14:paraId="5EE783A5" w14:textId="77777777" w:rsidR="00501B73" w:rsidRPr="002C046B" w:rsidRDefault="00501B73" w:rsidP="00501B73">
      <w:pPr>
        <w:pStyle w:val="SingleTxtG"/>
        <w:ind w:firstLine="567"/>
      </w:pPr>
      <w:r>
        <w:t xml:space="preserve">c) </w:t>
      </w:r>
      <w:r>
        <w:tab/>
        <w:t>закон от 8 марта 2017 года о гражданстве Люксембурга, который облегчает получение гражданства и содержит ряд положений, направленных на предотвращение и сокращение безгражданства;</w:t>
      </w:r>
    </w:p>
    <w:p w14:paraId="72B22BD4" w14:textId="77777777" w:rsidR="00501B73" w:rsidRPr="002C046B" w:rsidRDefault="00501B73" w:rsidP="00501B73">
      <w:pPr>
        <w:pStyle w:val="SingleTxtG"/>
        <w:ind w:firstLine="567"/>
      </w:pPr>
      <w:r>
        <w:t>d)</w:t>
      </w:r>
      <w:r>
        <w:tab/>
        <w:t xml:space="preserve">закон от 15 декабря 2016 года, который исключает любую дискриминацию в оплате труда по признаку пола; </w:t>
      </w:r>
    </w:p>
    <w:p w14:paraId="38484A85" w14:textId="77777777" w:rsidR="00501B73" w:rsidRPr="002C046B" w:rsidRDefault="00501B73" w:rsidP="00501B73">
      <w:pPr>
        <w:pStyle w:val="SingleTxtG"/>
        <w:ind w:firstLine="567"/>
      </w:pPr>
      <w:r>
        <w:lastRenderedPageBreak/>
        <w:t xml:space="preserve">e) </w:t>
      </w:r>
      <w:r>
        <w:tab/>
        <w:t>создание в июне 2015 года межведомственного комитета по правам человека, одной из задач которого является обеспечение выполнения рекомендаций международных правозащитных механизмов;</w:t>
      </w:r>
    </w:p>
    <w:p w14:paraId="485F9660" w14:textId="77777777" w:rsidR="00501B73" w:rsidRPr="002C046B" w:rsidRDefault="00501B73" w:rsidP="00501B73">
      <w:pPr>
        <w:pStyle w:val="SingleTxtG"/>
        <w:ind w:firstLine="567"/>
      </w:pPr>
      <w:r>
        <w:t xml:space="preserve">f) </w:t>
      </w:r>
      <w:r>
        <w:tab/>
        <w:t>закон от 28 ноября 2006 года, в соответствии с которым учреждается Центр по вопросам равного обращения.</w:t>
      </w:r>
    </w:p>
    <w:p w14:paraId="1618B459" w14:textId="77777777" w:rsidR="00501B73" w:rsidRPr="002C046B" w:rsidRDefault="00501B73" w:rsidP="00501B73">
      <w:pPr>
        <w:pStyle w:val="SingleTxtG"/>
        <w:keepNext/>
      </w:pPr>
      <w:r>
        <w:t>4.</w:t>
      </w:r>
      <w:r>
        <w:tab/>
        <w:t>Комитет приветствует ратификацию государством-участником следующих международных договоров по правам человека или присоединение к ним:</w:t>
      </w:r>
    </w:p>
    <w:p w14:paraId="4CCB7B25" w14:textId="77777777" w:rsidR="00501B73" w:rsidRPr="002C046B" w:rsidRDefault="00501B73" w:rsidP="00501B73">
      <w:pPr>
        <w:pStyle w:val="SingleTxtG"/>
        <w:ind w:firstLine="567"/>
      </w:pPr>
      <w:r>
        <w:t>a)</w:t>
      </w:r>
      <w:r>
        <w:tab/>
        <w:t>Международная конвенция для защиты всех лиц от насильственных исчезновений, 1 апреля 2022 года;</w:t>
      </w:r>
    </w:p>
    <w:p w14:paraId="354018DA" w14:textId="23CF6B67" w:rsidR="00501B73" w:rsidRPr="002C046B" w:rsidRDefault="00501B73" w:rsidP="00501B73">
      <w:pPr>
        <w:pStyle w:val="SingleTxtG"/>
        <w:ind w:firstLine="567"/>
      </w:pPr>
      <w:r>
        <w:t>b)</w:t>
      </w:r>
      <w:r>
        <w:tab/>
        <w:t>Конвенция Совета Европы о предотвращении и борьбе с насилием в отношении женщин и домашним насилием (Стамбульская конвенция), 7 августа 2018</w:t>
      </w:r>
      <w:r w:rsidR="0083697A">
        <w:rPr>
          <w:lang w:val="fr-CH"/>
        </w:rPr>
        <w:t> </w:t>
      </w:r>
      <w:r>
        <w:t>года;</w:t>
      </w:r>
    </w:p>
    <w:p w14:paraId="770637F0" w14:textId="77777777" w:rsidR="00501B73" w:rsidRPr="002C046B" w:rsidRDefault="00501B73" w:rsidP="00501B73">
      <w:pPr>
        <w:pStyle w:val="SingleTxtG"/>
        <w:ind w:firstLine="567"/>
      </w:pPr>
      <w:r>
        <w:t xml:space="preserve">c) </w:t>
      </w:r>
      <w:r>
        <w:tab/>
        <w:t>Конвенция о сокращении безгражданства, 21 сентября 2017 года;</w:t>
      </w:r>
    </w:p>
    <w:p w14:paraId="449CDCBC" w14:textId="77777777" w:rsidR="00501B73" w:rsidRPr="002C046B" w:rsidRDefault="00501B73" w:rsidP="00501B73">
      <w:pPr>
        <w:pStyle w:val="SingleTxtG"/>
        <w:ind w:firstLine="567"/>
      </w:pPr>
      <w:r>
        <w:t xml:space="preserve">d) </w:t>
      </w:r>
      <w:r>
        <w:tab/>
        <w:t>Конвенция о правах инвалидов, 26 сентября 2011 года;</w:t>
      </w:r>
    </w:p>
    <w:p w14:paraId="50CCFD86" w14:textId="77777777" w:rsidR="00501B73" w:rsidRPr="002C046B" w:rsidRDefault="00501B73" w:rsidP="00501B73">
      <w:pPr>
        <w:pStyle w:val="SingleTxtG"/>
        <w:ind w:firstLine="567"/>
      </w:pPr>
      <w:r>
        <w:t xml:space="preserve">e) </w:t>
      </w:r>
      <w:r>
        <w:tab/>
        <w:t>Факультативный протокол к Конвенции о правах ребенка, касающийся торговли детьми, детской проституции и детской порнографии, 2 сентября 2011 года;</w:t>
      </w:r>
    </w:p>
    <w:p w14:paraId="6326E6BA" w14:textId="77777777" w:rsidR="00501B73" w:rsidRPr="002C046B" w:rsidRDefault="00501B73" w:rsidP="00501B73">
      <w:pPr>
        <w:pStyle w:val="SingleTxtG"/>
        <w:ind w:firstLine="567"/>
      </w:pPr>
      <w:r>
        <w:t xml:space="preserve">f) </w:t>
      </w:r>
      <w:r>
        <w:tab/>
        <w:t>Факультативный протокол к Конвенции против пыток и других жестоких, бесчеловечных или унижающих достоинство видов обращения и наказания, 19 мая 2010 года;</w:t>
      </w:r>
    </w:p>
    <w:p w14:paraId="666E60BC" w14:textId="77777777" w:rsidR="00501B73" w:rsidRPr="002C046B" w:rsidRDefault="00501B73" w:rsidP="00501B73">
      <w:pPr>
        <w:pStyle w:val="SingleTxtG"/>
        <w:ind w:firstLine="567"/>
      </w:pPr>
      <w:r>
        <w:t xml:space="preserve">g) </w:t>
      </w:r>
      <w:r>
        <w:tab/>
        <w:t xml:space="preserve">Факультативный протокол к Конвенции о правах ребенка, касающийся участия детей в вооруженных конфликтах, 4 августа 2004 года. </w:t>
      </w:r>
    </w:p>
    <w:p w14:paraId="3381ED1B" w14:textId="5CBCCE68" w:rsidR="00501B73" w:rsidRPr="002C046B" w:rsidRDefault="00501B73" w:rsidP="00501B73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Основные вопросы, вызывающие обеспокоенность, и рекомендации</w:t>
      </w:r>
    </w:p>
    <w:p w14:paraId="1A71F25D" w14:textId="77777777" w:rsidR="00501B73" w:rsidRPr="002C046B" w:rsidRDefault="00501B73" w:rsidP="00501B73">
      <w:pPr>
        <w:pStyle w:val="H23G"/>
        <w:jc w:val="both"/>
      </w:pPr>
      <w:r>
        <w:tab/>
      </w:r>
      <w:r>
        <w:tab/>
      </w:r>
      <w:r>
        <w:rPr>
          <w:bCs/>
        </w:rPr>
        <w:t>Оговорки</w:t>
      </w:r>
      <w:r>
        <w:t xml:space="preserve"> </w:t>
      </w:r>
    </w:p>
    <w:p w14:paraId="206B8D30" w14:textId="77777777" w:rsidR="00501B73" w:rsidRPr="002C046B" w:rsidRDefault="00501B73" w:rsidP="00501B73">
      <w:pPr>
        <w:pStyle w:val="SingleTxtG"/>
      </w:pPr>
      <w:r>
        <w:t>5.</w:t>
      </w:r>
      <w:r>
        <w:tab/>
        <w:t xml:space="preserve">Комитет по-прежнему обеспокоен тем, что государство-участник сохраняет свои оговорки к статьям 10 (п. 3), 14 (п. 5), 19 (п. 2) и 20 (п. 1) Пакта (ст. 2). </w:t>
      </w:r>
    </w:p>
    <w:p w14:paraId="59143524" w14:textId="77777777" w:rsidR="00501B73" w:rsidRPr="002C046B" w:rsidRDefault="00501B73" w:rsidP="00501B73">
      <w:pPr>
        <w:pStyle w:val="SingleTxtG"/>
      </w:pPr>
      <w:r>
        <w:t>6.</w:t>
      </w:r>
      <w:r>
        <w:tab/>
      </w:r>
      <w:r>
        <w:rPr>
          <w:b/>
          <w:bCs/>
        </w:rPr>
        <w:t>Государству-участнику следует рассмотреть возможность снятия своих оговорок к статьям 10, 14, 19 и 20 Пакта.</w:t>
      </w:r>
    </w:p>
    <w:p w14:paraId="77478396" w14:textId="77777777" w:rsidR="00501B73" w:rsidRPr="002C046B" w:rsidRDefault="00501B73" w:rsidP="00501B73">
      <w:pPr>
        <w:pStyle w:val="H23G"/>
        <w:jc w:val="both"/>
      </w:pPr>
      <w:r>
        <w:tab/>
      </w:r>
      <w:r>
        <w:tab/>
      </w:r>
      <w:r>
        <w:rPr>
          <w:bCs/>
        </w:rPr>
        <w:t>Недискриминация</w:t>
      </w:r>
      <w:r>
        <w:t xml:space="preserve"> </w:t>
      </w:r>
    </w:p>
    <w:p w14:paraId="0D9005B6" w14:textId="77777777" w:rsidR="00501B73" w:rsidRPr="002C046B" w:rsidRDefault="00501B73" w:rsidP="00501B73">
      <w:pPr>
        <w:pStyle w:val="SingleTxtG"/>
      </w:pPr>
      <w:r>
        <w:t>7.</w:t>
      </w:r>
      <w:r>
        <w:tab/>
        <w:t>Приветствуя меры, принятые государством-участником для борьбы со всеми формами дискриминации, Комитет выражает свою озабоченность по поводу отсутствия судебных преследований и обвинительных приговоров за дискриминацию. Комитет обеспокоен препятствиями, ограничивающими доступ к правосудию для лиц, желающих подать жалобу на дискриминацию, включая недостаточную осведомленность о различных имеющихся средствах правовой защиты, а также нехватку ресурсов и квалифицированных специалистов, выделяемых Центру по вопросам равного обращения. Кроме того, Комитет сожалеет, что предложение о пересмотре (№ 7755) главы II Конституции, представленное в апреле 2021 года, сохраняет формулировку, которая проводит различие между люксембуржцами и нелюксембуржцами в отношении равенства всех перед законом, несмотря на прецедентное право Конституционного суда, который признает равенство прав между гражданами и негражданами (ст. 2 и 26).</w:t>
      </w:r>
    </w:p>
    <w:p w14:paraId="6937C01A" w14:textId="77777777" w:rsidR="00501B73" w:rsidRPr="002C046B" w:rsidRDefault="00501B73" w:rsidP="00501B73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Государству-участнику следует укрепить финансовые и людские ресурсы, выделяемые Центру по вопросам равного обращения, и предоставить ему более широкие полномочия, включая право подавать судебные иски от имени жертв дискриминации, а также полномочия по проведению расследований и обеспечить обязательную силу его решений.</w:t>
      </w:r>
      <w:r>
        <w:t xml:space="preserve"> </w:t>
      </w:r>
      <w:r>
        <w:rPr>
          <w:b/>
          <w:bCs/>
        </w:rPr>
        <w:t xml:space="preserve">Государству-участнику также следует пересмотреть формулировки в предложение о пересмотре Конституции, чтобы </w:t>
      </w:r>
      <w:r>
        <w:rPr>
          <w:b/>
          <w:bCs/>
        </w:rPr>
        <w:lastRenderedPageBreak/>
        <w:t>устранить различия между люксембуржцами и нелюксембуржцами в отношении равенства всех перед законом.</w:t>
      </w:r>
    </w:p>
    <w:p w14:paraId="1AD18D00" w14:textId="77777777" w:rsidR="00501B73" w:rsidRPr="002C046B" w:rsidRDefault="00501B73" w:rsidP="00501B73">
      <w:pPr>
        <w:pStyle w:val="H23G"/>
        <w:jc w:val="both"/>
      </w:pPr>
      <w:r>
        <w:tab/>
      </w:r>
      <w:r>
        <w:tab/>
      </w:r>
      <w:r>
        <w:rPr>
          <w:bCs/>
        </w:rPr>
        <w:t>Дискриминация в отношении людей с инвалидностью</w:t>
      </w:r>
      <w:r>
        <w:t xml:space="preserve"> </w:t>
      </w:r>
    </w:p>
    <w:p w14:paraId="741AED86" w14:textId="77777777" w:rsidR="00501B73" w:rsidRPr="002C046B" w:rsidRDefault="00501B73" w:rsidP="00501B73">
      <w:pPr>
        <w:pStyle w:val="SingleTxtG"/>
      </w:pPr>
      <w:r>
        <w:t>9.</w:t>
      </w:r>
      <w:r>
        <w:tab/>
        <w:t>Комитет приветствует различные меры, принятые государством-участником для борьбы с дискриминацией в отношении людей с инвалидностью, включая принятие закона от 7 января 2022 года о доступности для всех мест общественного пользования, дорог общего пользования и коллективных жилых домов. Он отмечает, что положения этого закона вводят в действие рекомендации, вынесенные в 2017 году Комитетом по правам инвалидов в отношении определения «инвалида» и «разумного приспособления», рассматривая любой отказ в разумном приспособлении как представляющий собой дискриминацию по признаку инвалидности и подпадающий под действие уголовных положений</w:t>
      </w:r>
      <w:r w:rsidRPr="00392D24">
        <w:rPr>
          <w:rStyle w:val="aa"/>
        </w:rPr>
        <w:footnoteReference w:id="6"/>
      </w:r>
      <w:r>
        <w:t xml:space="preserve">. Однако Комитет сожалеет, что критерии доступа к определенным государственным услугам или финансированию по-прежнему ориентированы на степень инвалидности, и что люди с инвалидностью по-прежнему недопредставлены на рынке труда (ст. 2 и 26). </w:t>
      </w:r>
    </w:p>
    <w:p w14:paraId="4817142E" w14:textId="77777777" w:rsidR="00501B73" w:rsidRPr="002C046B" w:rsidRDefault="00501B73" w:rsidP="00501B73">
      <w:pPr>
        <w:pStyle w:val="SingleTxtG"/>
        <w:keepNext/>
        <w:rPr>
          <w:b/>
          <w:bCs/>
        </w:rPr>
      </w:pPr>
      <w:r>
        <w:t>10.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386E1522" w14:textId="3BDF3FB8" w:rsidR="00501B73" w:rsidRPr="002C046B" w:rsidRDefault="00501B73" w:rsidP="00501B73">
      <w:pPr>
        <w:pStyle w:val="SingleTxtG"/>
        <w:ind w:firstLine="567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гарантировать эффективное применение закона от 7 января 2022</w:t>
      </w:r>
      <w:r w:rsidR="0083697A">
        <w:rPr>
          <w:b/>
          <w:bCs/>
          <w:lang w:val="fr-CH"/>
        </w:rPr>
        <w:t> </w:t>
      </w:r>
      <w:r>
        <w:rPr>
          <w:b/>
          <w:bCs/>
        </w:rPr>
        <w:t>года о доступности для всех мест общественного пользования, дорог общего пользования и коллективных жилых домов, а также принять любые другие соответствующие меры для обеспечения того, чтобы люди с инвалидностью не подвергались дискриминации при осуществлении своих прав;</w:t>
      </w:r>
      <w:r>
        <w:t xml:space="preserve"> </w:t>
      </w:r>
    </w:p>
    <w:p w14:paraId="722D8CD2" w14:textId="77777777" w:rsidR="00501B73" w:rsidRPr="002C046B" w:rsidRDefault="00501B73" w:rsidP="00501B73">
      <w:pPr>
        <w:pStyle w:val="SingleTxtG"/>
        <w:ind w:firstLine="567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 соблюдение работодателями их позитивного обязательства по гарантированию доступа к рынку труда для людей с инвалидностью, в том числе путем предоставления разумного приспособления, особенно в частном секторе;</w:t>
      </w:r>
    </w:p>
    <w:p w14:paraId="58803B77" w14:textId="7E9C4471" w:rsidR="00501B73" w:rsidRPr="002C046B" w:rsidRDefault="00501B73" w:rsidP="00501B73">
      <w:pPr>
        <w:pStyle w:val="SingleTxtG"/>
        <w:ind w:firstLine="567"/>
        <w:rPr>
          <w:b/>
          <w:bCs/>
        </w:rPr>
      </w:pPr>
      <w:r>
        <w:rPr>
          <w:b/>
          <w:bCs/>
        </w:rPr>
        <w:t>c)</w:t>
      </w:r>
      <w:r>
        <w:t xml:space="preserve"> </w:t>
      </w:r>
      <w:r>
        <w:tab/>
      </w:r>
      <w:r>
        <w:rPr>
          <w:b/>
          <w:bCs/>
        </w:rPr>
        <w:t>пересмотреть условия доступа к определенным услугам или государственному финансированию в зависимости от степени инвалидности, например условия, предусмотренные законом от 12 сентября 2003 года об инвалидах, которые исключают людей с инвалидностью, не соответствующих критерию 30-процентной потери трудоспособности, из категории работника-инвалида и сферы оказания соответствующей помощи по инклюзии.</w:t>
      </w:r>
      <w:r>
        <w:t xml:space="preserve"> </w:t>
      </w:r>
    </w:p>
    <w:p w14:paraId="4A7622B7" w14:textId="77777777" w:rsidR="00501B73" w:rsidRPr="002C046B" w:rsidRDefault="00501B73" w:rsidP="00501B73">
      <w:pPr>
        <w:pStyle w:val="H23G"/>
        <w:jc w:val="both"/>
      </w:pPr>
      <w:r>
        <w:tab/>
      </w:r>
      <w:r>
        <w:tab/>
      </w:r>
      <w:r>
        <w:rPr>
          <w:bCs/>
        </w:rPr>
        <w:t>Сексуальная ориентация, гендерная идентичность и интерсекс-люди</w:t>
      </w:r>
      <w:r>
        <w:t xml:space="preserve"> </w:t>
      </w:r>
    </w:p>
    <w:p w14:paraId="311EA232" w14:textId="77777777" w:rsidR="00501B73" w:rsidRPr="002C046B" w:rsidRDefault="00501B73" w:rsidP="00501B73">
      <w:pPr>
        <w:pStyle w:val="SingleTxtG"/>
      </w:pPr>
      <w:r>
        <w:t>11.</w:t>
      </w:r>
      <w:r>
        <w:tab/>
        <w:t>Приветствуя принятие Национального плана действий по поощрению прав лесбиянок, геев, бисексуалов, трансгендеров и интерсексов от 13 июля 2018 года и текущую подготовку законопроекта о праве на самоопределение интерсексных детей, Комитет с обеспокоенностью отмечает, что дети с интерсексной вариацией при рождении иногда подвергаются инвазивным и необратимым медицинским процедурам, направленным на коррекцию их пола, что эти процедуры часто основаны на стереотипных представлениях о гендерных ролях и что они проводятся до того, как соответствующие лица достигли возраста, позволяющего дать свободное и осознанное согласие. Комитет также обеспокоен отсутствием централизованных статистических данных о вмешательствах такого рода, а также о мерах реабилитации и компенсации, которые, как сообщается, предоставляются лицам, подвергшимся таким вмешательствам (ст. 2, 7, 24 и 26).</w:t>
      </w:r>
    </w:p>
    <w:p w14:paraId="7F411839" w14:textId="35229438" w:rsidR="00501B73" w:rsidRPr="002C046B" w:rsidRDefault="00501B73" w:rsidP="00501B73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Государству-участнику следует усилить меры по прекращению необратимых медицинских процедур, в частности хирургических операций, проводимых в отношении интерсексных детей, которые еще не в состоянии дать свое свободное и осознанное согласие, за исключением случаев, когда такие процедуры являются абсолютно необходимыми с медицинской точки зрения.</w:t>
      </w:r>
      <w:r>
        <w:t xml:space="preserve"> </w:t>
      </w:r>
      <w:r>
        <w:rPr>
          <w:b/>
          <w:bCs/>
        </w:rPr>
        <w:t>В</w:t>
      </w:r>
      <w:r w:rsidR="0083697A">
        <w:rPr>
          <w:b/>
          <w:bCs/>
          <w:lang w:val="fr-CH"/>
        </w:rPr>
        <w:t> </w:t>
      </w:r>
      <w:r>
        <w:rPr>
          <w:b/>
          <w:bCs/>
        </w:rPr>
        <w:t xml:space="preserve">этой связи государству-участнику следует ускорить принятие соответствующего закона, как это предусмотрено в вышеупомянутом Плане </w:t>
      </w:r>
      <w:r>
        <w:rPr>
          <w:b/>
          <w:bCs/>
        </w:rPr>
        <w:lastRenderedPageBreak/>
        <w:t>действий.</w:t>
      </w:r>
      <w:r>
        <w:t xml:space="preserve"> </w:t>
      </w:r>
      <w:r>
        <w:rPr>
          <w:b/>
          <w:bCs/>
        </w:rPr>
        <w:t>Государству-участнику следует также ускорить создание централизованной системы сбора соответствующих статистических данных, в</w:t>
      </w:r>
      <w:r w:rsidR="0083697A">
        <w:rPr>
          <w:b/>
          <w:bCs/>
          <w:lang w:val="fr-CH"/>
        </w:rPr>
        <w:t> </w:t>
      </w:r>
      <w:r>
        <w:rPr>
          <w:b/>
          <w:bCs/>
        </w:rPr>
        <w:t>том числе о принятых мерах по реабилитации и компенсации.</w:t>
      </w:r>
      <w:r>
        <w:t xml:space="preserve">  </w:t>
      </w:r>
    </w:p>
    <w:p w14:paraId="7F4B4E85" w14:textId="77777777" w:rsidR="00501B73" w:rsidRPr="002C046B" w:rsidRDefault="00501B73" w:rsidP="00501B73">
      <w:pPr>
        <w:pStyle w:val="H23G"/>
      </w:pPr>
      <w:r>
        <w:tab/>
      </w:r>
      <w:r>
        <w:tab/>
      </w:r>
      <w:r>
        <w:tab/>
      </w:r>
      <w:r>
        <w:rPr>
          <w:bCs/>
        </w:rPr>
        <w:t>Право на жизнь и запрещение пыток и других жестоких или унижающих достоинство видов обращения и наказания</w:t>
      </w:r>
      <w:r>
        <w:t xml:space="preserve"> </w:t>
      </w:r>
    </w:p>
    <w:p w14:paraId="0710426D" w14:textId="5CAA654B" w:rsidR="00501B73" w:rsidRPr="002C046B" w:rsidRDefault="00501B73" w:rsidP="00501B73">
      <w:pPr>
        <w:pStyle w:val="SingleTxtG"/>
      </w:pPr>
      <w:r>
        <w:t>13.</w:t>
      </w:r>
      <w:r>
        <w:tab/>
        <w:t>Приветствуя включение в предложение о пересмотре (№ 7755) главы</w:t>
      </w:r>
      <w:r w:rsidR="0083697A">
        <w:rPr>
          <w:lang w:val="fr-CH"/>
        </w:rPr>
        <w:t> </w:t>
      </w:r>
      <w:r>
        <w:t>II Конституции гарантий, касающихся физической и психической неприкосновенности, а также запрета смертной казни, пыток и бесчеловечного или унижающего достоинство обращения, Комитет с обеспокоенностью отмечает, что критерии и пороговые значения для применения силы сотрудниками правоохранительных органов, установленные в законе от 28 июля 1973 года (с изменениями от 21 декабря 2007 года), не соответствуют критериям необходимости и соразмерности, изложенным в международных стандартах, или требованиям, касающимся обстоятельств, при которых может применяться огнестрельное оружие (ст. 6 и 7).</w:t>
      </w:r>
    </w:p>
    <w:p w14:paraId="15D0F7B0" w14:textId="77777777" w:rsidR="00501B73" w:rsidRPr="002C046B" w:rsidRDefault="00501B73" w:rsidP="00501B73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Государству-участнику следует привести свое законодательство о применении силы и огнестрельного оружия сотрудниками правоохранительных органов в соответствие с Кодексом поведения должностных лиц по поддержанию правопорядка, Основными принципами применения силы и огнестрельного оружия должностными лицами по поддержанию правопорядка и другими соответствующими стандартами.</w:t>
      </w:r>
    </w:p>
    <w:p w14:paraId="0CBAD53C" w14:textId="77777777" w:rsidR="00501B73" w:rsidRPr="002C046B" w:rsidRDefault="00501B73" w:rsidP="00501B73">
      <w:pPr>
        <w:pStyle w:val="H23G"/>
        <w:jc w:val="both"/>
      </w:pPr>
      <w:r>
        <w:tab/>
      </w:r>
      <w:r>
        <w:tab/>
      </w:r>
      <w:r>
        <w:rPr>
          <w:bCs/>
        </w:rPr>
        <w:t>Калечащие операции на женских половых органах</w:t>
      </w:r>
      <w:r>
        <w:t xml:space="preserve"> </w:t>
      </w:r>
      <w:bookmarkStart w:id="0" w:name="_Hlk109233041"/>
      <w:bookmarkEnd w:id="0"/>
    </w:p>
    <w:p w14:paraId="76931E68" w14:textId="331671F2" w:rsidR="00501B73" w:rsidRPr="002C046B" w:rsidRDefault="00501B73" w:rsidP="00501B73">
      <w:pPr>
        <w:pStyle w:val="SingleTxtG"/>
      </w:pPr>
      <w:r>
        <w:t>15.</w:t>
      </w:r>
      <w:r>
        <w:tab/>
        <w:t>Комитет приветствует различные меры, принятые государством-участником для борьбы с калечащими операциями на женских половых органах, в том числе включение в Уголовный кодекс статьи 409</w:t>
      </w:r>
      <w:r w:rsidR="0083697A">
        <w:rPr>
          <w:lang w:val="fr-CH"/>
        </w:rPr>
        <w:t> </w:t>
      </w:r>
      <w:r w:rsidR="0083697A">
        <w:rPr>
          <w:lang w:val="es-ES"/>
        </w:rPr>
        <w:t>bis</w:t>
      </w:r>
      <w:r>
        <w:t xml:space="preserve"> (законом от 20 июля 2018 года) и ее экстерриториальное применение посредством внесения поправки в статью</w:t>
      </w:r>
      <w:r w:rsidR="004B615B">
        <w:rPr>
          <w:lang w:val="es-ES"/>
        </w:rPr>
        <w:t> </w:t>
      </w:r>
      <w:r>
        <w:t>5-1 Уголовно-процессуального кодекса. Он также приветствует принятые меры, включая профилактику и обучение, в частности, должностных лиц, ответственных за прием мигрантов, и проводимую работу по разработке национальной стратегии по данному вопросу. Тем не менее Комитет обеспокоен отсутствием обвинительных приговоров, отсутствием статистических данных о масштабах этого явления и результатами исследования, проведенного Европейским институтом гендерного равенства, опубликованными в 2021 году, которые указывают на присутствие в Люксембурге значительного числа девочек и женщин, подверженных риску подвергнуться калечащим операциям на половых органах, что связано с растущей тенденцией иммиграции из стран, где эта практика все еще широко распространена (ст. 3, 7 и 26).</w:t>
      </w:r>
    </w:p>
    <w:p w14:paraId="05028428" w14:textId="77777777" w:rsidR="00501B73" w:rsidRPr="002C046B" w:rsidRDefault="00501B73" w:rsidP="00501B73">
      <w:pPr>
        <w:pStyle w:val="SingleTxtG"/>
        <w:keepNext/>
        <w:rPr>
          <w:b/>
          <w:bCs/>
        </w:rPr>
      </w:pPr>
      <w:r>
        <w:t>16.</w:t>
      </w:r>
      <w:r>
        <w:tab/>
      </w:r>
      <w:r>
        <w:rPr>
          <w:b/>
          <w:bCs/>
        </w:rPr>
        <w:t>Государству-участнику следует:</w:t>
      </w:r>
    </w:p>
    <w:p w14:paraId="4C94961F" w14:textId="77777777" w:rsidR="00501B73" w:rsidRPr="002C046B" w:rsidRDefault="00501B73" w:rsidP="00501B73">
      <w:pPr>
        <w:pStyle w:val="SingleTxtG"/>
        <w:spacing w:before="120" w:after="100"/>
        <w:ind w:firstLine="568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ускорить принятие национальной стратегии по борьбе с калечащими операциями на женских половых органах;</w:t>
      </w:r>
    </w:p>
    <w:p w14:paraId="7B5007D0" w14:textId="77777777" w:rsidR="00501B73" w:rsidRPr="002C046B" w:rsidRDefault="00501B73" w:rsidP="00501B73">
      <w:pPr>
        <w:pStyle w:val="SingleTxtG"/>
        <w:spacing w:after="100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продолжать усилия по повышению осведомленности среди общин, подверженных риску, в том числе о возможностях получения помощи и возмещения ущерба для жертв калечащих операций на женских половых органах;</w:t>
      </w:r>
    </w:p>
    <w:p w14:paraId="4848ADA0" w14:textId="77777777" w:rsidR="00501B73" w:rsidRPr="002C046B" w:rsidRDefault="00501B73" w:rsidP="00501B73">
      <w:pPr>
        <w:pStyle w:val="SingleTxtG"/>
        <w:spacing w:after="100"/>
        <w:ind w:firstLine="568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совершенствовать систему сбора данных для оценки масштабов этого явления, включая, помимо количества выявленных случаев, количество поданных жалоб и возбужденных расследований, судебных преследований и вынесенных приговоров, а также информацию о помощи, компенсации и реабилитационных мерах, предоставленных жертвам.</w:t>
      </w:r>
    </w:p>
    <w:p w14:paraId="27399EBB" w14:textId="77777777" w:rsidR="00501B73" w:rsidRPr="002C046B" w:rsidRDefault="00501B73" w:rsidP="00501B73">
      <w:pPr>
        <w:pStyle w:val="H23G"/>
        <w:jc w:val="both"/>
      </w:pPr>
      <w:r>
        <w:tab/>
      </w:r>
      <w:r>
        <w:tab/>
      </w:r>
      <w:r>
        <w:tab/>
      </w:r>
      <w:r>
        <w:rPr>
          <w:bCs/>
        </w:rPr>
        <w:t>Беженцы и просители убежища</w:t>
      </w:r>
      <w:r>
        <w:t xml:space="preserve"> </w:t>
      </w:r>
    </w:p>
    <w:p w14:paraId="688B29F9" w14:textId="7F1E135F" w:rsidR="00501B73" w:rsidRPr="002C046B" w:rsidRDefault="00501B73" w:rsidP="00501B73">
      <w:pPr>
        <w:pStyle w:val="SingleTxtG"/>
      </w:pPr>
      <w:r>
        <w:t>17.</w:t>
      </w:r>
      <w:r>
        <w:tab/>
        <w:t xml:space="preserve">Приветствуя различные меры, принятые или предусмотренные государством-участником для того, чтобы сделать систему предоставления убежища более эффективной и прозрачной и более ориентированной на защиту беженцев и просителей убежища, Комитет выражает свою обеспокоенность по поводу задержания </w:t>
      </w:r>
      <w:r>
        <w:lastRenderedPageBreak/>
        <w:t>детей, которое по-прежнему разрешено в государстве-участнике. Он считает, что положения, регулирующие подачу ходатайств на воссоединение семьи, в некоторых отношениях слишком жесткие, в частности в том,</w:t>
      </w:r>
      <w:r w:rsidR="004B615B" w:rsidRPr="004B615B">
        <w:t xml:space="preserve"> </w:t>
      </w:r>
      <w:r>
        <w:t xml:space="preserve">что касается сроков подачи заявлений, освобожденных от материальных, страховых и жилищных условий, и очень узкого понятия семейной ячейки. Комитет также обеспокоен существованием иногда очень длительных задержек в вынесении решений по ходатайствам о воссоединении семьи, что может представлять собой серьезное препятствие для интеграции просителя убежища (ст. 7, 9, 10, 12–14 и 24). </w:t>
      </w:r>
    </w:p>
    <w:p w14:paraId="3DD61E95" w14:textId="77777777" w:rsidR="00501B73" w:rsidRPr="002C046B" w:rsidRDefault="00501B73" w:rsidP="00501B73">
      <w:pPr>
        <w:pStyle w:val="SingleTxtG"/>
        <w:keepNext/>
        <w:keepLines/>
        <w:spacing w:after="100"/>
      </w:pPr>
      <w:r>
        <w:t>18.</w:t>
      </w:r>
      <w:r>
        <w:tab/>
      </w:r>
      <w:r>
        <w:rPr>
          <w:b/>
          <w:bCs/>
        </w:rPr>
        <w:t>Государству-участнику следует:</w:t>
      </w:r>
    </w:p>
    <w:p w14:paraId="5A600DE6" w14:textId="71B67179" w:rsidR="00501B73" w:rsidRPr="002C046B" w:rsidRDefault="00501B73" w:rsidP="00501B73">
      <w:pPr>
        <w:pStyle w:val="SingleTxtG"/>
        <w:keepNext/>
        <w:keepLines/>
        <w:spacing w:after="100"/>
        <w:ind w:firstLine="567"/>
        <w:rPr>
          <w:b/>
          <w:bCs/>
        </w:rPr>
      </w:pPr>
      <w:r>
        <w:rPr>
          <w:b/>
          <w:bCs/>
        </w:rPr>
        <w:t>a)</w:t>
      </w:r>
      <w:r>
        <w:t xml:space="preserve"> </w:t>
      </w:r>
      <w:r>
        <w:tab/>
      </w:r>
      <w:r>
        <w:rPr>
          <w:b/>
          <w:bCs/>
        </w:rPr>
        <w:t>внести поправки в статью 22</w:t>
      </w:r>
      <w:r w:rsidR="004B615B" w:rsidRPr="004B615B">
        <w:rPr>
          <w:b/>
          <w:bCs/>
        </w:rPr>
        <w:t xml:space="preserve"> </w:t>
      </w:r>
      <w:r>
        <w:rPr>
          <w:b/>
          <w:bCs/>
        </w:rPr>
        <w:t>(</w:t>
      </w:r>
      <w:r w:rsidR="004B615B">
        <w:rPr>
          <w:b/>
          <w:bCs/>
        </w:rPr>
        <w:t xml:space="preserve">п. </w:t>
      </w:r>
      <w:r>
        <w:rPr>
          <w:b/>
          <w:bCs/>
        </w:rPr>
        <w:t>1) закона от 18 декабря 2015 года о международной защите и временной защите, статью 120</w:t>
      </w:r>
      <w:r w:rsidR="004B615B" w:rsidRPr="004B615B">
        <w:rPr>
          <w:b/>
          <w:bCs/>
        </w:rPr>
        <w:t xml:space="preserve"> </w:t>
      </w:r>
      <w:r>
        <w:rPr>
          <w:b/>
          <w:bCs/>
        </w:rPr>
        <w:t>(</w:t>
      </w:r>
      <w:r w:rsidR="004B615B">
        <w:rPr>
          <w:b/>
          <w:bCs/>
        </w:rPr>
        <w:t xml:space="preserve">п. </w:t>
      </w:r>
      <w:r>
        <w:rPr>
          <w:b/>
          <w:bCs/>
        </w:rPr>
        <w:t>1) измененного закона от 29 августа 2008 года о свободном передвижении лиц и иммиграции и статью 6</w:t>
      </w:r>
      <w:r w:rsidR="004B615B">
        <w:rPr>
          <w:b/>
          <w:bCs/>
          <w:lang w:val="es-ES"/>
        </w:rPr>
        <w:t> </w:t>
      </w:r>
      <w:r>
        <w:rPr>
          <w:b/>
          <w:bCs/>
        </w:rPr>
        <w:t>(</w:t>
      </w:r>
      <w:r w:rsidR="004B615B">
        <w:rPr>
          <w:b/>
          <w:bCs/>
        </w:rPr>
        <w:t xml:space="preserve">п. </w:t>
      </w:r>
      <w:r>
        <w:rPr>
          <w:b/>
          <w:bCs/>
        </w:rPr>
        <w:t>3) закона от 28 мая 2009 года о создании и организации центра временного содержания, чтобы запретить задержание детей, независимо от их миграционного статуса;</w:t>
      </w:r>
    </w:p>
    <w:p w14:paraId="32020D3E" w14:textId="77777777" w:rsidR="00501B73" w:rsidRPr="002C046B" w:rsidRDefault="00501B73" w:rsidP="00501B73">
      <w:pPr>
        <w:pStyle w:val="SingleTxtG"/>
        <w:spacing w:after="100"/>
        <w:ind w:firstLine="567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обеспечить, чтобы альтернативы содержанию под стражей были закреплены в законодательстве и реализованы на практике;</w:t>
      </w:r>
    </w:p>
    <w:p w14:paraId="13C2D174" w14:textId="6B4433D8" w:rsidR="00501B73" w:rsidRPr="002C046B" w:rsidRDefault="00501B73" w:rsidP="00501B73">
      <w:pPr>
        <w:pStyle w:val="SingleTxtG"/>
        <w:spacing w:after="100"/>
        <w:ind w:firstLine="567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облегчить воссоединение семей лиц, пользующихся международной защитой, прекратив устанавливать (жесткие) сроки для подачи заявления на воссоединение семьи на «более благоприятных условиях», предусмотренных в статье 69 (п.</w:t>
      </w:r>
      <w:r w:rsidR="004B615B">
        <w:rPr>
          <w:b/>
          <w:bCs/>
        </w:rPr>
        <w:t xml:space="preserve"> </w:t>
      </w:r>
      <w:r>
        <w:rPr>
          <w:b/>
          <w:bCs/>
        </w:rPr>
        <w:t>2) закона об иммиграции от 29 августа 2008 года, и согласиться с тем, чтобы заявление на воссоединение семьи подавалось после истечения срока;</w:t>
      </w:r>
    </w:p>
    <w:p w14:paraId="33E9FF05" w14:textId="77777777" w:rsidR="00501B73" w:rsidRPr="002C046B" w:rsidRDefault="00501B73" w:rsidP="00501B73">
      <w:pPr>
        <w:pStyle w:val="SingleTxtG"/>
        <w:spacing w:after="100"/>
        <w:ind w:firstLine="567"/>
        <w:rPr>
          <w:b/>
          <w:bCs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принимать во внимание фактический состав семейной ячейки и отношения зависимости в контексте заявлений о воссоединении семьи, в том числе применительно к зависимым членам расширенной семьи;</w:t>
      </w:r>
      <w:r>
        <w:t xml:space="preserve"> </w:t>
      </w:r>
    </w:p>
    <w:p w14:paraId="32E93F47" w14:textId="77777777" w:rsidR="00501B73" w:rsidRPr="002C046B" w:rsidRDefault="00501B73" w:rsidP="00501B73">
      <w:pPr>
        <w:pStyle w:val="SingleTxtG"/>
        <w:spacing w:after="100"/>
        <w:ind w:firstLine="567"/>
        <w:rPr>
          <w:b/>
          <w:bCs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обеспечить, чтобы процесс воссоединения семей лиц, пользующихся международной защитой, включая принятие решений, происходил без неоправданных задержек.</w:t>
      </w:r>
    </w:p>
    <w:p w14:paraId="392D662D" w14:textId="77777777" w:rsidR="00501B73" w:rsidRPr="002C046B" w:rsidRDefault="00501B73" w:rsidP="00501B73">
      <w:pPr>
        <w:pStyle w:val="H23G"/>
        <w:spacing w:before="200" w:after="100"/>
        <w:jc w:val="both"/>
      </w:pPr>
      <w:r>
        <w:tab/>
      </w:r>
      <w:r>
        <w:tab/>
      </w:r>
      <w:r>
        <w:tab/>
      </w:r>
      <w:r>
        <w:rPr>
          <w:bCs/>
        </w:rPr>
        <w:t>Безгражданство</w:t>
      </w:r>
      <w:r>
        <w:t xml:space="preserve"> </w:t>
      </w:r>
    </w:p>
    <w:p w14:paraId="1DB5AEF5" w14:textId="77777777" w:rsidR="00501B73" w:rsidRPr="002C046B" w:rsidRDefault="00501B73" w:rsidP="00501B73">
      <w:pPr>
        <w:pStyle w:val="SingleTxtG"/>
        <w:spacing w:after="100"/>
      </w:pPr>
      <w:r>
        <w:t>19.</w:t>
      </w:r>
      <w:r>
        <w:tab/>
        <w:t xml:space="preserve">Отмечая установление административной процедуры по вопросам безгражданства в ноябре 2016 года и низкое количество заявлений, о которых сообщило государство-участник, Комитет сожалеет, что государство-участник не выразило намерения создать законодательную базу, позволяющую лучше гарантировать права, закрепленные в Конвенции о статусе апатридов 1954 года и Конвенции о сокращении безгражданства 1961 года, участником которых является Люксембург. В частности, Комитет обеспокоен тем, что в настоящее время просители статуса апатрида не имеют юридической гарантии права на пребывание на территории Люксембурга и не получают это право автоматически после получения статуса апатрида, что не соответствует обязательствам государства-участника по ратификации Конвенции 1954 года (ст. 16, 24 и 26). </w:t>
      </w:r>
    </w:p>
    <w:p w14:paraId="5E05A1FA" w14:textId="77777777" w:rsidR="00501B73" w:rsidRPr="002C046B" w:rsidRDefault="00501B73" w:rsidP="00501B73">
      <w:pPr>
        <w:pStyle w:val="SingleTxtG"/>
        <w:spacing w:after="100"/>
        <w:rPr>
          <w:b/>
          <w:bCs/>
        </w:rPr>
      </w:pPr>
      <w:r>
        <w:t>20.</w:t>
      </w:r>
      <w:r>
        <w:tab/>
      </w:r>
      <w:r>
        <w:rPr>
          <w:b/>
          <w:bCs/>
        </w:rPr>
        <w:t>Государству-участнику следует принять законодательство, регулирующее процедуру определения безгражданства и ввести вид на жительство для лиц, признанных апатридами, с целью предоставления им прав, гарантированных Конвенцией о статусе апатридов 1954 года.</w:t>
      </w:r>
      <w:bookmarkStart w:id="1" w:name="_Hlk108171480"/>
      <w:bookmarkEnd w:id="1"/>
    </w:p>
    <w:p w14:paraId="1923DDC6" w14:textId="77777777" w:rsidR="00501B73" w:rsidRPr="002C046B" w:rsidRDefault="00501B73" w:rsidP="00501B73">
      <w:pPr>
        <w:pStyle w:val="H23G"/>
        <w:spacing w:before="200" w:after="100"/>
        <w:jc w:val="both"/>
      </w:pPr>
      <w:r>
        <w:tab/>
      </w:r>
      <w:r>
        <w:tab/>
      </w:r>
      <w:r>
        <w:rPr>
          <w:bCs/>
        </w:rPr>
        <w:t>Свобода совести, убеждений и религии</w:t>
      </w:r>
      <w:r>
        <w:t xml:space="preserve"> </w:t>
      </w:r>
    </w:p>
    <w:p w14:paraId="0FFFA244" w14:textId="4F341147" w:rsidR="00501B73" w:rsidRPr="002C046B" w:rsidRDefault="00501B73" w:rsidP="00501B73">
      <w:pPr>
        <w:pStyle w:val="SingleTxtG"/>
        <w:spacing w:after="100"/>
      </w:pPr>
      <w:r>
        <w:t>21.</w:t>
      </w:r>
      <w:r>
        <w:tab/>
        <w:t xml:space="preserve">Комитет приветствует различные меры, принятые государством-участником для поощрения права на свободу мысли, совести и религии и, в более широком смысле, инициативы по поощрению терпимости и сосуществования. В частности, он приветствует введение в 2016–2017 годах курса «Жизнь и общество» в системе начального и среднего образования, который заменил курсы религиозного образования и направлен на воспитание толерантности на основе знаний и обучения через рефлексивную и критическую практику. Комитет также приветствует различные меры, принятые или поддерживаемые государством-участником для борьбы с экстремизмом и насильственной радикализацией. Тем не менее он выражает свою </w:t>
      </w:r>
      <w:r>
        <w:lastRenderedPageBreak/>
        <w:t>озабоченность сообщениями об увеличении числа антисемитских инцидентов и значительном распространении исламофобских актов в Люксембурге (ст. 2, 18 и 26).</w:t>
      </w:r>
    </w:p>
    <w:p w14:paraId="5D00BA0E" w14:textId="3F1FB539" w:rsidR="00501B73" w:rsidRPr="002C046B" w:rsidRDefault="00501B73" w:rsidP="00501B73">
      <w:pPr>
        <w:pStyle w:val="SingleTxtG"/>
        <w:spacing w:after="100"/>
        <w:rPr>
          <w:b/>
          <w:bCs/>
        </w:rPr>
      </w:pPr>
      <w:r>
        <w:t>22.</w:t>
      </w:r>
      <w:r>
        <w:tab/>
      </w:r>
      <w:r>
        <w:rPr>
          <w:b/>
          <w:bCs/>
        </w:rPr>
        <w:t>Государству-участнику следует продолжать принимать меры по борьбе с дискриминацией и языком ненависти, а также с разжиганием ненависти и подстрекательством к насилию в отношении какой-либо религиозной общины.</w:t>
      </w:r>
      <w:r>
        <w:t xml:space="preserve"> </w:t>
      </w:r>
      <w:r>
        <w:rPr>
          <w:b/>
          <w:bCs/>
        </w:rPr>
        <w:t>В</w:t>
      </w:r>
      <w:r w:rsidR="007378B7">
        <w:rPr>
          <w:b/>
          <w:bCs/>
        </w:rPr>
        <w:t> </w:t>
      </w:r>
      <w:r>
        <w:rPr>
          <w:b/>
          <w:bCs/>
        </w:rPr>
        <w:t>этой связи государству-участнику следует завершить разработку стратегии по борьбе с антисемитизмом, а также рассмотреть целесообразность разработки национальной стратегии по борьбе с исламофобией.</w:t>
      </w:r>
      <w:r>
        <w:t xml:space="preserve"> </w:t>
      </w:r>
    </w:p>
    <w:p w14:paraId="7FEEA37E" w14:textId="77777777" w:rsidR="00501B73" w:rsidRPr="002C046B" w:rsidRDefault="00501B73" w:rsidP="00501B73">
      <w:pPr>
        <w:pStyle w:val="H23G"/>
      </w:pPr>
      <w:r>
        <w:tab/>
      </w:r>
      <w:r>
        <w:tab/>
      </w:r>
      <w:r>
        <w:rPr>
          <w:bCs/>
        </w:rPr>
        <w:t>Свобода выражения мнений</w:t>
      </w:r>
      <w:r>
        <w:t xml:space="preserve"> </w:t>
      </w:r>
    </w:p>
    <w:p w14:paraId="01031502" w14:textId="2FC09C26" w:rsidR="00501B73" w:rsidRPr="002C046B" w:rsidRDefault="00501B73" w:rsidP="00501B73">
      <w:pPr>
        <w:pStyle w:val="SingleTxtG"/>
      </w:pPr>
      <w:r>
        <w:t>23.</w:t>
      </w:r>
      <w:r>
        <w:tab/>
        <w:t>Комитет отмечает представление в январе 2022 года законопроекта № 7945 о защите лиц, сообщающих о нарушениях законодательства Европейского союза («информаторов»), который будет транспонировать соответствующую директиву ЕС в национальное законодательство</w:t>
      </w:r>
      <w:r w:rsidRPr="00392D24">
        <w:rPr>
          <w:rStyle w:val="aa"/>
        </w:rPr>
        <w:footnoteReference w:id="7"/>
      </w:r>
      <w:r>
        <w:t>. Он отмечает, что государство-участник сделало выбор в пользу широкого применения в контексте всего национального законодательства, а не ограничивается определенными секторами. Комитет выражает свою обеспокоенность по поводу статей 144 и 145 Уголовного кодекса, предусматривающих уголовную ответственность за надписи или рисунки, оскорбляющие предметы культа или служителя культа, а также статей 443 и 444 о клевете. Он отмечает представленную государством-участником информацию о том, что в настоящее время готовится законопроект, адаптирующий наказания с учетом фактов, и что упомянутые статьи затрагиваются этой адаптацией. Тем не менее Комитет напоминает о своем замечании общего порядка № 34 (2011), в пункте</w:t>
      </w:r>
      <w:r w:rsidR="007378B7">
        <w:t> </w:t>
      </w:r>
      <w:r>
        <w:t>47 которого говорится, что государствам-участникам следует рассмотреть возможность исключения клеветы из разряда преступлений, но в любом случае уголовное законодательство должно применяться лишь в связи с наиболее серьезными случаями, а лишение свободы ни при каких условиях не должно считаться адекватной мерой наказания (ст. 19 и 20).</w:t>
      </w:r>
    </w:p>
    <w:p w14:paraId="6E49A77E" w14:textId="0D889205" w:rsidR="00501B73" w:rsidRPr="002C046B" w:rsidRDefault="00501B73" w:rsidP="00501B73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 xml:space="preserve">Государству-участнику следует рассмотреть возможность исключения клеветы из разряда преступлений, и в любом случае применять уголовное законодательство только в наиболее серьезных делах, помня о том, что лишение свободы ни при каких условиях не должно считаться адекватной </w:t>
      </w:r>
      <w:r w:rsidR="007378B7">
        <w:rPr>
          <w:b/>
          <w:bCs/>
        </w:rPr>
        <w:br/>
      </w:r>
      <w:r>
        <w:rPr>
          <w:b/>
          <w:bCs/>
        </w:rPr>
        <w:t xml:space="preserve">мерой наказания за клевету, как говорится в замечании общего порядка </w:t>
      </w:r>
      <w:r w:rsidR="007378B7">
        <w:rPr>
          <w:b/>
          <w:bCs/>
        </w:rPr>
        <w:br/>
      </w:r>
      <w:r>
        <w:rPr>
          <w:b/>
          <w:bCs/>
        </w:rPr>
        <w:t>Комитета № 34 (2011) о свободе мнений и их выражения.</w:t>
      </w:r>
    </w:p>
    <w:p w14:paraId="1AAB8EB4" w14:textId="77777777" w:rsidR="00501B73" w:rsidRPr="002C046B" w:rsidRDefault="00501B73" w:rsidP="00501B73">
      <w:pPr>
        <w:pStyle w:val="H23G"/>
        <w:jc w:val="both"/>
      </w:pPr>
      <w:r>
        <w:tab/>
      </w:r>
      <w:r>
        <w:tab/>
      </w:r>
      <w:r>
        <w:rPr>
          <w:bCs/>
        </w:rPr>
        <w:t>Право на мирные собрания</w:t>
      </w:r>
      <w:r>
        <w:t xml:space="preserve"> </w:t>
      </w:r>
    </w:p>
    <w:p w14:paraId="428E4D0F" w14:textId="77777777" w:rsidR="00501B73" w:rsidRPr="002C046B" w:rsidRDefault="00501B73" w:rsidP="00501B73">
      <w:pPr>
        <w:pStyle w:val="SingleTxtG"/>
      </w:pPr>
      <w:r>
        <w:t>25.</w:t>
      </w:r>
      <w:r>
        <w:tab/>
        <w:t xml:space="preserve">Комитет обеспокоен тем, что положения статьи 25 Конституции государства-участника требуют предварительного разрешения на проведение политических, религиозных или иных собраний под открытым небом. Он принимает к сведению представленную делегацией информацию о соблюдении этого требования местными властями, подчеркивая его цель, которая заключается в обеспечении безопасности собраний. Комитет также обеспокоен тем, что это ограничение может быть сохранено в предложении о пересмотре (№ 7755) главы II Конституции, которое в настоящее время находится в процессе принятия (ст. 21). </w:t>
      </w:r>
    </w:p>
    <w:p w14:paraId="682EFEBB" w14:textId="02F96600" w:rsidR="00501B73" w:rsidRPr="002C046B" w:rsidRDefault="00501B73" w:rsidP="00501B73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Государству-участнику следует принять необходимые законодательные меры для отмены запрета на проведение демонстраций, о которых предварительно не уведомляется, со ссылкой на замечание общего порядка Комитета № 37 (2020) о праве на мирные собрания (пп. 70 и 71).</w:t>
      </w:r>
      <w:r>
        <w:t xml:space="preserve"> </w:t>
      </w:r>
      <w:r>
        <w:rPr>
          <w:b/>
          <w:bCs/>
        </w:rPr>
        <w:t>Ему также следует дать местным властям и сотрудникам полиции четкие указания относительно обязательств государства-участника по статье 21 Пакта.</w:t>
      </w:r>
      <w:r>
        <w:t xml:space="preserve"> </w:t>
      </w:r>
    </w:p>
    <w:p w14:paraId="6DEF344E" w14:textId="52475342" w:rsidR="00501B73" w:rsidRPr="002C046B" w:rsidRDefault="00501B73" w:rsidP="00501B73">
      <w:pPr>
        <w:pStyle w:val="H1G"/>
        <w:rPr>
          <w:rFonts w:eastAsiaTheme="minorEastAsia"/>
        </w:rPr>
      </w:pPr>
      <w:r>
        <w:rPr>
          <w:bCs/>
        </w:rPr>
        <w:lastRenderedPageBreak/>
        <w:tab/>
        <w:t>D.</w:t>
      </w:r>
      <w:r>
        <w:tab/>
      </w:r>
      <w:r>
        <w:rPr>
          <w:bCs/>
        </w:rPr>
        <w:t>Распространение информации и последующая деятельность</w:t>
      </w:r>
      <w:r>
        <w:t xml:space="preserve"> </w:t>
      </w:r>
    </w:p>
    <w:p w14:paraId="0CB69584" w14:textId="77777777" w:rsidR="00501B73" w:rsidRPr="002C046B" w:rsidRDefault="00501B73" w:rsidP="00501B73">
      <w:pPr>
        <w:pStyle w:val="SingleTxtG"/>
        <w:rPr>
          <w:rFonts w:eastAsia="SimSun"/>
          <w:b/>
          <w:bCs/>
        </w:rPr>
      </w:pPr>
      <w:r>
        <w:t>27.</w:t>
      </w:r>
      <w:r>
        <w:tab/>
      </w:r>
      <w:r>
        <w:rPr>
          <w:b/>
          <w:bCs/>
        </w:rPr>
        <w:t>Государству-участнику следует обеспечить широкое распространение Пакта и двух Факультативных протоколов к нему, своего четвертого периодического доклада и настоящих заключительных замечаний, с тем чтобы повысить уровень осведомленности о закрепленных в Пакте правах среди представителей судебных, законодательных и административных органов, гражданского общества и действующих в стране неправительственных организаций, а также широкой общественности.</w:t>
      </w:r>
      <w:r>
        <w:t xml:space="preserve"> </w:t>
      </w:r>
      <w:r>
        <w:rPr>
          <w:b/>
          <w:bCs/>
        </w:rPr>
        <w:t>Государству-участнику следует обеспечить перевод периодического доклада и настоящих заключительных замечаний на свои официальные языки.</w:t>
      </w:r>
    </w:p>
    <w:p w14:paraId="5392A21F" w14:textId="17CB04DB" w:rsidR="00501B73" w:rsidRPr="002C046B" w:rsidRDefault="00501B73" w:rsidP="00501B73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В соответствии с пунктом 1 правила 75 правил процедуры Комитета государству-участнику предлагается представить к 28</w:t>
      </w:r>
      <w:r w:rsidR="0046543E">
        <w:rPr>
          <w:b/>
          <w:bCs/>
        </w:rPr>
        <w:t> </w:t>
      </w:r>
      <w:r>
        <w:rPr>
          <w:b/>
          <w:bCs/>
        </w:rPr>
        <w:t>июл</w:t>
      </w:r>
      <w:r w:rsidR="0046543E">
        <w:rPr>
          <w:b/>
          <w:bCs/>
        </w:rPr>
        <w:t>я</w:t>
      </w:r>
      <w:r>
        <w:rPr>
          <w:b/>
          <w:bCs/>
        </w:rPr>
        <w:t xml:space="preserve"> 2025</w:t>
      </w:r>
      <w:r w:rsidR="0046543E">
        <w:rPr>
          <w:b/>
          <w:bCs/>
        </w:rPr>
        <w:t> </w:t>
      </w:r>
      <w:r>
        <w:rPr>
          <w:b/>
          <w:bCs/>
        </w:rPr>
        <w:t>года информацию о выполнении рекомендаций Комитета, сформулированных выше в пунктах 12 (сексуальная ориентация, гендерная идентичность и интерсекс-люди), 16 (калечащие операции на женских половых органах) и 26 (право на мирные собрания).</w:t>
      </w:r>
    </w:p>
    <w:p w14:paraId="3B626FCE" w14:textId="1A6874CB" w:rsidR="00501B73" w:rsidRPr="002C046B" w:rsidRDefault="00501B73" w:rsidP="00501B73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В соответствии с прогнозируемым циклом обзора Комитета государство-участник получит в 2028 году перечень вопросов Комитета до представления доклада и должно будет представить в течение одного года свои ответы на перечень вопросов, которые и будут представлять собой его пятый периодический доклад.</w:t>
      </w:r>
      <w:r>
        <w:t xml:space="preserve"> </w:t>
      </w:r>
      <w:r>
        <w:rPr>
          <w:b/>
          <w:bCs/>
        </w:rPr>
        <w:t>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</w:t>
      </w:r>
      <w:r>
        <w:t xml:space="preserve"> </w:t>
      </w:r>
      <w:r>
        <w:rPr>
          <w:b/>
          <w:bCs/>
        </w:rPr>
        <w:t>В соответствии с резолюцией 68/268 Генеральной Ассамблеи объем доклада не должен превышать 21</w:t>
      </w:r>
      <w:r w:rsidR="008F7686">
        <w:rPr>
          <w:b/>
          <w:bCs/>
        </w:rPr>
        <w:t> </w:t>
      </w:r>
      <w:r>
        <w:rPr>
          <w:b/>
          <w:bCs/>
        </w:rPr>
        <w:t>200 слов.</w:t>
      </w:r>
      <w:r>
        <w:t xml:space="preserve"> </w:t>
      </w:r>
      <w:r>
        <w:rPr>
          <w:b/>
          <w:bCs/>
        </w:rPr>
        <w:t>Следующий конструктивный диалог с государством-участником состоится в 2030 году в Женеве.</w:t>
      </w:r>
    </w:p>
    <w:p w14:paraId="42D2FE5E" w14:textId="45C65DB3" w:rsidR="00381C24" w:rsidRPr="00BC18B2" w:rsidRDefault="00501B73" w:rsidP="00431B40">
      <w:pPr>
        <w:pStyle w:val="SingleTxtG"/>
        <w:spacing w:before="240" w:after="0"/>
        <w:jc w:val="center"/>
      </w:pPr>
      <w:r w:rsidRPr="002C046B">
        <w:rPr>
          <w:u w:val="single"/>
        </w:rPr>
        <w:tab/>
      </w:r>
      <w:r w:rsidRPr="002C046B">
        <w:rPr>
          <w:u w:val="single"/>
        </w:rPr>
        <w:tab/>
      </w:r>
      <w:r w:rsidRPr="002C046B">
        <w:rPr>
          <w:u w:val="single"/>
        </w:rPr>
        <w:tab/>
      </w:r>
    </w:p>
    <w:sectPr w:rsidR="00381C24" w:rsidRPr="00BC18B2" w:rsidSect="00501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DE15" w14:textId="77777777" w:rsidR="005A54FF" w:rsidRPr="00A312BC" w:rsidRDefault="005A54FF" w:rsidP="00A312BC"/>
  </w:endnote>
  <w:endnote w:type="continuationSeparator" w:id="0">
    <w:p w14:paraId="4996B0B4" w14:textId="77777777" w:rsidR="005A54FF" w:rsidRPr="00A312BC" w:rsidRDefault="005A54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1E3F" w14:textId="7ACCB0CB" w:rsidR="00501B73" w:rsidRPr="00501B73" w:rsidRDefault="00501B73">
    <w:pPr>
      <w:pStyle w:val="a8"/>
    </w:pPr>
    <w:r w:rsidRPr="00501B73">
      <w:rPr>
        <w:b/>
        <w:sz w:val="18"/>
      </w:rPr>
      <w:fldChar w:fldCharType="begin"/>
    </w:r>
    <w:r w:rsidRPr="00501B73">
      <w:rPr>
        <w:b/>
        <w:sz w:val="18"/>
      </w:rPr>
      <w:instrText xml:space="preserve"> PAGE  \* MERGEFORMAT </w:instrText>
    </w:r>
    <w:r w:rsidRPr="00501B73">
      <w:rPr>
        <w:b/>
        <w:sz w:val="18"/>
      </w:rPr>
      <w:fldChar w:fldCharType="separate"/>
    </w:r>
    <w:r w:rsidRPr="00501B73">
      <w:rPr>
        <w:b/>
        <w:noProof/>
        <w:sz w:val="18"/>
      </w:rPr>
      <w:t>2</w:t>
    </w:r>
    <w:r w:rsidRPr="00501B73">
      <w:rPr>
        <w:b/>
        <w:sz w:val="18"/>
      </w:rPr>
      <w:fldChar w:fldCharType="end"/>
    </w:r>
    <w:r>
      <w:rPr>
        <w:b/>
        <w:sz w:val="18"/>
      </w:rPr>
      <w:tab/>
    </w:r>
    <w:r>
      <w:t>GE.22-14492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E806" w14:textId="7C870D73" w:rsidR="00501B73" w:rsidRPr="00501B73" w:rsidRDefault="00501B73" w:rsidP="00501B73">
    <w:pPr>
      <w:pStyle w:val="a8"/>
      <w:tabs>
        <w:tab w:val="clear" w:pos="9639"/>
        <w:tab w:val="right" w:pos="9638"/>
      </w:tabs>
      <w:rPr>
        <w:b/>
        <w:sz w:val="18"/>
      </w:rPr>
    </w:pPr>
    <w:r>
      <w:t>GE.22-14492</w:t>
    </w:r>
    <w:r>
      <w:tab/>
    </w:r>
    <w:r w:rsidRPr="00501B73">
      <w:rPr>
        <w:b/>
        <w:sz w:val="18"/>
      </w:rPr>
      <w:fldChar w:fldCharType="begin"/>
    </w:r>
    <w:r w:rsidRPr="00501B73">
      <w:rPr>
        <w:b/>
        <w:sz w:val="18"/>
      </w:rPr>
      <w:instrText xml:space="preserve"> PAGE  \* MERGEFORMAT </w:instrText>
    </w:r>
    <w:r w:rsidRPr="00501B73">
      <w:rPr>
        <w:b/>
        <w:sz w:val="18"/>
      </w:rPr>
      <w:fldChar w:fldCharType="separate"/>
    </w:r>
    <w:r w:rsidRPr="00501B73">
      <w:rPr>
        <w:b/>
        <w:noProof/>
        <w:sz w:val="18"/>
      </w:rPr>
      <w:t>3</w:t>
    </w:r>
    <w:r w:rsidRPr="00501B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07DE" w14:textId="036F8BFC" w:rsidR="00042B72" w:rsidRPr="00501B73" w:rsidRDefault="00501B73" w:rsidP="00501B7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C2F4BA" wp14:editId="21889C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22-14492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E99191" wp14:editId="611EA0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111122  221122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FAF6" w14:textId="77777777" w:rsidR="005A54FF" w:rsidRPr="001075E9" w:rsidRDefault="005A54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796284" w14:textId="77777777" w:rsidR="005A54FF" w:rsidRDefault="005A54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920929" w14:textId="7DD7CE2D" w:rsidR="00501B73" w:rsidRPr="002C046B" w:rsidRDefault="00501B73" w:rsidP="00501B73">
      <w:pPr>
        <w:pStyle w:val="ad"/>
      </w:pPr>
      <w:r>
        <w:tab/>
      </w:r>
      <w:r w:rsidRPr="008F7686">
        <w:rPr>
          <w:sz w:val="20"/>
        </w:rPr>
        <w:t>*</w:t>
      </w:r>
      <w:r>
        <w:tab/>
        <w:t xml:space="preserve">Приняты Комитетом на его сто тридцать пятой сессии (27 июня — 27 июля 2022 года). </w:t>
      </w:r>
    </w:p>
  </w:footnote>
  <w:footnote w:id="2">
    <w:p w14:paraId="6476368B" w14:textId="58F7DA68" w:rsidR="00501B73" w:rsidRPr="002C046B" w:rsidRDefault="00501B73" w:rsidP="00501B73">
      <w:pPr>
        <w:pStyle w:val="ad"/>
      </w:pPr>
      <w:r>
        <w:tab/>
      </w:r>
      <w:r w:rsidRPr="00392D24">
        <w:rPr>
          <w:rStyle w:val="aa"/>
        </w:rPr>
        <w:footnoteRef/>
      </w:r>
      <w:r>
        <w:tab/>
      </w:r>
      <w:hyperlink r:id="rId1" w:history="1">
        <w:r w:rsidR="008F7686" w:rsidRPr="007B5B89">
          <w:rPr>
            <w:rStyle w:val="af1"/>
          </w:rPr>
          <w:t>CCPR/C/LUX/4</w:t>
        </w:r>
      </w:hyperlink>
      <w:r w:rsidRPr="008F7686">
        <w:rPr>
          <w:color w:val="000000" w:themeColor="text1"/>
        </w:rPr>
        <w:t>.</w:t>
      </w:r>
    </w:p>
  </w:footnote>
  <w:footnote w:id="3">
    <w:p w14:paraId="6EBF162B" w14:textId="068FE489" w:rsidR="00E53805" w:rsidRPr="002C046B" w:rsidRDefault="00E53805" w:rsidP="00E53805">
      <w:pPr>
        <w:pStyle w:val="ad"/>
      </w:pPr>
      <w:r>
        <w:tab/>
      </w:r>
      <w:r w:rsidRPr="00392D24">
        <w:rPr>
          <w:rStyle w:val="aa"/>
        </w:rPr>
        <w:footnoteRef/>
      </w:r>
      <w:r>
        <w:tab/>
      </w:r>
      <w:hyperlink r:id="rId2" w:history="1">
        <w:r w:rsidR="008F7686" w:rsidRPr="007B5B89">
          <w:rPr>
            <w:rStyle w:val="af1"/>
          </w:rPr>
          <w:t>CCPR/C/SR.3880</w:t>
        </w:r>
      </w:hyperlink>
      <w:r>
        <w:t xml:space="preserve"> и </w:t>
      </w:r>
      <w:hyperlink r:id="rId3" w:history="1">
        <w:r w:rsidR="008F7686" w:rsidRPr="007B5B89">
          <w:rPr>
            <w:rStyle w:val="af1"/>
          </w:rPr>
          <w:t>CCPR/C/SR.3881</w:t>
        </w:r>
      </w:hyperlink>
      <w:r>
        <w:t>.</w:t>
      </w:r>
    </w:p>
  </w:footnote>
  <w:footnote w:id="4">
    <w:p w14:paraId="6B8CBAB9" w14:textId="582B95CF" w:rsidR="00501B73" w:rsidRPr="00501B73" w:rsidRDefault="00501B73" w:rsidP="00501B73">
      <w:pPr>
        <w:pStyle w:val="ad"/>
        <w:rPr>
          <w:lang w:val="fr-CH"/>
        </w:rPr>
      </w:pPr>
      <w:r>
        <w:tab/>
      </w:r>
      <w:r w:rsidRPr="00392D24">
        <w:rPr>
          <w:rStyle w:val="aa"/>
        </w:rPr>
        <w:footnoteRef/>
      </w:r>
      <w:r w:rsidRPr="00501B73">
        <w:rPr>
          <w:lang w:val="fr-CH"/>
        </w:rPr>
        <w:tab/>
      </w:r>
      <w:r w:rsidR="00223746">
        <w:fldChar w:fldCharType="begin"/>
      </w:r>
      <w:r w:rsidR="00223746" w:rsidRPr="00223746">
        <w:rPr>
          <w:lang w:val="fr-CH"/>
        </w:rPr>
        <w:instrText xml:space="preserve"> HYPERLINK "http://undocs.org/fr/CCPR/C/LUX/RQ/4" </w:instrText>
      </w:r>
      <w:r w:rsidR="00223746">
        <w:fldChar w:fldCharType="separate"/>
      </w:r>
      <w:r w:rsidR="008F7686" w:rsidRPr="007B5B89">
        <w:rPr>
          <w:rStyle w:val="af1"/>
          <w:lang w:val="fr-FR"/>
        </w:rPr>
        <w:t>CCPR/C/LUX/RQ/4</w:t>
      </w:r>
      <w:r w:rsidR="00223746">
        <w:rPr>
          <w:rStyle w:val="af1"/>
          <w:lang w:val="fr-FR"/>
        </w:rPr>
        <w:fldChar w:fldCharType="end"/>
      </w:r>
      <w:r w:rsidRPr="00501B73">
        <w:rPr>
          <w:lang w:val="fr-CH"/>
        </w:rPr>
        <w:t>.</w:t>
      </w:r>
    </w:p>
  </w:footnote>
  <w:footnote w:id="5">
    <w:p w14:paraId="10E44A97" w14:textId="42328CAB" w:rsidR="00501B73" w:rsidRPr="00501B73" w:rsidRDefault="00501B73" w:rsidP="00501B73">
      <w:pPr>
        <w:pStyle w:val="ad"/>
        <w:rPr>
          <w:lang w:val="fr-CH"/>
        </w:rPr>
      </w:pPr>
      <w:r w:rsidRPr="00501B73">
        <w:rPr>
          <w:lang w:val="fr-CH"/>
        </w:rPr>
        <w:tab/>
      </w:r>
      <w:r w:rsidRPr="00392D24">
        <w:rPr>
          <w:rStyle w:val="aa"/>
        </w:rPr>
        <w:footnoteRef/>
      </w:r>
      <w:r w:rsidRPr="00501B73">
        <w:rPr>
          <w:lang w:val="fr-CH"/>
        </w:rPr>
        <w:tab/>
      </w:r>
      <w:r w:rsidR="00223746">
        <w:fldChar w:fldCharType="begin"/>
      </w:r>
      <w:r w:rsidR="00223746" w:rsidRPr="00223746">
        <w:rPr>
          <w:lang w:val="fr-CH"/>
        </w:rPr>
        <w:instrText xml:space="preserve"> HYPERLINK "http://undocs.org/fr/CCPR/C/LUX/Q/4" </w:instrText>
      </w:r>
      <w:r w:rsidR="00223746">
        <w:fldChar w:fldCharType="separate"/>
      </w:r>
      <w:r w:rsidR="008F7686" w:rsidRPr="007B5B89">
        <w:rPr>
          <w:rStyle w:val="af1"/>
          <w:lang w:val="fr-FR"/>
        </w:rPr>
        <w:t>CCPR/C/LUX/Q/4</w:t>
      </w:r>
      <w:r w:rsidR="00223746">
        <w:rPr>
          <w:rStyle w:val="af1"/>
          <w:lang w:val="fr-FR"/>
        </w:rPr>
        <w:fldChar w:fldCharType="end"/>
      </w:r>
      <w:r w:rsidRPr="00501B73">
        <w:rPr>
          <w:lang w:val="fr-CH"/>
        </w:rPr>
        <w:t>.</w:t>
      </w:r>
    </w:p>
  </w:footnote>
  <w:footnote w:id="6">
    <w:p w14:paraId="210E2E3E" w14:textId="4A3064B7" w:rsidR="00501B73" w:rsidRPr="00501B73" w:rsidRDefault="00501B73" w:rsidP="00501B73">
      <w:pPr>
        <w:pStyle w:val="ad"/>
        <w:rPr>
          <w:lang w:val="fr-CH"/>
        </w:rPr>
      </w:pPr>
      <w:r w:rsidRPr="00501B73">
        <w:rPr>
          <w:lang w:val="fr-CH"/>
        </w:rPr>
        <w:tab/>
      </w:r>
      <w:r w:rsidRPr="00392D24">
        <w:rPr>
          <w:rStyle w:val="aa"/>
        </w:rPr>
        <w:footnoteRef/>
      </w:r>
      <w:r w:rsidRPr="00501B73">
        <w:rPr>
          <w:lang w:val="fr-CH"/>
        </w:rPr>
        <w:tab/>
      </w:r>
      <w:r>
        <w:t>См</w:t>
      </w:r>
      <w:r w:rsidRPr="00501B73">
        <w:rPr>
          <w:lang w:val="fr-CH"/>
        </w:rPr>
        <w:t xml:space="preserve">. </w:t>
      </w:r>
      <w:r w:rsidR="00223746">
        <w:fldChar w:fldCharType="begin"/>
      </w:r>
      <w:r w:rsidR="00223746" w:rsidRPr="00223746">
        <w:rPr>
          <w:lang w:val="fr-CH"/>
        </w:rPr>
        <w:instrText xml:space="preserve"> HYPERLINK "http://undocs.org/ru/CRPD/C/LUX/CO/1" </w:instrText>
      </w:r>
      <w:r w:rsidR="00223746">
        <w:fldChar w:fldCharType="separate"/>
      </w:r>
      <w:r w:rsidRPr="008F7686">
        <w:rPr>
          <w:rStyle w:val="af1"/>
          <w:lang w:val="fr-CH"/>
        </w:rPr>
        <w:t>CRPD/C/LUX/CO/1</w:t>
      </w:r>
      <w:r w:rsidR="00223746">
        <w:rPr>
          <w:rStyle w:val="af1"/>
          <w:lang w:val="fr-CH"/>
        </w:rPr>
        <w:fldChar w:fldCharType="end"/>
      </w:r>
      <w:r w:rsidRPr="00501B73">
        <w:rPr>
          <w:lang w:val="fr-CH"/>
        </w:rPr>
        <w:t>.</w:t>
      </w:r>
    </w:p>
  </w:footnote>
  <w:footnote w:id="7">
    <w:p w14:paraId="3810BA85" w14:textId="6A0CDE6B" w:rsidR="00501B73" w:rsidRPr="00501B73" w:rsidRDefault="00501B73" w:rsidP="00501B73">
      <w:pPr>
        <w:pStyle w:val="ad"/>
        <w:rPr>
          <w:lang w:val="fr-CH"/>
        </w:rPr>
      </w:pPr>
      <w:r w:rsidRPr="00501B73">
        <w:rPr>
          <w:lang w:val="fr-CH"/>
        </w:rPr>
        <w:tab/>
      </w:r>
      <w:r w:rsidRPr="00392D24">
        <w:rPr>
          <w:rStyle w:val="aa"/>
        </w:rPr>
        <w:footnoteRef/>
      </w:r>
      <w:r w:rsidRPr="00501B73">
        <w:rPr>
          <w:lang w:val="fr-CH"/>
        </w:rPr>
        <w:tab/>
        <w:t xml:space="preserve">Union européenne, «Directive (UE) 2019/1937 du Parlement européen et du Conseil du 23 octobre 2019 sur la protection des personnes qui signalent des violations du droit de l’Union», </w:t>
      </w:r>
      <w:r w:rsidRPr="008F7686">
        <w:rPr>
          <w:i/>
          <w:iCs/>
          <w:lang w:val="fr-CH"/>
        </w:rPr>
        <w:t>Journal officiel de l’Union européenne</w:t>
      </w:r>
      <w:r w:rsidRPr="00501B73">
        <w:rPr>
          <w:lang w:val="fr-CH"/>
        </w:rPr>
        <w:t xml:space="preserve">, L 305 (26 novembre 2019), p. 17.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12CC" w14:textId="7565AB5D" w:rsidR="00501B73" w:rsidRPr="00501B73" w:rsidRDefault="00940B00">
    <w:pPr>
      <w:pStyle w:val="a5"/>
    </w:pPr>
    <w:fldSimple w:instr=" TITLE  \* MERGEFORMAT ">
      <w:r w:rsidR="00223746">
        <w:t>CCPR/C/LUX/CO/4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04EB" w14:textId="41321824" w:rsidR="00501B73" w:rsidRPr="00501B73" w:rsidRDefault="00940B00" w:rsidP="00501B73">
    <w:pPr>
      <w:pStyle w:val="a5"/>
      <w:jc w:val="right"/>
    </w:pPr>
    <w:fldSimple w:instr=" TITLE  \* MERGEFORMAT ">
      <w:r w:rsidR="00223746">
        <w:t>CCPR/C/LUX/CO/4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69C9" w14:textId="77777777" w:rsidR="00501B73" w:rsidRDefault="00501B73" w:rsidP="00501B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FF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23746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648F4"/>
    <w:rsid w:val="00375F01"/>
    <w:rsid w:val="00381C24"/>
    <w:rsid w:val="003958D0"/>
    <w:rsid w:val="003B00E5"/>
    <w:rsid w:val="00407B78"/>
    <w:rsid w:val="00424203"/>
    <w:rsid w:val="00431B40"/>
    <w:rsid w:val="00452493"/>
    <w:rsid w:val="00454E07"/>
    <w:rsid w:val="0046543E"/>
    <w:rsid w:val="00472C5C"/>
    <w:rsid w:val="004969B2"/>
    <w:rsid w:val="004B615B"/>
    <w:rsid w:val="0050108D"/>
    <w:rsid w:val="00501B73"/>
    <w:rsid w:val="00513081"/>
    <w:rsid w:val="00517901"/>
    <w:rsid w:val="00526683"/>
    <w:rsid w:val="005709E0"/>
    <w:rsid w:val="00572E19"/>
    <w:rsid w:val="005961C8"/>
    <w:rsid w:val="005A54FF"/>
    <w:rsid w:val="005D7914"/>
    <w:rsid w:val="005E2B41"/>
    <w:rsid w:val="005F0B42"/>
    <w:rsid w:val="00601A02"/>
    <w:rsid w:val="00666B97"/>
    <w:rsid w:val="00681A10"/>
    <w:rsid w:val="006A1623"/>
    <w:rsid w:val="006A1ED8"/>
    <w:rsid w:val="006C2031"/>
    <w:rsid w:val="006D461A"/>
    <w:rsid w:val="006F35EE"/>
    <w:rsid w:val="007021FF"/>
    <w:rsid w:val="00712895"/>
    <w:rsid w:val="007378B7"/>
    <w:rsid w:val="0075523D"/>
    <w:rsid w:val="00757357"/>
    <w:rsid w:val="00787D3A"/>
    <w:rsid w:val="00791B9D"/>
    <w:rsid w:val="00825F8D"/>
    <w:rsid w:val="00834B71"/>
    <w:rsid w:val="0083697A"/>
    <w:rsid w:val="0086445C"/>
    <w:rsid w:val="00894693"/>
    <w:rsid w:val="008A08D7"/>
    <w:rsid w:val="008B6909"/>
    <w:rsid w:val="008F7686"/>
    <w:rsid w:val="00906890"/>
    <w:rsid w:val="00911BE4"/>
    <w:rsid w:val="00931A71"/>
    <w:rsid w:val="00940B00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56AFC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588B"/>
    <w:rsid w:val="00E06BEE"/>
    <w:rsid w:val="00E46656"/>
    <w:rsid w:val="00E53805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BDEDB"/>
  <w15:docId w15:val="{C7B4EFCB-343B-4CF0-97B5-50BFADAB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501B73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01B73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501B73"/>
    <w:rPr>
      <w:b/>
      <w:lang w:val="ru-RU" w:eastAsia="ru-RU"/>
    </w:rPr>
  </w:style>
  <w:style w:type="character" w:customStyle="1" w:styleId="SingleTxtGCar">
    <w:name w:val="_ Single Txt_G Car"/>
    <w:link w:val="SingleTxtG"/>
    <w:rsid w:val="00501B73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8F7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CPR/C/SR.3881" TargetMode="External"/><Relationship Id="rId2" Type="http://schemas.openxmlformats.org/officeDocument/2006/relationships/hyperlink" Target="http://undocs.org/en/CCPR/C/SR.3880" TargetMode="External"/><Relationship Id="rId1" Type="http://schemas.openxmlformats.org/officeDocument/2006/relationships/hyperlink" Target="http://undocs.org/fr/CCPR/C/LUX/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2600</Words>
  <Characters>17842</Characters>
  <Application>Microsoft Office Word</Application>
  <DocSecurity>0</DocSecurity>
  <Lines>324</Lines>
  <Paragraphs>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CCPR/C/LUX/CO/4</dc:title>
  <dc:subject/>
  <dc:creator>Olga OVTCHINNIKOVA</dc:creator>
  <cp:keywords/>
  <cp:lastModifiedBy>Olga Ovchinnikova</cp:lastModifiedBy>
  <cp:revision>3</cp:revision>
  <cp:lastPrinted>2022-11-22T09:26:00Z</cp:lastPrinted>
  <dcterms:created xsi:type="dcterms:W3CDTF">2022-11-22T09:26:00Z</dcterms:created>
  <dcterms:modified xsi:type="dcterms:W3CDTF">2022-11-22T09:26:00Z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