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147BF" w14:textId="77777777" w:rsidR="0088604E" w:rsidRDefault="0088604E" w:rsidP="0088604E">
      <w:pPr>
        <w:spacing w:line="240" w:lineRule="auto"/>
        <w:rPr>
          <w:sz w:val="2"/>
        </w:rPr>
      </w:pPr>
    </w:p>
    <w:p w14:paraId="1F945A8E" w14:textId="2C5156F2" w:rsidR="005F3377" w:rsidRPr="005F3377" w:rsidRDefault="005F3377" w:rsidP="005F3377">
      <w:pPr>
        <w:spacing w:line="20" w:lineRule="exact"/>
        <w:rPr>
          <w:sz w:val="2"/>
        </w:rPr>
        <w:sectPr w:rsidR="005F3377" w:rsidRPr="005F3377" w:rsidSect="00347C94">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p>
    <w:p w14:paraId="1E1AAB1A" w14:textId="308ACAF7" w:rsidR="0044384C" w:rsidRDefault="0044384C" w:rsidP="00A171FF">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 xml:space="preserve">Comité pour l’élimination de la discrimination </w:t>
      </w:r>
      <w:r w:rsidR="00347C94">
        <w:rPr>
          <w:rStyle w:val="CommentReference"/>
          <w:b w:val="0"/>
        </w:rPr>
        <w:commentReference w:id="0"/>
      </w:r>
      <w:r w:rsidR="00A171FF">
        <w:br/>
      </w:r>
      <w:r>
        <w:t>à l’égard des femmes</w:t>
      </w:r>
    </w:p>
    <w:p w14:paraId="0022D167" w14:textId="77777777" w:rsidR="0044384C" w:rsidRPr="00E92FE2" w:rsidRDefault="0044384C" w:rsidP="0044384C">
      <w:pPr>
        <w:pStyle w:val="SingleTxt"/>
        <w:spacing w:after="0" w:line="120" w:lineRule="exact"/>
        <w:rPr>
          <w:sz w:val="10"/>
        </w:rPr>
      </w:pPr>
    </w:p>
    <w:p w14:paraId="52C7FE6F" w14:textId="77777777" w:rsidR="0044384C" w:rsidRPr="00E92FE2" w:rsidRDefault="0044384C" w:rsidP="0044384C">
      <w:pPr>
        <w:pStyle w:val="SingleTxt"/>
        <w:spacing w:after="0" w:line="120" w:lineRule="exact"/>
        <w:rPr>
          <w:sz w:val="10"/>
        </w:rPr>
      </w:pPr>
    </w:p>
    <w:p w14:paraId="5D78D3FF" w14:textId="77777777" w:rsidR="0044384C" w:rsidRPr="00E92FE2" w:rsidRDefault="0044384C" w:rsidP="0044384C">
      <w:pPr>
        <w:pStyle w:val="SingleTxt"/>
        <w:spacing w:after="0" w:line="120" w:lineRule="exact"/>
        <w:rPr>
          <w:sz w:val="10"/>
        </w:rPr>
      </w:pPr>
    </w:p>
    <w:p w14:paraId="4799D1C3" w14:textId="41E697BB" w:rsidR="0044384C" w:rsidRDefault="0044384C" w:rsidP="0044384C">
      <w:pPr>
        <w:pStyle w:val="TitleHCH"/>
        <w:ind w:right="1260"/>
      </w:pPr>
      <w:r>
        <w:tab/>
      </w:r>
      <w:r>
        <w:tab/>
        <w:t>Observations finales sur le quatrième rapport periodique de l’Albanie</w:t>
      </w:r>
    </w:p>
    <w:p w14:paraId="7310F99B" w14:textId="77777777" w:rsidR="0044384C" w:rsidRPr="00E92FE2" w:rsidRDefault="0044384C" w:rsidP="0044384C">
      <w:pPr>
        <w:pStyle w:val="SingleTxt"/>
        <w:spacing w:after="0" w:line="120" w:lineRule="exact"/>
        <w:rPr>
          <w:sz w:val="10"/>
        </w:rPr>
      </w:pPr>
    </w:p>
    <w:p w14:paraId="6D44B25B" w14:textId="77777777" w:rsidR="0044384C" w:rsidRPr="00E92FE2" w:rsidRDefault="0044384C" w:rsidP="0044384C">
      <w:pPr>
        <w:pStyle w:val="SingleTxt"/>
        <w:spacing w:after="0" w:line="120" w:lineRule="exact"/>
        <w:rPr>
          <w:sz w:val="10"/>
        </w:rPr>
      </w:pPr>
    </w:p>
    <w:p w14:paraId="7F7B416B" w14:textId="13D66948" w:rsidR="0044384C" w:rsidRDefault="0044384C" w:rsidP="0044384C">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Additif</w:t>
      </w:r>
    </w:p>
    <w:p w14:paraId="3689A985" w14:textId="77777777" w:rsidR="0044384C" w:rsidRPr="00E92FE2" w:rsidRDefault="0044384C" w:rsidP="0044384C">
      <w:pPr>
        <w:pStyle w:val="SingleTxt"/>
        <w:spacing w:after="0" w:line="120" w:lineRule="exact"/>
        <w:rPr>
          <w:sz w:val="10"/>
        </w:rPr>
      </w:pPr>
    </w:p>
    <w:p w14:paraId="5A3932B3" w14:textId="77777777" w:rsidR="0044384C" w:rsidRPr="00E92FE2" w:rsidRDefault="0044384C" w:rsidP="0044384C">
      <w:pPr>
        <w:pStyle w:val="SingleTxt"/>
        <w:spacing w:after="0" w:line="120" w:lineRule="exact"/>
        <w:rPr>
          <w:sz w:val="10"/>
        </w:rPr>
      </w:pPr>
    </w:p>
    <w:p w14:paraId="7FB23B3C" w14:textId="2A646E50" w:rsidR="00A171FF" w:rsidRPr="00A171FF" w:rsidRDefault="00A171FF" w:rsidP="00A171FF">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sz w:val="17"/>
          <w:szCs w:val="20"/>
        </w:rPr>
      </w:pPr>
      <w:r>
        <w:rPr>
          <w:noProof/>
          <w:w w:val="100"/>
        </w:rPr>
        <mc:AlternateContent>
          <mc:Choice Requires="wps">
            <w:drawing>
              <wp:anchor distT="0" distB="0" distL="114300" distR="114300" simplePos="0" relativeHeight="251676672" behindDoc="0" locked="0" layoutInCell="1" allowOverlap="1" wp14:anchorId="73D23142" wp14:editId="03DF9591">
                <wp:simplePos x="0" y="0"/>
                <wp:positionH relativeFrom="column">
                  <wp:posOffset>548640</wp:posOffset>
                </wp:positionH>
                <wp:positionV relativeFrom="paragraph">
                  <wp:posOffset>-12700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17C6CA" id="Straight Connector 6"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qE30&#10;RtkBAAAMBAAADgAAAAAAAAAAAAAAAAAuAgAAZHJzL2Uyb0RvYy54bWxQSwECLQAUAAYACAAAACEA&#10;ZcwHlN0AAAAIAQAADwAAAAAAAAAAAAAAAAAzBAAAZHJzL2Rvd25yZXYueG1sUEsFBgAAAAAEAAQA&#10;8wAAAD0FAAAAAA==&#10;" strokecolor="#010000" strokeweight=".25pt"/>
            </w:pict>
          </mc:Fallback>
        </mc:AlternateContent>
      </w:r>
      <w:r>
        <w:rPr>
          <w:spacing w:val="5"/>
          <w:w w:val="104"/>
          <w:sz w:val="17"/>
          <w:szCs w:val="20"/>
        </w:rPr>
        <w:tab/>
      </w:r>
      <w:r>
        <w:rPr>
          <w:noProof/>
          <w:w w:val="100"/>
        </w:rPr>
        <mc:AlternateContent>
          <mc:Choice Requires="wps">
            <w:drawing>
              <wp:anchor distT="0" distB="0" distL="114300" distR="114300" simplePos="0" relativeHeight="251671040" behindDoc="0" locked="0" layoutInCell="1" allowOverlap="1" wp14:anchorId="4046171A" wp14:editId="5BF10F32">
                <wp:simplePos x="0" y="0"/>
                <wp:positionH relativeFrom="column">
                  <wp:posOffset>767715</wp:posOffset>
                </wp:positionH>
                <wp:positionV relativeFrom="paragraph">
                  <wp:posOffset>4558665</wp:posOffset>
                </wp:positionV>
                <wp:extent cx="9144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76B686" id="Straight Connector 8"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60.45pt,358.95pt" to="132.45pt,3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" strokecolor="#010000" strokeweight=".25pt"/>
            </w:pict>
          </mc:Fallback>
        </mc:AlternateContent>
      </w:r>
      <w:r>
        <w:rPr>
          <w:noProof/>
          <w:w w:val="100"/>
        </w:rPr>
        <mc:AlternateContent>
          <mc:Choice Requires="wps">
            <w:drawing>
              <wp:anchor distT="0" distB="0" distL="114300" distR="114300" simplePos="0" relativeHeight="251668992" behindDoc="0" locked="0" layoutInCell="1" allowOverlap="1" wp14:anchorId="277CFFCC" wp14:editId="016E0510">
                <wp:simplePos x="0" y="0"/>
                <wp:positionH relativeFrom="column">
                  <wp:posOffset>767715</wp:posOffset>
                </wp:positionH>
                <wp:positionV relativeFrom="paragraph">
                  <wp:posOffset>4558665</wp:posOffset>
                </wp:positionV>
                <wp:extent cx="9144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F5AD71" id="Straight Connector 7"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60.45pt,358.95pt" to="132.45pt,3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" strokecolor="#010000" strokeweight=".25pt"/>
            </w:pict>
          </mc:Fallback>
        </mc:AlternateContent>
      </w:r>
      <w:r>
        <w:rPr>
          <w:spacing w:val="5"/>
          <w:w w:val="104"/>
          <w:sz w:val="17"/>
          <w:szCs w:val="20"/>
        </w:rPr>
        <w:t>*</w:t>
      </w:r>
      <w:r>
        <w:rPr>
          <w:spacing w:val="5"/>
          <w:w w:val="104"/>
          <w:sz w:val="17"/>
          <w:szCs w:val="20"/>
        </w:rPr>
        <w:tab/>
      </w:r>
      <w:r>
        <w:rPr>
          <w:spacing w:val="5"/>
          <w:w w:val="104"/>
          <w:sz w:val="17"/>
        </w:rPr>
        <w:t>La version originale du présent document n’a pas été revue par les services d’édition.</w:t>
      </w:r>
    </w:p>
    <w:p w14:paraId="5F5ADFA2" w14:textId="3BFE3F60" w:rsidR="0044384C" w:rsidRDefault="0044384C" w:rsidP="00A171F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DE078E">
        <w:t xml:space="preserve">Renseignements reçus de </w:t>
      </w:r>
      <w:r>
        <w:t xml:space="preserve">l’Albanie au </w:t>
      </w:r>
      <w:r w:rsidR="00DE078E">
        <w:t xml:space="preserve">sujet de la suite données aux </w:t>
      </w:r>
      <w:r>
        <w:t>observations finales</w:t>
      </w:r>
      <w:r w:rsidRPr="00A171FF">
        <w:rPr>
          <w:b w:val="0"/>
          <w:bCs/>
          <w:position w:val="4"/>
          <w:sz w:val="20"/>
        </w:rPr>
        <w:t>*</w:t>
      </w:r>
    </w:p>
    <w:p w14:paraId="3C422531" w14:textId="77777777" w:rsidR="0044384C" w:rsidRPr="00E92FE2" w:rsidRDefault="0044384C" w:rsidP="0044384C">
      <w:pPr>
        <w:pStyle w:val="SingleTxt"/>
        <w:spacing w:after="0" w:line="120" w:lineRule="exact"/>
        <w:rPr>
          <w:sz w:val="10"/>
        </w:rPr>
      </w:pPr>
    </w:p>
    <w:p w14:paraId="50998C63" w14:textId="77777777" w:rsidR="0044384C" w:rsidRPr="00E92FE2" w:rsidRDefault="0044384C" w:rsidP="0044384C">
      <w:pPr>
        <w:pStyle w:val="SingleTxt"/>
        <w:spacing w:after="0" w:line="120" w:lineRule="exact"/>
        <w:rPr>
          <w:sz w:val="10"/>
        </w:rPr>
      </w:pPr>
    </w:p>
    <w:p w14:paraId="2DAB85A9" w14:textId="3F0089BF" w:rsidR="0044384C" w:rsidRDefault="0044384C" w:rsidP="0044384C">
      <w:pPr>
        <w:pStyle w:val="SingleTxt"/>
        <w:jc w:val="right"/>
      </w:pPr>
      <w:r>
        <w:t>[Date de réception</w:t>
      </w:r>
      <w:r w:rsidR="00C6618C">
        <w:t> :</w:t>
      </w:r>
      <w:r>
        <w:t xml:space="preserve"> 27 janvier 2019]</w:t>
      </w:r>
    </w:p>
    <w:p w14:paraId="28337A1D" w14:textId="77777777" w:rsidR="0044384C" w:rsidRDefault="0044384C" w:rsidP="0044384C">
      <w:pPr>
        <w:pStyle w:val="SingleTxt"/>
      </w:pPr>
    </w:p>
    <w:p w14:paraId="28832488" w14:textId="4A1D3A0A" w:rsidR="000B1E5F" w:rsidRDefault="000B1E5F" w:rsidP="0088604E">
      <w:pPr>
        <w:pStyle w:val="SingleTxt"/>
      </w:pPr>
    </w:p>
    <w:p w14:paraId="5E487A28" w14:textId="1D833949" w:rsidR="000B1E5F" w:rsidRDefault="000B1E5F" w:rsidP="0088604E">
      <w:pPr>
        <w:pStyle w:val="SingleTxt"/>
      </w:pPr>
      <w:bookmarkStart w:id="1" w:name="_GoBack"/>
      <w:bookmarkEnd w:id="1"/>
    </w:p>
    <w:p w14:paraId="4E395672" w14:textId="08B644B6" w:rsidR="000B1E5F" w:rsidRDefault="000B1E5F" w:rsidP="0088604E">
      <w:pPr>
        <w:pStyle w:val="SingleTxt"/>
      </w:pPr>
    </w:p>
    <w:p w14:paraId="53769FCE" w14:textId="08DD89B1" w:rsidR="000B1E5F" w:rsidRDefault="000B1E5F">
      <w:pPr>
        <w:spacing w:after="200" w:line="276" w:lineRule="auto"/>
      </w:pPr>
      <w:r>
        <w:br w:type="page"/>
      </w:r>
    </w:p>
    <w:p w14:paraId="163E5542" w14:textId="69E8C6C1" w:rsidR="0044384C" w:rsidRPr="002B2276" w:rsidRDefault="0044384C" w:rsidP="00A171FF">
      <w:pPr>
        <w:pStyle w:val="H1"/>
        <w:tabs>
          <w:tab w:val="right" w:pos="1022"/>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lang w:val="fr-FR"/>
        </w:rPr>
      </w:pPr>
      <w:r w:rsidRPr="00A171FF">
        <w:rPr>
          <w:sz w:val="20"/>
        </w:rPr>
        <w:lastRenderedPageBreak/>
        <w:tab/>
      </w:r>
      <w:r>
        <w:tab/>
      </w:r>
      <w:r w:rsidR="00A171FF">
        <w:tab/>
      </w:r>
      <w:r w:rsidRPr="002B2276">
        <w:rPr>
          <w:lang w:val="fr-FR"/>
        </w:rPr>
        <w:t>Informations communiquées pa</w:t>
      </w:r>
      <w:r>
        <w:rPr>
          <w:lang w:val="fr-FR"/>
        </w:rPr>
        <w:t>r</w:t>
      </w:r>
      <w:r w:rsidRPr="002B2276">
        <w:rPr>
          <w:lang w:val="fr-FR"/>
        </w:rPr>
        <w:t xml:space="preserve"> les institutions alban</w:t>
      </w:r>
      <w:r>
        <w:rPr>
          <w:lang w:val="fr-FR"/>
        </w:rPr>
        <w:t>a</w:t>
      </w:r>
      <w:r w:rsidRPr="002B2276">
        <w:rPr>
          <w:lang w:val="fr-FR"/>
        </w:rPr>
        <w:t xml:space="preserve">ises </w:t>
      </w:r>
      <w:r>
        <w:rPr>
          <w:lang w:val="fr-FR"/>
        </w:rPr>
        <w:br/>
      </w:r>
      <w:r w:rsidRPr="002B2276">
        <w:rPr>
          <w:lang w:val="fr-FR"/>
        </w:rPr>
        <w:t>sur les mesures prises pour met</w:t>
      </w:r>
      <w:r>
        <w:rPr>
          <w:lang w:val="fr-FR"/>
        </w:rPr>
        <w:t>t</w:t>
      </w:r>
      <w:r w:rsidRPr="002B2276">
        <w:rPr>
          <w:lang w:val="fr-FR"/>
        </w:rPr>
        <w:t xml:space="preserve">re en </w:t>
      </w:r>
      <w:r>
        <w:rPr>
          <w:lang w:val="fr-FR"/>
        </w:rPr>
        <w:t xml:space="preserve">œuvre </w:t>
      </w:r>
      <w:r w:rsidRPr="002B2276">
        <w:rPr>
          <w:lang w:val="fr-FR"/>
        </w:rPr>
        <w:t xml:space="preserve">les recommandations </w:t>
      </w:r>
      <w:r>
        <w:rPr>
          <w:lang w:val="fr-FR"/>
        </w:rPr>
        <w:br/>
      </w:r>
      <w:r w:rsidRPr="002B2276">
        <w:rPr>
          <w:lang w:val="fr-FR"/>
        </w:rPr>
        <w:t>énoncées aux paragraphes 13 b</w:t>
      </w:r>
      <w:r>
        <w:rPr>
          <w:lang w:val="fr-FR"/>
        </w:rPr>
        <w:t>)</w:t>
      </w:r>
      <w:r w:rsidRPr="002B2276">
        <w:rPr>
          <w:lang w:val="fr-FR"/>
        </w:rPr>
        <w:t xml:space="preserve"> </w:t>
      </w:r>
      <w:r>
        <w:rPr>
          <w:lang w:val="fr-FR"/>
        </w:rPr>
        <w:t>et</w:t>
      </w:r>
      <w:r w:rsidRPr="002B2276">
        <w:rPr>
          <w:lang w:val="fr-FR"/>
        </w:rPr>
        <w:t xml:space="preserve"> d) </w:t>
      </w:r>
      <w:r>
        <w:rPr>
          <w:lang w:val="fr-FR"/>
        </w:rPr>
        <w:t>et</w:t>
      </w:r>
      <w:r w:rsidRPr="002B2276">
        <w:rPr>
          <w:lang w:val="fr-FR"/>
        </w:rPr>
        <w:t xml:space="preserve"> 23 a</w:t>
      </w:r>
      <w:r>
        <w:rPr>
          <w:lang w:val="fr-FR"/>
        </w:rPr>
        <w:t>)</w:t>
      </w:r>
      <w:r w:rsidRPr="002B2276">
        <w:rPr>
          <w:lang w:val="fr-FR"/>
        </w:rPr>
        <w:t xml:space="preserve"> </w:t>
      </w:r>
      <w:r>
        <w:rPr>
          <w:lang w:val="fr-FR"/>
        </w:rPr>
        <w:t>et</w:t>
      </w:r>
      <w:r w:rsidRPr="002B2276">
        <w:rPr>
          <w:lang w:val="fr-FR"/>
        </w:rPr>
        <w:t xml:space="preserve"> d)</w:t>
      </w:r>
      <w:r w:rsidRPr="00C6618C">
        <w:rPr>
          <w:rStyle w:val="FootnoteReference"/>
          <w:b w:val="0"/>
          <w:sz w:val="20"/>
          <w:lang w:val="fr-FR"/>
        </w:rPr>
        <w:footnoteReference w:id="1"/>
      </w:r>
    </w:p>
    <w:p w14:paraId="70598DE1" w14:textId="77777777" w:rsidR="0044384C" w:rsidRPr="002B2276" w:rsidRDefault="0044384C" w:rsidP="0044384C">
      <w:pPr>
        <w:pStyle w:val="SingleTxt"/>
        <w:spacing w:after="0" w:line="120" w:lineRule="exact"/>
        <w:rPr>
          <w:sz w:val="10"/>
          <w:lang w:val="fr-FR"/>
        </w:rPr>
      </w:pPr>
    </w:p>
    <w:p w14:paraId="36A4E6D3" w14:textId="77777777" w:rsidR="0044384C" w:rsidRPr="002B2276" w:rsidRDefault="0044384C" w:rsidP="0044384C">
      <w:pPr>
        <w:pStyle w:val="SingleTxt"/>
        <w:spacing w:after="0" w:line="120" w:lineRule="exact"/>
        <w:rPr>
          <w:sz w:val="10"/>
          <w:lang w:val="fr-FR"/>
        </w:rPr>
      </w:pPr>
    </w:p>
    <w:p w14:paraId="6F3810AE" w14:textId="23E8FBB3" w:rsidR="0044384C" w:rsidRPr="002B2276" w:rsidRDefault="0044384C" w:rsidP="007F2E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B2276">
        <w:rPr>
          <w:lang w:val="fr-FR"/>
        </w:rPr>
        <w:tab/>
      </w:r>
      <w:r w:rsidRPr="002B2276">
        <w:rPr>
          <w:lang w:val="fr-FR"/>
        </w:rPr>
        <w:tab/>
        <w:t>13</w:t>
      </w:r>
      <w:r>
        <w:rPr>
          <w:lang w:val="fr-FR"/>
        </w:rPr>
        <w:t xml:space="preserve"> </w:t>
      </w:r>
      <w:r w:rsidRPr="002B2276">
        <w:rPr>
          <w:lang w:val="fr-FR"/>
        </w:rPr>
        <w:t xml:space="preserve">b) </w:t>
      </w:r>
      <w:r w:rsidR="007F2EAC">
        <w:t>P</w:t>
      </w:r>
      <w:r w:rsidRPr="0044384C">
        <w:t>rendre des mesures pour renforcer la capacité de la Commission de</w:t>
      </w:r>
      <w:r>
        <w:t> </w:t>
      </w:r>
      <w:r w:rsidRPr="0044384C">
        <w:t>l</w:t>
      </w:r>
      <w:r>
        <w:t>’</w:t>
      </w:r>
      <w:r w:rsidRPr="0044384C">
        <w:t>aide judiciaire du Ministère de la justice à fournir une aide juridictionnelle primaire et secondaire, notamment en mettant en place des cabinets locaux d</w:t>
      </w:r>
      <w:r>
        <w:t>’</w:t>
      </w:r>
      <w:r w:rsidRPr="0044384C">
        <w:t>aide juridictionnelle</w:t>
      </w:r>
    </w:p>
    <w:p w14:paraId="54E4CFDB" w14:textId="77777777" w:rsidR="0044384C" w:rsidRPr="002B2276" w:rsidRDefault="0044384C" w:rsidP="0044384C">
      <w:pPr>
        <w:pStyle w:val="SingleTxt"/>
        <w:spacing w:after="0" w:line="120" w:lineRule="exact"/>
        <w:rPr>
          <w:sz w:val="10"/>
          <w:lang w:val="fr-FR"/>
        </w:rPr>
      </w:pPr>
    </w:p>
    <w:p w14:paraId="7C547851" w14:textId="1AB16CC8" w:rsidR="0044384C" w:rsidRDefault="0044384C" w:rsidP="0044384C">
      <w:pPr>
        <w:pStyle w:val="SingleTxt"/>
        <w:numPr>
          <w:ilvl w:val="0"/>
          <w:numId w:val="29"/>
        </w:numPr>
        <w:spacing w:line="240" w:lineRule="exact"/>
        <w:ind w:left="1267"/>
        <w:rPr>
          <w:lang w:val="fr-FR"/>
        </w:rPr>
      </w:pPr>
      <w:r w:rsidRPr="0044384C">
        <w:rPr>
          <w:lang w:val="fr-FR"/>
        </w:rPr>
        <w:t>Jusqu</w:t>
      </w:r>
      <w:r>
        <w:rPr>
          <w:lang w:val="fr-FR"/>
        </w:rPr>
        <w:t>’</w:t>
      </w:r>
      <w:r w:rsidRPr="0044384C">
        <w:rPr>
          <w:lang w:val="fr-FR"/>
        </w:rPr>
        <w:t>en juin 2018, une aide juridictionnelle gratuite était fournie par l</w:t>
      </w:r>
      <w:r>
        <w:rPr>
          <w:lang w:val="fr-FR"/>
        </w:rPr>
        <w:t>’</w:t>
      </w:r>
      <w:r w:rsidR="00C6618C">
        <w:rPr>
          <w:lang w:val="fr-FR"/>
        </w:rPr>
        <w:t>État</w:t>
      </w:r>
      <w:r w:rsidRPr="0044384C">
        <w:rPr>
          <w:lang w:val="fr-FR"/>
        </w:rPr>
        <w:t xml:space="preserve"> en vertu de la loi </w:t>
      </w:r>
      <w:r>
        <w:t>n</w:t>
      </w:r>
      <w:r w:rsidRPr="0044384C">
        <w:rPr>
          <w:vertAlign w:val="superscript"/>
        </w:rPr>
        <w:t>o</w:t>
      </w:r>
      <w:r>
        <w:t> </w:t>
      </w:r>
      <w:r w:rsidRPr="0044384C">
        <w:rPr>
          <w:lang w:val="fr-FR"/>
        </w:rPr>
        <w:t>10039/ du 22 décembre 2008 sur l</w:t>
      </w:r>
      <w:r>
        <w:rPr>
          <w:lang w:val="fr-FR"/>
        </w:rPr>
        <w:t>’</w:t>
      </w:r>
      <w:r w:rsidRPr="0044384C">
        <w:rPr>
          <w:lang w:val="fr-FR"/>
        </w:rPr>
        <w:t>aide juridictionnelle. Au cours de la période à l</w:t>
      </w:r>
      <w:r>
        <w:rPr>
          <w:lang w:val="fr-FR"/>
        </w:rPr>
        <w:t>’</w:t>
      </w:r>
      <w:r w:rsidRPr="0044384C">
        <w:rPr>
          <w:lang w:val="fr-FR"/>
        </w:rPr>
        <w:t>étude, une nouvelle loi sur l</w:t>
      </w:r>
      <w:r>
        <w:rPr>
          <w:lang w:val="fr-FR"/>
        </w:rPr>
        <w:t>’</w:t>
      </w:r>
      <w:r w:rsidRPr="0044384C">
        <w:rPr>
          <w:lang w:val="fr-FR"/>
        </w:rPr>
        <w:t>aide juridictionnelle a été approuvée et la loi sur la violence à l</w:t>
      </w:r>
      <w:r>
        <w:rPr>
          <w:lang w:val="fr-FR"/>
        </w:rPr>
        <w:t>’</w:t>
      </w:r>
      <w:r w:rsidRPr="0044384C">
        <w:rPr>
          <w:lang w:val="fr-FR"/>
        </w:rPr>
        <w:t>égard des femmes et la violence domestique a été modifiée. Les institutions albanaises sont résolues à assurer une aide juridictionnelle gratuite aux femmes victimes de violences. Dans l</w:t>
      </w:r>
      <w:r>
        <w:rPr>
          <w:lang w:val="fr-FR"/>
        </w:rPr>
        <w:t>’</w:t>
      </w:r>
      <w:r w:rsidRPr="0044384C">
        <w:rPr>
          <w:lang w:val="fr-FR"/>
        </w:rPr>
        <w:t>intervalle, quelques cabinets d</w:t>
      </w:r>
      <w:r>
        <w:rPr>
          <w:lang w:val="fr-FR"/>
        </w:rPr>
        <w:t>’</w:t>
      </w:r>
      <w:r w:rsidRPr="0044384C">
        <w:rPr>
          <w:lang w:val="fr-FR"/>
        </w:rPr>
        <w:t>aide juridictionnelle ont été mis en place avec l</w:t>
      </w:r>
      <w:r>
        <w:rPr>
          <w:lang w:val="fr-FR"/>
        </w:rPr>
        <w:t>’</w:t>
      </w:r>
      <w:r w:rsidRPr="0044384C">
        <w:rPr>
          <w:lang w:val="fr-FR"/>
        </w:rPr>
        <w:t>aide de la société civile et d</w:t>
      </w:r>
      <w:r>
        <w:rPr>
          <w:lang w:val="fr-FR"/>
        </w:rPr>
        <w:t>’</w:t>
      </w:r>
      <w:r w:rsidRPr="0044384C">
        <w:rPr>
          <w:lang w:val="fr-FR"/>
        </w:rPr>
        <w:t>organisations internationales.</w:t>
      </w:r>
    </w:p>
    <w:p w14:paraId="49C22761" w14:textId="3356F822" w:rsidR="0044384C" w:rsidRPr="0044384C" w:rsidRDefault="0044384C" w:rsidP="0044384C">
      <w:pPr>
        <w:pStyle w:val="SingleTxt"/>
        <w:numPr>
          <w:ilvl w:val="0"/>
          <w:numId w:val="29"/>
        </w:numPr>
        <w:spacing w:line="240" w:lineRule="exact"/>
        <w:ind w:left="1267"/>
        <w:rPr>
          <w:lang w:val="fr-FR"/>
        </w:rPr>
      </w:pPr>
      <w:r w:rsidRPr="0044384C">
        <w:rPr>
          <w:lang w:val="fr-FR"/>
        </w:rPr>
        <w:t>Pendant la période 2016</w:t>
      </w:r>
      <w:r>
        <w:rPr>
          <w:lang w:val="fr-FR"/>
        </w:rPr>
        <w:t>-</w:t>
      </w:r>
      <w:r w:rsidRPr="0044384C">
        <w:rPr>
          <w:lang w:val="fr-FR"/>
        </w:rPr>
        <w:t>2017, et entre janvier et mai 2018, 1</w:t>
      </w:r>
      <w:r>
        <w:rPr>
          <w:lang w:val="fr-FR"/>
        </w:rPr>
        <w:t> </w:t>
      </w:r>
      <w:r w:rsidRPr="0044384C">
        <w:rPr>
          <w:lang w:val="fr-FR"/>
        </w:rPr>
        <w:t>844 personnes ont fait appel à la Commission de l</w:t>
      </w:r>
      <w:r>
        <w:rPr>
          <w:lang w:val="fr-FR"/>
        </w:rPr>
        <w:t>’</w:t>
      </w:r>
      <w:r w:rsidRPr="0044384C">
        <w:rPr>
          <w:lang w:val="fr-FR"/>
        </w:rPr>
        <w:t>aide judiciaire, à savoir</w:t>
      </w:r>
      <w:r w:rsidR="00C6618C">
        <w:rPr>
          <w:lang w:val="fr-FR"/>
        </w:rPr>
        <w:t> :</w:t>
      </w:r>
      <w:r w:rsidRPr="0044384C">
        <w:rPr>
          <w:lang w:val="fr-FR"/>
        </w:rPr>
        <w:t xml:space="preserve"> </w:t>
      </w:r>
    </w:p>
    <w:p w14:paraId="386D8B88" w14:textId="0583FD5B" w:rsidR="0044384C" w:rsidRPr="002B2276" w:rsidRDefault="0044384C" w:rsidP="0044384C">
      <w:pPr>
        <w:pStyle w:val="SingleTxt"/>
        <w:tabs>
          <w:tab w:val="right" w:pos="1685"/>
        </w:tabs>
        <w:ind w:left="1742" w:hanging="475"/>
        <w:rPr>
          <w:lang w:val="fr-FR"/>
        </w:rPr>
      </w:pPr>
      <w:r w:rsidRPr="002B2276">
        <w:rPr>
          <w:lang w:val="fr-FR"/>
        </w:rPr>
        <w:tab/>
        <w:t>•</w:t>
      </w:r>
      <w:r w:rsidRPr="002B2276">
        <w:rPr>
          <w:lang w:val="fr-FR"/>
        </w:rPr>
        <w:tab/>
        <w:t>2016</w:t>
      </w:r>
      <w:r w:rsidR="007F2EAC">
        <w:rPr>
          <w:lang w:val="fr-FR"/>
        </w:rPr>
        <w:t> :</w:t>
      </w:r>
      <w:r w:rsidR="007F2EAC" w:rsidRPr="002B2276">
        <w:rPr>
          <w:lang w:val="fr-FR"/>
        </w:rPr>
        <w:t xml:space="preserve"> </w:t>
      </w:r>
      <w:r w:rsidRPr="002B2276">
        <w:rPr>
          <w:lang w:val="fr-FR"/>
        </w:rPr>
        <w:t>613 cas</w:t>
      </w:r>
      <w:r>
        <w:rPr>
          <w:lang w:val="fr-FR"/>
        </w:rPr>
        <w:t> ;</w:t>
      </w:r>
      <w:r w:rsidRPr="002B2276">
        <w:rPr>
          <w:lang w:val="fr-FR"/>
        </w:rPr>
        <w:t xml:space="preserve"> 2017</w:t>
      </w:r>
      <w:r w:rsidR="007F2EAC">
        <w:rPr>
          <w:lang w:val="fr-FR"/>
        </w:rPr>
        <w:t> :</w:t>
      </w:r>
      <w:r w:rsidR="007F2EAC" w:rsidRPr="002B2276">
        <w:rPr>
          <w:lang w:val="fr-FR"/>
        </w:rPr>
        <w:t xml:space="preserve"> </w:t>
      </w:r>
      <w:r w:rsidRPr="002B2276">
        <w:rPr>
          <w:lang w:val="fr-FR"/>
        </w:rPr>
        <w:t>828 cas</w:t>
      </w:r>
      <w:r>
        <w:rPr>
          <w:lang w:val="fr-FR"/>
        </w:rPr>
        <w:t> ;</w:t>
      </w:r>
      <w:r w:rsidRPr="002B2276">
        <w:rPr>
          <w:lang w:val="fr-FR"/>
        </w:rPr>
        <w:t xml:space="preserve"> </w:t>
      </w:r>
      <w:r>
        <w:rPr>
          <w:lang w:val="fr-FR"/>
        </w:rPr>
        <w:t>janvier</w:t>
      </w:r>
      <w:r w:rsidRPr="002B2276">
        <w:rPr>
          <w:lang w:val="fr-FR"/>
        </w:rPr>
        <w:t xml:space="preserve">- </w:t>
      </w:r>
      <w:r>
        <w:rPr>
          <w:lang w:val="fr-FR"/>
        </w:rPr>
        <w:t>juin</w:t>
      </w:r>
      <w:r w:rsidRPr="002B2276">
        <w:rPr>
          <w:lang w:val="fr-FR"/>
        </w:rPr>
        <w:t xml:space="preserve"> 2018</w:t>
      </w:r>
      <w:r w:rsidR="007F2EAC">
        <w:rPr>
          <w:lang w:val="fr-FR"/>
        </w:rPr>
        <w:t> :</w:t>
      </w:r>
      <w:r w:rsidR="007F2EAC" w:rsidRPr="002B2276">
        <w:rPr>
          <w:lang w:val="fr-FR"/>
        </w:rPr>
        <w:t xml:space="preserve"> </w:t>
      </w:r>
      <w:r w:rsidRPr="002B2276">
        <w:rPr>
          <w:lang w:val="fr-FR"/>
        </w:rPr>
        <w:t xml:space="preserve">403 cas. </w:t>
      </w:r>
      <w:r>
        <w:rPr>
          <w:lang w:val="fr-FR"/>
        </w:rPr>
        <w:t xml:space="preserve">Au total, </w:t>
      </w:r>
      <w:r w:rsidRPr="002B2276">
        <w:rPr>
          <w:lang w:val="fr-FR"/>
        </w:rPr>
        <w:t>1</w:t>
      </w:r>
      <w:r>
        <w:rPr>
          <w:lang w:val="fr-FR"/>
        </w:rPr>
        <w:t> </w:t>
      </w:r>
      <w:r w:rsidRPr="002B2276">
        <w:rPr>
          <w:lang w:val="fr-FR"/>
        </w:rPr>
        <w:t xml:space="preserve">658 </w:t>
      </w:r>
      <w:r>
        <w:rPr>
          <w:lang w:val="fr-FR"/>
        </w:rPr>
        <w:t>de ces demandes ont été approuvées ;</w:t>
      </w:r>
      <w:r w:rsidRPr="002B2276">
        <w:rPr>
          <w:lang w:val="fr-FR"/>
        </w:rPr>
        <w:t xml:space="preserve"> </w:t>
      </w:r>
    </w:p>
    <w:p w14:paraId="5D8EAB55" w14:textId="339B3425" w:rsidR="0044384C" w:rsidRPr="002B2276" w:rsidRDefault="0044384C" w:rsidP="0044384C">
      <w:pPr>
        <w:pStyle w:val="SingleTxt"/>
        <w:tabs>
          <w:tab w:val="right" w:pos="1685"/>
        </w:tabs>
        <w:ind w:left="1742" w:hanging="475"/>
        <w:rPr>
          <w:lang w:val="fr-FR"/>
        </w:rPr>
      </w:pPr>
      <w:r w:rsidRPr="002B2276">
        <w:rPr>
          <w:lang w:val="fr-FR"/>
        </w:rPr>
        <w:tab/>
        <w:t>•</w:t>
      </w:r>
      <w:r w:rsidRPr="002B2276">
        <w:rPr>
          <w:lang w:val="fr-FR"/>
        </w:rPr>
        <w:tab/>
        <w:t xml:space="preserve">528 </w:t>
      </w:r>
      <w:r>
        <w:rPr>
          <w:lang w:val="fr-FR"/>
        </w:rPr>
        <w:t>cas en</w:t>
      </w:r>
      <w:r w:rsidRPr="002B2276">
        <w:rPr>
          <w:lang w:val="fr-FR"/>
        </w:rPr>
        <w:t xml:space="preserve"> 2016</w:t>
      </w:r>
      <w:r>
        <w:rPr>
          <w:lang w:val="fr-FR"/>
        </w:rPr>
        <w:t> ;</w:t>
      </w:r>
      <w:r w:rsidRPr="002B2276">
        <w:rPr>
          <w:lang w:val="fr-FR"/>
        </w:rPr>
        <w:t xml:space="preserve"> 771 </w:t>
      </w:r>
      <w:r>
        <w:rPr>
          <w:lang w:val="fr-FR"/>
        </w:rPr>
        <w:t>en</w:t>
      </w:r>
      <w:r w:rsidRPr="002B2276">
        <w:rPr>
          <w:lang w:val="fr-FR"/>
        </w:rPr>
        <w:t xml:space="preserve"> 2017</w:t>
      </w:r>
      <w:r>
        <w:rPr>
          <w:lang w:val="fr-FR"/>
        </w:rPr>
        <w:t> ;</w:t>
      </w:r>
      <w:r w:rsidRPr="002B2276">
        <w:rPr>
          <w:lang w:val="fr-FR"/>
        </w:rPr>
        <w:t xml:space="preserve"> 359 </w:t>
      </w:r>
      <w:r>
        <w:rPr>
          <w:lang w:val="fr-FR"/>
        </w:rPr>
        <w:t xml:space="preserve">demandes </w:t>
      </w:r>
      <w:r w:rsidR="007F2EAC">
        <w:rPr>
          <w:lang w:val="fr-FR"/>
        </w:rPr>
        <w:t xml:space="preserve">de janvier à </w:t>
      </w:r>
      <w:r>
        <w:rPr>
          <w:lang w:val="fr-FR"/>
        </w:rPr>
        <w:t>mai</w:t>
      </w:r>
      <w:r w:rsidRPr="002B2276">
        <w:rPr>
          <w:lang w:val="fr-FR"/>
        </w:rPr>
        <w:t xml:space="preserve"> 2018</w:t>
      </w:r>
      <w:r>
        <w:rPr>
          <w:lang w:val="fr-FR"/>
        </w:rPr>
        <w:t> ;</w:t>
      </w:r>
      <w:r w:rsidRPr="002B2276">
        <w:rPr>
          <w:lang w:val="fr-FR"/>
        </w:rPr>
        <w:t xml:space="preserve"> </w:t>
      </w:r>
    </w:p>
    <w:p w14:paraId="454FCE4B" w14:textId="642C5019" w:rsidR="0044384C" w:rsidRPr="002B2276" w:rsidRDefault="0044384C" w:rsidP="0044384C">
      <w:pPr>
        <w:pStyle w:val="SingleTxt"/>
        <w:tabs>
          <w:tab w:val="right" w:pos="1685"/>
        </w:tabs>
        <w:ind w:left="1742" w:hanging="475"/>
        <w:rPr>
          <w:lang w:val="fr-FR"/>
        </w:rPr>
      </w:pPr>
      <w:r w:rsidRPr="002B2276">
        <w:rPr>
          <w:lang w:val="fr-FR"/>
        </w:rPr>
        <w:tab/>
        <w:t>•</w:t>
      </w:r>
      <w:r w:rsidRPr="002B2276">
        <w:rPr>
          <w:lang w:val="fr-FR"/>
        </w:rPr>
        <w:tab/>
      </w:r>
      <w:r>
        <w:rPr>
          <w:lang w:val="fr-FR"/>
        </w:rPr>
        <w:t xml:space="preserve">Parmi ces affaires, </w:t>
      </w:r>
      <w:r w:rsidRPr="002B2276">
        <w:rPr>
          <w:lang w:val="fr-FR"/>
        </w:rPr>
        <w:t xml:space="preserve">456 </w:t>
      </w:r>
      <w:r>
        <w:rPr>
          <w:lang w:val="fr-FR"/>
        </w:rPr>
        <w:t>étaient d’ordre pénal</w:t>
      </w:r>
      <w:r w:rsidRPr="002B2276">
        <w:rPr>
          <w:lang w:val="fr-FR"/>
        </w:rPr>
        <w:t xml:space="preserve"> (111 </w:t>
      </w:r>
      <w:r>
        <w:rPr>
          <w:lang w:val="fr-FR"/>
        </w:rPr>
        <w:t>en</w:t>
      </w:r>
      <w:r w:rsidRPr="002B2276">
        <w:rPr>
          <w:lang w:val="fr-FR"/>
        </w:rPr>
        <w:t xml:space="preserve"> 2016</w:t>
      </w:r>
      <w:r>
        <w:rPr>
          <w:lang w:val="fr-FR"/>
        </w:rPr>
        <w:t> ;</w:t>
      </w:r>
      <w:r w:rsidRPr="002B2276">
        <w:rPr>
          <w:lang w:val="fr-FR"/>
        </w:rPr>
        <w:t xml:space="preserve"> 213 </w:t>
      </w:r>
      <w:r>
        <w:rPr>
          <w:lang w:val="fr-FR"/>
        </w:rPr>
        <w:t>en</w:t>
      </w:r>
      <w:r w:rsidRPr="002B2276">
        <w:rPr>
          <w:lang w:val="fr-FR"/>
        </w:rPr>
        <w:t xml:space="preserve"> 2017</w:t>
      </w:r>
      <w:r>
        <w:rPr>
          <w:lang w:val="fr-FR"/>
        </w:rPr>
        <w:t> ;</w:t>
      </w:r>
      <w:r w:rsidRPr="002B2276">
        <w:rPr>
          <w:lang w:val="fr-FR"/>
        </w:rPr>
        <w:t xml:space="preserve"> 132</w:t>
      </w:r>
      <w:r>
        <w:rPr>
          <w:lang w:val="fr-FR"/>
        </w:rPr>
        <w:t> </w:t>
      </w:r>
      <w:r w:rsidR="007F2EAC">
        <w:rPr>
          <w:lang w:val="fr-FR"/>
        </w:rPr>
        <w:t xml:space="preserve">de janvier à </w:t>
      </w:r>
      <w:r>
        <w:rPr>
          <w:lang w:val="fr-FR"/>
        </w:rPr>
        <w:t>juin</w:t>
      </w:r>
      <w:r w:rsidRPr="002B2276">
        <w:rPr>
          <w:lang w:val="fr-FR"/>
        </w:rPr>
        <w:t xml:space="preserve"> 2018)</w:t>
      </w:r>
      <w:r>
        <w:rPr>
          <w:lang w:val="fr-FR"/>
        </w:rPr>
        <w:t> ;</w:t>
      </w:r>
    </w:p>
    <w:p w14:paraId="21A9FB19" w14:textId="6AAD53BE" w:rsidR="0044384C" w:rsidRPr="002B2276" w:rsidRDefault="0044384C" w:rsidP="0044384C">
      <w:pPr>
        <w:pStyle w:val="SingleTxt"/>
        <w:tabs>
          <w:tab w:val="right" w:pos="1685"/>
        </w:tabs>
        <w:ind w:left="1742" w:hanging="475"/>
        <w:rPr>
          <w:lang w:val="fr-FR"/>
        </w:rPr>
      </w:pPr>
      <w:r w:rsidRPr="002B2276">
        <w:rPr>
          <w:lang w:val="fr-FR"/>
        </w:rPr>
        <w:tab/>
        <w:t>•</w:t>
      </w:r>
      <w:r w:rsidRPr="002B2276">
        <w:rPr>
          <w:lang w:val="fr-FR"/>
        </w:rPr>
        <w:tab/>
        <w:t>1</w:t>
      </w:r>
      <w:r>
        <w:rPr>
          <w:lang w:val="fr-FR"/>
        </w:rPr>
        <w:t> </w:t>
      </w:r>
      <w:r w:rsidRPr="002B2276">
        <w:rPr>
          <w:lang w:val="fr-FR"/>
        </w:rPr>
        <w:t xml:space="preserve">080 </w:t>
      </w:r>
      <w:r>
        <w:rPr>
          <w:lang w:val="fr-FR"/>
        </w:rPr>
        <w:t>étaient d’ordre civil</w:t>
      </w:r>
      <w:r w:rsidRPr="002B2276">
        <w:rPr>
          <w:lang w:val="fr-FR"/>
        </w:rPr>
        <w:t xml:space="preserve"> (393 </w:t>
      </w:r>
      <w:r>
        <w:rPr>
          <w:lang w:val="fr-FR"/>
        </w:rPr>
        <w:t>en</w:t>
      </w:r>
      <w:r w:rsidRPr="002B2276">
        <w:rPr>
          <w:lang w:val="fr-FR"/>
        </w:rPr>
        <w:t xml:space="preserve"> 2016</w:t>
      </w:r>
      <w:r>
        <w:rPr>
          <w:lang w:val="fr-FR"/>
        </w:rPr>
        <w:t> ;</w:t>
      </w:r>
      <w:r w:rsidRPr="002B2276">
        <w:rPr>
          <w:lang w:val="fr-FR"/>
        </w:rPr>
        <w:t xml:space="preserve"> 495 </w:t>
      </w:r>
      <w:r>
        <w:rPr>
          <w:lang w:val="fr-FR"/>
        </w:rPr>
        <w:t>en</w:t>
      </w:r>
      <w:r w:rsidRPr="002B2276">
        <w:rPr>
          <w:lang w:val="fr-FR"/>
        </w:rPr>
        <w:t xml:space="preserve"> 2017</w:t>
      </w:r>
      <w:r>
        <w:rPr>
          <w:lang w:val="fr-FR"/>
        </w:rPr>
        <w:t> ;</w:t>
      </w:r>
      <w:r w:rsidRPr="002B2276">
        <w:rPr>
          <w:lang w:val="fr-FR"/>
        </w:rPr>
        <w:t xml:space="preserve"> 192</w:t>
      </w:r>
      <w:r>
        <w:rPr>
          <w:lang w:val="fr-FR"/>
        </w:rPr>
        <w:t xml:space="preserve"> de janvier à mai</w:t>
      </w:r>
      <w:r w:rsidRPr="002B2276">
        <w:rPr>
          <w:lang w:val="fr-FR"/>
        </w:rPr>
        <w:t xml:space="preserve"> 2018)</w:t>
      </w:r>
      <w:r>
        <w:rPr>
          <w:lang w:val="fr-FR"/>
        </w:rPr>
        <w:t> ;</w:t>
      </w:r>
    </w:p>
    <w:p w14:paraId="1112BE7C" w14:textId="7673E274" w:rsidR="0044384C" w:rsidRPr="002B2276" w:rsidRDefault="0044384C" w:rsidP="0044384C">
      <w:pPr>
        <w:pStyle w:val="SingleTxt"/>
        <w:tabs>
          <w:tab w:val="right" w:pos="1685"/>
        </w:tabs>
        <w:ind w:left="1742" w:hanging="475"/>
        <w:rPr>
          <w:lang w:val="fr-FR"/>
        </w:rPr>
      </w:pPr>
      <w:r w:rsidRPr="002B2276">
        <w:rPr>
          <w:lang w:val="fr-FR"/>
        </w:rPr>
        <w:tab/>
        <w:t>•</w:t>
      </w:r>
      <w:r w:rsidRPr="002B2276">
        <w:rPr>
          <w:lang w:val="fr-FR"/>
        </w:rPr>
        <w:tab/>
        <w:t xml:space="preserve">122 </w:t>
      </w:r>
      <w:r>
        <w:rPr>
          <w:lang w:val="fr-FR"/>
        </w:rPr>
        <w:t>étaient d’ordre administratif</w:t>
      </w:r>
      <w:r w:rsidRPr="002B2276">
        <w:rPr>
          <w:lang w:val="fr-FR"/>
        </w:rPr>
        <w:t xml:space="preserve"> (24 </w:t>
      </w:r>
      <w:r>
        <w:rPr>
          <w:lang w:val="fr-FR"/>
        </w:rPr>
        <w:t>en</w:t>
      </w:r>
      <w:r w:rsidRPr="002B2276">
        <w:rPr>
          <w:lang w:val="fr-FR"/>
        </w:rPr>
        <w:t xml:space="preserve"> 2016</w:t>
      </w:r>
      <w:r>
        <w:rPr>
          <w:lang w:val="fr-FR"/>
        </w:rPr>
        <w:t> ;</w:t>
      </w:r>
      <w:r w:rsidRPr="002B2276">
        <w:rPr>
          <w:lang w:val="fr-FR"/>
        </w:rPr>
        <w:t xml:space="preserve"> 63 </w:t>
      </w:r>
      <w:r>
        <w:rPr>
          <w:lang w:val="fr-FR"/>
        </w:rPr>
        <w:t>en</w:t>
      </w:r>
      <w:r w:rsidRPr="002B2276">
        <w:rPr>
          <w:lang w:val="fr-FR"/>
        </w:rPr>
        <w:t xml:space="preserve"> 2017</w:t>
      </w:r>
      <w:r>
        <w:rPr>
          <w:lang w:val="fr-FR"/>
        </w:rPr>
        <w:t> ;</w:t>
      </w:r>
      <w:r w:rsidRPr="002B2276">
        <w:rPr>
          <w:lang w:val="fr-FR"/>
        </w:rPr>
        <w:t xml:space="preserve"> 35 </w:t>
      </w:r>
      <w:r w:rsidR="007F2EAC">
        <w:rPr>
          <w:lang w:val="fr-FR"/>
        </w:rPr>
        <w:t xml:space="preserve">de </w:t>
      </w:r>
      <w:r>
        <w:rPr>
          <w:lang w:val="fr-FR"/>
        </w:rPr>
        <w:t xml:space="preserve">janvier </w:t>
      </w:r>
      <w:r w:rsidR="007F2EAC">
        <w:rPr>
          <w:lang w:val="fr-FR"/>
        </w:rPr>
        <w:t xml:space="preserve">à </w:t>
      </w:r>
      <w:r>
        <w:rPr>
          <w:lang w:val="fr-FR"/>
        </w:rPr>
        <w:t>mai</w:t>
      </w:r>
      <w:r w:rsidRPr="002B2276">
        <w:rPr>
          <w:lang w:val="fr-FR"/>
        </w:rPr>
        <w:t xml:space="preserve"> 2018). </w:t>
      </w:r>
    </w:p>
    <w:p w14:paraId="48C46304" w14:textId="10BF683A" w:rsidR="00C6618C" w:rsidRDefault="0044384C" w:rsidP="0044384C">
      <w:pPr>
        <w:pStyle w:val="SingleTxt"/>
        <w:numPr>
          <w:ilvl w:val="0"/>
          <w:numId w:val="29"/>
        </w:numPr>
        <w:spacing w:line="240" w:lineRule="exact"/>
        <w:ind w:left="1267"/>
        <w:rPr>
          <w:lang w:val="fr-FR"/>
        </w:rPr>
      </w:pPr>
      <w:r w:rsidRPr="00C6618C">
        <w:rPr>
          <w:lang w:val="fr-FR"/>
        </w:rPr>
        <w:t>Les institutions nationales de défense des droits de l’homme ont soumis des affaires à la Commission de l’aide judiciaire. Au cours de la période 2016-2017, l</w:t>
      </w:r>
      <w:r w:rsidR="007F2EAC">
        <w:rPr>
          <w:lang w:val="fr-FR"/>
        </w:rPr>
        <w:t>a</w:t>
      </w:r>
      <w:r w:rsidRPr="00C6618C">
        <w:rPr>
          <w:lang w:val="fr-FR"/>
        </w:rPr>
        <w:t xml:space="preserve"> Défenseu</w:t>
      </w:r>
      <w:r w:rsidR="007F2EAC">
        <w:rPr>
          <w:lang w:val="fr-FR"/>
        </w:rPr>
        <w:t>se</w:t>
      </w:r>
      <w:r w:rsidRPr="00C6618C">
        <w:rPr>
          <w:lang w:val="fr-FR"/>
        </w:rPr>
        <w:t xml:space="preserve"> du peuple a renvoyé devant la Commission 45 requêtes émanant de diverses sources. </w:t>
      </w:r>
      <w:r w:rsidR="00DA5EF4">
        <w:rPr>
          <w:lang w:val="fr-FR"/>
        </w:rPr>
        <w:t xml:space="preserve">Elle </w:t>
      </w:r>
      <w:r w:rsidRPr="00C6618C">
        <w:rPr>
          <w:lang w:val="fr-FR"/>
        </w:rPr>
        <w:t>a recommandé au Ministère de la justice d’augmenter le budget de la Commission de l’aide judiciaire afin qu’un plus grand nombre de personnes puissent bénéficier d’une aide juridictionnelle gratuite.</w:t>
      </w:r>
    </w:p>
    <w:p w14:paraId="3BA2FBDD" w14:textId="77777777" w:rsidR="00C6618C" w:rsidRDefault="0044384C" w:rsidP="0044384C">
      <w:pPr>
        <w:pStyle w:val="SingleTxt"/>
        <w:numPr>
          <w:ilvl w:val="0"/>
          <w:numId w:val="29"/>
        </w:numPr>
        <w:spacing w:line="240" w:lineRule="exact"/>
        <w:ind w:left="1267"/>
        <w:rPr>
          <w:lang w:val="fr-FR"/>
        </w:rPr>
      </w:pPr>
      <w:r w:rsidRPr="00C6618C">
        <w:rPr>
          <w:lang w:val="fr-FR"/>
        </w:rPr>
        <w:t>Le 4 décembre 2017, l’Assemblée de la République d’Albanie a approuvé une résolution sur la lutte contre la violence à l’égard des femmes et des filles et l’amélioration de l’efficacité des dispositifs juridiques de prévention, et a mis en place le sous-comité parlementaire permanent pour l’égalité des sexes et la prévention de la violence à l’égard des femmes</w:t>
      </w:r>
      <w:r w:rsidRPr="00C6618C">
        <w:rPr>
          <w:rStyle w:val="FootnoteReference"/>
          <w:lang w:val="fr-FR"/>
        </w:rPr>
        <w:footnoteReference w:id="2"/>
      </w:r>
      <w:r w:rsidRPr="00C6618C">
        <w:rPr>
          <w:lang w:val="fr-FR"/>
        </w:rPr>
        <w:t>.</w:t>
      </w:r>
    </w:p>
    <w:p w14:paraId="025956BB" w14:textId="77406F11" w:rsidR="00C6618C" w:rsidRDefault="0044384C" w:rsidP="0044384C">
      <w:pPr>
        <w:pStyle w:val="SingleTxt"/>
        <w:numPr>
          <w:ilvl w:val="0"/>
          <w:numId w:val="29"/>
        </w:numPr>
        <w:spacing w:line="240" w:lineRule="exact"/>
        <w:ind w:left="1267"/>
        <w:rPr>
          <w:lang w:val="fr-FR"/>
        </w:rPr>
      </w:pPr>
      <w:r w:rsidRPr="00C6618C">
        <w:rPr>
          <w:lang w:val="fr-FR"/>
        </w:rPr>
        <w:t>Le 14 décembre 2017, l’Assemblée de la République d’Albanie a adopté la loi n</w:t>
      </w:r>
      <w:r w:rsidRPr="00C6618C">
        <w:rPr>
          <w:vertAlign w:val="superscript"/>
          <w:lang w:val="fr-FR"/>
        </w:rPr>
        <w:t>o</w:t>
      </w:r>
      <w:r w:rsidR="00C6618C" w:rsidRPr="00C6618C">
        <w:rPr>
          <w:lang w:val="fr-FR"/>
        </w:rPr>
        <w:t> </w:t>
      </w:r>
      <w:r w:rsidRPr="00C6618C">
        <w:rPr>
          <w:lang w:val="fr-FR"/>
        </w:rPr>
        <w:t>111/2017 sur l’aide judiciaire garantie par l’</w:t>
      </w:r>
      <w:r w:rsidR="00C6618C">
        <w:rPr>
          <w:lang w:val="fr-FR"/>
        </w:rPr>
        <w:t>État</w:t>
      </w:r>
      <w:r w:rsidRPr="00C6618C">
        <w:rPr>
          <w:lang w:val="fr-FR"/>
        </w:rPr>
        <w:t>, qui est entrée en vigueur le 1</w:t>
      </w:r>
      <w:r w:rsidRPr="00C6618C">
        <w:rPr>
          <w:vertAlign w:val="superscript"/>
          <w:lang w:val="fr-FR"/>
        </w:rPr>
        <w:t>er</w:t>
      </w:r>
      <w:r w:rsidR="00C6618C" w:rsidRPr="00C6618C">
        <w:rPr>
          <w:lang w:val="fr-FR"/>
        </w:rPr>
        <w:t> </w:t>
      </w:r>
      <w:r w:rsidRPr="00C6618C">
        <w:rPr>
          <w:lang w:val="fr-FR"/>
        </w:rPr>
        <w:t>juin 2018</w:t>
      </w:r>
      <w:r w:rsidRPr="00C6618C">
        <w:rPr>
          <w:rStyle w:val="FootnoteReference"/>
          <w:lang w:val="fr-FR"/>
        </w:rPr>
        <w:footnoteReference w:id="3"/>
      </w:r>
      <w:r w:rsidRPr="00C6618C">
        <w:rPr>
          <w:lang w:val="fr-FR"/>
        </w:rPr>
        <w:t xml:space="preserve">. L’adoption de cette loi s’est inscrite dans le cadre de la réforme en cours de l’appareil judiciaire et vise à améliorer l’accès à la justice </w:t>
      </w:r>
      <w:r w:rsidR="00DA5EF4">
        <w:rPr>
          <w:lang w:val="fr-FR"/>
        </w:rPr>
        <w:t xml:space="preserve">des </w:t>
      </w:r>
      <w:r w:rsidRPr="00C6618C">
        <w:rPr>
          <w:lang w:val="fr-FR"/>
        </w:rPr>
        <w:t xml:space="preserve">personnes qui connaissent des difficultés économiques et </w:t>
      </w:r>
      <w:r w:rsidR="00DA5EF4">
        <w:rPr>
          <w:lang w:val="fr-FR"/>
        </w:rPr>
        <w:t xml:space="preserve">de </w:t>
      </w:r>
      <w:r w:rsidRPr="00C6618C">
        <w:rPr>
          <w:lang w:val="fr-FR"/>
        </w:rPr>
        <w:t xml:space="preserve">certaines catégories de la population, </w:t>
      </w:r>
      <w:r w:rsidRPr="00C6618C">
        <w:rPr>
          <w:lang w:val="fr-FR"/>
        </w:rPr>
        <w:lastRenderedPageBreak/>
        <w:t xml:space="preserve">notamment </w:t>
      </w:r>
      <w:r w:rsidR="00DA5EF4">
        <w:rPr>
          <w:lang w:val="fr-FR"/>
        </w:rPr>
        <w:t>les</w:t>
      </w:r>
      <w:r w:rsidR="00DA5EF4" w:rsidRPr="00C6618C">
        <w:rPr>
          <w:lang w:val="fr-FR"/>
        </w:rPr>
        <w:t xml:space="preserve"> </w:t>
      </w:r>
      <w:r w:rsidRPr="00C6618C">
        <w:rPr>
          <w:lang w:val="fr-FR"/>
        </w:rPr>
        <w:t xml:space="preserve">groupes défavorisés. Les femmes et les enfants victimes de violences domestiques et sexuelles et de la traite bénéficieront à la fois du nouveau régime d’accès à une aide judiciaire gratuite et de l’élargissement des mesures de protection </w:t>
      </w:r>
      <w:r w:rsidR="00DA5EF4">
        <w:rPr>
          <w:lang w:val="fr-FR"/>
        </w:rPr>
        <w:t xml:space="preserve">applicables aux </w:t>
      </w:r>
      <w:r w:rsidRPr="00C6618C">
        <w:rPr>
          <w:lang w:val="fr-FR"/>
        </w:rPr>
        <w:t>victimes de la criminalité</w:t>
      </w:r>
      <w:r w:rsidR="00DA5EF4">
        <w:rPr>
          <w:lang w:val="fr-FR"/>
        </w:rPr>
        <w:t>, prévus par</w:t>
      </w:r>
      <w:r w:rsidRPr="00C6618C">
        <w:rPr>
          <w:lang w:val="fr-FR"/>
        </w:rPr>
        <w:t xml:space="preserve"> la nouvelle loi sur l’aide judiciaire gratuite et des modifications apportées au Code de procédure pénale (juillet 2017). Des campagnes de sensibilisation ont été organisées pour lutter contre les stéréotypes sexistes qui perpétuent la violence et pour informer les femmes des services disponibles.</w:t>
      </w:r>
    </w:p>
    <w:p w14:paraId="7A9E415E" w14:textId="11163725" w:rsidR="00C6618C" w:rsidRDefault="0044384C" w:rsidP="0044384C">
      <w:pPr>
        <w:pStyle w:val="SingleTxt"/>
        <w:numPr>
          <w:ilvl w:val="0"/>
          <w:numId w:val="29"/>
        </w:numPr>
        <w:spacing w:line="240" w:lineRule="exact"/>
        <w:ind w:left="1267"/>
        <w:rPr>
          <w:lang w:val="fr-FR"/>
        </w:rPr>
      </w:pPr>
      <w:r w:rsidRPr="00C6618C">
        <w:rPr>
          <w:lang w:val="fr-FR"/>
        </w:rPr>
        <w:t>La loi définit les formes, les conditions, les procédures et les règles de l’organisation et de l’administration de l’aide judiciaire garantie par l’</w:t>
      </w:r>
      <w:r w:rsidR="00C6618C">
        <w:rPr>
          <w:lang w:val="fr-FR"/>
        </w:rPr>
        <w:t>État</w:t>
      </w:r>
      <w:r w:rsidRPr="00C6618C">
        <w:rPr>
          <w:lang w:val="fr-FR"/>
        </w:rPr>
        <w:t>, en garantissant à tous les individus un accès égal à la justice, une aide judiciaire professionnelle de qualité, efficace et efficiente, et en veillant au bon fonctionnement des institutions nationales chargées d’administrer l’aide juridictionnelle. La loi protège également les ressortissants étrangers, les apatrides et les demandeurs d’asile.</w:t>
      </w:r>
    </w:p>
    <w:p w14:paraId="32E5129E" w14:textId="77777777" w:rsidR="00C6618C" w:rsidRDefault="0044384C" w:rsidP="0044384C">
      <w:pPr>
        <w:pStyle w:val="SingleTxt"/>
        <w:numPr>
          <w:ilvl w:val="0"/>
          <w:numId w:val="29"/>
        </w:numPr>
        <w:spacing w:line="240" w:lineRule="exact"/>
        <w:ind w:left="1267"/>
        <w:rPr>
          <w:lang w:val="fr-FR"/>
        </w:rPr>
      </w:pPr>
      <w:r w:rsidRPr="00C6618C">
        <w:rPr>
          <w:lang w:val="fr-FR"/>
        </w:rPr>
        <w:t>La nouveauté de cette loi tient à l’exonération des personnes qui bénéficient d’une aide juridictionnelle secondaire pour le règlement des frais de justice et le paiement anticipé des frais afférents à l’exécution des jugements (art</w:t>
      </w:r>
      <w:r w:rsidR="00C6618C" w:rsidRPr="00C6618C">
        <w:rPr>
          <w:lang w:val="fr-FR"/>
        </w:rPr>
        <w:t>.</w:t>
      </w:r>
      <w:r w:rsidRPr="00C6618C">
        <w:rPr>
          <w:lang w:val="fr-FR"/>
        </w:rPr>
        <w:t xml:space="preserve"> 25).</w:t>
      </w:r>
    </w:p>
    <w:p w14:paraId="6328187B" w14:textId="77777777" w:rsidR="00C6618C" w:rsidRDefault="0044384C" w:rsidP="0044384C">
      <w:pPr>
        <w:pStyle w:val="SingleTxt"/>
        <w:numPr>
          <w:ilvl w:val="0"/>
          <w:numId w:val="29"/>
        </w:numPr>
        <w:spacing w:line="240" w:lineRule="exact"/>
        <w:ind w:left="1267"/>
        <w:rPr>
          <w:lang w:val="fr-FR"/>
        </w:rPr>
      </w:pPr>
      <w:r w:rsidRPr="00C6618C">
        <w:rPr>
          <w:lang w:val="fr-FR"/>
        </w:rPr>
        <w:t>Cette loi désigne les bénéficiaires de l’aide juridictionnelle garantie par l’</w:t>
      </w:r>
      <w:r w:rsidR="00C6618C" w:rsidRPr="00C6618C">
        <w:rPr>
          <w:lang w:val="fr-FR"/>
        </w:rPr>
        <w:t>État</w:t>
      </w:r>
      <w:r w:rsidRPr="00C6618C">
        <w:rPr>
          <w:lang w:val="fr-FR"/>
        </w:rPr>
        <w:t>, quels que soient leurs revenus et leurs biens, qui sont expressément les victimes de la violence domestique, de sévices sexuels et de la traite d’êtres humains, mais qui comprennent également d’autres catégories, comme par exemple les enfants maltraités et les jeunes en conflit avec la loi, les personnes qui reçoivent une aide sociale, les personnes privées de la capacité juridique d’agir et les victimes de comportements discriminatoires.</w:t>
      </w:r>
    </w:p>
    <w:p w14:paraId="2757000C" w14:textId="77777777" w:rsidR="00C6618C" w:rsidRDefault="0044384C" w:rsidP="0044384C">
      <w:pPr>
        <w:pStyle w:val="SingleTxt"/>
        <w:numPr>
          <w:ilvl w:val="0"/>
          <w:numId w:val="29"/>
        </w:numPr>
        <w:spacing w:line="240" w:lineRule="exact"/>
        <w:ind w:left="1267"/>
        <w:rPr>
          <w:lang w:val="fr-FR"/>
        </w:rPr>
      </w:pPr>
      <w:r w:rsidRPr="00C6618C">
        <w:rPr>
          <w:lang w:val="fr-FR"/>
        </w:rPr>
        <w:t>Le Défenseur du peuple a recommandé au Ministre de la justice et au comité parlementaire des affaires juridiques, de l’administration publique et des droits de l’homme d’inclure les victimes de la discrimination parmi les bénéficiaires de ce droit juridique, conformément aux recommandations de la Commission européenne contre le racisme et l’intolérance (ECRI).</w:t>
      </w:r>
    </w:p>
    <w:p w14:paraId="70C195D3" w14:textId="77777777" w:rsidR="00C6618C" w:rsidRDefault="0044384C" w:rsidP="0044384C">
      <w:pPr>
        <w:pStyle w:val="SingleTxt"/>
        <w:numPr>
          <w:ilvl w:val="0"/>
          <w:numId w:val="29"/>
        </w:numPr>
        <w:spacing w:line="240" w:lineRule="exact"/>
        <w:ind w:left="1267"/>
        <w:rPr>
          <w:lang w:val="fr-FR"/>
        </w:rPr>
      </w:pPr>
      <w:r w:rsidRPr="00C6618C">
        <w:rPr>
          <w:lang w:val="fr-FR"/>
        </w:rPr>
        <w:t>La loi prévoit une aide juridictionnelle primaire, qui devrait être assurée par des personnes ayant une formation spéciale, des ONG autorisées, des cabinets juridiques dans les établissements d’enseignement supérieur, mais aussi une aide juridictionnelle secondaire, qui devrait être assurée par des juristes inscrits sur la liste agréée par la Chambre des avocats. La requête d’une personne qui souhaite bénéficier d’une aide juridictionnelle secondaire doit être rédigée conformément au formulaire approuvé par le Ministre de la justice.</w:t>
      </w:r>
    </w:p>
    <w:p w14:paraId="253264C5" w14:textId="77777777" w:rsidR="00C6618C" w:rsidRDefault="0044384C" w:rsidP="0044384C">
      <w:pPr>
        <w:pStyle w:val="SingleTxt"/>
        <w:numPr>
          <w:ilvl w:val="0"/>
          <w:numId w:val="29"/>
        </w:numPr>
        <w:spacing w:line="240" w:lineRule="exact"/>
        <w:ind w:left="1267"/>
        <w:rPr>
          <w:lang w:val="fr-FR"/>
        </w:rPr>
      </w:pPr>
      <w:r w:rsidRPr="00C6618C">
        <w:rPr>
          <w:lang w:val="fr-FR"/>
        </w:rPr>
        <w:t>Les institutions chargées de mettre en application la loi n</w:t>
      </w:r>
      <w:r w:rsidRPr="00C6618C">
        <w:rPr>
          <w:vertAlign w:val="superscript"/>
          <w:lang w:val="fr-FR"/>
        </w:rPr>
        <w:t>o</w:t>
      </w:r>
      <w:r w:rsidR="00C6618C" w:rsidRPr="00C6618C">
        <w:rPr>
          <w:lang w:val="fr-FR"/>
        </w:rPr>
        <w:t> </w:t>
      </w:r>
      <w:r w:rsidRPr="00C6618C">
        <w:rPr>
          <w:lang w:val="fr-FR"/>
        </w:rPr>
        <w:t>111/2017 sont les suivantes</w:t>
      </w:r>
      <w:r w:rsidR="00C6618C" w:rsidRPr="00C6618C">
        <w:rPr>
          <w:lang w:val="fr-FR"/>
        </w:rPr>
        <w:t> :</w:t>
      </w:r>
      <w:r w:rsidRPr="00C6618C">
        <w:rPr>
          <w:lang w:val="fr-FR"/>
        </w:rPr>
        <w:t xml:space="preserve"> le Ministère de la justice, les avocats qui sont inscrits au répertoire de l’aide judiciaire gratuite de la Chambre des avocats et les tribunaux compétents. L’article 36 de la loi prévoit la cessation de l’activité de la Commission de l’aide judiciaire de l’</w:t>
      </w:r>
      <w:r w:rsidR="00C6618C" w:rsidRPr="00C6618C">
        <w:rPr>
          <w:lang w:val="fr-FR"/>
        </w:rPr>
        <w:t>État</w:t>
      </w:r>
      <w:r w:rsidRPr="00C6618C">
        <w:rPr>
          <w:lang w:val="fr-FR"/>
        </w:rPr>
        <w:t xml:space="preserve"> et l’établissement du répertoire des avocats chargés d’assurer l’aide judiciaire gratuite dont la loi prévoit la mise en place.</w:t>
      </w:r>
    </w:p>
    <w:p w14:paraId="2A8353A4" w14:textId="723CE537" w:rsidR="0044384C" w:rsidRPr="00C6618C" w:rsidRDefault="0044384C" w:rsidP="0044384C">
      <w:pPr>
        <w:pStyle w:val="SingleTxt"/>
        <w:numPr>
          <w:ilvl w:val="0"/>
          <w:numId w:val="29"/>
        </w:numPr>
        <w:spacing w:line="240" w:lineRule="exact"/>
        <w:ind w:left="1267"/>
        <w:rPr>
          <w:lang w:val="fr-FR"/>
        </w:rPr>
      </w:pPr>
      <w:r w:rsidRPr="00C6618C">
        <w:rPr>
          <w:lang w:val="fr-FR"/>
        </w:rPr>
        <w:t>Le Gouvernement albanais a entrepris l’élaboration d’une série de textes juridiques qui permettront la mise en application de cette loi, qui devrait avoir pour effet d’accroître sensiblement le nombre des femmes victimes de la violence qui seront en mesure de bénéficier d’une aide juridictionnelle gratuite.</w:t>
      </w:r>
    </w:p>
    <w:p w14:paraId="48A57A46" w14:textId="50A26C2B" w:rsidR="0044384C" w:rsidRPr="002B2276" w:rsidRDefault="0044384C" w:rsidP="004438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B2276">
        <w:rPr>
          <w:lang w:val="fr-FR"/>
        </w:rPr>
        <w:tab/>
      </w:r>
      <w:r w:rsidRPr="002B2276">
        <w:rPr>
          <w:lang w:val="fr-FR"/>
        </w:rPr>
        <w:tab/>
      </w:r>
      <w:r>
        <w:rPr>
          <w:lang w:val="fr-FR"/>
        </w:rPr>
        <w:t>Mise en place de centres d’aide juridictionnelle primaire</w:t>
      </w:r>
    </w:p>
    <w:p w14:paraId="0F50BA48" w14:textId="77777777" w:rsidR="0044384C" w:rsidRPr="002B2276" w:rsidRDefault="0044384C" w:rsidP="0044384C">
      <w:pPr>
        <w:pStyle w:val="SingleTxt"/>
        <w:spacing w:after="0" w:line="120" w:lineRule="exact"/>
        <w:rPr>
          <w:sz w:val="10"/>
          <w:lang w:val="fr-FR"/>
        </w:rPr>
      </w:pPr>
    </w:p>
    <w:p w14:paraId="6BA5334B" w14:textId="77777777" w:rsidR="00C6618C" w:rsidRDefault="0044384C" w:rsidP="0044384C">
      <w:pPr>
        <w:pStyle w:val="SingleTxt"/>
        <w:numPr>
          <w:ilvl w:val="0"/>
          <w:numId w:val="29"/>
        </w:numPr>
        <w:spacing w:line="240" w:lineRule="exact"/>
        <w:ind w:left="1267"/>
        <w:rPr>
          <w:lang w:val="fr-FR"/>
        </w:rPr>
      </w:pPr>
      <w:r w:rsidRPr="00C6618C">
        <w:rPr>
          <w:lang w:val="fr-FR"/>
        </w:rPr>
        <w:t xml:space="preserve">Des centres d’aide juridictionnelle primaire seront mis en place dans un délai de trois mois après la création de la direction de l’aide juridictionnelle gratuite. </w:t>
      </w:r>
      <w:r w:rsidRPr="00C6618C">
        <w:rPr>
          <w:lang w:val="fr-FR"/>
        </w:rPr>
        <w:lastRenderedPageBreak/>
        <w:t>Quelques-uns ont déjà été créés avec l’appui d’organisations internationales et d’organisations de la société civile. Le Défenseur du peuple s’inquiète du fait qu’il n’existe toujours pas de budgétisation à cet égard et appelle l’attention sur l’obligation juridique, pour la direction de l’aide juridictionnelle gratuite, de coopérer avec les cabinets d’aide juridictionnelle conformément aux conditions et aux critères fixés par les accords de coopération relatifs à la formation et à l’amélioration des connaissances des étudiants qui participent à ces cabinets pour les questions liées à l’aide juridictionnelle primaire.</w:t>
      </w:r>
    </w:p>
    <w:p w14:paraId="36B1838D" w14:textId="77777777" w:rsidR="00C6618C" w:rsidRDefault="0044384C" w:rsidP="0044384C">
      <w:pPr>
        <w:pStyle w:val="SingleTxt"/>
        <w:numPr>
          <w:ilvl w:val="0"/>
          <w:numId w:val="29"/>
        </w:numPr>
        <w:spacing w:line="240" w:lineRule="exact"/>
        <w:ind w:left="1267"/>
        <w:rPr>
          <w:lang w:val="fr-FR"/>
        </w:rPr>
      </w:pPr>
      <w:r w:rsidRPr="00C6618C">
        <w:rPr>
          <w:lang w:val="fr-FR"/>
        </w:rPr>
        <w:t>Entre septembre et décembre 2017, avec l’appui de Programme des Nations Unies pour le développement (PNUD), quatre cabinets pilotes ont été mis en place dans les locaux des tribunaux de district de Tirana, Durrës, Fier et Lezha</w:t>
      </w:r>
      <w:r w:rsidRPr="00C6618C">
        <w:rPr>
          <w:rStyle w:val="FootnoteReference"/>
          <w:lang w:val="fr-FR"/>
        </w:rPr>
        <w:footnoteReference w:id="4"/>
      </w:r>
      <w:r w:rsidRPr="00C6618C">
        <w:rPr>
          <w:lang w:val="fr-FR"/>
        </w:rPr>
        <w:t>. Ces cabinets ont reçu 168 demandes d’aide juridique (90 femmes et 78</w:t>
      </w:r>
      <w:r w:rsidR="00C6618C" w:rsidRPr="00C6618C">
        <w:rPr>
          <w:lang w:val="fr-FR"/>
        </w:rPr>
        <w:t xml:space="preserve"> </w:t>
      </w:r>
      <w:r w:rsidRPr="00C6618C">
        <w:rPr>
          <w:lang w:val="fr-FR"/>
        </w:rPr>
        <w:t>hommes). Celui de Tirana a entrepris l’examen de ces demandes dès le début novembre 2017.</w:t>
      </w:r>
    </w:p>
    <w:p w14:paraId="7B1E1C7D" w14:textId="77777777" w:rsidR="00C6618C" w:rsidRDefault="0044384C" w:rsidP="0044384C">
      <w:pPr>
        <w:pStyle w:val="SingleTxt"/>
        <w:numPr>
          <w:ilvl w:val="0"/>
          <w:numId w:val="29"/>
        </w:numPr>
        <w:spacing w:line="240" w:lineRule="exact"/>
        <w:ind w:left="1267"/>
        <w:rPr>
          <w:lang w:val="fr-FR"/>
        </w:rPr>
      </w:pPr>
      <w:r w:rsidRPr="00C6618C">
        <w:rPr>
          <w:lang w:val="fr-FR"/>
        </w:rPr>
        <w:t>Le Bureau de coordination de la lutte contre la violence domestique, qui a commencé à opérer en mars 2018, a été créé au sein du Ministère de l’intérieur et se compose de représentants du Ministère de l’intérieur, du Ministère de la justice et du Ministère de la santé et de la protection sociale. Les services qu’il offre sont notamment les suivants</w:t>
      </w:r>
      <w:r w:rsidR="00C6618C" w:rsidRPr="00C6618C">
        <w:rPr>
          <w:lang w:val="fr-FR"/>
        </w:rPr>
        <w:t> :</w:t>
      </w:r>
      <w:r w:rsidRPr="00C6618C">
        <w:rPr>
          <w:lang w:val="fr-FR"/>
        </w:rPr>
        <w:t xml:space="preserve"> accueil des femmes et autres victimes de la violence, communication précise des problèmes aux institutions responsables, conseils juridiques, coordination entre les institutions et les structures concernées aux niveaux central et local en vue de la prestation d’un appui juridique, social et psychologique. Entre mars et juin 2018, le représentant de la Direction nationale des services sociaux a traité trois affaires de violence domestique, six autres concernaient les procédures à suivre pour la prestation d’une aide juridique aux services sociaux et les services sociaux eux-mêmes. Le Bureau a saisi la police de neuf affaires qui appelaient une décision de justice.</w:t>
      </w:r>
    </w:p>
    <w:p w14:paraId="39083BCB" w14:textId="6AC5E2F5" w:rsidR="0044384C" w:rsidRPr="00C6618C" w:rsidRDefault="0044384C" w:rsidP="0044384C">
      <w:pPr>
        <w:pStyle w:val="SingleTxt"/>
        <w:numPr>
          <w:ilvl w:val="0"/>
          <w:numId w:val="29"/>
        </w:numPr>
        <w:spacing w:line="240" w:lineRule="exact"/>
        <w:ind w:left="1267"/>
        <w:rPr>
          <w:lang w:val="fr-FR"/>
        </w:rPr>
      </w:pPr>
      <w:r w:rsidRPr="00C6618C">
        <w:rPr>
          <w:lang w:val="fr-FR"/>
        </w:rPr>
        <w:t xml:space="preserve">Avec le soutien de la Open Society Foundation pour l’Albanie, trois cabinets d’aide juridictionnelle ont été mis en place (à l’Université Aleksander Moisiu de Durrës et dans les établissements d’enseignement Ismail Qemali de Vlora et de Shkodra). Cette fondation a également apporté son appui à la création du bureau d’aide juridique au sein du Ministère de la justice. De nombreuses organisations fournissent gratuitement une aide juridictionnelle. Avec l’appui de l’Union européenne et d’ONU-Femmes pour l’Albanie, un réseau d’organisations de la société civile a été constitué pour la surveillance de la violence </w:t>
      </w:r>
      <w:r w:rsidR="00DA5EF4">
        <w:rPr>
          <w:lang w:val="fr-FR"/>
        </w:rPr>
        <w:t>fondée sur le genre</w:t>
      </w:r>
      <w:r w:rsidR="00DA5EF4" w:rsidRPr="00C6618C">
        <w:rPr>
          <w:lang w:val="fr-FR"/>
        </w:rPr>
        <w:t> </w:t>
      </w:r>
      <w:r w:rsidRPr="00C6618C">
        <w:rPr>
          <w:lang w:val="fr-FR"/>
        </w:rPr>
        <w:t>; il se compose de 46</w:t>
      </w:r>
      <w:r w:rsidR="00C6618C">
        <w:rPr>
          <w:lang w:val="fr-FR"/>
        </w:rPr>
        <w:t> </w:t>
      </w:r>
      <w:r w:rsidRPr="00C6618C">
        <w:rPr>
          <w:lang w:val="fr-FR"/>
        </w:rPr>
        <w:t xml:space="preserve">membres (représentants d’organisations de la société civile et membres du réseau à Tirana, Durrës, Elbasan, Peshkopia, Pogradec, Vlora, Saranda). Ce réseau a pour mission de traiter officiellement des affaires de violence et d’engager des poursuites contre leurs auteurs, mais aussi de mener une action de plaidoyer, d’organiser diverses formations sur la violence </w:t>
      </w:r>
      <w:r w:rsidR="00DA5EF4">
        <w:rPr>
          <w:lang w:val="fr-FR"/>
        </w:rPr>
        <w:t>fondée sur le genre</w:t>
      </w:r>
      <w:r w:rsidR="00DA5EF4" w:rsidRPr="00C6618C">
        <w:rPr>
          <w:lang w:val="fr-FR"/>
        </w:rPr>
        <w:t> </w:t>
      </w:r>
      <w:r w:rsidRPr="00C6618C">
        <w:rPr>
          <w:lang w:val="fr-FR"/>
        </w:rPr>
        <w:t xml:space="preserve">et la violence domestique, et de constituer une base de données qualitatives et quantitatives sur les comportements relatifs à l’égalité des sexes et à la violence </w:t>
      </w:r>
      <w:r w:rsidR="00DA5EF4">
        <w:rPr>
          <w:lang w:val="fr-FR"/>
        </w:rPr>
        <w:t>fondée sur le genre</w:t>
      </w:r>
      <w:r w:rsidR="00DA5EF4" w:rsidRPr="00C6618C">
        <w:rPr>
          <w:lang w:val="fr-FR"/>
        </w:rPr>
        <w:t> </w:t>
      </w:r>
      <w:r w:rsidRPr="00C6618C">
        <w:rPr>
          <w:lang w:val="fr-FR"/>
        </w:rPr>
        <w:t>.</w:t>
      </w:r>
    </w:p>
    <w:p w14:paraId="0BEAA9A6" w14:textId="77777777" w:rsidR="0044384C" w:rsidRPr="002B2276" w:rsidRDefault="0044384C" w:rsidP="0044384C">
      <w:pPr>
        <w:pStyle w:val="SingleTxt"/>
        <w:spacing w:after="0" w:line="120" w:lineRule="exact"/>
        <w:rPr>
          <w:sz w:val="10"/>
          <w:lang w:val="fr-FR"/>
        </w:rPr>
      </w:pPr>
    </w:p>
    <w:p w14:paraId="447B030C" w14:textId="68F014ED" w:rsidR="0044384C" w:rsidRPr="002B2276" w:rsidRDefault="0044384C" w:rsidP="004438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B2276">
        <w:rPr>
          <w:lang w:val="fr-FR"/>
        </w:rPr>
        <w:tab/>
      </w:r>
      <w:r w:rsidRPr="002B2276">
        <w:rPr>
          <w:lang w:val="fr-FR"/>
        </w:rPr>
        <w:tab/>
        <w:t>13</w:t>
      </w:r>
      <w:r>
        <w:rPr>
          <w:lang w:val="fr-FR"/>
        </w:rPr>
        <w:t xml:space="preserve"> </w:t>
      </w:r>
      <w:r w:rsidRPr="002B2276">
        <w:rPr>
          <w:lang w:val="fr-FR"/>
        </w:rPr>
        <w:t>d) Re</w:t>
      </w:r>
      <w:r>
        <w:rPr>
          <w:lang w:val="fr-FR"/>
        </w:rPr>
        <w:t>n</w:t>
      </w:r>
      <w:r w:rsidRPr="002B2276">
        <w:rPr>
          <w:lang w:val="fr-FR"/>
        </w:rPr>
        <w:t>verse</w:t>
      </w:r>
      <w:r>
        <w:rPr>
          <w:lang w:val="fr-FR"/>
        </w:rPr>
        <w:t>r la charge de la preuve en faveur des plaignantes</w:t>
      </w:r>
      <w:r w:rsidRPr="002B2276">
        <w:rPr>
          <w:lang w:val="fr-FR"/>
        </w:rPr>
        <w:t xml:space="preserve"> </w:t>
      </w:r>
      <w:r>
        <w:rPr>
          <w:lang w:val="fr-FR"/>
        </w:rPr>
        <w:t>dans les cas présumés de discrimination fondée sur le sexe ou le genre</w:t>
      </w:r>
    </w:p>
    <w:p w14:paraId="3E30B09C" w14:textId="77777777" w:rsidR="0044384C" w:rsidRPr="002B2276" w:rsidRDefault="0044384C" w:rsidP="0044384C">
      <w:pPr>
        <w:pStyle w:val="SingleTxt"/>
        <w:spacing w:after="0" w:line="120" w:lineRule="exact"/>
        <w:rPr>
          <w:sz w:val="10"/>
          <w:lang w:val="fr-FR"/>
        </w:rPr>
      </w:pPr>
    </w:p>
    <w:p w14:paraId="6CF434EC" w14:textId="4D01CFDF" w:rsidR="0044384C" w:rsidRPr="002B2276" w:rsidRDefault="0044384C" w:rsidP="00C6618C">
      <w:pPr>
        <w:pStyle w:val="SingleTxt"/>
        <w:numPr>
          <w:ilvl w:val="0"/>
          <w:numId w:val="29"/>
        </w:numPr>
        <w:spacing w:line="240" w:lineRule="exact"/>
        <w:ind w:left="1267"/>
        <w:rPr>
          <w:lang w:val="fr-FR"/>
        </w:rPr>
      </w:pPr>
      <w:r>
        <w:rPr>
          <w:lang w:val="fr-FR"/>
        </w:rPr>
        <w:t>Au cours de l’examen du quatrième rapport périodique, en</w:t>
      </w:r>
      <w:r w:rsidRPr="002B2276">
        <w:rPr>
          <w:lang w:val="fr-FR"/>
        </w:rPr>
        <w:t xml:space="preserve"> 2016, </w:t>
      </w:r>
      <w:r>
        <w:rPr>
          <w:lang w:val="fr-FR"/>
        </w:rPr>
        <w:t xml:space="preserve">la délégation albanaise a signalé à l’attention du Comité que les modifications récemment apportées </w:t>
      </w:r>
      <w:r>
        <w:rPr>
          <w:lang w:val="fr-FR"/>
        </w:rPr>
        <w:lastRenderedPageBreak/>
        <w:t>au Code du travail avaient transféré la charge de la preuve de la plaignante au défendeur dans les cas de litiges sur le lieu de travail</w:t>
      </w:r>
      <w:r w:rsidRPr="00C6618C">
        <w:rPr>
          <w:rStyle w:val="FootnoteReference"/>
          <w:lang w:val="fr-FR"/>
        </w:rPr>
        <w:footnoteReference w:id="5"/>
      </w:r>
      <w:r>
        <w:rPr>
          <w:lang w:val="fr-FR"/>
        </w:rPr>
        <w:t>.</w:t>
      </w:r>
    </w:p>
    <w:p w14:paraId="6F9F4348" w14:textId="36F412B4" w:rsidR="0044384C" w:rsidRPr="002B2276" w:rsidRDefault="0044384C" w:rsidP="00DB0B40">
      <w:pPr>
        <w:pStyle w:val="SingleTxt"/>
        <w:numPr>
          <w:ilvl w:val="0"/>
          <w:numId w:val="29"/>
        </w:numPr>
        <w:spacing w:line="240" w:lineRule="exact"/>
        <w:ind w:left="1267"/>
        <w:rPr>
          <w:lang w:val="fr-FR"/>
        </w:rPr>
      </w:pPr>
      <w:r w:rsidRPr="00924EA3">
        <w:rPr>
          <w:lang w:val="fr-FR"/>
        </w:rPr>
        <w:t xml:space="preserve">Un nouveau Code </w:t>
      </w:r>
      <w:r>
        <w:rPr>
          <w:lang w:val="fr-FR"/>
        </w:rPr>
        <w:t>de procédure administrative (loi</w:t>
      </w:r>
      <w:r w:rsidRPr="002B2276">
        <w:rPr>
          <w:lang w:val="fr-FR"/>
        </w:rPr>
        <w:t xml:space="preserve"> 44/2015) </w:t>
      </w:r>
      <w:r>
        <w:rPr>
          <w:lang w:val="fr-FR"/>
        </w:rPr>
        <w:t xml:space="preserve">a été approuvé par l’Assemblée de la République d’Albanie le 30 avril </w:t>
      </w:r>
      <w:r w:rsidRPr="002B2276">
        <w:rPr>
          <w:lang w:val="fr-FR"/>
        </w:rPr>
        <w:t xml:space="preserve">2015 </w:t>
      </w:r>
      <w:r>
        <w:rPr>
          <w:lang w:val="fr-FR"/>
        </w:rPr>
        <w:t xml:space="preserve">et a pris effet le 28 mai </w:t>
      </w:r>
      <w:r w:rsidRPr="002B2276">
        <w:rPr>
          <w:lang w:val="fr-FR"/>
        </w:rPr>
        <w:t xml:space="preserve">2016. </w:t>
      </w:r>
      <w:r>
        <w:rPr>
          <w:lang w:val="fr-FR"/>
        </w:rPr>
        <w:t>Un élément important en est la disposition qui renverse la charge de la preuve dans les cas de discrimination</w:t>
      </w:r>
      <w:r w:rsidRPr="002B2276">
        <w:rPr>
          <w:lang w:val="fr-FR"/>
        </w:rPr>
        <w:t xml:space="preserve"> (</w:t>
      </w:r>
      <w:r>
        <w:rPr>
          <w:lang w:val="fr-FR"/>
        </w:rPr>
        <w:t>a</w:t>
      </w:r>
      <w:r w:rsidRPr="002B2276">
        <w:rPr>
          <w:lang w:val="fr-FR"/>
        </w:rPr>
        <w:t>rt</w:t>
      </w:r>
      <w:r w:rsidR="00DB0B40">
        <w:rPr>
          <w:lang w:val="fr-FR"/>
        </w:rPr>
        <w:t>.</w:t>
      </w:r>
      <w:r w:rsidRPr="002B2276">
        <w:rPr>
          <w:lang w:val="fr-FR"/>
        </w:rPr>
        <w:t xml:space="preserve"> 82/ 2)</w:t>
      </w:r>
      <w:r w:rsidRPr="00C6618C">
        <w:rPr>
          <w:rStyle w:val="FootnoteReference"/>
          <w:lang w:val="fr-FR"/>
        </w:rPr>
        <w:footnoteReference w:id="6"/>
      </w:r>
      <w:r>
        <w:rPr>
          <w:lang w:val="fr-FR"/>
        </w:rPr>
        <w:t>.</w:t>
      </w:r>
      <w:r w:rsidRPr="002B2276">
        <w:rPr>
          <w:lang w:val="fr-FR"/>
        </w:rPr>
        <w:t xml:space="preserve"> </w:t>
      </w:r>
      <w:r>
        <w:rPr>
          <w:lang w:val="fr-FR"/>
        </w:rPr>
        <w:t>Le ministère public devrait être guidé par les principes d’égalité et de non-discrimination pour les questions visées par la loi, notamment le genre et l’identité sexuelle</w:t>
      </w:r>
      <w:r w:rsidRPr="00C6618C">
        <w:rPr>
          <w:rStyle w:val="FootnoteReference"/>
          <w:lang w:val="fr-FR"/>
        </w:rPr>
        <w:footnoteReference w:id="7"/>
      </w:r>
      <w:r>
        <w:rPr>
          <w:lang w:val="fr-FR"/>
        </w:rPr>
        <w:t>.</w:t>
      </w:r>
    </w:p>
    <w:p w14:paraId="507F0FF1" w14:textId="77777777" w:rsidR="00DB0B40" w:rsidRDefault="00DB0B40" w:rsidP="0044384C">
      <w:pPr>
        <w:pStyle w:val="SingleTxt"/>
        <w:numPr>
          <w:ilvl w:val="0"/>
          <w:numId w:val="29"/>
        </w:numPr>
        <w:spacing w:line="240" w:lineRule="exact"/>
        <w:ind w:left="1267"/>
        <w:rPr>
          <w:lang w:val="fr-FR"/>
        </w:rPr>
      </w:pPr>
      <w:r w:rsidRPr="00DB0B40">
        <w:rPr>
          <w:lang w:val="fr-FR"/>
        </w:rPr>
        <w:t>À</w:t>
      </w:r>
      <w:r w:rsidR="0044384C" w:rsidRPr="00DB0B40">
        <w:rPr>
          <w:lang w:val="fr-FR"/>
        </w:rPr>
        <w:t xml:space="preserve"> cet égard, le Commissaire pour la protection contre la discrimination a recommandé d’une part au Ministère de la justice d’inclure les principes d’égalité et de non-discrimination et d’autre part au Comité parlementaire chargé des affaires juridiques, de l’administration publique et des droits de l’homme de renverser la charge de la preuve dans les cas présumés de discrimination. Ces recommandations ont été pleinement prises en compte dans le Code de procédure administrative.</w:t>
      </w:r>
    </w:p>
    <w:p w14:paraId="3093D44A" w14:textId="3FC05DAC" w:rsidR="0044384C" w:rsidRPr="00DB0B40" w:rsidRDefault="0044384C" w:rsidP="0044384C">
      <w:pPr>
        <w:pStyle w:val="SingleTxt"/>
        <w:numPr>
          <w:ilvl w:val="0"/>
          <w:numId w:val="29"/>
        </w:numPr>
        <w:spacing w:line="240" w:lineRule="exact"/>
        <w:ind w:left="1267"/>
        <w:rPr>
          <w:lang w:val="fr-FR"/>
        </w:rPr>
      </w:pPr>
      <w:r w:rsidRPr="00DB0B40">
        <w:rPr>
          <w:lang w:val="fr-FR"/>
        </w:rPr>
        <w:t>En 2014, le Commissaire avait recommandé d’apporter au Code de procédure civile des modifications au sujet du déplacement de la charge de la preuve dans les cas de discrimination qui n’ont pas été prises en considération dans les amendements apportés à la loi n</w:t>
      </w:r>
      <w:r w:rsidRPr="00DB0B40">
        <w:rPr>
          <w:vertAlign w:val="superscript"/>
          <w:lang w:val="fr-FR"/>
        </w:rPr>
        <w:t>o</w:t>
      </w:r>
      <w:r w:rsidR="00DB0B40">
        <w:rPr>
          <w:lang w:val="fr-FR"/>
        </w:rPr>
        <w:t> </w:t>
      </w:r>
      <w:r w:rsidRPr="00DB0B40">
        <w:rPr>
          <w:lang w:val="fr-FR"/>
        </w:rPr>
        <w:t>38/2017</w:t>
      </w:r>
      <w:r w:rsidRPr="00C6618C">
        <w:rPr>
          <w:rStyle w:val="FootnoteReference"/>
          <w:lang w:val="fr-FR"/>
        </w:rPr>
        <w:footnoteReference w:id="8"/>
      </w:r>
      <w:r w:rsidRPr="00DB0B40">
        <w:rPr>
          <w:lang w:val="fr-FR"/>
        </w:rPr>
        <w:t>. Les autorités albanaises ont fait valoir que la loi n</w:t>
      </w:r>
      <w:r w:rsidRPr="00DB0B40">
        <w:rPr>
          <w:vertAlign w:val="superscript"/>
          <w:lang w:val="fr-FR"/>
        </w:rPr>
        <w:t>o</w:t>
      </w:r>
      <w:r w:rsidR="00DB0B40">
        <w:rPr>
          <w:lang w:val="fr-FR"/>
        </w:rPr>
        <w:t> </w:t>
      </w:r>
      <w:r w:rsidRPr="00DB0B40">
        <w:rPr>
          <w:lang w:val="fr-FR"/>
        </w:rPr>
        <w:t>10221 sur la protection contre la discrimination, en date du 4 février 2010, qui prévoyait le transfert ou le partage de la charge de la preuve lorsque le tribunal est saisi d’une affaire de discrimination, l’élargissement de son application au secteur privé, le Code de procédure administrative et les récents amendements apportés au Code du travail, avaient déjà eu pour effet d’introduire la répartition de la charge de la preuve dans les affaires de discrimination dans le secteur public.</w:t>
      </w:r>
    </w:p>
    <w:p w14:paraId="3243F2B3" w14:textId="77777777" w:rsidR="0044384C" w:rsidRPr="00377A01" w:rsidRDefault="0044384C" w:rsidP="0044384C">
      <w:pPr>
        <w:pStyle w:val="SingleTxt"/>
        <w:spacing w:after="0" w:line="120" w:lineRule="exact"/>
        <w:rPr>
          <w:sz w:val="10"/>
          <w:lang w:val="fr-FR"/>
        </w:rPr>
      </w:pPr>
    </w:p>
    <w:p w14:paraId="73C2925E" w14:textId="1BA19C5A" w:rsidR="0044384C" w:rsidRPr="00377A01" w:rsidRDefault="0044384C" w:rsidP="004438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77A01">
        <w:rPr>
          <w:lang w:val="fr-FR"/>
        </w:rPr>
        <w:tab/>
      </w:r>
      <w:r w:rsidRPr="00377A01">
        <w:rPr>
          <w:lang w:val="fr-FR"/>
        </w:rPr>
        <w:tab/>
        <w:t>23</w:t>
      </w:r>
      <w:r>
        <w:rPr>
          <w:lang w:val="fr-FR"/>
        </w:rPr>
        <w:t xml:space="preserve"> </w:t>
      </w:r>
      <w:r w:rsidRPr="00377A01">
        <w:rPr>
          <w:lang w:val="fr-FR"/>
        </w:rPr>
        <w:t xml:space="preserve">a) </w:t>
      </w:r>
      <w:r w:rsidR="00DA5EF4">
        <w:t>P</w:t>
      </w:r>
      <w:r>
        <w:t>rendre des mesures pour encourager les femmes à signaler les cas de</w:t>
      </w:r>
      <w:r w:rsidR="00DB0B40">
        <w:t> </w:t>
      </w:r>
      <w:r>
        <w:t xml:space="preserve">violence </w:t>
      </w:r>
      <w:r w:rsidR="00DA5EF4">
        <w:rPr>
          <w:lang w:val="fr-FR"/>
        </w:rPr>
        <w:t>fondée sur le genre</w:t>
      </w:r>
      <w:r w:rsidR="00DA5EF4" w:rsidRPr="00C6618C">
        <w:rPr>
          <w:lang w:val="fr-FR"/>
        </w:rPr>
        <w:t> </w:t>
      </w:r>
      <w:r>
        <w:t>en leur fournissant une aide juridictionnelle gratuite, notamment dans les zones rurales et les zones reculées, et en mettant en</w:t>
      </w:r>
      <w:r w:rsidR="00A171FF">
        <w:t> </w:t>
      </w:r>
      <w:r>
        <w:t xml:space="preserve">place une ligne téléphonique ouverte </w:t>
      </w:r>
      <w:r w:rsidR="00DB0B40">
        <w:t>24</w:t>
      </w:r>
      <w:r>
        <w:t xml:space="preserve"> heures sur </w:t>
      </w:r>
      <w:r w:rsidR="00DB0B40">
        <w:t>24</w:t>
      </w:r>
    </w:p>
    <w:p w14:paraId="0A761C15" w14:textId="77777777" w:rsidR="0044384C" w:rsidRPr="00377A01" w:rsidRDefault="0044384C" w:rsidP="0044384C">
      <w:pPr>
        <w:pStyle w:val="SingleTxt"/>
        <w:spacing w:after="0" w:line="120" w:lineRule="exact"/>
        <w:rPr>
          <w:sz w:val="10"/>
          <w:lang w:val="fr-FR"/>
        </w:rPr>
      </w:pPr>
    </w:p>
    <w:p w14:paraId="702015E3" w14:textId="3D5B579F" w:rsidR="0044384C" w:rsidRPr="00377A01" w:rsidRDefault="0044384C" w:rsidP="006829C7">
      <w:pPr>
        <w:pStyle w:val="SingleTxt"/>
        <w:numPr>
          <w:ilvl w:val="0"/>
          <w:numId w:val="29"/>
        </w:numPr>
        <w:spacing w:line="240" w:lineRule="exact"/>
        <w:ind w:left="1267"/>
        <w:rPr>
          <w:lang w:val="fr-FR"/>
        </w:rPr>
      </w:pPr>
      <w:r>
        <w:rPr>
          <w:lang w:val="fr-FR"/>
        </w:rPr>
        <w:t xml:space="preserve">La tolérance zéro face à la violence à l’égard des femmes et à la violence domestique est la devise du Gouvernement albanais. Le 23 juillet 2018, à l’issue d’un long processus de consultations, la loi </w:t>
      </w:r>
      <w:r w:rsidRPr="00377A01">
        <w:rPr>
          <w:lang w:val="fr-FR"/>
        </w:rPr>
        <w:t>n</w:t>
      </w:r>
      <w:r w:rsidRPr="00DB0B40">
        <w:rPr>
          <w:vertAlign w:val="superscript"/>
          <w:lang w:val="fr-FR"/>
        </w:rPr>
        <w:t>o</w:t>
      </w:r>
      <w:r w:rsidR="00DB0B40">
        <w:rPr>
          <w:lang w:val="fr-FR"/>
        </w:rPr>
        <w:t> </w:t>
      </w:r>
      <w:r w:rsidRPr="00377A01">
        <w:rPr>
          <w:lang w:val="fr-FR"/>
        </w:rPr>
        <w:t>9669</w:t>
      </w:r>
      <w:r>
        <w:rPr>
          <w:lang w:val="fr-FR"/>
        </w:rPr>
        <w:t xml:space="preserve"> du 18 décembre 2006, sur les mesures à prendre pour lutter contre la violence dans les relations familiales, a été modifiée afin de garantir sa compatibilité avec la Convention des Nations Unies sur l’élimination de toutes les formes de discrimination à l’égard des femmes et avec la Convention du Conseil de l’Europe sur la prévention et la lutte contre la violence à l’égard des femmes et la violence domestique (Convention d’Istanbul), et afin de tenir compte des besoins, des lacunes et des enseignements mis en lumière par sa mise en œuvre. Ces modifications portaient sur les questions suivantes</w:t>
      </w:r>
      <w:r w:rsidR="00C6618C">
        <w:rPr>
          <w:lang w:val="fr-FR"/>
        </w:rPr>
        <w:t> :</w:t>
      </w:r>
      <w:r>
        <w:rPr>
          <w:lang w:val="fr-FR"/>
        </w:rPr>
        <w:t xml:space="preserve"> prévention et réduction des cas de violence domestique, élaboration du projet d’ordonnance de </w:t>
      </w:r>
      <w:r>
        <w:rPr>
          <w:lang w:val="fr-FR"/>
        </w:rPr>
        <w:lastRenderedPageBreak/>
        <w:t>protection en cas d’urgence et appel à un psychologue qui serait chargé d’établir un rapport lorsque la police est saisie d’une affaire, ce qui aurait notamment pour effet d’accroître l’efficacité et la collaboration des structures concernées et de renforcer le soutien judiciaire conditionnel pour les victimes de la violence familiale.</w:t>
      </w:r>
      <w:r w:rsidRPr="00377A01">
        <w:rPr>
          <w:lang w:val="fr-FR"/>
        </w:rPr>
        <w:t xml:space="preserve"> </w:t>
      </w:r>
    </w:p>
    <w:p w14:paraId="19F49184" w14:textId="2DF4BA73" w:rsidR="0044384C" w:rsidRPr="00377A01" w:rsidRDefault="0044384C" w:rsidP="00DB0B40">
      <w:pPr>
        <w:pStyle w:val="SingleTxt"/>
        <w:numPr>
          <w:ilvl w:val="0"/>
          <w:numId w:val="29"/>
        </w:numPr>
        <w:spacing w:line="240" w:lineRule="exact"/>
        <w:ind w:left="1267"/>
        <w:rPr>
          <w:lang w:val="fr-FR"/>
        </w:rPr>
      </w:pPr>
      <w:r>
        <w:rPr>
          <w:lang w:val="fr-FR"/>
        </w:rPr>
        <w:t>Le Gouvernement albanais a adopté la loi n</w:t>
      </w:r>
      <w:r w:rsidRPr="00DB0B40">
        <w:rPr>
          <w:vertAlign w:val="superscript"/>
          <w:lang w:val="fr-FR"/>
        </w:rPr>
        <w:t>o</w:t>
      </w:r>
      <w:r w:rsidR="00DB0B40">
        <w:rPr>
          <w:lang w:val="fr-FR"/>
        </w:rPr>
        <w:t> </w:t>
      </w:r>
      <w:r w:rsidRPr="00377A01">
        <w:rPr>
          <w:lang w:val="fr-FR"/>
        </w:rPr>
        <w:t xml:space="preserve">22/2018 </w:t>
      </w:r>
      <w:r>
        <w:rPr>
          <w:lang w:val="fr-FR"/>
        </w:rPr>
        <w:t>sur les logements sociaux, qui prévoit la mise en œuvre de programmes de construction de logements sociaux. Cette loi prévoit d’attribuer en priorité des logements sociaux aux victimes de la violence domestique, aux victimes de la traite d’êtres humains et aux victimes potentielles de cette traite</w:t>
      </w:r>
      <w:r w:rsidRPr="00C6618C">
        <w:rPr>
          <w:rStyle w:val="FootnoteReference"/>
          <w:lang w:val="fr-FR"/>
        </w:rPr>
        <w:footnoteReference w:id="9"/>
      </w:r>
      <w:r>
        <w:rPr>
          <w:lang w:val="fr-FR"/>
        </w:rPr>
        <w:t>.</w:t>
      </w:r>
    </w:p>
    <w:p w14:paraId="567F25BB" w14:textId="536E7995" w:rsidR="0044384C" w:rsidRPr="00377A01" w:rsidRDefault="0044384C" w:rsidP="0044384C">
      <w:pPr>
        <w:pStyle w:val="SingleTxt"/>
        <w:rPr>
          <w:lang w:val="fr-FR"/>
        </w:rPr>
      </w:pPr>
      <w:r w:rsidRPr="00377A01">
        <w:rPr>
          <w:lang w:val="fr-FR"/>
        </w:rPr>
        <w:t>23.</w:t>
      </w:r>
      <w:r w:rsidRPr="00377A01">
        <w:rPr>
          <w:lang w:val="fr-FR"/>
        </w:rPr>
        <w:tab/>
      </w:r>
      <w:r>
        <w:rPr>
          <w:lang w:val="fr-FR"/>
        </w:rPr>
        <w:t xml:space="preserve">La stratégie nationale sur l’égalité des sexes et le Plan d’action pour la période </w:t>
      </w:r>
      <w:r w:rsidRPr="00377A01">
        <w:rPr>
          <w:lang w:val="fr-FR"/>
        </w:rPr>
        <w:t>2016</w:t>
      </w:r>
      <w:r w:rsidR="007E6384">
        <w:rPr>
          <w:lang w:val="fr-FR"/>
        </w:rPr>
        <w:t>-</w:t>
      </w:r>
      <w:r w:rsidRPr="00377A01">
        <w:rPr>
          <w:lang w:val="fr-FR"/>
        </w:rPr>
        <w:t xml:space="preserve">2020 </w:t>
      </w:r>
      <w:r>
        <w:rPr>
          <w:lang w:val="fr-FR"/>
        </w:rPr>
        <w:t xml:space="preserve">comportent des objectifs précis, accompagnés d’indicateurs de suivi, et des budgets détaillés pour chaque activité. L’un des objectifs stratégiques porte sur la réduction de la violence </w:t>
      </w:r>
      <w:r w:rsidR="00DA5EF4">
        <w:rPr>
          <w:lang w:val="fr-FR"/>
        </w:rPr>
        <w:t>fondée sur le genre</w:t>
      </w:r>
      <w:r w:rsidR="00DA5EF4" w:rsidRPr="00C6618C">
        <w:rPr>
          <w:lang w:val="fr-FR"/>
        </w:rPr>
        <w:t> </w:t>
      </w:r>
      <w:r>
        <w:rPr>
          <w:lang w:val="fr-FR"/>
        </w:rPr>
        <w:t>et de la violence domestique.</w:t>
      </w:r>
    </w:p>
    <w:p w14:paraId="6FA450CC" w14:textId="2F35A4F8" w:rsidR="00DB0B40" w:rsidRDefault="0044384C" w:rsidP="00DB0B40">
      <w:pPr>
        <w:pStyle w:val="SingleTxt"/>
        <w:rPr>
          <w:lang w:val="fr-FR"/>
        </w:rPr>
      </w:pPr>
      <w:r w:rsidRPr="00377A01">
        <w:rPr>
          <w:lang w:val="fr-FR"/>
        </w:rPr>
        <w:t>24.</w:t>
      </w:r>
      <w:r w:rsidRPr="00377A01">
        <w:rPr>
          <w:lang w:val="fr-FR"/>
        </w:rPr>
        <w:tab/>
      </w:r>
      <w:r>
        <w:rPr>
          <w:lang w:val="fr-FR"/>
        </w:rPr>
        <w:t xml:space="preserve">La </w:t>
      </w:r>
      <w:r w:rsidR="00DB0B40">
        <w:rPr>
          <w:lang w:val="fr-FR"/>
        </w:rPr>
        <w:t>P</w:t>
      </w:r>
      <w:r>
        <w:rPr>
          <w:lang w:val="fr-FR"/>
        </w:rPr>
        <w:t>olice nationale a mis en place une ligne téléphonique pour tous les appels d’urgence (</w:t>
      </w:r>
      <w:r w:rsidRPr="00377A01">
        <w:rPr>
          <w:lang w:val="fr-FR"/>
        </w:rPr>
        <w:t>129 o</w:t>
      </w:r>
      <w:r>
        <w:rPr>
          <w:lang w:val="fr-FR"/>
        </w:rPr>
        <w:t>u</w:t>
      </w:r>
      <w:r w:rsidRPr="00377A01">
        <w:rPr>
          <w:lang w:val="fr-FR"/>
        </w:rPr>
        <w:t xml:space="preserve"> 11</w:t>
      </w:r>
      <w:r>
        <w:rPr>
          <w:lang w:val="fr-FR"/>
        </w:rPr>
        <w:t xml:space="preserve">), qui fonctionne 24 heures sur 24 et </w:t>
      </w:r>
      <w:r w:rsidR="0099739F">
        <w:rPr>
          <w:lang w:val="fr-FR"/>
        </w:rPr>
        <w:t>sept</w:t>
      </w:r>
      <w:r>
        <w:rPr>
          <w:lang w:val="fr-FR"/>
        </w:rPr>
        <w:t xml:space="preserve"> jours sur </w:t>
      </w:r>
      <w:r w:rsidR="0099739F">
        <w:rPr>
          <w:lang w:val="fr-FR"/>
        </w:rPr>
        <w:t>sept</w:t>
      </w:r>
      <w:r>
        <w:rPr>
          <w:lang w:val="fr-FR"/>
        </w:rPr>
        <w:t xml:space="preserve">. Au cours de la période à l’étude, </w:t>
      </w:r>
      <w:r w:rsidRPr="00377A01">
        <w:rPr>
          <w:lang w:val="fr-FR"/>
        </w:rPr>
        <w:t>7</w:t>
      </w:r>
      <w:r w:rsidR="00DB0B40">
        <w:rPr>
          <w:lang w:val="fr-FR"/>
        </w:rPr>
        <w:t> </w:t>
      </w:r>
      <w:r w:rsidRPr="00377A01">
        <w:rPr>
          <w:lang w:val="fr-FR"/>
        </w:rPr>
        <w:t xml:space="preserve">182 </w:t>
      </w:r>
      <w:r>
        <w:rPr>
          <w:lang w:val="fr-FR"/>
        </w:rPr>
        <w:t xml:space="preserve">appels relatifs à des cas de violence domestique ont été enregistrés, soit </w:t>
      </w:r>
      <w:r w:rsidRPr="00377A01">
        <w:rPr>
          <w:lang w:val="fr-FR"/>
        </w:rPr>
        <w:t>3</w:t>
      </w:r>
      <w:r w:rsidR="00DB0B40">
        <w:rPr>
          <w:lang w:val="fr-FR"/>
        </w:rPr>
        <w:t> </w:t>
      </w:r>
      <w:r w:rsidRPr="00377A01">
        <w:rPr>
          <w:lang w:val="fr-FR"/>
        </w:rPr>
        <w:t xml:space="preserve">567 </w:t>
      </w:r>
      <w:r>
        <w:rPr>
          <w:lang w:val="fr-FR"/>
        </w:rPr>
        <w:t xml:space="preserve">appels en 2016, </w:t>
      </w:r>
      <w:r w:rsidRPr="00377A01">
        <w:rPr>
          <w:lang w:val="fr-FR"/>
        </w:rPr>
        <w:t>2</w:t>
      </w:r>
      <w:r w:rsidR="00DB0B40">
        <w:rPr>
          <w:lang w:val="fr-FR"/>
        </w:rPr>
        <w:t> </w:t>
      </w:r>
      <w:r w:rsidRPr="00377A01">
        <w:rPr>
          <w:lang w:val="fr-FR"/>
        </w:rPr>
        <w:t xml:space="preserve">463 </w:t>
      </w:r>
      <w:r>
        <w:rPr>
          <w:lang w:val="fr-FR"/>
        </w:rPr>
        <w:t xml:space="preserve">appels en 2017 et </w:t>
      </w:r>
      <w:r w:rsidRPr="00377A01">
        <w:rPr>
          <w:lang w:val="fr-FR"/>
        </w:rPr>
        <w:t>2</w:t>
      </w:r>
      <w:r w:rsidR="00DB0B40">
        <w:rPr>
          <w:lang w:val="fr-FR"/>
        </w:rPr>
        <w:t> </w:t>
      </w:r>
      <w:r w:rsidRPr="00377A01">
        <w:rPr>
          <w:lang w:val="fr-FR"/>
        </w:rPr>
        <w:t>607</w:t>
      </w:r>
      <w:r>
        <w:rPr>
          <w:lang w:val="fr-FR"/>
        </w:rPr>
        <w:t xml:space="preserve"> appels en 2018</w:t>
      </w:r>
      <w:r w:rsidRPr="00377A01">
        <w:rPr>
          <w:lang w:val="fr-FR"/>
        </w:rPr>
        <w:t>.</w:t>
      </w:r>
    </w:p>
    <w:p w14:paraId="6EAF9D2D" w14:textId="0F5CA14A" w:rsidR="0044384C" w:rsidRPr="00377A01" w:rsidRDefault="0044384C" w:rsidP="00DB0B40">
      <w:pPr>
        <w:pStyle w:val="SingleTxt"/>
        <w:numPr>
          <w:ilvl w:val="0"/>
          <w:numId w:val="31"/>
        </w:numPr>
        <w:tabs>
          <w:tab w:val="num" w:pos="2804"/>
        </w:tabs>
        <w:spacing w:line="240" w:lineRule="exact"/>
        <w:rPr>
          <w:lang w:val="fr-FR"/>
        </w:rPr>
      </w:pPr>
      <w:r>
        <w:rPr>
          <w:lang w:val="fr-FR"/>
        </w:rPr>
        <w:t>Le 2 février</w:t>
      </w:r>
      <w:r w:rsidRPr="00377A01">
        <w:rPr>
          <w:lang w:val="fr-FR"/>
        </w:rPr>
        <w:t xml:space="preserve"> 2017, </w:t>
      </w:r>
      <w:r>
        <w:rPr>
          <w:lang w:val="fr-FR"/>
        </w:rPr>
        <w:t>la ligne de conseil (</w:t>
      </w:r>
      <w:r w:rsidRPr="00377A01">
        <w:rPr>
          <w:lang w:val="fr-FR"/>
        </w:rPr>
        <w:t>116-117</w:t>
      </w:r>
      <w:r>
        <w:rPr>
          <w:lang w:val="fr-FR"/>
        </w:rPr>
        <w:t xml:space="preserve">) a commencé à fonctionner ; elle offre gratuitement un service primaire de soutien psychologique et émotionnel, des conseils et une aide pour le traitement de la violence dans des conditions de sécurité et de confidentialité. Par la décision </w:t>
      </w:r>
      <w:r w:rsidRPr="00377A01">
        <w:rPr>
          <w:lang w:val="fr-FR"/>
        </w:rPr>
        <w:t>n</w:t>
      </w:r>
      <w:r w:rsidRPr="00DB0B40">
        <w:rPr>
          <w:vertAlign w:val="superscript"/>
          <w:lang w:val="fr-FR"/>
        </w:rPr>
        <w:t>o</w:t>
      </w:r>
      <w:r w:rsidR="00DB0B40">
        <w:rPr>
          <w:lang w:val="fr-FR"/>
        </w:rPr>
        <w:t> </w:t>
      </w:r>
      <w:r w:rsidRPr="00377A01">
        <w:rPr>
          <w:lang w:val="fr-FR"/>
        </w:rPr>
        <w:t>430</w:t>
      </w:r>
      <w:r>
        <w:rPr>
          <w:lang w:val="fr-FR"/>
        </w:rPr>
        <w:t xml:space="preserve">, du 8 juin 2016, le Conseil des </w:t>
      </w:r>
      <w:r w:rsidR="00DB0B40">
        <w:rPr>
          <w:lang w:val="fr-FR"/>
        </w:rPr>
        <w:t>m</w:t>
      </w:r>
      <w:r>
        <w:rPr>
          <w:lang w:val="fr-FR"/>
        </w:rPr>
        <w:t xml:space="preserve">inistres a adopté des normes nationales en matière de conseils aux victimes de la violence domestique. Pendant l’année 2017, cette ligne gratuite a reçu </w:t>
      </w:r>
      <w:r w:rsidRPr="00377A01">
        <w:rPr>
          <w:lang w:val="fr-FR"/>
        </w:rPr>
        <w:t>1</w:t>
      </w:r>
      <w:r w:rsidR="00DB0B40">
        <w:rPr>
          <w:lang w:val="fr-FR"/>
        </w:rPr>
        <w:t> </w:t>
      </w:r>
      <w:r w:rsidRPr="00377A01">
        <w:rPr>
          <w:lang w:val="fr-FR"/>
        </w:rPr>
        <w:t xml:space="preserve">489 </w:t>
      </w:r>
      <w:r>
        <w:rPr>
          <w:lang w:val="fr-FR"/>
        </w:rPr>
        <w:t>appels et assuré</w:t>
      </w:r>
      <w:r w:rsidRPr="00377A01">
        <w:rPr>
          <w:lang w:val="fr-FR"/>
        </w:rPr>
        <w:t xml:space="preserve"> 636 </w:t>
      </w:r>
      <w:r>
        <w:rPr>
          <w:lang w:val="fr-FR"/>
        </w:rPr>
        <w:t>séances de soutien psychologique. La plupart des appels concernent des demandes de renseignements sur un soutien économique, ou sur l’emploi. Les cas ont un caractère émotionnel</w:t>
      </w:r>
      <w:r w:rsidRPr="00377A01">
        <w:rPr>
          <w:lang w:val="fr-FR"/>
        </w:rPr>
        <w:t xml:space="preserve"> (835), physi</w:t>
      </w:r>
      <w:r>
        <w:rPr>
          <w:lang w:val="fr-FR"/>
        </w:rPr>
        <w:t xml:space="preserve">que </w:t>
      </w:r>
      <w:r w:rsidRPr="00377A01">
        <w:rPr>
          <w:lang w:val="fr-FR"/>
        </w:rPr>
        <w:t xml:space="preserve">(506), </w:t>
      </w:r>
      <w:r>
        <w:rPr>
          <w:lang w:val="fr-FR"/>
        </w:rPr>
        <w:t>é</w:t>
      </w:r>
      <w:r w:rsidRPr="00377A01">
        <w:rPr>
          <w:lang w:val="fr-FR"/>
        </w:rPr>
        <w:t>conomi</w:t>
      </w:r>
      <w:r>
        <w:rPr>
          <w:lang w:val="fr-FR"/>
        </w:rPr>
        <w:t>que</w:t>
      </w:r>
      <w:r w:rsidRPr="00377A01">
        <w:rPr>
          <w:lang w:val="fr-FR"/>
        </w:rPr>
        <w:t xml:space="preserve"> (390), </w:t>
      </w:r>
      <w:r>
        <w:rPr>
          <w:lang w:val="fr-FR"/>
        </w:rPr>
        <w:t xml:space="preserve">ou relèvent de la violence </w:t>
      </w:r>
      <w:r w:rsidRPr="00377A01">
        <w:rPr>
          <w:lang w:val="fr-FR"/>
        </w:rPr>
        <w:t>sexu</w:t>
      </w:r>
      <w:r>
        <w:rPr>
          <w:lang w:val="fr-FR"/>
        </w:rPr>
        <w:t>e</w:t>
      </w:r>
      <w:r w:rsidRPr="00377A01">
        <w:rPr>
          <w:lang w:val="fr-FR"/>
        </w:rPr>
        <w:t>l</w:t>
      </w:r>
      <w:r>
        <w:rPr>
          <w:lang w:val="fr-FR"/>
        </w:rPr>
        <w:t>le</w:t>
      </w:r>
      <w:r w:rsidRPr="00377A01">
        <w:rPr>
          <w:lang w:val="fr-FR"/>
        </w:rPr>
        <w:t xml:space="preserve"> (6)</w:t>
      </w:r>
      <w:r>
        <w:rPr>
          <w:lang w:val="fr-FR"/>
        </w:rPr>
        <w:t>. Les cas de violence sexuelle sont encore parmi ceux qui le plus souvent ne sont pas signalés. La plupart d’entre eux sont transmis à la police</w:t>
      </w:r>
      <w:r w:rsidRPr="00377A01">
        <w:rPr>
          <w:lang w:val="fr-FR"/>
        </w:rPr>
        <w:t xml:space="preserve"> (201).</w:t>
      </w:r>
    </w:p>
    <w:p w14:paraId="622DAE72" w14:textId="53B4F83C" w:rsidR="0044384C" w:rsidRPr="00377A01" w:rsidRDefault="0044384C" w:rsidP="00DB0B40">
      <w:pPr>
        <w:pStyle w:val="SingleTxt"/>
        <w:numPr>
          <w:ilvl w:val="0"/>
          <w:numId w:val="31"/>
        </w:numPr>
        <w:tabs>
          <w:tab w:val="num" w:pos="2804"/>
        </w:tabs>
        <w:spacing w:line="240" w:lineRule="exact"/>
        <w:rPr>
          <w:lang w:val="fr-FR"/>
        </w:rPr>
      </w:pPr>
      <w:r>
        <w:rPr>
          <w:lang w:val="fr-FR"/>
        </w:rPr>
        <w:t xml:space="preserve">Le </w:t>
      </w:r>
      <w:r w:rsidR="00DB0B40">
        <w:rPr>
          <w:lang w:val="fr-FR"/>
        </w:rPr>
        <w:t>G</w:t>
      </w:r>
      <w:r>
        <w:rPr>
          <w:lang w:val="fr-FR"/>
        </w:rPr>
        <w:t xml:space="preserve">ouvernement a pris des mesures et collabore avec la société civile pour mettre au point des programmes à l’intention des délinquants. Le programme qui s’adresse aux hommes et aux garçons est à l’étude, même si, dans les cas de violence à l’égard des femmes, les coupables sont principalement le mari, le partenaire, le père ou un autre membre de la famille de la victime. Les programmes à l’intention des délinquants ont été multipliés dans le pays. </w:t>
      </w:r>
      <w:r w:rsidR="00DB0B40">
        <w:rPr>
          <w:lang w:val="fr-FR"/>
        </w:rPr>
        <w:t>À</w:t>
      </w:r>
      <w:r>
        <w:rPr>
          <w:lang w:val="fr-FR"/>
        </w:rPr>
        <w:t xml:space="preserve"> ce stade, la permanence téléphonique de conseil destinée aux hommes et aux garçons, qui est gérée par une organisation non gouvernementale, a permis de traiter les cas d’environ 200 délinquants.</w:t>
      </w:r>
    </w:p>
    <w:p w14:paraId="0D8A4939" w14:textId="77777777" w:rsidR="0044384C" w:rsidRPr="00377A01" w:rsidRDefault="0044384C" w:rsidP="0044384C">
      <w:pPr>
        <w:pStyle w:val="SingleTxt"/>
        <w:spacing w:after="0" w:line="120" w:lineRule="exact"/>
        <w:rPr>
          <w:sz w:val="10"/>
          <w:lang w:val="fr-FR"/>
        </w:rPr>
      </w:pPr>
    </w:p>
    <w:p w14:paraId="0D27C236" w14:textId="6639F115" w:rsidR="0044384C" w:rsidRPr="00377A01" w:rsidRDefault="0044384C" w:rsidP="00DB0B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77A01">
        <w:rPr>
          <w:lang w:val="fr-FR"/>
        </w:rPr>
        <w:tab/>
      </w:r>
      <w:r w:rsidRPr="00377A01">
        <w:rPr>
          <w:lang w:val="fr-FR"/>
        </w:rPr>
        <w:tab/>
        <w:t>D</w:t>
      </w:r>
      <w:r>
        <w:rPr>
          <w:lang w:val="fr-FR"/>
        </w:rPr>
        <w:t>onnées sur la violence à l’égard des femmes et la violence domestique</w:t>
      </w:r>
    </w:p>
    <w:p w14:paraId="4952556D" w14:textId="77777777" w:rsidR="0044384C" w:rsidRPr="00377A01" w:rsidRDefault="0044384C" w:rsidP="0044384C">
      <w:pPr>
        <w:pStyle w:val="SingleTxt"/>
        <w:spacing w:after="0" w:line="120" w:lineRule="exact"/>
        <w:rPr>
          <w:sz w:val="10"/>
          <w:lang w:val="fr-FR"/>
        </w:rPr>
      </w:pPr>
    </w:p>
    <w:p w14:paraId="76A41F32" w14:textId="4E5FFE4D" w:rsidR="0044384C" w:rsidRPr="00377A01" w:rsidRDefault="0044384C" w:rsidP="00DB0B40">
      <w:pPr>
        <w:pStyle w:val="SingleTxt"/>
        <w:numPr>
          <w:ilvl w:val="0"/>
          <w:numId w:val="31"/>
        </w:numPr>
        <w:spacing w:line="240" w:lineRule="exact"/>
        <w:rPr>
          <w:lang w:val="fr-FR"/>
        </w:rPr>
      </w:pPr>
      <w:r>
        <w:rPr>
          <w:lang w:val="fr-FR"/>
        </w:rPr>
        <w:t>Au cours de la période</w:t>
      </w:r>
      <w:r w:rsidRPr="00377A01">
        <w:rPr>
          <w:lang w:val="fr-FR"/>
        </w:rPr>
        <w:t xml:space="preserve"> 2016</w:t>
      </w:r>
      <w:r w:rsidR="00DB0B40">
        <w:rPr>
          <w:lang w:val="fr-FR"/>
        </w:rPr>
        <w:t>-</w:t>
      </w:r>
      <w:r w:rsidRPr="00377A01">
        <w:rPr>
          <w:lang w:val="fr-FR"/>
        </w:rPr>
        <w:t>2018</w:t>
      </w:r>
      <w:r>
        <w:rPr>
          <w:lang w:val="fr-FR"/>
        </w:rPr>
        <w:t xml:space="preserve"> sur laquelle porte le rapport</w:t>
      </w:r>
      <w:r w:rsidRPr="00377A01">
        <w:rPr>
          <w:lang w:val="fr-FR"/>
        </w:rPr>
        <w:t xml:space="preserve">, </w:t>
      </w:r>
      <w:r>
        <w:rPr>
          <w:lang w:val="fr-FR"/>
        </w:rPr>
        <w:t xml:space="preserve">une augmentation des affaires signalées et traitées, notamment pour ce qui est de la violence domestique, a été mise en évidence. Voici les données fournies par la </w:t>
      </w:r>
      <w:r w:rsidR="00DF3344">
        <w:rPr>
          <w:lang w:val="fr-FR"/>
        </w:rPr>
        <w:t>P</w:t>
      </w:r>
      <w:r>
        <w:rPr>
          <w:lang w:val="fr-FR"/>
        </w:rPr>
        <w:t>olice nationale</w:t>
      </w:r>
      <w:r w:rsidR="00C6618C">
        <w:rPr>
          <w:lang w:val="fr-FR"/>
        </w:rPr>
        <w:t> :</w:t>
      </w:r>
    </w:p>
    <w:p w14:paraId="114DB0E3" w14:textId="4D4B13EF" w:rsidR="0044384C" w:rsidRPr="00377A01" w:rsidRDefault="0044384C" w:rsidP="0044384C">
      <w:pPr>
        <w:pStyle w:val="SingleTxt"/>
        <w:tabs>
          <w:tab w:val="right" w:pos="1685"/>
        </w:tabs>
        <w:ind w:left="1742" w:hanging="475"/>
        <w:rPr>
          <w:lang w:val="fr-FR"/>
        </w:rPr>
      </w:pPr>
      <w:r w:rsidRPr="00377A01">
        <w:rPr>
          <w:lang w:val="fr-FR"/>
        </w:rPr>
        <w:tab/>
        <w:t>•</w:t>
      </w:r>
      <w:r w:rsidRPr="00377A01">
        <w:rPr>
          <w:lang w:val="fr-FR"/>
        </w:rPr>
        <w:tab/>
      </w:r>
      <w:r>
        <w:rPr>
          <w:lang w:val="fr-FR"/>
        </w:rPr>
        <w:t xml:space="preserve">Au cours de la période </w:t>
      </w:r>
      <w:r w:rsidRPr="00377A01">
        <w:rPr>
          <w:lang w:val="fr-FR"/>
        </w:rPr>
        <w:t>2016</w:t>
      </w:r>
      <w:r w:rsidR="00DB0B40">
        <w:rPr>
          <w:lang w:val="fr-FR"/>
        </w:rPr>
        <w:t>-</w:t>
      </w:r>
      <w:r w:rsidRPr="00377A01">
        <w:rPr>
          <w:lang w:val="fr-FR"/>
        </w:rPr>
        <w:t xml:space="preserve">2018, </w:t>
      </w:r>
      <w:r>
        <w:rPr>
          <w:lang w:val="fr-FR"/>
        </w:rPr>
        <w:t>un total de</w:t>
      </w:r>
      <w:r w:rsidRPr="00377A01">
        <w:rPr>
          <w:lang w:val="fr-FR"/>
        </w:rPr>
        <w:t xml:space="preserve"> 13</w:t>
      </w:r>
      <w:r w:rsidR="00DB0B40">
        <w:rPr>
          <w:lang w:val="fr-FR"/>
        </w:rPr>
        <w:t> </w:t>
      </w:r>
      <w:r w:rsidRPr="00377A01">
        <w:rPr>
          <w:lang w:val="fr-FR"/>
        </w:rPr>
        <w:t>661 cas</w:t>
      </w:r>
      <w:r>
        <w:rPr>
          <w:lang w:val="fr-FR"/>
        </w:rPr>
        <w:t xml:space="preserve"> de violence domestique ont été signalés</w:t>
      </w:r>
      <w:r w:rsidR="00C6618C">
        <w:rPr>
          <w:lang w:val="fr-FR"/>
        </w:rPr>
        <w:t> :</w:t>
      </w:r>
      <w:r w:rsidRPr="00377A01">
        <w:rPr>
          <w:lang w:val="fr-FR"/>
        </w:rPr>
        <w:t xml:space="preserve"> 4</w:t>
      </w:r>
      <w:r w:rsidR="00DB0B40">
        <w:rPr>
          <w:lang w:val="fr-FR"/>
        </w:rPr>
        <w:t> </w:t>
      </w:r>
      <w:r w:rsidRPr="00377A01">
        <w:rPr>
          <w:lang w:val="fr-FR"/>
        </w:rPr>
        <w:t>163 cas</w:t>
      </w:r>
      <w:r>
        <w:rPr>
          <w:lang w:val="fr-FR"/>
        </w:rPr>
        <w:t xml:space="preserve"> en 2016</w:t>
      </w:r>
      <w:r w:rsidRPr="00C6618C">
        <w:rPr>
          <w:rStyle w:val="FootnoteReference"/>
          <w:lang w:val="fr-FR"/>
        </w:rPr>
        <w:footnoteReference w:id="10"/>
      </w:r>
      <w:r>
        <w:rPr>
          <w:lang w:val="fr-FR"/>
        </w:rPr>
        <w:t>,</w:t>
      </w:r>
      <w:r w:rsidR="00DB0B40">
        <w:rPr>
          <w:lang w:val="fr-FR"/>
        </w:rPr>
        <w:t xml:space="preserve"> </w:t>
      </w:r>
      <w:r w:rsidRPr="00377A01">
        <w:rPr>
          <w:lang w:val="fr-FR"/>
        </w:rPr>
        <w:t>4</w:t>
      </w:r>
      <w:r w:rsidR="00DB0B40">
        <w:rPr>
          <w:lang w:val="fr-FR"/>
        </w:rPr>
        <w:t> </w:t>
      </w:r>
      <w:r w:rsidRPr="00377A01">
        <w:rPr>
          <w:lang w:val="fr-FR"/>
        </w:rPr>
        <w:t>547 cas</w:t>
      </w:r>
      <w:r>
        <w:rPr>
          <w:lang w:val="fr-FR"/>
        </w:rPr>
        <w:t xml:space="preserve"> en 2017, </w:t>
      </w:r>
      <w:r w:rsidRPr="00377A01">
        <w:rPr>
          <w:lang w:val="fr-FR"/>
        </w:rPr>
        <w:t>4</w:t>
      </w:r>
      <w:r w:rsidR="00DB0B40">
        <w:rPr>
          <w:lang w:val="fr-FR"/>
        </w:rPr>
        <w:t> </w:t>
      </w:r>
      <w:r w:rsidRPr="00377A01">
        <w:rPr>
          <w:lang w:val="fr-FR"/>
        </w:rPr>
        <w:t>951 cas</w:t>
      </w:r>
      <w:r>
        <w:rPr>
          <w:lang w:val="fr-FR"/>
        </w:rPr>
        <w:t xml:space="preserve"> en 2018 ;</w:t>
      </w:r>
    </w:p>
    <w:p w14:paraId="6C87A158" w14:textId="171D735F" w:rsidR="0044384C" w:rsidRPr="00377A01" w:rsidRDefault="0044384C" w:rsidP="0044384C">
      <w:pPr>
        <w:pStyle w:val="SingleTxt"/>
        <w:tabs>
          <w:tab w:val="right" w:pos="1685"/>
        </w:tabs>
        <w:ind w:left="1742" w:hanging="475"/>
        <w:rPr>
          <w:lang w:val="fr-FR"/>
        </w:rPr>
      </w:pPr>
      <w:r w:rsidRPr="00377A01">
        <w:rPr>
          <w:lang w:val="fr-FR"/>
        </w:rPr>
        <w:lastRenderedPageBreak/>
        <w:tab/>
        <w:t>•</w:t>
      </w:r>
      <w:r w:rsidRPr="00377A01">
        <w:rPr>
          <w:lang w:val="fr-FR"/>
        </w:rPr>
        <w:tab/>
        <w:t>6</w:t>
      </w:r>
      <w:r w:rsidR="00DB0B40">
        <w:rPr>
          <w:lang w:val="fr-FR"/>
        </w:rPr>
        <w:t> </w:t>
      </w:r>
      <w:r w:rsidRPr="00377A01">
        <w:rPr>
          <w:lang w:val="fr-FR"/>
        </w:rPr>
        <w:t xml:space="preserve">187 </w:t>
      </w:r>
      <w:r>
        <w:rPr>
          <w:lang w:val="fr-FR"/>
        </w:rPr>
        <w:t xml:space="preserve">ordonnances de protection en cas d’urgence et ordonnances de protection ont été prononcées </w:t>
      </w:r>
      <w:r w:rsidR="00DB0B40">
        <w:rPr>
          <w:lang w:val="fr-FR"/>
        </w:rPr>
        <w:t xml:space="preserve">– </w:t>
      </w:r>
      <w:r>
        <w:rPr>
          <w:lang w:val="fr-FR"/>
        </w:rPr>
        <w:t>7</w:t>
      </w:r>
      <w:r w:rsidR="00DB0B40">
        <w:rPr>
          <w:lang w:val="fr-FR"/>
        </w:rPr>
        <w:t> </w:t>
      </w:r>
      <w:r w:rsidRPr="00377A01">
        <w:rPr>
          <w:lang w:val="fr-FR"/>
        </w:rPr>
        <w:t xml:space="preserve">837 </w:t>
      </w:r>
      <w:r>
        <w:rPr>
          <w:lang w:val="fr-FR"/>
        </w:rPr>
        <w:t>femmes et jeunes filles ont été reconnues victimes de violences ;</w:t>
      </w:r>
      <w:r w:rsidRPr="00377A01">
        <w:rPr>
          <w:lang w:val="fr-FR"/>
        </w:rPr>
        <w:t xml:space="preserve"> </w:t>
      </w:r>
    </w:p>
    <w:p w14:paraId="2A45A59B" w14:textId="2438AE1C" w:rsidR="0044384C" w:rsidRPr="00377A01" w:rsidRDefault="0044384C" w:rsidP="0044384C">
      <w:pPr>
        <w:pStyle w:val="SingleTxt"/>
        <w:tabs>
          <w:tab w:val="right" w:pos="1685"/>
        </w:tabs>
        <w:ind w:left="1742" w:hanging="475"/>
        <w:rPr>
          <w:lang w:val="fr-FR"/>
        </w:rPr>
      </w:pPr>
      <w:r w:rsidRPr="00377A01">
        <w:rPr>
          <w:lang w:val="fr-FR"/>
        </w:rPr>
        <w:tab/>
        <w:t>•</w:t>
      </w:r>
      <w:r w:rsidRPr="00377A01">
        <w:rPr>
          <w:lang w:val="fr-FR"/>
        </w:rPr>
        <w:tab/>
        <w:t>2016</w:t>
      </w:r>
      <w:r w:rsidR="00C6618C">
        <w:rPr>
          <w:lang w:val="fr-FR"/>
        </w:rPr>
        <w:t> :</w:t>
      </w:r>
      <w:r>
        <w:rPr>
          <w:lang w:val="fr-FR"/>
        </w:rPr>
        <w:t xml:space="preserve"> </w:t>
      </w:r>
      <w:r w:rsidRPr="00377A01">
        <w:rPr>
          <w:lang w:val="fr-FR"/>
        </w:rPr>
        <w:t>2</w:t>
      </w:r>
      <w:r w:rsidR="00DB0B40">
        <w:rPr>
          <w:lang w:val="fr-FR"/>
        </w:rPr>
        <w:t> </w:t>
      </w:r>
      <w:r w:rsidRPr="00377A01">
        <w:rPr>
          <w:lang w:val="fr-FR"/>
        </w:rPr>
        <w:t xml:space="preserve">207 </w:t>
      </w:r>
      <w:r>
        <w:rPr>
          <w:lang w:val="fr-FR"/>
        </w:rPr>
        <w:t>procédures engagées pour des ordonnances de protection en cas d’urgence et des ordonnances de protection</w:t>
      </w:r>
      <w:r w:rsidRPr="00C6618C">
        <w:rPr>
          <w:rStyle w:val="FootnoteReference"/>
          <w:lang w:val="fr-FR"/>
        </w:rPr>
        <w:footnoteReference w:id="11"/>
      </w:r>
      <w:r>
        <w:rPr>
          <w:lang w:val="fr-FR"/>
        </w:rPr>
        <w:t> ;</w:t>
      </w:r>
      <w:r w:rsidRPr="00377A01">
        <w:rPr>
          <w:lang w:val="fr-FR"/>
        </w:rPr>
        <w:t xml:space="preserve"> 2017</w:t>
      </w:r>
      <w:r w:rsidR="00C6618C">
        <w:rPr>
          <w:lang w:val="fr-FR"/>
        </w:rPr>
        <w:t> :</w:t>
      </w:r>
      <w:r>
        <w:rPr>
          <w:lang w:val="fr-FR"/>
        </w:rPr>
        <w:t xml:space="preserve"> </w:t>
      </w:r>
      <w:r w:rsidRPr="00377A01">
        <w:rPr>
          <w:lang w:val="fr-FR"/>
        </w:rPr>
        <w:t>2</w:t>
      </w:r>
      <w:r w:rsidR="00DB0B40">
        <w:rPr>
          <w:lang w:val="fr-FR"/>
        </w:rPr>
        <w:t> </w:t>
      </w:r>
      <w:r w:rsidRPr="00377A01">
        <w:rPr>
          <w:lang w:val="fr-FR"/>
        </w:rPr>
        <w:t xml:space="preserve">593 </w:t>
      </w:r>
      <w:r>
        <w:rPr>
          <w:lang w:val="fr-FR"/>
        </w:rPr>
        <w:t>procédures ont été engagées à cette fin ;</w:t>
      </w:r>
      <w:r w:rsidRPr="00377A01">
        <w:rPr>
          <w:lang w:val="fr-FR"/>
        </w:rPr>
        <w:t xml:space="preserve"> 2018</w:t>
      </w:r>
      <w:r w:rsidR="00C6618C">
        <w:rPr>
          <w:lang w:val="fr-FR"/>
        </w:rPr>
        <w:t> :</w:t>
      </w:r>
      <w:r>
        <w:rPr>
          <w:lang w:val="fr-FR"/>
        </w:rPr>
        <w:t xml:space="preserve"> </w:t>
      </w:r>
      <w:r w:rsidRPr="00377A01">
        <w:rPr>
          <w:lang w:val="fr-FR"/>
        </w:rPr>
        <w:t>3</w:t>
      </w:r>
      <w:r w:rsidR="00DB0B40">
        <w:rPr>
          <w:lang w:val="fr-FR"/>
        </w:rPr>
        <w:t> </w:t>
      </w:r>
      <w:r w:rsidRPr="00377A01">
        <w:rPr>
          <w:lang w:val="fr-FR"/>
        </w:rPr>
        <w:t xml:space="preserve">037 </w:t>
      </w:r>
      <w:r>
        <w:rPr>
          <w:lang w:val="fr-FR"/>
        </w:rPr>
        <w:t>procédures ont été engagées à cette fin ;</w:t>
      </w:r>
    </w:p>
    <w:p w14:paraId="4CEEEFDE" w14:textId="00846F35" w:rsidR="0044384C" w:rsidRPr="00377A01" w:rsidRDefault="0044384C" w:rsidP="0044384C">
      <w:pPr>
        <w:pStyle w:val="SingleTxt"/>
        <w:tabs>
          <w:tab w:val="right" w:pos="1685"/>
        </w:tabs>
        <w:ind w:left="1742" w:hanging="475"/>
        <w:rPr>
          <w:lang w:val="fr-FR"/>
        </w:rPr>
      </w:pPr>
      <w:r w:rsidRPr="00377A01">
        <w:rPr>
          <w:lang w:val="fr-FR"/>
        </w:rPr>
        <w:tab/>
        <w:t>•</w:t>
      </w:r>
      <w:r w:rsidRPr="00377A01">
        <w:rPr>
          <w:lang w:val="fr-FR"/>
        </w:rPr>
        <w:tab/>
      </w:r>
      <w:r w:rsidR="00DB0B40">
        <w:rPr>
          <w:lang w:val="fr-FR"/>
        </w:rPr>
        <w:t>N</w:t>
      </w:r>
      <w:r>
        <w:rPr>
          <w:lang w:val="fr-FR"/>
        </w:rPr>
        <w:t>ombre d’épouses victimes de violence</w:t>
      </w:r>
      <w:r w:rsidR="00C6618C">
        <w:rPr>
          <w:lang w:val="fr-FR"/>
        </w:rPr>
        <w:t> :</w:t>
      </w:r>
      <w:r>
        <w:rPr>
          <w:lang w:val="fr-FR"/>
        </w:rPr>
        <w:t xml:space="preserve"> </w:t>
      </w:r>
      <w:r w:rsidRPr="00377A01">
        <w:rPr>
          <w:lang w:val="fr-FR"/>
        </w:rPr>
        <w:t>3</w:t>
      </w:r>
      <w:r w:rsidR="00BC6C36">
        <w:rPr>
          <w:lang w:val="fr-FR"/>
        </w:rPr>
        <w:t> </w:t>
      </w:r>
      <w:r w:rsidRPr="00377A01">
        <w:rPr>
          <w:lang w:val="fr-FR"/>
        </w:rPr>
        <w:t xml:space="preserve">934 </w:t>
      </w:r>
      <w:r>
        <w:rPr>
          <w:lang w:val="fr-FR"/>
        </w:rPr>
        <w:t xml:space="preserve">au total, soit </w:t>
      </w:r>
      <w:r w:rsidRPr="00377A01">
        <w:rPr>
          <w:lang w:val="fr-FR"/>
        </w:rPr>
        <w:t>1</w:t>
      </w:r>
      <w:r w:rsidR="00BC6C36">
        <w:rPr>
          <w:lang w:val="fr-FR"/>
        </w:rPr>
        <w:t> </w:t>
      </w:r>
      <w:r w:rsidRPr="00377A01">
        <w:rPr>
          <w:lang w:val="fr-FR"/>
        </w:rPr>
        <w:t xml:space="preserve">532 </w:t>
      </w:r>
      <w:r>
        <w:rPr>
          <w:lang w:val="fr-FR"/>
        </w:rPr>
        <w:t xml:space="preserve">en 2016, </w:t>
      </w:r>
      <w:r w:rsidRPr="00377A01">
        <w:rPr>
          <w:lang w:val="fr-FR"/>
        </w:rPr>
        <w:t>1</w:t>
      </w:r>
      <w:r w:rsidR="00BC6C36">
        <w:rPr>
          <w:lang w:val="fr-FR"/>
        </w:rPr>
        <w:t> </w:t>
      </w:r>
      <w:r w:rsidRPr="00377A01">
        <w:rPr>
          <w:lang w:val="fr-FR"/>
        </w:rPr>
        <w:t>627</w:t>
      </w:r>
      <w:r>
        <w:rPr>
          <w:lang w:val="fr-FR"/>
        </w:rPr>
        <w:t xml:space="preserve"> en 2017, et 775 entre janvier et juin</w:t>
      </w:r>
      <w:r w:rsidRPr="00377A01">
        <w:rPr>
          <w:lang w:val="fr-FR"/>
        </w:rPr>
        <w:t xml:space="preserve"> 2018</w:t>
      </w:r>
      <w:r>
        <w:rPr>
          <w:lang w:val="fr-FR"/>
        </w:rPr>
        <w:t> ;</w:t>
      </w:r>
    </w:p>
    <w:p w14:paraId="0574F935" w14:textId="1770DD68" w:rsidR="0044384C" w:rsidRPr="00377A01" w:rsidRDefault="0044384C" w:rsidP="0044384C">
      <w:pPr>
        <w:pStyle w:val="SingleTxt"/>
        <w:tabs>
          <w:tab w:val="right" w:pos="1685"/>
        </w:tabs>
        <w:ind w:left="1742" w:hanging="475"/>
        <w:rPr>
          <w:lang w:val="fr-FR"/>
        </w:rPr>
      </w:pPr>
      <w:r w:rsidRPr="00377A01">
        <w:rPr>
          <w:lang w:val="fr-FR"/>
        </w:rPr>
        <w:tab/>
        <w:t>•</w:t>
      </w:r>
      <w:r w:rsidRPr="00377A01">
        <w:rPr>
          <w:lang w:val="fr-FR"/>
        </w:rPr>
        <w:tab/>
      </w:r>
      <w:r>
        <w:rPr>
          <w:lang w:val="fr-FR"/>
        </w:rPr>
        <w:t>En</w:t>
      </w:r>
      <w:r w:rsidRPr="00377A01">
        <w:rPr>
          <w:lang w:val="fr-FR"/>
        </w:rPr>
        <w:t xml:space="preserve"> 2017, </w:t>
      </w:r>
      <w:r>
        <w:rPr>
          <w:lang w:val="fr-FR"/>
        </w:rPr>
        <w:t xml:space="preserve">des informations ont été communiquées aux procureurs en vue de l’ouverture de poursuites pénales dans </w:t>
      </w:r>
      <w:r w:rsidRPr="00BC6C36">
        <w:t>1950</w:t>
      </w:r>
      <w:r w:rsidRPr="00377A01">
        <w:rPr>
          <w:lang w:val="fr-FR"/>
        </w:rPr>
        <w:t xml:space="preserve"> </w:t>
      </w:r>
      <w:r>
        <w:rPr>
          <w:lang w:val="fr-FR"/>
        </w:rPr>
        <w:t>affaires de violence et autres délits commis dans le cadre des relations familiales, soit</w:t>
      </w:r>
      <w:r w:rsidRPr="00377A01">
        <w:rPr>
          <w:lang w:val="fr-FR"/>
        </w:rPr>
        <w:t xml:space="preserve"> 56 </w:t>
      </w:r>
      <w:r>
        <w:rPr>
          <w:lang w:val="fr-FR"/>
        </w:rPr>
        <w:t xml:space="preserve">procédures de moins qu’en </w:t>
      </w:r>
      <w:r w:rsidRPr="00377A01">
        <w:rPr>
          <w:lang w:val="fr-FR"/>
        </w:rPr>
        <w:t>2016</w:t>
      </w:r>
      <w:r>
        <w:rPr>
          <w:lang w:val="fr-FR"/>
        </w:rPr>
        <w:t> ;</w:t>
      </w:r>
    </w:p>
    <w:p w14:paraId="73892CC2" w14:textId="4511F04B" w:rsidR="0044384C" w:rsidRPr="00377A01" w:rsidRDefault="0044384C" w:rsidP="0044384C">
      <w:pPr>
        <w:pStyle w:val="SingleTxt"/>
        <w:tabs>
          <w:tab w:val="right" w:pos="1685"/>
        </w:tabs>
        <w:ind w:left="1742" w:hanging="475"/>
        <w:rPr>
          <w:lang w:val="fr-FR"/>
        </w:rPr>
      </w:pPr>
      <w:r w:rsidRPr="00377A01">
        <w:rPr>
          <w:lang w:val="fr-FR"/>
        </w:rPr>
        <w:tab/>
        <w:t>•</w:t>
      </w:r>
      <w:r w:rsidRPr="00377A01">
        <w:rPr>
          <w:lang w:val="fr-FR"/>
        </w:rPr>
        <w:tab/>
      </w:r>
      <w:r>
        <w:rPr>
          <w:lang w:val="fr-FR"/>
        </w:rPr>
        <w:t>S’agissant de l’</w:t>
      </w:r>
      <w:r w:rsidRPr="00377A01">
        <w:rPr>
          <w:lang w:val="fr-FR"/>
        </w:rPr>
        <w:t>article 130 a</w:t>
      </w:r>
      <w:r>
        <w:rPr>
          <w:lang w:val="fr-FR"/>
        </w:rPr>
        <w:t>)</w:t>
      </w:r>
      <w:r w:rsidRPr="00C6618C">
        <w:rPr>
          <w:rStyle w:val="FootnoteReference"/>
          <w:lang w:val="fr-FR"/>
        </w:rPr>
        <w:footnoteReference w:id="12"/>
      </w:r>
      <w:r>
        <w:rPr>
          <w:lang w:val="fr-FR"/>
        </w:rPr>
        <w:t>,</w:t>
      </w:r>
      <w:r w:rsidRPr="00377A01">
        <w:rPr>
          <w:lang w:val="fr-FR"/>
        </w:rPr>
        <w:t xml:space="preserve"> 1412 cas </w:t>
      </w:r>
      <w:r>
        <w:rPr>
          <w:lang w:val="fr-FR"/>
        </w:rPr>
        <w:t>ont été signalés, soit</w:t>
      </w:r>
      <w:r w:rsidRPr="00377A01">
        <w:rPr>
          <w:lang w:val="fr-FR"/>
        </w:rPr>
        <w:t xml:space="preserve"> 76 cas (5</w:t>
      </w:r>
      <w:r>
        <w:rPr>
          <w:lang w:val="fr-FR"/>
        </w:rPr>
        <w:t>,</w:t>
      </w:r>
      <w:r w:rsidRPr="00377A01">
        <w:rPr>
          <w:lang w:val="fr-FR"/>
        </w:rPr>
        <w:t>1</w:t>
      </w:r>
      <w:r w:rsidR="00BC6C36">
        <w:rPr>
          <w:lang w:val="fr-FR"/>
        </w:rPr>
        <w:t> </w:t>
      </w:r>
      <w:r w:rsidRPr="00377A01">
        <w:rPr>
          <w:lang w:val="fr-FR"/>
        </w:rPr>
        <w:t xml:space="preserve">%) </w:t>
      </w:r>
      <w:r>
        <w:rPr>
          <w:lang w:val="fr-FR"/>
        </w:rPr>
        <w:t>de moins qu’en</w:t>
      </w:r>
      <w:r w:rsidRPr="00377A01">
        <w:rPr>
          <w:lang w:val="fr-FR"/>
        </w:rPr>
        <w:t xml:space="preserve"> 2016</w:t>
      </w:r>
      <w:r>
        <w:rPr>
          <w:lang w:val="fr-FR"/>
        </w:rPr>
        <w:t>. Un total de</w:t>
      </w:r>
      <w:r w:rsidRPr="00377A01">
        <w:rPr>
          <w:lang w:val="fr-FR"/>
        </w:rPr>
        <w:t xml:space="preserve"> 855 </w:t>
      </w:r>
      <w:r>
        <w:rPr>
          <w:lang w:val="fr-FR"/>
        </w:rPr>
        <w:t xml:space="preserve">délinquants ont été arrêtés. Un total de </w:t>
      </w:r>
      <w:r w:rsidRPr="00377A01">
        <w:rPr>
          <w:lang w:val="fr-FR"/>
        </w:rPr>
        <w:t>1</w:t>
      </w:r>
      <w:r w:rsidR="00BC6C36">
        <w:rPr>
          <w:lang w:val="fr-FR"/>
        </w:rPr>
        <w:t> </w:t>
      </w:r>
      <w:r w:rsidRPr="00377A01">
        <w:rPr>
          <w:lang w:val="fr-FR"/>
        </w:rPr>
        <w:t>684</w:t>
      </w:r>
      <w:r w:rsidR="00BC6C36">
        <w:rPr>
          <w:lang w:val="fr-FR"/>
        </w:rPr>
        <w:t> </w:t>
      </w:r>
      <w:r w:rsidRPr="00377A01">
        <w:rPr>
          <w:lang w:val="fr-FR"/>
        </w:rPr>
        <w:t>person</w:t>
      </w:r>
      <w:r>
        <w:rPr>
          <w:lang w:val="fr-FR"/>
        </w:rPr>
        <w:t>ne</w:t>
      </w:r>
      <w:r w:rsidRPr="00377A01">
        <w:rPr>
          <w:lang w:val="fr-FR"/>
        </w:rPr>
        <w:t xml:space="preserve">s </w:t>
      </w:r>
      <w:r>
        <w:rPr>
          <w:lang w:val="fr-FR"/>
        </w:rPr>
        <w:t>ont été arrêtées au motif de violence domestique</w:t>
      </w:r>
      <w:r w:rsidR="00C6618C">
        <w:rPr>
          <w:lang w:val="fr-FR"/>
        </w:rPr>
        <w:t> :</w:t>
      </w:r>
      <w:r>
        <w:rPr>
          <w:lang w:val="fr-FR"/>
        </w:rPr>
        <w:t xml:space="preserve"> </w:t>
      </w:r>
      <w:r w:rsidRPr="00377A01">
        <w:rPr>
          <w:lang w:val="fr-FR"/>
        </w:rPr>
        <w:t xml:space="preserve">742 </w:t>
      </w:r>
      <w:r>
        <w:rPr>
          <w:lang w:val="fr-FR"/>
        </w:rPr>
        <w:t xml:space="preserve">en 2016, </w:t>
      </w:r>
      <w:r w:rsidRPr="00377A01">
        <w:rPr>
          <w:lang w:val="fr-FR"/>
        </w:rPr>
        <w:t xml:space="preserve">654 </w:t>
      </w:r>
      <w:r>
        <w:rPr>
          <w:lang w:val="fr-FR"/>
        </w:rPr>
        <w:t>en 2017, et 288 entre janvier et juin</w:t>
      </w:r>
      <w:r w:rsidRPr="00377A01">
        <w:rPr>
          <w:lang w:val="fr-FR"/>
        </w:rPr>
        <w:t xml:space="preserve"> 2018</w:t>
      </w:r>
      <w:r>
        <w:rPr>
          <w:lang w:val="fr-FR"/>
        </w:rPr>
        <w:t> ;</w:t>
      </w:r>
    </w:p>
    <w:p w14:paraId="70870BC1" w14:textId="5C3C44D6" w:rsidR="0044384C" w:rsidRPr="00377A01" w:rsidRDefault="0044384C" w:rsidP="0044384C">
      <w:pPr>
        <w:pStyle w:val="SingleTxt"/>
        <w:tabs>
          <w:tab w:val="right" w:pos="1685"/>
        </w:tabs>
        <w:ind w:left="1742" w:hanging="475"/>
        <w:rPr>
          <w:lang w:val="fr-FR"/>
        </w:rPr>
      </w:pPr>
      <w:r w:rsidRPr="00377A01">
        <w:rPr>
          <w:lang w:val="fr-FR"/>
        </w:rPr>
        <w:tab/>
        <w:t>•</w:t>
      </w:r>
      <w:r w:rsidRPr="00377A01">
        <w:rPr>
          <w:lang w:val="fr-FR"/>
        </w:rPr>
        <w:tab/>
        <w:t>13</w:t>
      </w:r>
      <w:r w:rsidR="00BC6C36">
        <w:rPr>
          <w:lang w:val="fr-FR"/>
        </w:rPr>
        <w:t> </w:t>
      </w:r>
      <w:r w:rsidRPr="00377A01">
        <w:rPr>
          <w:lang w:val="fr-FR"/>
        </w:rPr>
        <w:t xml:space="preserve">056 </w:t>
      </w:r>
      <w:r>
        <w:rPr>
          <w:lang w:val="fr-FR"/>
        </w:rPr>
        <w:t>femmes</w:t>
      </w:r>
      <w:r w:rsidRPr="00C6618C">
        <w:rPr>
          <w:rStyle w:val="FootnoteReference"/>
          <w:lang w:val="fr-FR"/>
        </w:rPr>
        <w:footnoteReference w:id="13"/>
      </w:r>
      <w:r w:rsidRPr="00377A01">
        <w:rPr>
          <w:lang w:val="fr-FR"/>
        </w:rPr>
        <w:t xml:space="preserve"> </w:t>
      </w:r>
      <w:r>
        <w:rPr>
          <w:lang w:val="fr-FR"/>
        </w:rPr>
        <w:t>ont été victimes de délits/infractions de caractère pénal, et 36 d’entre elles (femmes/jeunes filles)</w:t>
      </w:r>
      <w:r w:rsidRPr="00C6618C">
        <w:rPr>
          <w:rStyle w:val="FootnoteReference"/>
          <w:lang w:val="fr-FR"/>
        </w:rPr>
        <w:footnoteReference w:id="14"/>
      </w:r>
      <w:r w:rsidRPr="00377A01">
        <w:rPr>
          <w:lang w:val="fr-FR"/>
        </w:rPr>
        <w:t xml:space="preserve"> </w:t>
      </w:r>
      <w:r>
        <w:rPr>
          <w:lang w:val="fr-FR"/>
        </w:rPr>
        <w:t>ont perdu la vie ;</w:t>
      </w:r>
    </w:p>
    <w:p w14:paraId="07DADFEE" w14:textId="67502819" w:rsidR="0044384C" w:rsidRPr="00377A01" w:rsidRDefault="0044384C" w:rsidP="0044384C">
      <w:pPr>
        <w:pStyle w:val="SingleTxt"/>
        <w:tabs>
          <w:tab w:val="right" w:pos="1685"/>
        </w:tabs>
        <w:ind w:left="1742" w:hanging="475"/>
        <w:rPr>
          <w:lang w:val="fr-FR"/>
        </w:rPr>
      </w:pPr>
      <w:r w:rsidRPr="00377A01">
        <w:rPr>
          <w:lang w:val="fr-FR"/>
        </w:rPr>
        <w:tab/>
        <w:t>•</w:t>
      </w:r>
      <w:r w:rsidRPr="00377A01">
        <w:rPr>
          <w:lang w:val="fr-FR"/>
        </w:rPr>
        <w:tab/>
        <w:t xml:space="preserve">28 </w:t>
      </w:r>
      <w:r>
        <w:rPr>
          <w:lang w:val="fr-FR"/>
        </w:rPr>
        <w:t>femmes/jeunes filles parmi celles qui ont été tuées l’ont été par des membres de la famille</w:t>
      </w:r>
      <w:r w:rsidRPr="00C6618C">
        <w:rPr>
          <w:rStyle w:val="FootnoteReference"/>
          <w:lang w:val="fr-FR"/>
        </w:rPr>
        <w:footnoteReference w:id="15"/>
      </w:r>
      <w:r>
        <w:rPr>
          <w:lang w:val="fr-FR"/>
        </w:rPr>
        <w:t>, dont</w:t>
      </w:r>
      <w:r w:rsidRPr="00377A01">
        <w:rPr>
          <w:lang w:val="fr-FR"/>
        </w:rPr>
        <w:t xml:space="preserve"> 19 </w:t>
      </w:r>
      <w:r>
        <w:rPr>
          <w:lang w:val="fr-FR"/>
        </w:rPr>
        <w:t>par leur conjoint</w:t>
      </w:r>
      <w:r w:rsidRPr="00377A01">
        <w:rPr>
          <w:lang w:val="fr-FR"/>
        </w:rPr>
        <w:t xml:space="preserve"> (9 </w:t>
      </w:r>
      <w:r>
        <w:rPr>
          <w:lang w:val="fr-FR"/>
        </w:rPr>
        <w:t>en</w:t>
      </w:r>
      <w:r w:rsidRPr="00377A01">
        <w:rPr>
          <w:lang w:val="fr-FR"/>
        </w:rPr>
        <w:t xml:space="preserve"> 2016, 6 </w:t>
      </w:r>
      <w:r>
        <w:rPr>
          <w:lang w:val="fr-FR"/>
        </w:rPr>
        <w:t>en</w:t>
      </w:r>
      <w:r w:rsidRPr="00377A01">
        <w:rPr>
          <w:lang w:val="fr-FR"/>
        </w:rPr>
        <w:t xml:space="preserve"> 2017, </w:t>
      </w:r>
      <w:r>
        <w:rPr>
          <w:lang w:val="fr-FR"/>
        </w:rPr>
        <w:t>et</w:t>
      </w:r>
      <w:r w:rsidRPr="00377A01">
        <w:rPr>
          <w:lang w:val="fr-FR"/>
        </w:rPr>
        <w:t xml:space="preserve"> 4 </w:t>
      </w:r>
      <w:r>
        <w:rPr>
          <w:lang w:val="fr-FR"/>
        </w:rPr>
        <w:t>entre janvier et juin</w:t>
      </w:r>
      <w:r w:rsidRPr="00377A01">
        <w:rPr>
          <w:lang w:val="fr-FR"/>
        </w:rPr>
        <w:t xml:space="preserve"> 2018)</w:t>
      </w:r>
      <w:r>
        <w:rPr>
          <w:lang w:val="fr-FR"/>
        </w:rPr>
        <w:t> ;</w:t>
      </w:r>
    </w:p>
    <w:p w14:paraId="72CD67D4" w14:textId="0F29AC8C" w:rsidR="0044384C" w:rsidRPr="00377A01" w:rsidRDefault="0044384C" w:rsidP="0044384C">
      <w:pPr>
        <w:pStyle w:val="SingleTxt"/>
        <w:tabs>
          <w:tab w:val="right" w:pos="1685"/>
        </w:tabs>
        <w:ind w:left="1742" w:hanging="475"/>
        <w:rPr>
          <w:lang w:val="fr-FR"/>
        </w:rPr>
      </w:pPr>
      <w:r w:rsidRPr="00377A01">
        <w:rPr>
          <w:lang w:val="fr-FR"/>
        </w:rPr>
        <w:tab/>
        <w:t>•</w:t>
      </w:r>
      <w:r w:rsidRPr="00377A01">
        <w:rPr>
          <w:lang w:val="fr-FR"/>
        </w:rPr>
        <w:tab/>
      </w:r>
      <w:r>
        <w:rPr>
          <w:lang w:val="fr-FR"/>
        </w:rPr>
        <w:t>Pendant l’année</w:t>
      </w:r>
      <w:r w:rsidRPr="00377A01">
        <w:rPr>
          <w:lang w:val="fr-FR"/>
        </w:rPr>
        <w:t xml:space="preserve"> 2017</w:t>
      </w:r>
      <w:r>
        <w:rPr>
          <w:lang w:val="fr-FR"/>
        </w:rPr>
        <w:t xml:space="preserve">, le nombre d’homicides a reculé de </w:t>
      </w:r>
      <w:r w:rsidRPr="00377A01">
        <w:rPr>
          <w:lang w:val="fr-FR"/>
        </w:rPr>
        <w:t>18</w:t>
      </w:r>
      <w:r>
        <w:rPr>
          <w:lang w:val="fr-FR"/>
        </w:rPr>
        <w:t>,</w:t>
      </w:r>
      <w:r w:rsidRPr="00377A01">
        <w:rPr>
          <w:lang w:val="fr-FR"/>
        </w:rPr>
        <w:t>75</w:t>
      </w:r>
      <w:r w:rsidR="00BC6C36">
        <w:rPr>
          <w:lang w:val="fr-FR"/>
        </w:rPr>
        <w:t> </w:t>
      </w:r>
      <w:r w:rsidRPr="00377A01">
        <w:rPr>
          <w:lang w:val="fr-FR"/>
        </w:rPr>
        <w:t xml:space="preserve">% </w:t>
      </w:r>
      <w:r>
        <w:rPr>
          <w:lang w:val="fr-FR"/>
        </w:rPr>
        <w:t>par rapport à l’année 2016</w:t>
      </w:r>
      <w:r w:rsidRPr="00377A01">
        <w:rPr>
          <w:lang w:val="fr-FR"/>
        </w:rPr>
        <w:t>.</w:t>
      </w:r>
    </w:p>
    <w:p w14:paraId="4D151CF6" w14:textId="4CCD326D" w:rsidR="0044384C" w:rsidRPr="00377A01" w:rsidRDefault="0044384C" w:rsidP="00BC6C36">
      <w:pPr>
        <w:pStyle w:val="SingleTxt"/>
        <w:numPr>
          <w:ilvl w:val="0"/>
          <w:numId w:val="31"/>
        </w:numPr>
        <w:spacing w:line="240" w:lineRule="exact"/>
        <w:rPr>
          <w:lang w:val="fr-FR"/>
        </w:rPr>
      </w:pPr>
      <w:r>
        <w:rPr>
          <w:lang w:val="fr-FR"/>
        </w:rPr>
        <w:t xml:space="preserve">D’après le Bureau du Procureur général, s’agissant de l’infraction pénale de « violence domestique » telle que visée à l’article </w:t>
      </w:r>
      <w:r w:rsidRPr="00377A01">
        <w:rPr>
          <w:lang w:val="fr-FR"/>
        </w:rPr>
        <w:t>130 a</w:t>
      </w:r>
      <w:r>
        <w:rPr>
          <w:lang w:val="fr-FR"/>
        </w:rPr>
        <w:t>) du Code pénal, le nombre de procédures pénales enregistrées a été le suivant</w:t>
      </w:r>
      <w:r w:rsidR="00C6618C">
        <w:rPr>
          <w:lang w:val="fr-FR"/>
        </w:rPr>
        <w:t> :</w:t>
      </w:r>
      <w:r w:rsidRPr="00377A01">
        <w:rPr>
          <w:lang w:val="fr-FR"/>
        </w:rPr>
        <w:t xml:space="preserve"> </w:t>
      </w:r>
    </w:p>
    <w:p w14:paraId="3E04E767" w14:textId="0A176432" w:rsidR="0044384C" w:rsidRPr="00377A01" w:rsidRDefault="0044384C" w:rsidP="0044384C">
      <w:pPr>
        <w:pStyle w:val="SingleTxt"/>
        <w:tabs>
          <w:tab w:val="right" w:pos="1685"/>
        </w:tabs>
        <w:ind w:left="1742" w:hanging="475"/>
        <w:rPr>
          <w:lang w:val="fr-FR"/>
        </w:rPr>
      </w:pPr>
      <w:r w:rsidRPr="00377A01">
        <w:rPr>
          <w:lang w:val="fr-FR"/>
        </w:rPr>
        <w:tab/>
        <w:t>•</w:t>
      </w:r>
      <w:r w:rsidRPr="00377A01">
        <w:rPr>
          <w:lang w:val="fr-FR"/>
        </w:rPr>
        <w:tab/>
      </w:r>
      <w:r>
        <w:rPr>
          <w:lang w:val="fr-FR"/>
        </w:rPr>
        <w:t>Année</w:t>
      </w:r>
      <w:r w:rsidRPr="00377A01">
        <w:rPr>
          <w:lang w:val="fr-FR"/>
        </w:rPr>
        <w:t xml:space="preserve"> 2016 </w:t>
      </w:r>
      <w:r w:rsidR="00A42FBF">
        <w:rPr>
          <w:lang w:val="fr-FR"/>
        </w:rPr>
        <w:t>–</w:t>
      </w:r>
      <w:r w:rsidRPr="00377A01">
        <w:rPr>
          <w:lang w:val="fr-FR"/>
        </w:rPr>
        <w:t xml:space="preserve"> 1</w:t>
      </w:r>
      <w:r w:rsidR="00A42FBF">
        <w:rPr>
          <w:lang w:val="fr-FR"/>
        </w:rPr>
        <w:t> </w:t>
      </w:r>
      <w:r w:rsidRPr="00377A01">
        <w:rPr>
          <w:lang w:val="fr-FR"/>
        </w:rPr>
        <w:t xml:space="preserve">355 </w:t>
      </w:r>
      <w:r>
        <w:rPr>
          <w:lang w:val="fr-FR"/>
        </w:rPr>
        <w:t xml:space="preserve">procédures pénales, soit une augmentation de </w:t>
      </w:r>
      <w:r w:rsidRPr="00377A01">
        <w:rPr>
          <w:lang w:val="fr-FR"/>
        </w:rPr>
        <w:t>12</w:t>
      </w:r>
      <w:r>
        <w:rPr>
          <w:lang w:val="fr-FR"/>
        </w:rPr>
        <w:t>,</w:t>
      </w:r>
      <w:r w:rsidRPr="00377A01">
        <w:rPr>
          <w:lang w:val="fr-FR"/>
        </w:rPr>
        <w:t>4</w:t>
      </w:r>
      <w:r w:rsidR="00A42FBF">
        <w:rPr>
          <w:lang w:val="fr-FR"/>
        </w:rPr>
        <w:t> </w:t>
      </w:r>
      <w:r w:rsidRPr="00377A01">
        <w:rPr>
          <w:lang w:val="fr-FR"/>
        </w:rPr>
        <w:t xml:space="preserve">% </w:t>
      </w:r>
      <w:r>
        <w:rPr>
          <w:lang w:val="fr-FR"/>
        </w:rPr>
        <w:t>par rapport à l’année 2015</w:t>
      </w:r>
      <w:r w:rsidRPr="00C6618C">
        <w:rPr>
          <w:rStyle w:val="FootnoteReference"/>
          <w:lang w:val="fr-FR"/>
        </w:rPr>
        <w:footnoteReference w:id="16"/>
      </w:r>
      <w:r>
        <w:rPr>
          <w:lang w:val="fr-FR"/>
        </w:rPr>
        <w:t> ;</w:t>
      </w:r>
      <w:r w:rsidRPr="00377A01">
        <w:rPr>
          <w:lang w:val="fr-FR"/>
        </w:rPr>
        <w:t xml:space="preserve"> </w:t>
      </w:r>
    </w:p>
    <w:p w14:paraId="5D2E32AF" w14:textId="2A9D48AE" w:rsidR="0044384C" w:rsidRPr="00377A01" w:rsidRDefault="0044384C" w:rsidP="0044384C">
      <w:pPr>
        <w:pStyle w:val="SingleTxt"/>
        <w:tabs>
          <w:tab w:val="right" w:pos="1685"/>
        </w:tabs>
        <w:ind w:left="1742" w:hanging="475"/>
        <w:rPr>
          <w:lang w:val="fr-FR"/>
        </w:rPr>
      </w:pPr>
      <w:r w:rsidRPr="00377A01">
        <w:rPr>
          <w:lang w:val="fr-FR"/>
        </w:rPr>
        <w:tab/>
        <w:t>•</w:t>
      </w:r>
      <w:r w:rsidRPr="00377A01">
        <w:rPr>
          <w:lang w:val="fr-FR"/>
        </w:rPr>
        <w:tab/>
      </w:r>
      <w:r>
        <w:rPr>
          <w:lang w:val="fr-FR"/>
        </w:rPr>
        <w:t>Année</w:t>
      </w:r>
      <w:r w:rsidRPr="00377A01">
        <w:rPr>
          <w:lang w:val="fr-FR"/>
        </w:rPr>
        <w:t xml:space="preserve"> 2017</w:t>
      </w:r>
      <w:r w:rsidR="00A42FBF">
        <w:rPr>
          <w:lang w:val="fr-FR"/>
        </w:rPr>
        <w:t xml:space="preserve"> –</w:t>
      </w:r>
      <w:r w:rsidRPr="00377A01">
        <w:rPr>
          <w:lang w:val="fr-FR"/>
        </w:rPr>
        <w:t xml:space="preserve"> 1</w:t>
      </w:r>
      <w:r w:rsidR="00A42FBF">
        <w:rPr>
          <w:lang w:val="fr-FR"/>
        </w:rPr>
        <w:t> </w:t>
      </w:r>
      <w:r w:rsidRPr="00377A01">
        <w:rPr>
          <w:lang w:val="fr-FR"/>
        </w:rPr>
        <w:t xml:space="preserve">310 </w:t>
      </w:r>
      <w:r>
        <w:rPr>
          <w:lang w:val="fr-FR"/>
        </w:rPr>
        <w:t>procédures pénales, soit une diminution de</w:t>
      </w:r>
      <w:r w:rsidRPr="00377A01">
        <w:rPr>
          <w:lang w:val="fr-FR"/>
        </w:rPr>
        <w:t xml:space="preserve"> 3</w:t>
      </w:r>
      <w:r>
        <w:rPr>
          <w:lang w:val="fr-FR"/>
        </w:rPr>
        <w:t>,</w:t>
      </w:r>
      <w:r w:rsidRPr="00377A01">
        <w:rPr>
          <w:lang w:val="fr-FR"/>
        </w:rPr>
        <w:t>3</w:t>
      </w:r>
      <w:r w:rsidR="00A42FBF">
        <w:rPr>
          <w:lang w:val="fr-FR"/>
        </w:rPr>
        <w:t> </w:t>
      </w:r>
      <w:r w:rsidRPr="00377A01">
        <w:rPr>
          <w:lang w:val="fr-FR"/>
        </w:rPr>
        <w:t xml:space="preserve">% </w:t>
      </w:r>
      <w:r>
        <w:rPr>
          <w:lang w:val="fr-FR"/>
        </w:rPr>
        <w:t>par rapport à l’année précédente</w:t>
      </w:r>
      <w:r w:rsidRPr="00377A01">
        <w:rPr>
          <w:lang w:val="fr-FR"/>
        </w:rPr>
        <w:t xml:space="preserve"> (2016)</w:t>
      </w:r>
      <w:r>
        <w:rPr>
          <w:lang w:val="fr-FR"/>
        </w:rPr>
        <w:t> ;</w:t>
      </w:r>
    </w:p>
    <w:p w14:paraId="505B3C5D" w14:textId="58B65E29" w:rsidR="0044384C" w:rsidRPr="00377A01" w:rsidRDefault="0044384C" w:rsidP="0044384C">
      <w:pPr>
        <w:pStyle w:val="SingleTxt"/>
        <w:tabs>
          <w:tab w:val="right" w:pos="1685"/>
        </w:tabs>
        <w:ind w:left="1742" w:hanging="475"/>
        <w:rPr>
          <w:lang w:val="fr-FR"/>
        </w:rPr>
      </w:pPr>
      <w:r w:rsidRPr="00377A01">
        <w:rPr>
          <w:lang w:val="fr-FR"/>
        </w:rPr>
        <w:tab/>
        <w:t>•</w:t>
      </w:r>
      <w:r w:rsidRPr="00377A01">
        <w:rPr>
          <w:lang w:val="fr-FR"/>
        </w:rPr>
        <w:tab/>
      </w:r>
      <w:r>
        <w:rPr>
          <w:lang w:val="fr-FR"/>
        </w:rPr>
        <w:t>Année</w:t>
      </w:r>
      <w:r w:rsidRPr="00377A01">
        <w:rPr>
          <w:lang w:val="fr-FR"/>
        </w:rPr>
        <w:t xml:space="preserve"> 2018 </w:t>
      </w:r>
      <w:r w:rsidR="00A42FBF">
        <w:rPr>
          <w:lang w:val="fr-FR"/>
        </w:rPr>
        <w:t xml:space="preserve">– </w:t>
      </w:r>
      <w:r w:rsidRPr="00377A01">
        <w:rPr>
          <w:lang w:val="fr-FR"/>
        </w:rPr>
        <w:t xml:space="preserve">901 </w:t>
      </w:r>
      <w:r>
        <w:rPr>
          <w:lang w:val="fr-FR"/>
        </w:rPr>
        <w:t>procédures pénales</w:t>
      </w:r>
      <w:r w:rsidRPr="00C6618C">
        <w:rPr>
          <w:rStyle w:val="FootnoteReference"/>
          <w:lang w:val="fr-FR"/>
        </w:rPr>
        <w:footnoteReference w:id="17"/>
      </w:r>
      <w:r>
        <w:rPr>
          <w:lang w:val="fr-FR"/>
        </w:rPr>
        <w:t>.</w:t>
      </w:r>
      <w:r w:rsidRPr="00377A01">
        <w:rPr>
          <w:lang w:val="fr-FR"/>
        </w:rPr>
        <w:t xml:space="preserve"> </w:t>
      </w:r>
    </w:p>
    <w:p w14:paraId="57279EFD" w14:textId="2E64BCF6" w:rsidR="0044384C" w:rsidRPr="00377A01" w:rsidRDefault="0044384C" w:rsidP="00A42FBF">
      <w:pPr>
        <w:pStyle w:val="SingleTxt"/>
        <w:numPr>
          <w:ilvl w:val="0"/>
          <w:numId w:val="31"/>
        </w:numPr>
        <w:spacing w:line="240" w:lineRule="exact"/>
        <w:rPr>
          <w:lang w:val="fr-FR"/>
        </w:rPr>
      </w:pPr>
      <w:r>
        <w:rPr>
          <w:lang w:val="fr-FR"/>
        </w:rPr>
        <w:t>Le Bureau du Procureur a saisi les tribunaux de plus de</w:t>
      </w:r>
      <w:r w:rsidRPr="00377A01">
        <w:rPr>
          <w:lang w:val="fr-FR"/>
        </w:rPr>
        <w:t xml:space="preserve"> 79</w:t>
      </w:r>
      <w:r w:rsidR="00A42FBF">
        <w:rPr>
          <w:lang w:val="fr-FR"/>
        </w:rPr>
        <w:t> </w:t>
      </w:r>
      <w:r w:rsidRPr="00377A01">
        <w:rPr>
          <w:lang w:val="fr-FR"/>
        </w:rPr>
        <w:t xml:space="preserve">% </w:t>
      </w:r>
      <w:r>
        <w:rPr>
          <w:lang w:val="fr-FR"/>
        </w:rPr>
        <w:t>des affaires pénales. Selon les données disponibles</w:t>
      </w:r>
      <w:r w:rsidR="00C6618C">
        <w:rPr>
          <w:lang w:val="fr-FR"/>
        </w:rPr>
        <w:t> :</w:t>
      </w:r>
    </w:p>
    <w:p w14:paraId="260B3CA2" w14:textId="31777E04" w:rsidR="0044384C" w:rsidRPr="00377A01" w:rsidRDefault="0044384C" w:rsidP="0044384C">
      <w:pPr>
        <w:pStyle w:val="SingleTxt"/>
        <w:tabs>
          <w:tab w:val="right" w:pos="1685"/>
        </w:tabs>
        <w:ind w:left="1742" w:hanging="475"/>
        <w:rPr>
          <w:lang w:val="fr-FR"/>
        </w:rPr>
      </w:pPr>
      <w:r w:rsidRPr="00377A01">
        <w:rPr>
          <w:lang w:val="fr-FR"/>
        </w:rPr>
        <w:tab/>
        <w:t>•</w:t>
      </w:r>
      <w:r w:rsidRPr="00377A01">
        <w:rPr>
          <w:lang w:val="fr-FR"/>
        </w:rPr>
        <w:tab/>
      </w:r>
      <w:r>
        <w:rPr>
          <w:lang w:val="fr-FR"/>
        </w:rPr>
        <w:t>E</w:t>
      </w:r>
      <w:r w:rsidRPr="00377A01">
        <w:rPr>
          <w:lang w:val="fr-FR"/>
        </w:rPr>
        <w:t>n 2016</w:t>
      </w:r>
      <w:r w:rsidR="00A42FBF">
        <w:rPr>
          <w:lang w:val="fr-FR"/>
        </w:rPr>
        <w:t xml:space="preserve"> –</w:t>
      </w:r>
      <w:r w:rsidRPr="00377A01">
        <w:rPr>
          <w:lang w:val="fr-FR"/>
        </w:rPr>
        <w:t xml:space="preserve"> 1</w:t>
      </w:r>
      <w:r w:rsidR="00A42FBF">
        <w:rPr>
          <w:lang w:val="fr-FR"/>
        </w:rPr>
        <w:t> </w:t>
      </w:r>
      <w:r w:rsidRPr="00377A01">
        <w:rPr>
          <w:lang w:val="fr-FR"/>
        </w:rPr>
        <w:t xml:space="preserve">157 </w:t>
      </w:r>
      <w:r>
        <w:rPr>
          <w:lang w:val="fr-FR"/>
        </w:rPr>
        <w:t xml:space="preserve">procédures pénales ont donné lieu à un procès, et </w:t>
      </w:r>
      <w:r w:rsidRPr="00377A01">
        <w:rPr>
          <w:lang w:val="fr-FR"/>
        </w:rPr>
        <w:t>1</w:t>
      </w:r>
      <w:r w:rsidR="00A42FBF">
        <w:rPr>
          <w:lang w:val="fr-FR"/>
        </w:rPr>
        <w:t> </w:t>
      </w:r>
      <w:r w:rsidRPr="00377A01">
        <w:rPr>
          <w:lang w:val="fr-FR"/>
        </w:rPr>
        <w:t xml:space="preserve">099 </w:t>
      </w:r>
      <w:r>
        <w:rPr>
          <w:lang w:val="fr-FR"/>
        </w:rPr>
        <w:t>des accusés (sur 1</w:t>
      </w:r>
      <w:r w:rsidR="00A42FBF">
        <w:rPr>
          <w:lang w:val="fr-FR"/>
        </w:rPr>
        <w:t> </w:t>
      </w:r>
      <w:r>
        <w:rPr>
          <w:lang w:val="fr-FR"/>
        </w:rPr>
        <w:t>238) ont été condamnés par une décision de justice</w:t>
      </w:r>
      <w:r w:rsidRPr="00C6618C">
        <w:rPr>
          <w:rStyle w:val="FootnoteReference"/>
          <w:lang w:val="fr-FR"/>
        </w:rPr>
        <w:footnoteReference w:id="18"/>
      </w:r>
      <w:r>
        <w:rPr>
          <w:lang w:val="fr-FR"/>
        </w:rPr>
        <w:t> ;</w:t>
      </w:r>
      <w:r w:rsidRPr="00377A01">
        <w:rPr>
          <w:lang w:val="fr-FR"/>
        </w:rPr>
        <w:t xml:space="preserve"> </w:t>
      </w:r>
    </w:p>
    <w:p w14:paraId="1821DBD6" w14:textId="629D19D2" w:rsidR="0044384C" w:rsidRPr="00377A01" w:rsidRDefault="0044384C" w:rsidP="0044384C">
      <w:pPr>
        <w:pStyle w:val="SingleTxt"/>
        <w:tabs>
          <w:tab w:val="right" w:pos="1685"/>
        </w:tabs>
        <w:ind w:left="1742" w:hanging="475"/>
        <w:rPr>
          <w:lang w:val="fr-FR"/>
        </w:rPr>
      </w:pPr>
      <w:r w:rsidRPr="00377A01">
        <w:rPr>
          <w:lang w:val="fr-FR"/>
        </w:rPr>
        <w:lastRenderedPageBreak/>
        <w:tab/>
        <w:t>•</w:t>
      </w:r>
      <w:r w:rsidRPr="00377A01">
        <w:rPr>
          <w:lang w:val="fr-FR"/>
        </w:rPr>
        <w:tab/>
      </w:r>
      <w:r>
        <w:rPr>
          <w:lang w:val="fr-FR"/>
        </w:rPr>
        <w:t xml:space="preserve">En </w:t>
      </w:r>
      <w:r w:rsidRPr="00377A01">
        <w:rPr>
          <w:lang w:val="fr-FR"/>
        </w:rPr>
        <w:t>2017</w:t>
      </w:r>
      <w:r w:rsidR="00A42FBF">
        <w:rPr>
          <w:lang w:val="fr-FR"/>
        </w:rPr>
        <w:t xml:space="preserve"> –</w:t>
      </w:r>
      <w:r w:rsidRPr="00377A01">
        <w:rPr>
          <w:lang w:val="fr-FR"/>
        </w:rPr>
        <w:t xml:space="preserve"> 1</w:t>
      </w:r>
      <w:r w:rsidR="00A42FBF">
        <w:rPr>
          <w:lang w:val="fr-FR"/>
        </w:rPr>
        <w:t> </w:t>
      </w:r>
      <w:r w:rsidRPr="00377A01">
        <w:rPr>
          <w:lang w:val="fr-FR"/>
        </w:rPr>
        <w:t xml:space="preserve">057 </w:t>
      </w:r>
      <w:r>
        <w:rPr>
          <w:lang w:val="fr-FR"/>
        </w:rPr>
        <w:t xml:space="preserve">procédures pénales ont donné lieu à un procès, et </w:t>
      </w:r>
      <w:r w:rsidRPr="00377A01">
        <w:rPr>
          <w:lang w:val="fr-FR"/>
        </w:rPr>
        <w:t xml:space="preserve">982 </w:t>
      </w:r>
      <w:r>
        <w:rPr>
          <w:lang w:val="fr-FR"/>
        </w:rPr>
        <w:t xml:space="preserve">accusés </w:t>
      </w:r>
      <w:r w:rsidRPr="00377A01">
        <w:rPr>
          <w:lang w:val="fr-FR"/>
        </w:rPr>
        <w:t>(</w:t>
      </w:r>
      <w:r>
        <w:rPr>
          <w:lang w:val="fr-FR"/>
        </w:rPr>
        <w:t>sur</w:t>
      </w:r>
      <w:r w:rsidRPr="00377A01">
        <w:rPr>
          <w:lang w:val="fr-FR"/>
        </w:rPr>
        <w:t xml:space="preserve"> 1</w:t>
      </w:r>
      <w:r w:rsidR="00A42FBF">
        <w:rPr>
          <w:lang w:val="fr-FR"/>
        </w:rPr>
        <w:t> </w:t>
      </w:r>
      <w:r w:rsidRPr="00377A01">
        <w:rPr>
          <w:lang w:val="fr-FR"/>
        </w:rPr>
        <w:t xml:space="preserve">104) </w:t>
      </w:r>
      <w:r>
        <w:rPr>
          <w:lang w:val="fr-FR"/>
        </w:rPr>
        <w:t>ont été condamnés par une décision de justice.</w:t>
      </w:r>
      <w:r w:rsidRPr="00377A01">
        <w:rPr>
          <w:lang w:val="fr-FR"/>
        </w:rPr>
        <w:t xml:space="preserve"> </w:t>
      </w:r>
    </w:p>
    <w:p w14:paraId="65FB5112" w14:textId="108DDEC2" w:rsidR="0044384C" w:rsidRPr="00377A01" w:rsidRDefault="0044384C" w:rsidP="00A42FBF">
      <w:pPr>
        <w:pStyle w:val="SingleTxt"/>
        <w:numPr>
          <w:ilvl w:val="0"/>
          <w:numId w:val="31"/>
        </w:numPr>
        <w:spacing w:line="240" w:lineRule="exact"/>
        <w:rPr>
          <w:lang w:val="fr-FR"/>
        </w:rPr>
      </w:pPr>
      <w:r>
        <w:rPr>
          <w:lang w:val="fr-FR"/>
        </w:rPr>
        <w:t xml:space="preserve">Pendant les </w:t>
      </w:r>
      <w:r w:rsidR="00A42FBF">
        <w:rPr>
          <w:lang w:val="fr-FR"/>
        </w:rPr>
        <w:t>neuf</w:t>
      </w:r>
      <w:r>
        <w:rPr>
          <w:lang w:val="fr-FR"/>
        </w:rPr>
        <w:t xml:space="preserve"> premiers mois de 2018, 625 procédures pénales ont été engagées, et </w:t>
      </w:r>
      <w:r w:rsidRPr="00377A01">
        <w:rPr>
          <w:lang w:val="fr-FR"/>
        </w:rPr>
        <w:t xml:space="preserve">569 </w:t>
      </w:r>
      <w:r>
        <w:rPr>
          <w:lang w:val="fr-FR"/>
        </w:rPr>
        <w:t>accusés</w:t>
      </w:r>
      <w:r w:rsidRPr="00377A01">
        <w:rPr>
          <w:lang w:val="fr-FR"/>
        </w:rPr>
        <w:t xml:space="preserve"> (</w:t>
      </w:r>
      <w:r>
        <w:rPr>
          <w:lang w:val="fr-FR"/>
        </w:rPr>
        <w:t>sur</w:t>
      </w:r>
      <w:r w:rsidRPr="00377A01">
        <w:rPr>
          <w:lang w:val="fr-FR"/>
        </w:rPr>
        <w:t xml:space="preserve"> 669) </w:t>
      </w:r>
      <w:r>
        <w:rPr>
          <w:lang w:val="fr-FR"/>
        </w:rPr>
        <w:t>ont été condamnés par une décision de justice.</w:t>
      </w:r>
    </w:p>
    <w:p w14:paraId="7561FF72" w14:textId="349508F2" w:rsidR="0044384C" w:rsidRPr="00377A01" w:rsidRDefault="0044384C" w:rsidP="00011B49">
      <w:pPr>
        <w:pStyle w:val="SingleTxt"/>
        <w:numPr>
          <w:ilvl w:val="0"/>
          <w:numId w:val="31"/>
        </w:numPr>
        <w:spacing w:line="240" w:lineRule="exact"/>
        <w:rPr>
          <w:lang w:val="fr-FR"/>
        </w:rPr>
      </w:pPr>
      <w:r>
        <w:rPr>
          <w:lang w:val="fr-FR"/>
        </w:rPr>
        <w:t>L’Institut national de statistique (</w:t>
      </w:r>
      <w:r w:rsidRPr="00377A01">
        <w:rPr>
          <w:lang w:val="fr-FR"/>
        </w:rPr>
        <w:t>INSTAT</w:t>
      </w:r>
      <w:r>
        <w:rPr>
          <w:lang w:val="fr-FR"/>
        </w:rPr>
        <w:t>) a publié un document intitulé « Les hommes et les femmes en Albanie en</w:t>
      </w:r>
      <w:r w:rsidRPr="00377A01">
        <w:rPr>
          <w:lang w:val="fr-FR"/>
        </w:rPr>
        <w:t xml:space="preserve"> 2018</w:t>
      </w:r>
      <w:r>
        <w:rPr>
          <w:lang w:val="fr-FR"/>
        </w:rPr>
        <w:t> »</w:t>
      </w:r>
      <w:r w:rsidRPr="00377A01">
        <w:rPr>
          <w:lang w:val="fr-FR"/>
        </w:rPr>
        <w:t xml:space="preserve">, </w:t>
      </w:r>
      <w:r>
        <w:rPr>
          <w:lang w:val="fr-FR"/>
        </w:rPr>
        <w:t>qui donne des données ventilées par sexe pour chaque secteur de la justice, de la police, du Bureau du Procureur, du Ministère de la justice, du service des probations et des prisons</w:t>
      </w:r>
      <w:r w:rsidR="00C6618C">
        <w:rPr>
          <w:lang w:val="fr-FR"/>
        </w:rPr>
        <w:t> :</w:t>
      </w:r>
    </w:p>
    <w:p w14:paraId="4B91A56F" w14:textId="6D85A5A9" w:rsidR="0044384C" w:rsidRPr="00377A01" w:rsidRDefault="0044384C" w:rsidP="0044384C">
      <w:pPr>
        <w:pStyle w:val="SingleTxt"/>
        <w:tabs>
          <w:tab w:val="right" w:pos="1685"/>
        </w:tabs>
        <w:ind w:left="1742" w:hanging="475"/>
        <w:rPr>
          <w:lang w:val="fr-FR"/>
        </w:rPr>
      </w:pPr>
      <w:r w:rsidRPr="00377A01">
        <w:rPr>
          <w:lang w:val="fr-FR"/>
        </w:rPr>
        <w:tab/>
        <w:t>•</w:t>
      </w:r>
      <w:r w:rsidRPr="00377A01">
        <w:rPr>
          <w:lang w:val="fr-FR"/>
        </w:rPr>
        <w:tab/>
      </w:r>
      <w:r>
        <w:rPr>
          <w:lang w:val="fr-FR"/>
        </w:rPr>
        <w:t xml:space="preserve">Le district de </w:t>
      </w:r>
      <w:r w:rsidRPr="00377A01">
        <w:rPr>
          <w:lang w:val="fr-FR"/>
        </w:rPr>
        <w:t>Tirana</w:t>
      </w:r>
      <w:r>
        <w:rPr>
          <w:lang w:val="fr-FR"/>
        </w:rPr>
        <w:t xml:space="preserve"> connaît le plus fort pourcentage de femmes victimes de violence domestique, avec</w:t>
      </w:r>
      <w:r w:rsidRPr="00377A01">
        <w:rPr>
          <w:lang w:val="fr-FR"/>
        </w:rPr>
        <w:t xml:space="preserve"> 35</w:t>
      </w:r>
      <w:r>
        <w:rPr>
          <w:lang w:val="fr-FR"/>
        </w:rPr>
        <w:t>,</w:t>
      </w:r>
      <w:r w:rsidRPr="00377A01">
        <w:rPr>
          <w:lang w:val="fr-FR"/>
        </w:rPr>
        <w:t>8</w:t>
      </w:r>
      <w:r w:rsidR="00011B49">
        <w:rPr>
          <w:lang w:val="fr-FR"/>
        </w:rPr>
        <w:t> </w:t>
      </w:r>
      <w:r w:rsidRPr="00377A01">
        <w:rPr>
          <w:lang w:val="fr-FR"/>
        </w:rPr>
        <w:t>%</w:t>
      </w:r>
      <w:r>
        <w:rPr>
          <w:lang w:val="fr-FR"/>
        </w:rPr>
        <w:t xml:space="preserve"> ; il est suivi par </w:t>
      </w:r>
      <w:r w:rsidR="00011B49">
        <w:rPr>
          <w:lang w:val="fr-FR"/>
        </w:rPr>
        <w:t>l</w:t>
      </w:r>
      <w:r>
        <w:rPr>
          <w:lang w:val="fr-FR"/>
        </w:rPr>
        <w:t xml:space="preserve">a région de </w:t>
      </w:r>
      <w:r w:rsidRPr="00377A01">
        <w:rPr>
          <w:lang w:val="fr-FR"/>
        </w:rPr>
        <w:t>Durres</w:t>
      </w:r>
      <w:r>
        <w:rPr>
          <w:lang w:val="fr-FR"/>
        </w:rPr>
        <w:t>, où ce pourcentage atteint</w:t>
      </w:r>
      <w:r w:rsidRPr="00377A01">
        <w:rPr>
          <w:lang w:val="fr-FR"/>
        </w:rPr>
        <w:t xml:space="preserve"> 13</w:t>
      </w:r>
      <w:r>
        <w:rPr>
          <w:lang w:val="fr-FR"/>
        </w:rPr>
        <w:t>,</w:t>
      </w:r>
      <w:r w:rsidRPr="00377A01">
        <w:rPr>
          <w:lang w:val="fr-FR"/>
        </w:rPr>
        <w:t>9</w:t>
      </w:r>
      <w:r w:rsidR="00011B49">
        <w:rPr>
          <w:lang w:val="fr-FR"/>
        </w:rPr>
        <w:t> </w:t>
      </w:r>
      <w:r w:rsidRPr="00377A01">
        <w:rPr>
          <w:lang w:val="fr-FR"/>
        </w:rPr>
        <w:t>%;</w:t>
      </w:r>
    </w:p>
    <w:p w14:paraId="2D847841" w14:textId="6921F5C8" w:rsidR="0044384C" w:rsidRPr="00377A01" w:rsidRDefault="0044384C" w:rsidP="0044384C">
      <w:pPr>
        <w:pStyle w:val="SingleTxt"/>
        <w:tabs>
          <w:tab w:val="right" w:pos="1685"/>
        </w:tabs>
        <w:ind w:left="1742" w:hanging="475"/>
        <w:rPr>
          <w:lang w:val="fr-FR"/>
        </w:rPr>
      </w:pPr>
      <w:r w:rsidRPr="00377A01">
        <w:rPr>
          <w:lang w:val="fr-FR"/>
        </w:rPr>
        <w:tab/>
        <w:t>•</w:t>
      </w:r>
      <w:r w:rsidRPr="00377A01">
        <w:rPr>
          <w:lang w:val="fr-FR"/>
        </w:rPr>
        <w:tab/>
      </w:r>
      <w:r>
        <w:rPr>
          <w:lang w:val="fr-FR"/>
        </w:rPr>
        <w:t>Les régions de</w:t>
      </w:r>
      <w:r w:rsidRPr="00377A01">
        <w:rPr>
          <w:lang w:val="fr-FR"/>
        </w:rPr>
        <w:t xml:space="preserve"> Kukes </w:t>
      </w:r>
      <w:r>
        <w:rPr>
          <w:lang w:val="fr-FR"/>
        </w:rPr>
        <w:t>et de</w:t>
      </w:r>
      <w:r w:rsidRPr="00377A01">
        <w:rPr>
          <w:lang w:val="fr-FR"/>
        </w:rPr>
        <w:t xml:space="preserve"> Dibra </w:t>
      </w:r>
      <w:r>
        <w:rPr>
          <w:lang w:val="fr-FR"/>
        </w:rPr>
        <w:t xml:space="preserve">ont le plus faible pourcentage, avec respectivement </w:t>
      </w:r>
      <w:r w:rsidRPr="00377A01">
        <w:rPr>
          <w:lang w:val="fr-FR"/>
        </w:rPr>
        <w:t>0</w:t>
      </w:r>
      <w:r>
        <w:rPr>
          <w:lang w:val="fr-FR"/>
        </w:rPr>
        <w:t>,</w:t>
      </w:r>
      <w:r w:rsidRPr="00377A01">
        <w:rPr>
          <w:lang w:val="fr-FR"/>
        </w:rPr>
        <w:t>5</w:t>
      </w:r>
      <w:r w:rsidR="00011B49">
        <w:rPr>
          <w:lang w:val="fr-FR"/>
        </w:rPr>
        <w:t> </w:t>
      </w:r>
      <w:r w:rsidRPr="00377A01">
        <w:rPr>
          <w:lang w:val="fr-FR"/>
        </w:rPr>
        <w:t xml:space="preserve">% </w:t>
      </w:r>
      <w:r>
        <w:rPr>
          <w:lang w:val="fr-FR"/>
        </w:rPr>
        <w:t>et</w:t>
      </w:r>
      <w:r w:rsidRPr="00377A01">
        <w:rPr>
          <w:lang w:val="fr-FR"/>
        </w:rPr>
        <w:t xml:space="preserve"> 1</w:t>
      </w:r>
      <w:r>
        <w:rPr>
          <w:lang w:val="fr-FR"/>
        </w:rPr>
        <w:t>,</w:t>
      </w:r>
      <w:r w:rsidRPr="00377A01">
        <w:rPr>
          <w:lang w:val="fr-FR"/>
        </w:rPr>
        <w:t>9</w:t>
      </w:r>
      <w:r w:rsidR="00011B49">
        <w:rPr>
          <w:lang w:val="fr-FR"/>
        </w:rPr>
        <w:t> </w:t>
      </w:r>
      <w:r w:rsidRPr="00377A01">
        <w:rPr>
          <w:lang w:val="fr-FR"/>
        </w:rPr>
        <w:t xml:space="preserve">% </w:t>
      </w:r>
      <w:r>
        <w:rPr>
          <w:lang w:val="fr-FR"/>
        </w:rPr>
        <w:t>de femmes victimes de violences ;</w:t>
      </w:r>
      <w:r w:rsidRPr="00377A01">
        <w:rPr>
          <w:lang w:val="fr-FR"/>
        </w:rPr>
        <w:t xml:space="preserve"> </w:t>
      </w:r>
    </w:p>
    <w:p w14:paraId="4E0622CA" w14:textId="413E7473" w:rsidR="0044384C" w:rsidRPr="00377A01" w:rsidRDefault="0044384C" w:rsidP="0044384C">
      <w:pPr>
        <w:pStyle w:val="SingleTxt"/>
        <w:tabs>
          <w:tab w:val="right" w:pos="1685"/>
        </w:tabs>
        <w:ind w:left="1742" w:hanging="475"/>
        <w:rPr>
          <w:lang w:val="fr-FR"/>
        </w:rPr>
      </w:pPr>
      <w:r w:rsidRPr="00377A01">
        <w:rPr>
          <w:lang w:val="fr-FR"/>
        </w:rPr>
        <w:tab/>
        <w:t>•</w:t>
      </w:r>
      <w:r w:rsidRPr="00377A01">
        <w:rPr>
          <w:lang w:val="fr-FR"/>
        </w:rPr>
        <w:tab/>
      </w:r>
      <w:r>
        <w:rPr>
          <w:lang w:val="fr-FR"/>
        </w:rPr>
        <w:t>En</w:t>
      </w:r>
      <w:r w:rsidRPr="00377A01">
        <w:rPr>
          <w:lang w:val="fr-FR"/>
        </w:rPr>
        <w:t xml:space="preserve"> 2017, </w:t>
      </w:r>
      <w:r>
        <w:rPr>
          <w:lang w:val="fr-FR"/>
        </w:rPr>
        <w:t>on a dénombré</w:t>
      </w:r>
      <w:r w:rsidRPr="00377A01">
        <w:rPr>
          <w:lang w:val="fr-FR"/>
        </w:rPr>
        <w:t xml:space="preserve"> 94 </w:t>
      </w:r>
      <w:r>
        <w:rPr>
          <w:lang w:val="fr-FR"/>
        </w:rPr>
        <w:t xml:space="preserve">victimes de violence domestique </w:t>
      </w:r>
      <w:r w:rsidRPr="00377A01">
        <w:rPr>
          <w:lang w:val="fr-FR"/>
        </w:rPr>
        <w:t xml:space="preserve">(36 </w:t>
      </w:r>
      <w:r>
        <w:rPr>
          <w:lang w:val="fr-FR"/>
        </w:rPr>
        <w:t>garçons et</w:t>
      </w:r>
      <w:r w:rsidRPr="00377A01">
        <w:rPr>
          <w:lang w:val="fr-FR"/>
        </w:rPr>
        <w:t xml:space="preserve"> 58</w:t>
      </w:r>
      <w:r w:rsidR="00011B49">
        <w:rPr>
          <w:lang w:val="fr-FR"/>
        </w:rPr>
        <w:t> </w:t>
      </w:r>
      <w:r>
        <w:rPr>
          <w:lang w:val="fr-FR"/>
        </w:rPr>
        <w:t>filles</w:t>
      </w:r>
      <w:r w:rsidRPr="00377A01">
        <w:rPr>
          <w:lang w:val="fr-FR"/>
        </w:rPr>
        <w:t>)</w:t>
      </w:r>
      <w:r>
        <w:rPr>
          <w:lang w:val="fr-FR"/>
        </w:rPr>
        <w:t> ;</w:t>
      </w:r>
      <w:r w:rsidRPr="00377A01">
        <w:rPr>
          <w:lang w:val="fr-FR"/>
        </w:rPr>
        <w:t xml:space="preserve"> </w:t>
      </w:r>
    </w:p>
    <w:p w14:paraId="08C88B6F" w14:textId="22C138C1" w:rsidR="0044384C" w:rsidRPr="00377A01" w:rsidRDefault="0044384C" w:rsidP="0044384C">
      <w:pPr>
        <w:pStyle w:val="SingleTxt"/>
        <w:tabs>
          <w:tab w:val="right" w:pos="1685"/>
        </w:tabs>
        <w:ind w:left="1742" w:hanging="475"/>
        <w:rPr>
          <w:lang w:val="fr-FR"/>
        </w:rPr>
      </w:pPr>
      <w:r w:rsidRPr="00377A01">
        <w:rPr>
          <w:lang w:val="fr-FR"/>
        </w:rPr>
        <w:tab/>
        <w:t>•</w:t>
      </w:r>
      <w:r w:rsidRPr="00377A01">
        <w:rPr>
          <w:lang w:val="fr-FR"/>
        </w:rPr>
        <w:tab/>
      </w:r>
      <w:r>
        <w:rPr>
          <w:lang w:val="fr-FR"/>
        </w:rPr>
        <w:t xml:space="preserve">Les homicides parmi les personnes ayant des liens de parenté représentaient </w:t>
      </w:r>
      <w:r w:rsidRPr="00377A01">
        <w:rPr>
          <w:lang w:val="fr-FR"/>
        </w:rPr>
        <w:t>22,5</w:t>
      </w:r>
      <w:r w:rsidR="00011B49">
        <w:rPr>
          <w:lang w:val="fr-FR"/>
        </w:rPr>
        <w:t> </w:t>
      </w:r>
      <w:r w:rsidRPr="00377A01">
        <w:rPr>
          <w:lang w:val="fr-FR"/>
        </w:rPr>
        <w:t xml:space="preserve">% </w:t>
      </w:r>
      <w:r>
        <w:rPr>
          <w:lang w:val="fr-FR"/>
        </w:rPr>
        <w:t>des homicides intentionnels en</w:t>
      </w:r>
      <w:r w:rsidRPr="00377A01">
        <w:rPr>
          <w:lang w:val="fr-FR"/>
        </w:rPr>
        <w:t xml:space="preserve"> 2016 </w:t>
      </w:r>
      <w:r>
        <w:rPr>
          <w:lang w:val="fr-FR"/>
        </w:rPr>
        <w:t>et</w:t>
      </w:r>
      <w:r w:rsidRPr="00377A01">
        <w:rPr>
          <w:lang w:val="fr-FR"/>
        </w:rPr>
        <w:t xml:space="preserve"> 26</w:t>
      </w:r>
      <w:r w:rsidR="00011B49">
        <w:rPr>
          <w:lang w:val="fr-FR"/>
        </w:rPr>
        <w:t> </w:t>
      </w:r>
      <w:r w:rsidRPr="00377A01">
        <w:rPr>
          <w:lang w:val="fr-FR"/>
        </w:rPr>
        <w:t xml:space="preserve">% </w:t>
      </w:r>
      <w:r>
        <w:rPr>
          <w:lang w:val="fr-FR"/>
        </w:rPr>
        <w:t>en</w:t>
      </w:r>
      <w:r w:rsidRPr="00377A01">
        <w:rPr>
          <w:lang w:val="fr-FR"/>
        </w:rPr>
        <w:t xml:space="preserve"> 2017</w:t>
      </w:r>
      <w:r>
        <w:rPr>
          <w:lang w:val="fr-FR"/>
        </w:rPr>
        <w:t> ;</w:t>
      </w:r>
      <w:r w:rsidRPr="00377A01">
        <w:rPr>
          <w:lang w:val="fr-FR"/>
        </w:rPr>
        <w:t xml:space="preserve"> </w:t>
      </w:r>
    </w:p>
    <w:p w14:paraId="1099D69A" w14:textId="142250DA" w:rsidR="0044384C" w:rsidRPr="00377A01" w:rsidRDefault="0044384C" w:rsidP="0044384C">
      <w:pPr>
        <w:pStyle w:val="SingleTxt"/>
        <w:tabs>
          <w:tab w:val="right" w:pos="1685"/>
        </w:tabs>
        <w:ind w:left="1742" w:hanging="475"/>
        <w:rPr>
          <w:lang w:val="fr-FR"/>
        </w:rPr>
      </w:pPr>
      <w:r w:rsidRPr="00377A01">
        <w:rPr>
          <w:lang w:val="fr-FR"/>
        </w:rPr>
        <w:tab/>
        <w:t>•</w:t>
      </w:r>
      <w:r w:rsidRPr="00377A01">
        <w:rPr>
          <w:lang w:val="fr-FR"/>
        </w:rPr>
        <w:tab/>
      </w:r>
      <w:r>
        <w:rPr>
          <w:lang w:val="fr-FR"/>
        </w:rPr>
        <w:t>Au cours de la période</w:t>
      </w:r>
      <w:r w:rsidRPr="00377A01">
        <w:rPr>
          <w:lang w:val="fr-FR"/>
        </w:rPr>
        <w:t xml:space="preserve"> 2016</w:t>
      </w:r>
      <w:r w:rsidR="00011B49">
        <w:rPr>
          <w:lang w:val="fr-FR"/>
        </w:rPr>
        <w:t>-</w:t>
      </w:r>
      <w:r w:rsidRPr="00377A01">
        <w:rPr>
          <w:lang w:val="fr-FR"/>
        </w:rPr>
        <w:t xml:space="preserve">2017, </w:t>
      </w:r>
      <w:r>
        <w:rPr>
          <w:lang w:val="fr-FR"/>
        </w:rPr>
        <w:t>sur les</w:t>
      </w:r>
      <w:r w:rsidRPr="00377A01">
        <w:rPr>
          <w:lang w:val="fr-FR"/>
        </w:rPr>
        <w:t xml:space="preserve"> 2</w:t>
      </w:r>
      <w:r w:rsidR="00011B49">
        <w:rPr>
          <w:lang w:val="fr-FR"/>
        </w:rPr>
        <w:t> </w:t>
      </w:r>
      <w:r w:rsidRPr="00377A01">
        <w:rPr>
          <w:lang w:val="fr-FR"/>
        </w:rPr>
        <w:t xml:space="preserve">813 </w:t>
      </w:r>
      <w:r>
        <w:rPr>
          <w:lang w:val="fr-FR"/>
        </w:rPr>
        <w:t>auteurs présumés de ces actes</w:t>
      </w:r>
      <w:r w:rsidRPr="00377A01">
        <w:rPr>
          <w:lang w:val="fr-FR"/>
        </w:rPr>
        <w:t xml:space="preserve"> (</w:t>
      </w:r>
      <w:r>
        <w:rPr>
          <w:lang w:val="fr-FR"/>
        </w:rPr>
        <w:t>sur un ensemble de</w:t>
      </w:r>
      <w:r w:rsidRPr="00377A01">
        <w:rPr>
          <w:lang w:val="fr-FR"/>
        </w:rPr>
        <w:t xml:space="preserve"> 3</w:t>
      </w:r>
      <w:r w:rsidR="00011B49">
        <w:rPr>
          <w:lang w:val="fr-FR"/>
        </w:rPr>
        <w:t> </w:t>
      </w:r>
      <w:r w:rsidRPr="00377A01">
        <w:rPr>
          <w:lang w:val="fr-FR"/>
        </w:rPr>
        <w:t xml:space="preserve">093 </w:t>
      </w:r>
      <w:r>
        <w:rPr>
          <w:lang w:val="fr-FR"/>
        </w:rPr>
        <w:t>délinquants</w:t>
      </w:r>
      <w:r w:rsidRPr="00377A01">
        <w:rPr>
          <w:lang w:val="fr-FR"/>
        </w:rPr>
        <w:t>)</w:t>
      </w:r>
      <w:r>
        <w:rPr>
          <w:lang w:val="fr-FR"/>
        </w:rPr>
        <w:t xml:space="preserve">, </w:t>
      </w:r>
      <w:r w:rsidRPr="00377A01">
        <w:rPr>
          <w:lang w:val="fr-FR"/>
        </w:rPr>
        <w:t xml:space="preserve">280 </w:t>
      </w:r>
      <w:r>
        <w:rPr>
          <w:lang w:val="fr-FR"/>
        </w:rPr>
        <w:t>étaient des femmes</w:t>
      </w:r>
      <w:r w:rsidRPr="00C6618C">
        <w:rPr>
          <w:rStyle w:val="FootnoteReference"/>
          <w:lang w:val="fr-FR"/>
        </w:rPr>
        <w:footnoteReference w:id="19"/>
      </w:r>
      <w:r>
        <w:rPr>
          <w:lang w:val="fr-FR"/>
        </w:rPr>
        <w:t>.</w:t>
      </w:r>
    </w:p>
    <w:p w14:paraId="78CA8B0A" w14:textId="77777777" w:rsidR="0044384C" w:rsidRPr="00377A01" w:rsidRDefault="0044384C" w:rsidP="0044384C">
      <w:pPr>
        <w:pStyle w:val="SingleTxt"/>
        <w:spacing w:after="0" w:line="120" w:lineRule="exact"/>
        <w:rPr>
          <w:sz w:val="10"/>
          <w:lang w:val="fr-FR"/>
        </w:rPr>
      </w:pPr>
    </w:p>
    <w:p w14:paraId="0D44E836" w14:textId="77777777" w:rsidR="0044384C" w:rsidRPr="00377A01" w:rsidRDefault="0044384C" w:rsidP="004438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77A01">
        <w:rPr>
          <w:lang w:val="fr-FR"/>
        </w:rPr>
        <w:tab/>
      </w:r>
      <w:r w:rsidRPr="00377A01">
        <w:rPr>
          <w:lang w:val="fr-FR"/>
        </w:rPr>
        <w:tab/>
      </w:r>
      <w:r>
        <w:rPr>
          <w:lang w:val="fr-FR"/>
        </w:rPr>
        <w:t>Mécanisme de lutte contre la violence domestique au niveau local</w:t>
      </w:r>
      <w:r w:rsidRPr="00377A01">
        <w:rPr>
          <w:lang w:val="fr-FR"/>
        </w:rPr>
        <w:t xml:space="preserve"> </w:t>
      </w:r>
    </w:p>
    <w:p w14:paraId="278D108C" w14:textId="77777777" w:rsidR="0044384C" w:rsidRPr="00377A01" w:rsidRDefault="0044384C" w:rsidP="0044384C">
      <w:pPr>
        <w:pStyle w:val="SingleTxt"/>
        <w:spacing w:after="0" w:line="120" w:lineRule="exact"/>
        <w:rPr>
          <w:sz w:val="10"/>
          <w:lang w:val="fr-FR"/>
        </w:rPr>
      </w:pPr>
    </w:p>
    <w:p w14:paraId="72BEFD0B" w14:textId="44A73EE0" w:rsidR="00011B49" w:rsidRDefault="0044384C" w:rsidP="0044384C">
      <w:pPr>
        <w:pStyle w:val="SingleTxt"/>
        <w:numPr>
          <w:ilvl w:val="0"/>
          <w:numId w:val="31"/>
        </w:numPr>
        <w:spacing w:line="240" w:lineRule="exact"/>
        <w:rPr>
          <w:lang w:val="fr-FR"/>
        </w:rPr>
      </w:pPr>
      <w:r w:rsidRPr="00011B49">
        <w:rPr>
          <w:lang w:val="fr-FR"/>
        </w:rPr>
        <w:t>Un système d’enregistrement en ligne pour la saisie de données statistiques sur la violence domestique au niveau local est opérationnel. Ce système national de données sur les cas de violence domestique au niveau local (REVALB) est utilisé par 22</w:t>
      </w:r>
      <w:r w:rsidR="00011B49" w:rsidRPr="00011B49">
        <w:rPr>
          <w:lang w:val="fr-FR"/>
        </w:rPr>
        <w:t> </w:t>
      </w:r>
      <w:r w:rsidRPr="00011B49">
        <w:rPr>
          <w:lang w:val="fr-FR"/>
        </w:rPr>
        <w:t xml:space="preserve">municipalités. </w:t>
      </w:r>
      <w:r w:rsidR="006829C7">
        <w:rPr>
          <w:lang w:val="fr-FR"/>
        </w:rPr>
        <w:t xml:space="preserve">Dans chaque municipalité, des coordonnateurs locaux recueillent des données sur les affaires de violences qui sont traitées par le mécanisme </w:t>
      </w:r>
      <w:r w:rsidR="00DC05DD">
        <w:rPr>
          <w:lang w:val="fr-FR"/>
        </w:rPr>
        <w:t>d’orientation</w:t>
      </w:r>
      <w:r w:rsidR="006829C7">
        <w:rPr>
          <w:lang w:val="fr-FR"/>
        </w:rPr>
        <w:t xml:space="preserve"> pour le traitement des cas de violence domestique</w:t>
      </w:r>
      <w:r w:rsidR="00DC05DD">
        <w:rPr>
          <w:lang w:val="fr-FR"/>
        </w:rPr>
        <w:t xml:space="preserve"> au niveau local</w:t>
      </w:r>
      <w:r w:rsidR="006829C7">
        <w:rPr>
          <w:lang w:val="fr-FR"/>
        </w:rPr>
        <w:t xml:space="preserve">. Le système </w:t>
      </w:r>
      <w:r w:rsidRPr="00011B49">
        <w:rPr>
          <w:lang w:val="fr-FR"/>
        </w:rPr>
        <w:t xml:space="preserve">enregistre chaque cas de violence reconnu et traité par le </w:t>
      </w:r>
      <w:r w:rsidR="006829C7">
        <w:rPr>
          <w:lang w:val="fr-FR"/>
        </w:rPr>
        <w:t xml:space="preserve">mécanisme </w:t>
      </w:r>
      <w:r w:rsidRPr="00011B49">
        <w:rPr>
          <w:lang w:val="fr-FR"/>
        </w:rPr>
        <w:t>d’orientation</w:t>
      </w:r>
      <w:r w:rsidR="00DC05DD">
        <w:rPr>
          <w:lang w:val="fr-FR"/>
        </w:rPr>
        <w:t xml:space="preserve"> </w:t>
      </w:r>
      <w:r w:rsidR="006829C7">
        <w:rPr>
          <w:lang w:val="fr-FR"/>
        </w:rPr>
        <w:t>local</w:t>
      </w:r>
      <w:r w:rsidRPr="00011B49">
        <w:rPr>
          <w:lang w:val="fr-FR"/>
        </w:rPr>
        <w:t>. Depuis l’entrée en service de ce système, 2</w:t>
      </w:r>
      <w:r w:rsidR="00011B49" w:rsidRPr="00011B49">
        <w:rPr>
          <w:lang w:val="fr-FR"/>
        </w:rPr>
        <w:t> </w:t>
      </w:r>
      <w:r w:rsidRPr="00011B49">
        <w:rPr>
          <w:lang w:val="fr-FR"/>
        </w:rPr>
        <w:t xml:space="preserve">649 cas de violence domestique ont été enregistrés, soit 861 en 2016 et 758 en 2017. Ce système prend en considération les données démographiques, économiques, sociales et géographiques relatives aux victimes et </w:t>
      </w:r>
      <w:r w:rsidR="006829C7">
        <w:rPr>
          <w:lang w:val="fr-FR"/>
        </w:rPr>
        <w:t xml:space="preserve">aux </w:t>
      </w:r>
      <w:r w:rsidRPr="00011B49">
        <w:rPr>
          <w:lang w:val="fr-FR"/>
        </w:rPr>
        <w:t>auteur</w:t>
      </w:r>
      <w:r w:rsidR="006829C7">
        <w:rPr>
          <w:lang w:val="fr-FR"/>
        </w:rPr>
        <w:t>s</w:t>
      </w:r>
      <w:r w:rsidRPr="00011B49">
        <w:rPr>
          <w:lang w:val="fr-FR"/>
        </w:rPr>
        <w:t xml:space="preserve"> de violences. Ces données sont ventilées notamment en fonction des critères suivants</w:t>
      </w:r>
      <w:r w:rsidR="00C6618C" w:rsidRPr="00011B49">
        <w:rPr>
          <w:lang w:val="fr-FR"/>
        </w:rPr>
        <w:t> :</w:t>
      </w:r>
      <w:r w:rsidRPr="00011B49">
        <w:rPr>
          <w:lang w:val="fr-FR"/>
        </w:rPr>
        <w:t xml:space="preserve"> auteurs de violence</w:t>
      </w:r>
      <w:r w:rsidR="006829C7">
        <w:rPr>
          <w:lang w:val="fr-FR"/>
        </w:rPr>
        <w:t>s</w:t>
      </w:r>
      <w:r w:rsidRPr="00011B49">
        <w:rPr>
          <w:lang w:val="fr-FR"/>
        </w:rPr>
        <w:t>, victimes de viol, groupes vulnérables, ethnie, genre, emploi</w:t>
      </w:r>
      <w:r w:rsidR="006829C7">
        <w:rPr>
          <w:lang w:val="fr-FR"/>
        </w:rPr>
        <w:t xml:space="preserve"> et</w:t>
      </w:r>
      <w:r w:rsidRPr="00011B49">
        <w:rPr>
          <w:lang w:val="fr-FR"/>
        </w:rPr>
        <w:t xml:space="preserve"> handicap.</w:t>
      </w:r>
    </w:p>
    <w:p w14:paraId="41EE02A8" w14:textId="7E883811" w:rsidR="00011B49" w:rsidRDefault="0044384C" w:rsidP="0044384C">
      <w:pPr>
        <w:pStyle w:val="SingleTxt"/>
        <w:numPr>
          <w:ilvl w:val="0"/>
          <w:numId w:val="31"/>
        </w:numPr>
        <w:spacing w:line="240" w:lineRule="exact"/>
        <w:rPr>
          <w:lang w:val="fr-FR"/>
        </w:rPr>
      </w:pPr>
      <w:r w:rsidRPr="00011B49">
        <w:rPr>
          <w:lang w:val="fr-FR"/>
        </w:rPr>
        <w:t>Au cours de la période 2016</w:t>
      </w:r>
      <w:r w:rsidR="00011B49" w:rsidRPr="00011B49">
        <w:rPr>
          <w:lang w:val="fr-FR"/>
        </w:rPr>
        <w:t>-</w:t>
      </w:r>
      <w:r w:rsidRPr="00011B49">
        <w:rPr>
          <w:lang w:val="fr-FR"/>
        </w:rPr>
        <w:t>2018, dans 60 (sur 61) des municipalités considérées, des responsables de l’égalité des sexes ont été désignés pour jouer le rôle de coordonnateurs locaux dans la lutte contre la violence domestique. Cela a contribué à accroître l</w:t>
      </w:r>
      <w:r w:rsidR="00DC05DD">
        <w:rPr>
          <w:lang w:val="fr-FR"/>
        </w:rPr>
        <w:t>es</w:t>
      </w:r>
      <w:r w:rsidRPr="00011B49">
        <w:rPr>
          <w:lang w:val="fr-FR"/>
        </w:rPr>
        <w:t xml:space="preserve"> capacité</w:t>
      </w:r>
      <w:r w:rsidR="00DC05DD">
        <w:rPr>
          <w:lang w:val="fr-FR"/>
        </w:rPr>
        <w:t>s</w:t>
      </w:r>
      <w:r w:rsidRPr="00011B49">
        <w:rPr>
          <w:lang w:val="fr-FR"/>
        </w:rPr>
        <w:t xml:space="preserve"> du </w:t>
      </w:r>
      <w:r w:rsidR="00DC05DD">
        <w:rPr>
          <w:lang w:val="fr-FR"/>
        </w:rPr>
        <w:t xml:space="preserve">mécanisme </w:t>
      </w:r>
      <w:r w:rsidRPr="00011B49">
        <w:rPr>
          <w:lang w:val="fr-FR"/>
        </w:rPr>
        <w:t>d’orientation au niveau local. Une approche multidisciplinaire, rapide et efficace n’en reste pas moins nécessaire afin de sensibiliser les services des autorités nationales et locales à la budgétisation des priorités relatives à l’égalité des sexes dans les demandes de moyens de financement qui permettraient d’assurer des services sociaux aux victimes de la violence domestique.</w:t>
      </w:r>
    </w:p>
    <w:p w14:paraId="17254012" w14:textId="77777777" w:rsidR="00011B49" w:rsidRDefault="00011B49" w:rsidP="0044384C">
      <w:pPr>
        <w:pStyle w:val="SingleTxt"/>
        <w:numPr>
          <w:ilvl w:val="0"/>
          <w:numId w:val="31"/>
        </w:numPr>
        <w:spacing w:line="240" w:lineRule="exact"/>
        <w:rPr>
          <w:lang w:val="fr-FR"/>
        </w:rPr>
      </w:pPr>
      <w:r w:rsidRPr="00011B49">
        <w:rPr>
          <w:lang w:val="fr-FR"/>
        </w:rPr>
        <w:t>À</w:t>
      </w:r>
      <w:r w:rsidR="0044384C" w:rsidRPr="00011B49">
        <w:rPr>
          <w:lang w:val="fr-FR"/>
        </w:rPr>
        <w:t xml:space="preserve"> l’occasion de la Journée internationale contre la violence domestique, le 25</w:t>
      </w:r>
      <w:r w:rsidRPr="00011B49">
        <w:rPr>
          <w:lang w:val="fr-FR"/>
        </w:rPr>
        <w:t> </w:t>
      </w:r>
      <w:r w:rsidR="0044384C" w:rsidRPr="00011B49">
        <w:rPr>
          <w:lang w:val="fr-FR"/>
        </w:rPr>
        <w:t>novembre 2017, le Bureau de la coordination de la lutte contre la violence domestique a été créé au sein du Ministère de la justice avec pour mission de prévenir la violence domestique et de protéger les victimes de cette violence.</w:t>
      </w:r>
    </w:p>
    <w:p w14:paraId="30C5A435" w14:textId="0F65548E" w:rsidR="00011B49" w:rsidRDefault="0044384C" w:rsidP="0044384C">
      <w:pPr>
        <w:pStyle w:val="SingleTxt"/>
        <w:numPr>
          <w:ilvl w:val="0"/>
          <w:numId w:val="31"/>
        </w:numPr>
        <w:spacing w:line="240" w:lineRule="exact"/>
        <w:rPr>
          <w:lang w:val="fr-FR"/>
        </w:rPr>
      </w:pPr>
      <w:r w:rsidRPr="00011B49">
        <w:rPr>
          <w:lang w:val="fr-FR"/>
        </w:rPr>
        <w:lastRenderedPageBreak/>
        <w:t>Il existe 6 centres privés d’hébergement (2 à Tirana, 1 à Berat, 1 à Korca, 1 à Elbasan, 1 à Vlora). Le centre « Vatra », à Vlora, est en partie financé par le budget de l’</w:t>
      </w:r>
      <w:r w:rsidR="00C6618C" w:rsidRPr="00011B49">
        <w:rPr>
          <w:lang w:val="fr-FR"/>
        </w:rPr>
        <w:t>État</w:t>
      </w:r>
      <w:r w:rsidRPr="00011B49">
        <w:rPr>
          <w:lang w:val="fr-FR"/>
        </w:rPr>
        <w:t>. En décembre 2018, un centre de gestion de crise destiné aux victimes de violences sexuelles, « Lilium », a été ouvert dans les locaux du centre hospitalier « Mère Teresa » de l’hôpital de l’Université de Tirana. Ce centre assure 24 heures sur</w:t>
      </w:r>
      <w:r w:rsidR="0099739F">
        <w:rPr>
          <w:lang w:val="fr-FR"/>
        </w:rPr>
        <w:t> </w:t>
      </w:r>
      <w:r w:rsidRPr="00011B49">
        <w:rPr>
          <w:lang w:val="fr-FR"/>
        </w:rPr>
        <w:t xml:space="preserve">24 et </w:t>
      </w:r>
      <w:r w:rsidR="0099739F">
        <w:rPr>
          <w:lang w:val="fr-FR"/>
        </w:rPr>
        <w:t>sept</w:t>
      </w:r>
      <w:r w:rsidRPr="00011B49">
        <w:rPr>
          <w:lang w:val="fr-FR"/>
        </w:rPr>
        <w:t xml:space="preserve"> jours sur </w:t>
      </w:r>
      <w:r w:rsidR="0099739F">
        <w:rPr>
          <w:lang w:val="fr-FR"/>
        </w:rPr>
        <w:t>sept</w:t>
      </w:r>
      <w:r w:rsidRPr="00011B49">
        <w:rPr>
          <w:lang w:val="fr-FR"/>
        </w:rPr>
        <w:t xml:space="preserve"> des services intégrés aux victimes de violences sexuelles grâce à une équipe multidisciplinaire. Les normes de fonctionnement de ce centre ont été approuvées en novembre 2018 par une instruction du Ministre de la santé et de la protection sociale.</w:t>
      </w:r>
    </w:p>
    <w:p w14:paraId="21C1FED7" w14:textId="77777777" w:rsidR="00011B49" w:rsidRDefault="0044384C" w:rsidP="0044384C">
      <w:pPr>
        <w:pStyle w:val="SingleTxt"/>
        <w:numPr>
          <w:ilvl w:val="0"/>
          <w:numId w:val="31"/>
        </w:numPr>
        <w:spacing w:line="240" w:lineRule="exact"/>
        <w:rPr>
          <w:lang w:val="fr-FR"/>
        </w:rPr>
      </w:pPr>
      <w:r w:rsidRPr="00011B49">
        <w:rPr>
          <w:lang w:val="fr-FR"/>
        </w:rPr>
        <w:t>Surveillance des centres nationaux d’hébergement pour les victimes de la violence. En 2017, le Défenseur du peuple a autorisé la surveillance du Centre national pour le traitement des victimes de la violence domestique à Kamza, et celle du centre psycho-social Vatra à Vlora, et a recommandé d’apporter aux victimes une aide professionnelle (avocats et psychologues) de manière continue.</w:t>
      </w:r>
    </w:p>
    <w:p w14:paraId="0AC52B15" w14:textId="77777777" w:rsidR="00011B49" w:rsidRDefault="0044384C" w:rsidP="0044384C">
      <w:pPr>
        <w:pStyle w:val="SingleTxt"/>
        <w:numPr>
          <w:ilvl w:val="0"/>
          <w:numId w:val="31"/>
        </w:numPr>
        <w:spacing w:line="240" w:lineRule="exact"/>
        <w:rPr>
          <w:lang w:val="fr-FR"/>
        </w:rPr>
      </w:pPr>
      <w:r w:rsidRPr="00011B49">
        <w:rPr>
          <w:lang w:val="fr-FR"/>
        </w:rPr>
        <w:t>Suivi des victimes après leur sortie du centre. Pendant le processus d’intégration de tous les résidents qui bénéficient d’une ordonnance de protection, les services administratifs, tout comme le commissariat de police local, sont tenus informés.</w:t>
      </w:r>
    </w:p>
    <w:p w14:paraId="7D589FAA" w14:textId="4ADBDB3D" w:rsidR="00011B49" w:rsidRDefault="0044384C" w:rsidP="0044384C">
      <w:pPr>
        <w:pStyle w:val="SingleTxt"/>
        <w:numPr>
          <w:ilvl w:val="0"/>
          <w:numId w:val="31"/>
        </w:numPr>
        <w:spacing w:line="240" w:lineRule="exact"/>
        <w:rPr>
          <w:lang w:val="fr-FR"/>
        </w:rPr>
      </w:pPr>
      <w:r w:rsidRPr="00011B49">
        <w:rPr>
          <w:lang w:val="fr-FR"/>
        </w:rPr>
        <w:t xml:space="preserve">Des activités de sensibilisation sont organisées chaque année par le Ministère de la santé et de la protection sociale pendant les 16 journées de mobilisation contre la violence </w:t>
      </w:r>
      <w:r w:rsidR="00DA5EF4">
        <w:rPr>
          <w:lang w:val="fr-FR"/>
        </w:rPr>
        <w:t>fondée sur le genre</w:t>
      </w:r>
      <w:r w:rsidR="00DA5EF4" w:rsidRPr="00C6618C">
        <w:rPr>
          <w:lang w:val="fr-FR"/>
        </w:rPr>
        <w:t> </w:t>
      </w:r>
      <w:r w:rsidRPr="00011B49">
        <w:rPr>
          <w:lang w:val="fr-FR"/>
        </w:rPr>
        <w:t>et la violence domestique (25 novembre</w:t>
      </w:r>
      <w:r w:rsidR="00011B49" w:rsidRPr="00011B49">
        <w:rPr>
          <w:lang w:val="fr-FR"/>
        </w:rPr>
        <w:t>-</w:t>
      </w:r>
      <w:r w:rsidRPr="00011B49">
        <w:rPr>
          <w:lang w:val="fr-FR"/>
        </w:rPr>
        <w:t>10 décembre), en étroite collaboration avec les ministères compétents, des organisations de la société civile et des organisations internationales. Ces activités périodiques de lutte contre la violence domestique ont contribué à sensibiliser le public, notamment en éveillant les jeunes, les étudiants et les écoliers à la nécessité de lutter contre les préjugés et de multiplier les dénonciations de la violence domestique.</w:t>
      </w:r>
    </w:p>
    <w:p w14:paraId="24E18165" w14:textId="3ABFAAA6" w:rsidR="0044384C" w:rsidRPr="00011B49" w:rsidRDefault="0044384C" w:rsidP="0044384C">
      <w:pPr>
        <w:pStyle w:val="SingleTxt"/>
        <w:numPr>
          <w:ilvl w:val="0"/>
          <w:numId w:val="31"/>
        </w:numPr>
        <w:spacing w:line="240" w:lineRule="exact"/>
        <w:rPr>
          <w:lang w:val="fr-FR"/>
        </w:rPr>
      </w:pPr>
      <w:r w:rsidRPr="00011B49">
        <w:rPr>
          <w:lang w:val="fr-FR"/>
        </w:rPr>
        <w:t xml:space="preserve">Au nombre des résultats de cette campagne figurent une sensibilisation à la problématique </w:t>
      </w:r>
      <w:r w:rsidR="00DA5EF4">
        <w:rPr>
          <w:lang w:val="fr-FR"/>
        </w:rPr>
        <w:t>femmes-</w:t>
      </w:r>
      <w:r w:rsidRPr="00011B49">
        <w:rPr>
          <w:lang w:val="fr-FR"/>
        </w:rPr>
        <w:t xml:space="preserve">hommes, un débat plus ouvert et une plus grande facilité à aborder des sujets tabous, un plus grand nombre de dénonciations des cas de violence domestique aux structures d’appui par des femmes, une évolution des comportements traditionnels et une augmentation du nombre de cas de violence à l’égard des femmes et de violence domestique signalés aux services chargés de l’application des lois. Ces campagnes de sensibilisation visent à éliminer les stéréotypes sexistes, la violence </w:t>
      </w:r>
      <w:r w:rsidR="006829C7">
        <w:rPr>
          <w:lang w:val="fr-FR"/>
        </w:rPr>
        <w:t>fondée sur le genre</w:t>
      </w:r>
      <w:r w:rsidR="006829C7" w:rsidRPr="00C6618C">
        <w:rPr>
          <w:lang w:val="fr-FR"/>
        </w:rPr>
        <w:t> </w:t>
      </w:r>
      <w:r w:rsidRPr="00011B49">
        <w:rPr>
          <w:lang w:val="fr-FR"/>
        </w:rPr>
        <w:t xml:space="preserve">et la violence domestique. </w:t>
      </w:r>
    </w:p>
    <w:p w14:paraId="7A2DBF3A" w14:textId="77777777" w:rsidR="0044384C" w:rsidRPr="00377A01" w:rsidRDefault="0044384C" w:rsidP="0044384C">
      <w:pPr>
        <w:pStyle w:val="SingleTxt"/>
        <w:spacing w:after="0" w:line="120" w:lineRule="exact"/>
        <w:rPr>
          <w:sz w:val="10"/>
          <w:lang w:val="fr-FR"/>
        </w:rPr>
      </w:pPr>
    </w:p>
    <w:p w14:paraId="480E1579" w14:textId="07789398" w:rsidR="0044384C" w:rsidRPr="00377A01" w:rsidRDefault="0044384C" w:rsidP="004438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77A01">
        <w:rPr>
          <w:lang w:val="fr-FR"/>
        </w:rPr>
        <w:tab/>
      </w:r>
      <w:r w:rsidRPr="00377A01">
        <w:rPr>
          <w:lang w:val="fr-FR"/>
        </w:rPr>
        <w:tab/>
        <w:t>23</w:t>
      </w:r>
      <w:r>
        <w:rPr>
          <w:lang w:val="fr-FR"/>
        </w:rPr>
        <w:t xml:space="preserve"> </w:t>
      </w:r>
      <w:r w:rsidRPr="00377A01">
        <w:rPr>
          <w:lang w:val="fr-FR"/>
        </w:rPr>
        <w:t xml:space="preserve">d) </w:t>
      </w:r>
      <w:r w:rsidR="005706A1">
        <w:rPr>
          <w:lang w:val="fr-FR"/>
        </w:rPr>
        <w:t>F</w:t>
      </w:r>
      <w:r>
        <w:rPr>
          <w:lang w:val="fr-FR"/>
        </w:rPr>
        <w:t xml:space="preserve">aire encore mieux respecter les décisions des tribunaux, </w:t>
      </w:r>
      <w:r w:rsidR="00011B49">
        <w:rPr>
          <w:lang w:val="fr-FR"/>
        </w:rPr>
        <w:br/>
      </w:r>
      <w:r>
        <w:rPr>
          <w:lang w:val="fr-FR"/>
        </w:rPr>
        <w:t xml:space="preserve">en particulier les ordonnances de protection ou de protection en cas d’urgence des femmes victimes de violences </w:t>
      </w:r>
      <w:r w:rsidR="006829C7">
        <w:rPr>
          <w:lang w:val="fr-FR"/>
        </w:rPr>
        <w:t>fondées sur le genre</w:t>
      </w:r>
      <w:r w:rsidR="006829C7" w:rsidRPr="00C6618C">
        <w:rPr>
          <w:lang w:val="fr-FR"/>
        </w:rPr>
        <w:t> </w:t>
      </w:r>
      <w:r>
        <w:rPr>
          <w:lang w:val="fr-FR"/>
        </w:rPr>
        <w:t>, notamment en renforçant les capacités des membres du personnel judiciaire, tels que les huissiers de justice</w:t>
      </w:r>
    </w:p>
    <w:p w14:paraId="5F5A911B" w14:textId="77777777" w:rsidR="0044384C" w:rsidRPr="00377A01" w:rsidRDefault="0044384C" w:rsidP="0044384C">
      <w:pPr>
        <w:pStyle w:val="SingleTxt"/>
        <w:spacing w:after="0" w:line="120" w:lineRule="exact"/>
        <w:rPr>
          <w:sz w:val="10"/>
          <w:lang w:val="fr-FR"/>
        </w:rPr>
      </w:pPr>
    </w:p>
    <w:p w14:paraId="307DA3F5" w14:textId="51D6F67B" w:rsidR="0044384C" w:rsidRPr="00377A01" w:rsidRDefault="0044384C" w:rsidP="00011B49">
      <w:pPr>
        <w:pStyle w:val="SingleTxt"/>
        <w:numPr>
          <w:ilvl w:val="0"/>
          <w:numId w:val="31"/>
        </w:numPr>
        <w:spacing w:line="240" w:lineRule="exact"/>
        <w:rPr>
          <w:lang w:val="fr-FR"/>
        </w:rPr>
      </w:pPr>
      <w:r>
        <w:rPr>
          <w:lang w:val="fr-FR"/>
        </w:rPr>
        <w:t xml:space="preserve">Il ressort du rapport du Conseil supérieur de la justice sur les questions judiciaires liées à la violence domestique de janvier </w:t>
      </w:r>
      <w:r w:rsidRPr="00377A01">
        <w:rPr>
          <w:lang w:val="fr-FR"/>
        </w:rPr>
        <w:t>2018</w:t>
      </w:r>
      <w:r>
        <w:rPr>
          <w:lang w:val="fr-FR"/>
        </w:rPr>
        <w:t xml:space="preserve"> qu’un faible nombre de cas de violence à l’égard des femmes font l’objet d’une procédure d’appel devant des instances supérieures</w:t>
      </w:r>
      <w:r w:rsidRPr="00377A01">
        <w:rPr>
          <w:lang w:val="fr-FR"/>
        </w:rPr>
        <w:t xml:space="preserve">, </w:t>
      </w:r>
      <w:r>
        <w:rPr>
          <w:lang w:val="fr-FR"/>
        </w:rPr>
        <w:t>tandis qu’un nombre élevé de ces cas sont classés sans suite. Le rejet de ces affaires en raison de l’absence de la plaignante ou de sa décision d’abandonner les poursuites comme conséquence de la normalisation des relations entre les parties est un sujet de préoccupation.</w:t>
      </w:r>
    </w:p>
    <w:p w14:paraId="5F07BE1A" w14:textId="1D368A74" w:rsidR="0044384C" w:rsidRPr="00377A01" w:rsidRDefault="0044384C" w:rsidP="00011B49">
      <w:pPr>
        <w:pStyle w:val="SingleTxt"/>
        <w:numPr>
          <w:ilvl w:val="0"/>
          <w:numId w:val="31"/>
        </w:numPr>
        <w:spacing w:line="240" w:lineRule="exact"/>
        <w:rPr>
          <w:lang w:val="fr-FR"/>
        </w:rPr>
      </w:pPr>
      <w:r>
        <w:rPr>
          <w:lang w:val="fr-FR"/>
        </w:rPr>
        <w:t xml:space="preserve">Au cours de la période sur laquelle porte le présent rapport, </w:t>
      </w:r>
      <w:r w:rsidRPr="00377A01">
        <w:rPr>
          <w:lang w:val="fr-FR"/>
        </w:rPr>
        <w:t>6</w:t>
      </w:r>
      <w:r w:rsidR="00011B49">
        <w:rPr>
          <w:lang w:val="fr-FR"/>
        </w:rPr>
        <w:t> </w:t>
      </w:r>
      <w:r w:rsidRPr="00377A01">
        <w:rPr>
          <w:lang w:val="fr-FR"/>
        </w:rPr>
        <w:t xml:space="preserve">187 </w:t>
      </w:r>
      <w:r>
        <w:rPr>
          <w:lang w:val="fr-FR"/>
        </w:rPr>
        <w:t>décisions de justice sur l’émission d’une ordonnance de protection ou de protection en cas d’urgence n’ont pas été respectées, à savoir</w:t>
      </w:r>
      <w:r w:rsidR="00C6618C">
        <w:rPr>
          <w:lang w:val="fr-FR"/>
        </w:rPr>
        <w:t> :</w:t>
      </w:r>
    </w:p>
    <w:p w14:paraId="4714CBF4" w14:textId="0AE845BA" w:rsidR="0044384C" w:rsidRPr="00377A01" w:rsidRDefault="0044384C" w:rsidP="0044384C">
      <w:pPr>
        <w:pStyle w:val="SingleTxt"/>
        <w:tabs>
          <w:tab w:val="right" w:pos="1685"/>
        </w:tabs>
        <w:ind w:left="1742" w:hanging="475"/>
        <w:rPr>
          <w:lang w:val="fr-FR"/>
        </w:rPr>
      </w:pPr>
      <w:r w:rsidRPr="00377A01">
        <w:rPr>
          <w:lang w:val="fr-FR"/>
        </w:rPr>
        <w:tab/>
        <w:t>•</w:t>
      </w:r>
      <w:r w:rsidRPr="00377A01">
        <w:rPr>
          <w:lang w:val="fr-FR"/>
        </w:rPr>
        <w:tab/>
        <w:t xml:space="preserve">119 </w:t>
      </w:r>
      <w:r>
        <w:rPr>
          <w:lang w:val="fr-FR"/>
        </w:rPr>
        <w:t>en</w:t>
      </w:r>
      <w:r w:rsidRPr="00377A01">
        <w:rPr>
          <w:lang w:val="fr-FR"/>
        </w:rPr>
        <w:t xml:space="preserve"> 2016</w:t>
      </w:r>
      <w:r>
        <w:rPr>
          <w:lang w:val="fr-FR"/>
        </w:rPr>
        <w:t> ;</w:t>
      </w:r>
      <w:r w:rsidRPr="00377A01">
        <w:rPr>
          <w:lang w:val="fr-FR"/>
        </w:rPr>
        <w:t xml:space="preserve"> </w:t>
      </w:r>
    </w:p>
    <w:p w14:paraId="03E127AF" w14:textId="045A98A1" w:rsidR="0044384C" w:rsidRPr="00377A01" w:rsidRDefault="0044384C" w:rsidP="0044384C">
      <w:pPr>
        <w:pStyle w:val="SingleTxt"/>
        <w:tabs>
          <w:tab w:val="right" w:pos="1685"/>
        </w:tabs>
        <w:ind w:left="1742" w:hanging="475"/>
        <w:rPr>
          <w:lang w:val="fr-FR"/>
        </w:rPr>
      </w:pPr>
      <w:r w:rsidRPr="00377A01">
        <w:rPr>
          <w:lang w:val="fr-FR"/>
        </w:rPr>
        <w:tab/>
        <w:t>•</w:t>
      </w:r>
      <w:r w:rsidRPr="00377A01">
        <w:rPr>
          <w:lang w:val="fr-FR"/>
        </w:rPr>
        <w:tab/>
        <w:t xml:space="preserve">129 </w:t>
      </w:r>
      <w:r>
        <w:rPr>
          <w:lang w:val="fr-FR"/>
        </w:rPr>
        <w:t>en</w:t>
      </w:r>
      <w:r w:rsidRPr="00377A01">
        <w:rPr>
          <w:lang w:val="fr-FR"/>
        </w:rPr>
        <w:t xml:space="preserve"> 2017</w:t>
      </w:r>
      <w:r>
        <w:rPr>
          <w:lang w:val="fr-FR"/>
        </w:rPr>
        <w:t> ;</w:t>
      </w:r>
    </w:p>
    <w:p w14:paraId="6FBC2875" w14:textId="77777777" w:rsidR="0044384C" w:rsidRPr="00377A01" w:rsidRDefault="0044384C" w:rsidP="0044384C">
      <w:pPr>
        <w:pStyle w:val="SingleTxt"/>
        <w:tabs>
          <w:tab w:val="right" w:pos="1685"/>
        </w:tabs>
        <w:ind w:left="1742" w:hanging="475"/>
        <w:rPr>
          <w:lang w:val="fr-FR"/>
        </w:rPr>
      </w:pPr>
      <w:r w:rsidRPr="00377A01">
        <w:rPr>
          <w:lang w:val="fr-FR"/>
        </w:rPr>
        <w:lastRenderedPageBreak/>
        <w:tab/>
        <w:t>•</w:t>
      </w:r>
      <w:r w:rsidRPr="00377A01">
        <w:rPr>
          <w:lang w:val="fr-FR"/>
        </w:rPr>
        <w:tab/>
        <w:t xml:space="preserve">148 </w:t>
      </w:r>
      <w:r>
        <w:rPr>
          <w:lang w:val="fr-FR"/>
        </w:rPr>
        <w:t>en</w:t>
      </w:r>
      <w:r w:rsidRPr="00377A01">
        <w:rPr>
          <w:lang w:val="fr-FR"/>
        </w:rPr>
        <w:t xml:space="preserve"> 2018</w:t>
      </w:r>
      <w:r>
        <w:rPr>
          <w:lang w:val="fr-FR"/>
        </w:rPr>
        <w:t>.</w:t>
      </w:r>
      <w:r w:rsidRPr="00377A01">
        <w:rPr>
          <w:lang w:val="fr-FR"/>
        </w:rPr>
        <w:t xml:space="preserve"> </w:t>
      </w:r>
    </w:p>
    <w:p w14:paraId="17E1B776" w14:textId="77777777" w:rsidR="00011B49" w:rsidRDefault="0044384C" w:rsidP="0044384C">
      <w:pPr>
        <w:pStyle w:val="SingleTxt"/>
        <w:numPr>
          <w:ilvl w:val="0"/>
          <w:numId w:val="31"/>
        </w:numPr>
        <w:spacing w:line="240" w:lineRule="exact"/>
        <w:rPr>
          <w:lang w:val="fr-FR"/>
        </w:rPr>
      </w:pPr>
      <w:r w:rsidRPr="00011B49">
        <w:rPr>
          <w:lang w:val="fr-FR"/>
        </w:rPr>
        <w:t>Pendant les années 2016 et 2017, et entre janvier et juillet 2018, la Direction générale des huissiers de justice a enregistré et exécuté 351 ordonnances de protection (84 en 2016, 201 en 2017, et 66 entre janvier et juin 2018) et 89 ordonnances de protection en cas d’urgence (toutes entre janvier et juillet 2018). Par ailleurs, 23</w:t>
      </w:r>
      <w:r w:rsidR="00011B49" w:rsidRPr="00011B49">
        <w:rPr>
          <w:lang w:val="fr-FR"/>
        </w:rPr>
        <w:t> </w:t>
      </w:r>
      <w:r w:rsidRPr="00011B49">
        <w:rPr>
          <w:lang w:val="fr-FR"/>
        </w:rPr>
        <w:t>ordonnances de protection sont en cours d’exécution.</w:t>
      </w:r>
    </w:p>
    <w:p w14:paraId="65AA2440" w14:textId="77777777" w:rsidR="00011B49" w:rsidRDefault="0044384C" w:rsidP="0044384C">
      <w:pPr>
        <w:pStyle w:val="SingleTxt"/>
        <w:numPr>
          <w:ilvl w:val="0"/>
          <w:numId w:val="31"/>
        </w:numPr>
        <w:spacing w:line="240" w:lineRule="exact"/>
        <w:rPr>
          <w:lang w:val="fr-FR"/>
        </w:rPr>
      </w:pPr>
      <w:r w:rsidRPr="00011B49">
        <w:rPr>
          <w:lang w:val="fr-FR"/>
        </w:rPr>
        <w:t>Afin d’améliorer la qualité de l’exécution des ordonnances judiciaires, des huissiers supplémentaires devront être recrutés et il sera nécessaire de prévoir des formations dans certains domaines, mais principalement en ce qui concerne les questions liées aux ordonnances de protection et aux ordonnances de protection en cas d’urgence.</w:t>
      </w:r>
    </w:p>
    <w:p w14:paraId="199BAFB0" w14:textId="77777777" w:rsidR="00011B49" w:rsidRDefault="0044384C" w:rsidP="0044384C">
      <w:pPr>
        <w:pStyle w:val="SingleTxt"/>
        <w:numPr>
          <w:ilvl w:val="0"/>
          <w:numId w:val="31"/>
        </w:numPr>
        <w:spacing w:line="240" w:lineRule="exact"/>
        <w:rPr>
          <w:lang w:val="fr-FR"/>
        </w:rPr>
      </w:pPr>
      <w:r w:rsidRPr="00011B49">
        <w:rPr>
          <w:lang w:val="fr-FR"/>
        </w:rPr>
        <w:t>Le Ministère de la santé et de la protection sociale, avec le soutien du PNUD, a organisé quatre stages de formation sur l’informatisation des données et l’utilisation du système en ligne relatif à la violence domestique à l’intention de 58</w:t>
      </w:r>
      <w:r w:rsidR="00011B49" w:rsidRPr="00011B49">
        <w:rPr>
          <w:lang w:val="fr-FR"/>
        </w:rPr>
        <w:t> </w:t>
      </w:r>
      <w:r w:rsidRPr="00011B49">
        <w:rPr>
          <w:lang w:val="fr-FR"/>
        </w:rPr>
        <w:t>coordonnateurs locaux de la lutte contre la violence. Plusieurs activités de renforcement des capacités ont été organisées à l’intention du personnel du dispositif d’orientation.</w:t>
      </w:r>
    </w:p>
    <w:p w14:paraId="10602BB4" w14:textId="37C2D5C8" w:rsidR="00DF3344" w:rsidRPr="00DF3344" w:rsidRDefault="0044384C" w:rsidP="0044384C">
      <w:pPr>
        <w:pStyle w:val="SingleTxt"/>
        <w:numPr>
          <w:ilvl w:val="0"/>
          <w:numId w:val="31"/>
        </w:numPr>
        <w:spacing w:line="240" w:lineRule="exact"/>
      </w:pPr>
      <w:r w:rsidRPr="00DF3344">
        <w:rPr>
          <w:lang w:val="fr-FR"/>
        </w:rPr>
        <w:t xml:space="preserve">Un poste de spécialiste de la diversité a été créé au sein de la Direction générale de la </w:t>
      </w:r>
      <w:r w:rsidR="00DF3344">
        <w:rPr>
          <w:lang w:val="fr-FR"/>
        </w:rPr>
        <w:t>P</w:t>
      </w:r>
      <w:r w:rsidRPr="00DF3344">
        <w:rPr>
          <w:lang w:val="fr-FR"/>
        </w:rPr>
        <w:t xml:space="preserve">olice nationale. Environ 36 cours de formation ont été organisés et ont été suivis par 750 officiers de police dans 12 comtés. En 2017, sept formations portant sur la diversité, les crimes motivés par la haine et la violence domestique ont été organisées (139 policiers en ont bénéficié). La Police nationale a régulièrement organisé des formations (8 sessions) pour tout le personnel de direction sur le thème de la problématique </w:t>
      </w:r>
      <w:r w:rsidR="00DA5EF4">
        <w:rPr>
          <w:lang w:val="fr-FR"/>
        </w:rPr>
        <w:t>femmes-</w:t>
      </w:r>
      <w:r w:rsidRPr="00DF3344">
        <w:rPr>
          <w:lang w:val="fr-FR"/>
        </w:rPr>
        <w:t>hommes dans la police ; ces formations ont été suivies par 69 officiers supérieurs, y compris des membres de la direction du service de protection des témoins et des collaborateurs de la justice (47 employés).</w:t>
      </w:r>
    </w:p>
    <w:p w14:paraId="2EC740E4" w14:textId="264E593A" w:rsidR="0044384C" w:rsidRPr="0088604E" w:rsidRDefault="000D4B4D" w:rsidP="00D0662E">
      <w:pPr>
        <w:pStyle w:val="SingleTxt"/>
        <w:numPr>
          <w:ilvl w:val="0"/>
          <w:numId w:val="31"/>
        </w:numPr>
        <w:spacing w:after="0" w:line="240" w:lineRule="auto"/>
      </w:pPr>
      <w:r>
        <w:rPr>
          <w:noProof/>
          <w:w w:val="100"/>
        </w:rPr>
        <mc:AlternateContent>
          <mc:Choice Requires="wps">
            <w:drawing>
              <wp:anchor distT="0" distB="0" distL="114300" distR="114300" simplePos="0" relativeHeight="251664896" behindDoc="0" locked="0" layoutInCell="1" allowOverlap="1" wp14:anchorId="5EE53E19" wp14:editId="362086D4">
                <wp:simplePos x="0" y="0"/>
                <wp:positionH relativeFrom="page">
                  <wp:posOffset>3429000</wp:posOffset>
                </wp:positionH>
                <wp:positionV relativeFrom="paragraph">
                  <wp:posOffset>795817</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1C3DD9" id="Straight Connector 4" o:spid="_x0000_s1026" style="position:absolute;z-index:251664896;visibility:visible;mso-wrap-style:square;mso-wrap-distance-left:9pt;mso-wrap-distance-top:0;mso-wrap-distance-right:9pt;mso-wrap-distance-bottom:0;mso-position-horizontal:absolute;mso-position-horizontal-relative:page;mso-position-vertical:absolute;mso-position-vertical-relative:text" from="270pt,62.65pt" to="342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" strokecolor="#010000" strokeweight=".25pt">
                <w10:wrap anchorx="page"/>
              </v:line>
            </w:pict>
          </mc:Fallback>
        </mc:AlternateContent>
      </w:r>
      <w:r w:rsidR="0044384C" w:rsidRPr="000D4B4D">
        <w:rPr>
          <w:lang w:val="fr-FR"/>
        </w:rPr>
        <w:t>Au cours de la période étudiée, des formations sur les questions relatives à la violence et au cadre institutionnel de protection contre la discrimination ont régulièrement été organisées par l’</w:t>
      </w:r>
      <w:r w:rsidR="00D0662E" w:rsidRPr="000D4B4D">
        <w:rPr>
          <w:lang w:val="fr-FR"/>
        </w:rPr>
        <w:t>É</w:t>
      </w:r>
      <w:r w:rsidR="0044384C" w:rsidRPr="000D4B4D">
        <w:rPr>
          <w:lang w:val="fr-FR"/>
        </w:rPr>
        <w:t>cole de la magistrature à l’intention des juges et des procureurs ; 90 personnes les ont suivies, soit 58 juges et 32 procureurs.</w:t>
      </w:r>
    </w:p>
    <w:sectPr w:rsidR="0044384C" w:rsidRPr="0088604E" w:rsidSect="00A171FF">
      <w:type w:val="continuous"/>
      <w:pgSz w:w="12240" w:h="15840"/>
      <w:pgMar w:top="1440" w:right="1200" w:bottom="1757" w:left="1200" w:header="432" w:footer="576"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hor" w:initials="A">
    <w:p w14:paraId="2187DD32" w14:textId="77777777" w:rsidR="00347C94" w:rsidRPr="00A171FF" w:rsidRDefault="00347C94">
      <w:pPr>
        <w:pStyle w:val="CommentText"/>
        <w:rPr>
          <w:lang w:val="en-US"/>
        </w:rPr>
      </w:pPr>
      <w:r>
        <w:fldChar w:fldCharType="begin"/>
      </w:r>
      <w:r w:rsidRPr="00A171FF">
        <w:rPr>
          <w:rStyle w:val="CommentReference"/>
          <w:lang w:val="en-US"/>
        </w:rPr>
        <w:instrText xml:space="preserve"> </w:instrText>
      </w:r>
      <w:r w:rsidRPr="00A171FF">
        <w:rPr>
          <w:lang w:val="en-US"/>
        </w:rPr>
        <w:instrText>PAGE \# "'Page: '#'</w:instrText>
      </w:r>
      <w:r w:rsidRPr="00A171FF">
        <w:rPr>
          <w:lang w:val="en-US"/>
        </w:rPr>
        <w:br/>
        <w:instrText>'"</w:instrText>
      </w:r>
      <w:r w:rsidRPr="00A171FF">
        <w:rPr>
          <w:rStyle w:val="CommentReference"/>
          <w:lang w:val="en-US"/>
        </w:rPr>
        <w:instrText xml:space="preserve"> </w:instrText>
      </w:r>
      <w:r>
        <w:fldChar w:fldCharType="end"/>
      </w:r>
      <w:r>
        <w:rPr>
          <w:rStyle w:val="CommentReference"/>
        </w:rPr>
        <w:annotationRef/>
      </w:r>
      <w:r w:rsidRPr="00A171FF">
        <w:rPr>
          <w:lang w:val="en-US"/>
        </w:rPr>
        <w:t>&lt;&lt;ODS JOB NO&gt;&gt;N1911339F&lt;&lt;ODS JOB NO&gt;&gt;</w:t>
      </w:r>
    </w:p>
    <w:p w14:paraId="7942ACF5" w14:textId="77777777" w:rsidR="00347C94" w:rsidRPr="00A171FF" w:rsidRDefault="00347C94">
      <w:pPr>
        <w:pStyle w:val="CommentText"/>
        <w:rPr>
          <w:lang w:val="en-US"/>
        </w:rPr>
      </w:pPr>
      <w:r w:rsidRPr="00A171FF">
        <w:rPr>
          <w:lang w:val="en-US"/>
        </w:rPr>
        <w:t>&lt;&lt;ODS DOC SYMBOL1&gt;&gt;CEDAW/C/ALB/CO/4/ADD.1&lt;&lt;ODS DOC SYMBOL1&gt;&gt;</w:t>
      </w:r>
    </w:p>
    <w:p w14:paraId="09C63DEA" w14:textId="0DF22DF7" w:rsidR="00347C94" w:rsidRDefault="00347C94">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9C63DEA"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75C48" w14:textId="77777777" w:rsidR="00313404" w:rsidRDefault="00313404" w:rsidP="00101B18">
      <w:pPr>
        <w:spacing w:line="240" w:lineRule="auto"/>
      </w:pPr>
      <w:r>
        <w:separator/>
      </w:r>
    </w:p>
  </w:endnote>
  <w:endnote w:type="continuationSeparator" w:id="0">
    <w:p w14:paraId="07845C29" w14:textId="77777777" w:rsidR="00313404" w:rsidRDefault="00313404"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4384C" w14:paraId="457E301B" w14:textId="77777777" w:rsidTr="0088604E">
      <w:tc>
        <w:tcPr>
          <w:tcW w:w="4920" w:type="dxa"/>
          <w:shd w:val="clear" w:color="auto" w:fill="auto"/>
        </w:tcPr>
        <w:p w14:paraId="65A5D8F6" w14:textId="35A4DF6F" w:rsidR="0044384C" w:rsidRPr="0088604E" w:rsidRDefault="0044384C" w:rsidP="0088604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D5453">
            <w:rPr>
              <w:b w:val="0"/>
              <w:w w:val="103"/>
              <w:sz w:val="14"/>
            </w:rPr>
            <w:t>19-06470</w:t>
          </w:r>
          <w:r>
            <w:rPr>
              <w:b w:val="0"/>
              <w:w w:val="103"/>
              <w:sz w:val="14"/>
            </w:rPr>
            <w:fldChar w:fldCharType="end"/>
          </w:r>
        </w:p>
      </w:tc>
      <w:tc>
        <w:tcPr>
          <w:tcW w:w="4920" w:type="dxa"/>
          <w:shd w:val="clear" w:color="auto" w:fill="auto"/>
        </w:tcPr>
        <w:p w14:paraId="26813294" w14:textId="77777777" w:rsidR="0044384C" w:rsidRPr="0088604E" w:rsidRDefault="0044384C" w:rsidP="0088604E">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15085B92" w14:textId="77777777" w:rsidR="0044384C" w:rsidRPr="0088604E" w:rsidRDefault="0044384C" w:rsidP="008860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4384C" w14:paraId="49FA7B5F" w14:textId="77777777" w:rsidTr="0088604E">
      <w:tc>
        <w:tcPr>
          <w:tcW w:w="4920" w:type="dxa"/>
          <w:shd w:val="clear" w:color="auto" w:fill="auto"/>
        </w:tcPr>
        <w:p w14:paraId="2D300793" w14:textId="77777777" w:rsidR="0044384C" w:rsidRPr="0088604E" w:rsidRDefault="0044384C" w:rsidP="0088604E">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269F57DD" w14:textId="0DD6F977" w:rsidR="0044384C" w:rsidRPr="0088604E" w:rsidRDefault="0044384C" w:rsidP="0088604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D5453">
            <w:rPr>
              <w:b w:val="0"/>
              <w:w w:val="103"/>
              <w:sz w:val="14"/>
            </w:rPr>
            <w:t>19-06470</w:t>
          </w:r>
          <w:r>
            <w:rPr>
              <w:b w:val="0"/>
              <w:w w:val="103"/>
              <w:sz w:val="14"/>
            </w:rPr>
            <w:fldChar w:fldCharType="end"/>
          </w:r>
        </w:p>
      </w:tc>
    </w:tr>
  </w:tbl>
  <w:p w14:paraId="295BCD4B" w14:textId="77777777" w:rsidR="0044384C" w:rsidRPr="0088604E" w:rsidRDefault="0044384C" w:rsidP="008860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9CE03" w14:textId="56A1796B" w:rsidR="00347C94" w:rsidRDefault="00347C94">
    <w:pPr>
      <w:pStyle w:val="Footer"/>
    </w:pPr>
    <w:r>
      <w:rPr>
        <w:noProof/>
      </w:rPr>
      <w:drawing>
        <wp:anchor distT="0" distB="0" distL="114300" distR="114300" simplePos="0" relativeHeight="251658240" behindDoc="0" locked="0" layoutInCell="1" allowOverlap="1" wp14:anchorId="4F3EBEBE" wp14:editId="58F2055A">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ALB/CO/4/ADD.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ALB/CO/4/ADD.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2"/>
      <w:gridCol w:w="4915"/>
    </w:tblGrid>
    <w:tr w:rsidR="00347C94" w14:paraId="7E12CA12" w14:textId="77777777" w:rsidTr="00347C94">
      <w:tc>
        <w:tcPr>
          <w:tcW w:w="3902" w:type="dxa"/>
          <w:shd w:val="clear" w:color="auto" w:fill="auto"/>
        </w:tcPr>
        <w:p w14:paraId="75483C17" w14:textId="09ECBD08" w:rsidR="00347C94" w:rsidRDefault="00347C94" w:rsidP="00347C94">
          <w:pPr>
            <w:pStyle w:val="Footer"/>
            <w:rPr>
              <w:b w:val="0"/>
              <w:sz w:val="20"/>
            </w:rPr>
          </w:pPr>
          <w:r>
            <w:rPr>
              <w:b w:val="0"/>
              <w:sz w:val="20"/>
            </w:rPr>
            <w:t>19-06470</w:t>
          </w:r>
          <w:r w:rsidR="009B0083">
            <w:rPr>
              <w:b w:val="0"/>
              <w:sz w:val="20"/>
            </w:rPr>
            <w:t>X</w:t>
          </w:r>
          <w:r>
            <w:rPr>
              <w:b w:val="0"/>
              <w:sz w:val="20"/>
            </w:rPr>
            <w:t xml:space="preserve"> (F</w:t>
          </w:r>
          <w:r w:rsidR="009B0083">
            <w:rPr>
              <w:b w:val="0"/>
              <w:sz w:val="20"/>
            </w:rPr>
            <w:t>)</w:t>
          </w:r>
        </w:p>
        <w:p w14:paraId="48E7334A" w14:textId="6F362AED" w:rsidR="00347C94" w:rsidRPr="00347C94" w:rsidRDefault="00347C94" w:rsidP="00347C94">
          <w:pPr>
            <w:pStyle w:val="Footer"/>
            <w:spacing w:line="240" w:lineRule="atLeast"/>
            <w:rPr>
              <w:rFonts w:ascii="Barcode 3 of 9 by request" w:hAnsi="Barcode 3 of 9 by request"/>
              <w:b w:val="0"/>
              <w:sz w:val="24"/>
            </w:rPr>
          </w:pPr>
          <w:r>
            <w:rPr>
              <w:rFonts w:ascii="Barcode 3 of 9 by request" w:hAnsi="Barcode 3 of 9 by request"/>
              <w:sz w:val="24"/>
            </w:rPr>
            <w:t>*1906470*</w:t>
          </w:r>
        </w:p>
      </w:tc>
      <w:tc>
        <w:tcPr>
          <w:tcW w:w="4915" w:type="dxa"/>
          <w:shd w:val="clear" w:color="auto" w:fill="auto"/>
        </w:tcPr>
        <w:p w14:paraId="68A787D4" w14:textId="558D75CF" w:rsidR="00347C94" w:rsidRDefault="00347C94" w:rsidP="00347C94">
          <w:pPr>
            <w:pStyle w:val="Footer"/>
            <w:spacing w:line="240" w:lineRule="atLeast"/>
            <w:jc w:val="right"/>
            <w:rPr>
              <w:b w:val="0"/>
              <w:sz w:val="20"/>
            </w:rPr>
          </w:pPr>
          <w:r>
            <w:rPr>
              <w:b w:val="0"/>
              <w:noProof/>
              <w:sz w:val="20"/>
            </w:rPr>
            <w:drawing>
              <wp:inline distT="0" distB="0" distL="0" distR="0" wp14:anchorId="2EED5C12" wp14:editId="72FE6A84">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221BDC58" w14:textId="77777777" w:rsidR="00347C94" w:rsidRPr="00347C94" w:rsidRDefault="00347C94" w:rsidP="00347C94">
    <w:pPr>
      <w:pStyle w:val="Footer"/>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DCC14" w14:textId="77777777" w:rsidR="00313404" w:rsidRPr="00C6618C" w:rsidRDefault="00313404" w:rsidP="00C6618C">
      <w:pPr>
        <w:pStyle w:val="Footer"/>
        <w:spacing w:after="80"/>
        <w:ind w:left="792"/>
        <w:rPr>
          <w:sz w:val="16"/>
        </w:rPr>
      </w:pPr>
      <w:r w:rsidRPr="00C6618C">
        <w:rPr>
          <w:sz w:val="16"/>
        </w:rPr>
        <w:t>__________________</w:t>
      </w:r>
    </w:p>
  </w:footnote>
  <w:footnote w:type="continuationSeparator" w:id="0">
    <w:p w14:paraId="50F8336E" w14:textId="77777777" w:rsidR="00313404" w:rsidRPr="00C6618C" w:rsidRDefault="00313404" w:rsidP="00C6618C">
      <w:pPr>
        <w:pStyle w:val="Footer"/>
        <w:spacing w:after="80"/>
        <w:ind w:left="792"/>
        <w:rPr>
          <w:sz w:val="16"/>
        </w:rPr>
      </w:pPr>
      <w:r w:rsidRPr="00C6618C">
        <w:rPr>
          <w:sz w:val="16"/>
        </w:rPr>
        <w:t>__________________</w:t>
      </w:r>
    </w:p>
  </w:footnote>
  <w:footnote w:id="1">
    <w:p w14:paraId="14DE2AB7" w14:textId="1A85557E" w:rsidR="0044384C" w:rsidRPr="00C6618C" w:rsidRDefault="0044384C" w:rsidP="00C6618C">
      <w:pPr>
        <w:pStyle w:val="FootnoteText"/>
        <w:tabs>
          <w:tab w:val="right" w:pos="1195"/>
          <w:tab w:val="left" w:pos="1267"/>
          <w:tab w:val="left" w:pos="1742"/>
          <w:tab w:val="left" w:pos="2218"/>
          <w:tab w:val="left" w:pos="2693"/>
        </w:tabs>
        <w:ind w:left="1267" w:right="1260" w:hanging="576"/>
        <w:rPr>
          <w:lang w:val="fr-FR"/>
        </w:rPr>
      </w:pPr>
      <w:r>
        <w:tab/>
      </w:r>
      <w:r w:rsidRPr="00C6618C">
        <w:rPr>
          <w:rStyle w:val="FootnoteReference"/>
          <w:spacing w:val="4"/>
        </w:rPr>
        <w:footnoteRef/>
      </w:r>
      <w:r w:rsidRPr="00C6618C">
        <w:tab/>
      </w:r>
      <w:r w:rsidRPr="00C6618C">
        <w:rPr>
          <w:lang w:val="fr-FR"/>
        </w:rPr>
        <w:t>Comité pour l’élimination de la discrimination à l’égard des femmes, « Observations finales sur le quatrième rapport périodique de l’Albanie », 25 juillet 2016, par</w:t>
      </w:r>
      <w:r w:rsidR="00C6618C">
        <w:rPr>
          <w:lang w:val="fr-FR"/>
        </w:rPr>
        <w:t>.</w:t>
      </w:r>
      <w:r w:rsidRPr="00C6618C">
        <w:rPr>
          <w:lang w:val="fr-FR"/>
        </w:rPr>
        <w:t xml:space="preserve"> 47.</w:t>
      </w:r>
    </w:p>
  </w:footnote>
  <w:footnote w:id="2">
    <w:p w14:paraId="2A195A8A" w14:textId="0B2D1563" w:rsidR="0044384C" w:rsidRPr="00C6618C" w:rsidRDefault="0044384C" w:rsidP="00C6618C">
      <w:pPr>
        <w:pStyle w:val="FootnoteText"/>
        <w:tabs>
          <w:tab w:val="right" w:pos="1195"/>
          <w:tab w:val="left" w:pos="1267"/>
          <w:tab w:val="left" w:pos="1742"/>
          <w:tab w:val="left" w:pos="2218"/>
          <w:tab w:val="left" w:pos="2693"/>
        </w:tabs>
        <w:ind w:left="1267" w:right="1260" w:hanging="576"/>
        <w:rPr>
          <w:lang w:val="fr-FR"/>
        </w:rPr>
      </w:pPr>
      <w:r w:rsidRPr="00C9120D">
        <w:rPr>
          <w:lang w:val="fr-FR"/>
        </w:rPr>
        <w:tab/>
      </w:r>
      <w:r w:rsidRPr="00C6618C">
        <w:rPr>
          <w:rStyle w:val="FootnoteReference"/>
          <w:spacing w:val="4"/>
          <w:lang w:val="fr-FR"/>
        </w:rPr>
        <w:footnoteRef/>
      </w:r>
      <w:bookmarkStart w:id="2" w:name="_Hlk6849537"/>
      <w:r w:rsidRPr="00C6618C">
        <w:rPr>
          <w:lang w:val="fr-FR"/>
        </w:rPr>
        <w:tab/>
      </w:r>
      <w:bookmarkEnd w:id="2"/>
      <w:r w:rsidRPr="00C6618C">
        <w:rPr>
          <w:lang w:val="fr-FR"/>
        </w:rPr>
        <w:fldChar w:fldCharType="begin"/>
      </w:r>
      <w:r w:rsidRPr="00C6618C">
        <w:rPr>
          <w:lang w:val="fr-FR"/>
        </w:rPr>
        <w:instrText xml:space="preserve"> HYPERLINK "http://www.qbz.gov.al/Botime/Akteindividuale/Janar%202017/Fletore%20241/LIGJ%20nr.%20111-2017,%20date%2014.12.2017.pdf." </w:instrText>
      </w:r>
      <w:r w:rsidR="002D5453" w:rsidRPr="00C6618C">
        <w:rPr>
          <w:lang w:val="fr-FR"/>
        </w:rPr>
      </w:r>
      <w:r w:rsidRPr="00C6618C">
        <w:rPr>
          <w:lang w:val="fr-FR"/>
        </w:rPr>
        <w:fldChar w:fldCharType="separate"/>
      </w:r>
      <w:r w:rsidRPr="00C6618C">
        <w:rPr>
          <w:rStyle w:val="Hyperlink"/>
          <w:lang w:val="fr-FR"/>
        </w:rPr>
        <w:t>http://www.parlament.al/Files/Projekte/vendim-nr-113-dt-4-12-2017-1.pdf</w:t>
      </w:r>
      <w:r w:rsidRPr="00C6618C">
        <w:rPr>
          <w:lang w:val="fr-FR"/>
        </w:rPr>
        <w:fldChar w:fldCharType="end"/>
      </w:r>
    </w:p>
  </w:footnote>
  <w:footnote w:id="3">
    <w:p w14:paraId="29B3327B" w14:textId="5B9A318F" w:rsidR="0044384C" w:rsidRPr="00C6618C" w:rsidRDefault="0044384C" w:rsidP="00C6618C">
      <w:pPr>
        <w:pStyle w:val="FootnoteText"/>
        <w:tabs>
          <w:tab w:val="right" w:pos="1195"/>
          <w:tab w:val="left" w:pos="1267"/>
          <w:tab w:val="left" w:pos="1742"/>
          <w:tab w:val="left" w:pos="2218"/>
          <w:tab w:val="left" w:pos="2693"/>
        </w:tabs>
        <w:wordWrap w:val="0"/>
        <w:ind w:left="1267" w:right="1260" w:hanging="576"/>
      </w:pPr>
      <w:r>
        <w:tab/>
      </w:r>
      <w:r w:rsidRPr="00C6618C">
        <w:rPr>
          <w:rStyle w:val="FootnoteReference"/>
          <w:spacing w:val="4"/>
        </w:rPr>
        <w:footnoteRef/>
      </w:r>
      <w:r w:rsidRPr="00C6618C">
        <w:tab/>
      </w:r>
      <w:hyperlink r:id="rId1" w:history="1">
        <w:r w:rsidR="00C6618C" w:rsidRPr="006910C6">
          <w:rPr>
            <w:rStyle w:val="Hyperlink"/>
          </w:rPr>
          <w:t>http://www.qbz.gov.al/Botime/Akteindividuale/Janar%202017/Fletore%20241/LIGJ%20nr.%</w:t>
        </w:r>
        <w:r w:rsidR="00C6618C" w:rsidRPr="006910C6">
          <w:rPr>
            <w:rStyle w:val="Hyperlink"/>
          </w:rPr>
          <w:br/>
          <w:t>20111-2017,%20date%2014.12.2017.pdf</w:t>
        </w:r>
      </w:hyperlink>
      <w:r w:rsidRPr="00C6618C">
        <w:t>.</w:t>
      </w:r>
    </w:p>
  </w:footnote>
  <w:footnote w:id="4">
    <w:p w14:paraId="5AA4640F" w14:textId="599078C0" w:rsidR="0044384C" w:rsidRPr="00C6618C" w:rsidRDefault="0044384C" w:rsidP="00C6618C">
      <w:pPr>
        <w:pStyle w:val="FootnoteText"/>
        <w:tabs>
          <w:tab w:val="right" w:pos="1195"/>
          <w:tab w:val="left" w:pos="1267"/>
          <w:tab w:val="left" w:pos="1742"/>
          <w:tab w:val="left" w:pos="2218"/>
          <w:tab w:val="left" w:pos="2693"/>
        </w:tabs>
        <w:ind w:left="1267" w:right="1260" w:hanging="576"/>
      </w:pPr>
      <w:r>
        <w:tab/>
      </w:r>
      <w:r w:rsidRPr="00C6618C">
        <w:rPr>
          <w:rStyle w:val="FootnoteReference"/>
          <w:spacing w:val="4"/>
        </w:rPr>
        <w:footnoteRef/>
      </w:r>
      <w:r w:rsidRPr="00C6618C">
        <w:tab/>
        <w:t>Ces centres sont dirigés par des organisations de la société civile</w:t>
      </w:r>
      <w:r w:rsidR="00C6618C">
        <w:t> :</w:t>
      </w:r>
      <w:r w:rsidRPr="00C6618C">
        <w:t xml:space="preserve"> Res Publika, Centre pour les initiatives juridiques et citoyennes, Fondation albanaise de défense des droits des personnes handicapées, Association pour l’aide juridique de Tirana.</w:t>
      </w:r>
    </w:p>
  </w:footnote>
  <w:footnote w:id="5">
    <w:p w14:paraId="6F9F894F" w14:textId="743D3531" w:rsidR="0044384C" w:rsidRPr="00C6618C" w:rsidRDefault="0044384C" w:rsidP="00C6618C">
      <w:pPr>
        <w:pStyle w:val="FootnoteText"/>
        <w:tabs>
          <w:tab w:val="right" w:pos="1195"/>
          <w:tab w:val="left" w:pos="1267"/>
          <w:tab w:val="left" w:pos="1742"/>
          <w:tab w:val="left" w:pos="2218"/>
          <w:tab w:val="left" w:pos="2693"/>
        </w:tabs>
        <w:ind w:left="1267" w:right="1260" w:hanging="576"/>
      </w:pPr>
      <w:r>
        <w:tab/>
      </w:r>
      <w:r w:rsidRPr="00C6618C">
        <w:rPr>
          <w:rStyle w:val="FootnoteReference"/>
          <w:spacing w:val="4"/>
        </w:rPr>
        <w:footnoteRef/>
      </w:r>
      <w:r w:rsidRPr="00C6618C">
        <w:tab/>
        <w:t xml:space="preserve">Comité pour l’élimination de la discrimination à l’égard des femmes, soixante-quatrième session, compte rendu analytique de la quatorzième séance, Examen des rapports soumis par les </w:t>
      </w:r>
      <w:r w:rsidR="00C6618C">
        <w:t>État</w:t>
      </w:r>
      <w:r w:rsidRPr="00C6618C">
        <w:t>s parties.</w:t>
      </w:r>
    </w:p>
  </w:footnote>
  <w:footnote w:id="6">
    <w:p w14:paraId="56639130" w14:textId="751F92D1" w:rsidR="0044384C" w:rsidRPr="00C6618C" w:rsidRDefault="0044384C" w:rsidP="00C6618C">
      <w:pPr>
        <w:pStyle w:val="FootnoteText"/>
        <w:tabs>
          <w:tab w:val="right" w:pos="1195"/>
          <w:tab w:val="left" w:pos="1267"/>
          <w:tab w:val="left" w:pos="1742"/>
          <w:tab w:val="left" w:pos="2218"/>
          <w:tab w:val="left" w:pos="2693"/>
        </w:tabs>
        <w:ind w:left="1267" w:right="1260" w:hanging="576"/>
      </w:pPr>
      <w:r>
        <w:tab/>
      </w:r>
      <w:r w:rsidRPr="00C6618C">
        <w:rPr>
          <w:rStyle w:val="FootnoteReference"/>
          <w:spacing w:val="4"/>
        </w:rPr>
        <w:footnoteRef/>
      </w:r>
      <w:r w:rsidRPr="00C6618C">
        <w:tab/>
        <w:t>Sigma, initiative conjointe de l’OCDE et de l’Union européenne, (qui a apporté son soutien à la rédaction du Code de procédure administrative), a formulé en 2018 un commentaire du Code de procédure</w:t>
      </w:r>
      <w:r w:rsidR="007E6384">
        <w:t xml:space="preserve"> </w:t>
      </w:r>
      <w:r w:rsidRPr="00C6618C">
        <w:t>administrative de la République albanaise, p.61</w:t>
      </w:r>
      <w:r w:rsidR="00DB0B40">
        <w:t xml:space="preserve"> </w:t>
      </w:r>
      <w:r w:rsidRPr="00C6618C">
        <w:t>et 62, et 372 à 374.</w:t>
      </w:r>
    </w:p>
  </w:footnote>
  <w:footnote w:id="7">
    <w:p w14:paraId="44C5B115" w14:textId="456C1670" w:rsidR="0044384C" w:rsidRPr="00C6618C" w:rsidRDefault="0044384C" w:rsidP="00C6618C">
      <w:pPr>
        <w:pStyle w:val="FootnoteText"/>
        <w:tabs>
          <w:tab w:val="right" w:pos="1195"/>
          <w:tab w:val="left" w:pos="1267"/>
          <w:tab w:val="left" w:pos="1742"/>
          <w:tab w:val="left" w:pos="2218"/>
          <w:tab w:val="left" w:pos="2693"/>
        </w:tabs>
        <w:ind w:left="1267" w:right="1260" w:hanging="576"/>
      </w:pPr>
      <w:r>
        <w:tab/>
      </w:r>
      <w:r w:rsidRPr="00C6618C">
        <w:rPr>
          <w:rStyle w:val="FootnoteReference"/>
          <w:spacing w:val="4"/>
        </w:rPr>
        <w:footnoteRef/>
      </w:r>
      <w:r w:rsidRPr="00C6618C">
        <w:tab/>
      </w:r>
      <w:bookmarkStart w:id="3" w:name="_Hlk6852029"/>
      <w:r w:rsidRPr="00C6618C">
        <w:fldChar w:fldCharType="begin"/>
      </w:r>
      <w:r w:rsidRPr="00C6618C">
        <w:instrText xml:space="preserve"> HYPERLINK "http://www.euralius.eu/index.php/en/library/albanian-legislation/send/6-administrative-procedure-code/229-code-of-administrative-procedure-en" </w:instrText>
      </w:r>
      <w:r w:rsidRPr="00C6618C">
        <w:fldChar w:fldCharType="separate"/>
      </w:r>
      <w:r w:rsidRPr="00C6618C">
        <w:rPr>
          <w:rStyle w:val="Hyperlink"/>
        </w:rPr>
        <w:t>http://www.euralius.eu/index.php/en/library/albanian-legislation/send/6-administrative-procedure-code/229-code-of-administrative-procedure-en</w:t>
      </w:r>
      <w:bookmarkEnd w:id="3"/>
      <w:r w:rsidRPr="00C6618C">
        <w:fldChar w:fldCharType="end"/>
      </w:r>
      <w:r w:rsidRPr="00C6618C">
        <w:t>.</w:t>
      </w:r>
    </w:p>
  </w:footnote>
  <w:footnote w:id="8">
    <w:p w14:paraId="6F2759E1" w14:textId="14504E12" w:rsidR="0044384C" w:rsidRPr="00C6618C" w:rsidRDefault="0044384C" w:rsidP="00C6618C">
      <w:pPr>
        <w:pStyle w:val="FootnoteText"/>
        <w:tabs>
          <w:tab w:val="right" w:pos="1195"/>
          <w:tab w:val="left" w:pos="1267"/>
          <w:tab w:val="left" w:pos="1742"/>
          <w:tab w:val="left" w:pos="2218"/>
          <w:tab w:val="left" w:pos="2693"/>
        </w:tabs>
        <w:ind w:left="1267" w:right="1260" w:hanging="576"/>
        <w:rPr>
          <w:lang w:val="fr-FR"/>
        </w:rPr>
      </w:pPr>
      <w:r>
        <w:tab/>
      </w:r>
      <w:r w:rsidRPr="00C6618C">
        <w:rPr>
          <w:rStyle w:val="FootnoteReference"/>
          <w:spacing w:val="4"/>
        </w:rPr>
        <w:footnoteRef/>
      </w:r>
      <w:r w:rsidRPr="00C6618C">
        <w:tab/>
        <w:t>Loi n</w:t>
      </w:r>
      <w:r w:rsidRPr="00DB0B40">
        <w:rPr>
          <w:vertAlign w:val="superscript"/>
        </w:rPr>
        <w:t>o</w:t>
      </w:r>
      <w:r w:rsidR="00DB0B40">
        <w:t> </w:t>
      </w:r>
      <w:r w:rsidRPr="00C6618C">
        <w:t>38/2017 sur des adjonctions et amendements à la loi n</w:t>
      </w:r>
      <w:r w:rsidRPr="00DB0B40">
        <w:rPr>
          <w:vertAlign w:val="superscript"/>
        </w:rPr>
        <w:t>o</w:t>
      </w:r>
      <w:r w:rsidR="00DB0B40">
        <w:t> </w:t>
      </w:r>
      <w:r w:rsidRPr="00C6618C">
        <w:t xml:space="preserve">8116 du 29 mars 1996. Le </w:t>
      </w:r>
      <w:r w:rsidRPr="00C6618C">
        <w:rPr>
          <w:lang w:val="fr-FR"/>
        </w:rPr>
        <w:t>« Code de procédure civile de la République d’Albanie », tel que modifié, a été publié dans le Journal officiel, n</w:t>
      </w:r>
      <w:r w:rsidRPr="00DB0B40">
        <w:rPr>
          <w:vertAlign w:val="superscript"/>
          <w:lang w:val="fr-FR"/>
        </w:rPr>
        <w:t>o</w:t>
      </w:r>
      <w:r w:rsidR="00DB0B40">
        <w:rPr>
          <w:lang w:val="fr-FR"/>
        </w:rPr>
        <w:t> </w:t>
      </w:r>
      <w:r w:rsidRPr="00C6618C">
        <w:rPr>
          <w:lang w:val="fr-FR"/>
        </w:rPr>
        <w:t>98, en mai 2017. Les modifications au Code de procédure civile sont entrées en vigueur en novembre 2017.</w:t>
      </w:r>
    </w:p>
  </w:footnote>
  <w:footnote w:id="9">
    <w:p w14:paraId="53AFF21E" w14:textId="5EA59835" w:rsidR="0044384C" w:rsidRPr="00C6618C" w:rsidRDefault="0044384C" w:rsidP="00C6618C">
      <w:pPr>
        <w:pStyle w:val="FootnoteText"/>
        <w:tabs>
          <w:tab w:val="right" w:pos="1195"/>
          <w:tab w:val="left" w:pos="1267"/>
          <w:tab w:val="left" w:pos="1742"/>
          <w:tab w:val="left" w:pos="2218"/>
          <w:tab w:val="left" w:pos="2693"/>
        </w:tabs>
        <w:ind w:left="1267" w:right="1260" w:hanging="576"/>
      </w:pPr>
      <w:r>
        <w:tab/>
      </w:r>
      <w:r w:rsidRPr="00C6618C">
        <w:rPr>
          <w:rStyle w:val="FootnoteReference"/>
          <w:spacing w:val="4"/>
        </w:rPr>
        <w:footnoteRef/>
      </w:r>
      <w:r w:rsidRPr="00C6618C">
        <w:tab/>
      </w:r>
      <w:hyperlink r:id="rId2" w:history="1">
        <w:r w:rsidRPr="00C6618C">
          <w:rPr>
            <w:rStyle w:val="Hyperlink"/>
          </w:rPr>
          <w:t>www.parlament.al/ProjektLigje/ProjektLigjeDetails/44781</w:t>
        </w:r>
      </w:hyperlink>
      <w:r w:rsidRPr="00C6618C">
        <w:t>.</w:t>
      </w:r>
    </w:p>
  </w:footnote>
  <w:footnote w:id="10">
    <w:p w14:paraId="1FE83999" w14:textId="3BB56FD0" w:rsidR="0044384C" w:rsidRPr="00C6618C" w:rsidRDefault="0044384C" w:rsidP="00C6618C">
      <w:pPr>
        <w:pStyle w:val="FootnoteText"/>
        <w:tabs>
          <w:tab w:val="right" w:pos="1195"/>
          <w:tab w:val="left" w:pos="1267"/>
          <w:tab w:val="left" w:pos="1742"/>
          <w:tab w:val="left" w:pos="2218"/>
          <w:tab w:val="left" w:pos="2693"/>
        </w:tabs>
        <w:ind w:left="1267" w:right="1260" w:hanging="576"/>
      </w:pPr>
      <w:r>
        <w:tab/>
      </w:r>
      <w:r w:rsidRPr="00C6618C">
        <w:rPr>
          <w:rStyle w:val="FootnoteReference"/>
          <w:spacing w:val="4"/>
        </w:rPr>
        <w:footnoteRef/>
      </w:r>
      <w:r w:rsidRPr="00C6618C">
        <w:tab/>
        <w:t>2015</w:t>
      </w:r>
      <w:r w:rsidR="00C6618C">
        <w:t> :</w:t>
      </w:r>
      <w:r w:rsidRPr="00C6618C">
        <w:t xml:space="preserve"> 3</w:t>
      </w:r>
      <w:r w:rsidR="00DB0B40">
        <w:t> </w:t>
      </w:r>
      <w:r w:rsidRPr="00C6618C">
        <w:t>886 cas.</w:t>
      </w:r>
    </w:p>
  </w:footnote>
  <w:footnote w:id="11">
    <w:p w14:paraId="2AF66E1D" w14:textId="7447A427" w:rsidR="0044384C" w:rsidRPr="00C6618C" w:rsidRDefault="0044384C" w:rsidP="00C6618C">
      <w:pPr>
        <w:pStyle w:val="FootnoteText"/>
        <w:tabs>
          <w:tab w:val="right" w:pos="1195"/>
          <w:tab w:val="left" w:pos="1267"/>
          <w:tab w:val="left" w:pos="1742"/>
          <w:tab w:val="left" w:pos="2218"/>
          <w:tab w:val="left" w:pos="2693"/>
        </w:tabs>
        <w:ind w:left="1267" w:right="1260" w:hanging="576"/>
      </w:pPr>
      <w:r>
        <w:tab/>
      </w:r>
      <w:r w:rsidRPr="00C6618C">
        <w:rPr>
          <w:rStyle w:val="FootnoteReference"/>
          <w:spacing w:val="4"/>
        </w:rPr>
        <w:footnoteRef/>
      </w:r>
      <w:r w:rsidRPr="00C6618C">
        <w:tab/>
        <w:t>2015</w:t>
      </w:r>
      <w:r w:rsidR="00A42FBF">
        <w:t> </w:t>
      </w:r>
      <w:r w:rsidRPr="00C6618C">
        <w:t>: 2</w:t>
      </w:r>
      <w:r w:rsidR="00011B49">
        <w:t> </w:t>
      </w:r>
      <w:r w:rsidRPr="00C6618C">
        <w:t>148 cas.</w:t>
      </w:r>
    </w:p>
  </w:footnote>
  <w:footnote w:id="12">
    <w:p w14:paraId="4AEB059B" w14:textId="0C1BB359" w:rsidR="0044384C" w:rsidRPr="00C6618C" w:rsidRDefault="0044384C" w:rsidP="00C6618C">
      <w:pPr>
        <w:pStyle w:val="FootnoteText"/>
        <w:tabs>
          <w:tab w:val="right" w:pos="1195"/>
          <w:tab w:val="left" w:pos="1267"/>
          <w:tab w:val="left" w:pos="1742"/>
          <w:tab w:val="left" w:pos="2218"/>
          <w:tab w:val="left" w:pos="2693"/>
        </w:tabs>
        <w:ind w:left="1267" w:right="1260" w:hanging="576"/>
      </w:pPr>
      <w:r>
        <w:tab/>
      </w:r>
      <w:r w:rsidRPr="00C6618C">
        <w:rPr>
          <w:rStyle w:val="FootnoteReference"/>
          <w:spacing w:val="4"/>
        </w:rPr>
        <w:footnoteRef/>
      </w:r>
      <w:r w:rsidRPr="00C6618C">
        <w:tab/>
        <w:t>L’article 130 a) du Code pénal de l’Albanie, qui traite de la violence domestique, définit les peines applicables à la violence domestique.</w:t>
      </w:r>
    </w:p>
  </w:footnote>
  <w:footnote w:id="13">
    <w:p w14:paraId="3542F88E" w14:textId="1A14CC95" w:rsidR="0044384C" w:rsidRPr="00C6618C" w:rsidRDefault="0044384C" w:rsidP="00C6618C">
      <w:pPr>
        <w:pStyle w:val="FootnoteText"/>
        <w:tabs>
          <w:tab w:val="right" w:pos="1195"/>
          <w:tab w:val="left" w:pos="1267"/>
          <w:tab w:val="left" w:pos="1742"/>
          <w:tab w:val="left" w:pos="2218"/>
          <w:tab w:val="left" w:pos="2693"/>
        </w:tabs>
        <w:ind w:left="1267" w:right="1260" w:hanging="576"/>
      </w:pPr>
      <w:r>
        <w:tab/>
      </w:r>
      <w:r w:rsidRPr="00C6618C">
        <w:rPr>
          <w:rStyle w:val="FootnoteReference"/>
          <w:spacing w:val="4"/>
        </w:rPr>
        <w:footnoteRef/>
      </w:r>
      <w:r w:rsidRPr="00C6618C">
        <w:tab/>
        <w:t>5</w:t>
      </w:r>
      <w:r w:rsidR="00011B49">
        <w:t> </w:t>
      </w:r>
      <w:r w:rsidRPr="00C6618C">
        <w:t>483 affaires en 2016, 5</w:t>
      </w:r>
      <w:r w:rsidR="00011B49">
        <w:t> </w:t>
      </w:r>
      <w:r w:rsidRPr="00C6618C">
        <w:t>154 affaires en 2017, et 2</w:t>
      </w:r>
      <w:r w:rsidR="00011B49">
        <w:t> </w:t>
      </w:r>
      <w:r w:rsidRPr="00C6618C">
        <w:t>419 affaires entre janvier et juin 2018.</w:t>
      </w:r>
    </w:p>
  </w:footnote>
  <w:footnote w:id="14">
    <w:p w14:paraId="654632FB" w14:textId="5516CD43" w:rsidR="0044384C" w:rsidRPr="00C6618C" w:rsidRDefault="0044384C" w:rsidP="00C6618C">
      <w:pPr>
        <w:pStyle w:val="FootnoteText"/>
        <w:tabs>
          <w:tab w:val="right" w:pos="1195"/>
          <w:tab w:val="left" w:pos="1267"/>
          <w:tab w:val="left" w:pos="1742"/>
          <w:tab w:val="left" w:pos="2218"/>
          <w:tab w:val="left" w:pos="2693"/>
        </w:tabs>
        <w:ind w:left="1267" w:right="1260" w:hanging="576"/>
      </w:pPr>
      <w:r>
        <w:tab/>
      </w:r>
      <w:r w:rsidRPr="00C6618C">
        <w:rPr>
          <w:rStyle w:val="FootnoteReference"/>
          <w:spacing w:val="4"/>
        </w:rPr>
        <w:footnoteRef/>
      </w:r>
      <w:r w:rsidRPr="00C6618C">
        <w:tab/>
        <w:t>15 affaires en 2016; 13 affaires en 2017, et 8 affaires entre janvier et juin 2018.</w:t>
      </w:r>
    </w:p>
  </w:footnote>
  <w:footnote w:id="15">
    <w:p w14:paraId="511EA764" w14:textId="66CD78C0" w:rsidR="0044384C" w:rsidRPr="00011B49" w:rsidRDefault="0044384C" w:rsidP="00C6618C">
      <w:pPr>
        <w:pStyle w:val="FootnoteText"/>
        <w:tabs>
          <w:tab w:val="right" w:pos="1195"/>
          <w:tab w:val="left" w:pos="1267"/>
          <w:tab w:val="left" w:pos="1742"/>
          <w:tab w:val="left" w:pos="2218"/>
          <w:tab w:val="left" w:pos="2693"/>
        </w:tabs>
        <w:ind w:left="1267" w:right="1260" w:hanging="576"/>
      </w:pPr>
      <w:r>
        <w:tab/>
      </w:r>
      <w:r w:rsidRPr="00C6618C">
        <w:rPr>
          <w:rStyle w:val="FootnoteReference"/>
          <w:spacing w:val="4"/>
        </w:rPr>
        <w:footnoteRef/>
      </w:r>
      <w:r w:rsidRPr="00C6618C">
        <w:tab/>
      </w:r>
      <w:r w:rsidRPr="00011B49">
        <w:rPr>
          <w:rStyle w:val="Hyperlink"/>
          <w:color w:val="auto"/>
        </w:rPr>
        <w:t>11</w:t>
      </w:r>
      <w:r w:rsidRPr="00011B49">
        <w:t xml:space="preserve"> affaires en 2016, 11 affaires en </w:t>
      </w:r>
      <w:r w:rsidRPr="00011B49">
        <w:rPr>
          <w:rStyle w:val="Hyperlink"/>
          <w:color w:val="auto"/>
        </w:rPr>
        <w:t>2017, et 6 affaires entre janvier et juin 2018.</w:t>
      </w:r>
    </w:p>
  </w:footnote>
  <w:footnote w:id="16">
    <w:p w14:paraId="200889DC" w14:textId="1DB14447" w:rsidR="0044384C" w:rsidRPr="00C6618C" w:rsidRDefault="0044384C" w:rsidP="00C6618C">
      <w:pPr>
        <w:pStyle w:val="FootnoteText"/>
        <w:tabs>
          <w:tab w:val="right" w:pos="1195"/>
          <w:tab w:val="left" w:pos="1267"/>
          <w:tab w:val="left" w:pos="1742"/>
          <w:tab w:val="left" w:pos="2218"/>
          <w:tab w:val="left" w:pos="2693"/>
        </w:tabs>
        <w:ind w:left="1267" w:right="1260" w:hanging="576"/>
      </w:pPr>
      <w:r>
        <w:tab/>
      </w:r>
      <w:r w:rsidRPr="00C6618C">
        <w:rPr>
          <w:rStyle w:val="FootnoteReference"/>
          <w:spacing w:val="4"/>
        </w:rPr>
        <w:footnoteRef/>
      </w:r>
      <w:r w:rsidRPr="00C6618C">
        <w:tab/>
        <w:t>2015</w:t>
      </w:r>
      <w:r w:rsidR="00C6618C">
        <w:t> :</w:t>
      </w:r>
      <w:r w:rsidRPr="00C6618C">
        <w:t xml:space="preserve"> 1</w:t>
      </w:r>
      <w:r w:rsidR="00011B49">
        <w:t> </w:t>
      </w:r>
      <w:r w:rsidRPr="00C6618C">
        <w:t>206 procédures pénales ont donné lieu à un procès; soit un recul de 0,7</w:t>
      </w:r>
      <w:r w:rsidR="00011B49">
        <w:t> </w:t>
      </w:r>
      <w:r w:rsidRPr="00C6618C">
        <w:t>% par rapport à l’année 2014, pendant laquelle il y avait eu 1</w:t>
      </w:r>
      <w:r w:rsidR="00011B49">
        <w:t> </w:t>
      </w:r>
      <w:r w:rsidRPr="00C6618C">
        <w:t>215 procédures pénales.</w:t>
      </w:r>
    </w:p>
  </w:footnote>
  <w:footnote w:id="17">
    <w:p w14:paraId="029D914C" w14:textId="783CD33D" w:rsidR="0044384C" w:rsidRPr="00C6618C" w:rsidRDefault="0044384C" w:rsidP="00C6618C">
      <w:pPr>
        <w:pStyle w:val="FootnoteText"/>
        <w:tabs>
          <w:tab w:val="right" w:pos="1195"/>
          <w:tab w:val="left" w:pos="1267"/>
          <w:tab w:val="left" w:pos="1742"/>
          <w:tab w:val="left" w:pos="2218"/>
          <w:tab w:val="left" w:pos="2693"/>
        </w:tabs>
        <w:ind w:left="1267" w:right="1260" w:hanging="576"/>
      </w:pPr>
      <w:r>
        <w:tab/>
      </w:r>
      <w:r w:rsidRPr="00C6618C">
        <w:rPr>
          <w:rStyle w:val="FootnoteReference"/>
          <w:spacing w:val="4"/>
        </w:rPr>
        <w:footnoteRef/>
      </w:r>
      <w:r w:rsidRPr="00C6618C">
        <w:tab/>
        <w:t>Jusqu’en m</w:t>
      </w:r>
      <w:r w:rsidR="00A42FBF">
        <w:t>a</w:t>
      </w:r>
      <w:r w:rsidRPr="00C6618C">
        <w:t>rs 2018.</w:t>
      </w:r>
    </w:p>
  </w:footnote>
  <w:footnote w:id="18">
    <w:p w14:paraId="71DBB1F3" w14:textId="781A9FB3" w:rsidR="0044384C" w:rsidRPr="00C6618C" w:rsidRDefault="0044384C" w:rsidP="00C6618C">
      <w:pPr>
        <w:pStyle w:val="FootnoteText"/>
        <w:tabs>
          <w:tab w:val="right" w:pos="1195"/>
          <w:tab w:val="left" w:pos="1267"/>
          <w:tab w:val="left" w:pos="1742"/>
          <w:tab w:val="left" w:pos="2218"/>
          <w:tab w:val="left" w:pos="2693"/>
        </w:tabs>
        <w:ind w:left="1267" w:right="1260" w:hanging="576"/>
      </w:pPr>
      <w:r>
        <w:tab/>
      </w:r>
      <w:r w:rsidRPr="00C6618C">
        <w:rPr>
          <w:rStyle w:val="FootnoteReference"/>
          <w:spacing w:val="4"/>
        </w:rPr>
        <w:footnoteRef/>
      </w:r>
      <w:r w:rsidR="00A42FBF">
        <w:tab/>
      </w:r>
      <w:r w:rsidRPr="00C6618C">
        <w:t>En</w:t>
      </w:r>
      <w:r w:rsidR="00A42FBF">
        <w:t xml:space="preserve"> </w:t>
      </w:r>
      <w:r w:rsidRPr="00C6618C">
        <w:t>2015, 1</w:t>
      </w:r>
      <w:r w:rsidR="00A42FBF">
        <w:t> </w:t>
      </w:r>
      <w:r w:rsidRPr="00C6618C">
        <w:t>023 procédures ont donné lieu à un procès, et 985 des 1</w:t>
      </w:r>
      <w:r w:rsidR="00A42FBF">
        <w:t> </w:t>
      </w:r>
      <w:r w:rsidRPr="00C6618C">
        <w:t>097 accusés ont été condamnés.</w:t>
      </w:r>
    </w:p>
  </w:footnote>
  <w:footnote w:id="19">
    <w:p w14:paraId="1446B0F7" w14:textId="11CD1B13" w:rsidR="0044384C" w:rsidRPr="005F3377" w:rsidRDefault="0044384C" w:rsidP="00C6618C">
      <w:pPr>
        <w:pStyle w:val="FootnoteText"/>
        <w:tabs>
          <w:tab w:val="right" w:pos="1195"/>
          <w:tab w:val="left" w:pos="1267"/>
          <w:tab w:val="left" w:pos="1742"/>
          <w:tab w:val="left" w:pos="2218"/>
          <w:tab w:val="left" w:pos="2693"/>
        </w:tabs>
        <w:ind w:left="1267" w:right="1260" w:hanging="576"/>
        <w:rPr>
          <w:lang w:val="en-US"/>
        </w:rPr>
      </w:pPr>
      <w:r>
        <w:tab/>
      </w:r>
      <w:r w:rsidRPr="00C6618C">
        <w:rPr>
          <w:rStyle w:val="FootnoteReference"/>
          <w:spacing w:val="4"/>
        </w:rPr>
        <w:footnoteRef/>
      </w:r>
      <w:r w:rsidRPr="005F3377">
        <w:rPr>
          <w:lang w:val="en-US"/>
        </w:rPr>
        <w:tab/>
        <w:t>INSTAT, « </w:t>
      </w:r>
      <w:r w:rsidR="00DC05DD" w:rsidRPr="005F3377">
        <w:rPr>
          <w:lang w:val="en-US"/>
        </w:rPr>
        <w:t xml:space="preserve">Women and Men in Albania, </w:t>
      </w:r>
      <w:r w:rsidRPr="005F3377">
        <w:rPr>
          <w:lang w:val="en-US"/>
        </w:rPr>
        <w:t xml:space="preserve">2018 », Tirana 2018, </w:t>
      </w:r>
      <w:hyperlink r:id="rId3" w:history="1">
        <w:r w:rsidRPr="005F3377">
          <w:rPr>
            <w:rStyle w:val="Hyperlink"/>
            <w:lang w:val="en-US"/>
          </w:rPr>
          <w:t>www.instat.al</w:t>
        </w:r>
      </w:hyperlink>
      <w:r w:rsidRPr="005F3377">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44384C" w:rsidRPr="005F3377" w14:paraId="56796649" w14:textId="77777777" w:rsidTr="0088604E">
      <w:trPr>
        <w:trHeight w:hRule="exact" w:val="864"/>
      </w:trPr>
      <w:tc>
        <w:tcPr>
          <w:tcW w:w="4920" w:type="dxa"/>
          <w:shd w:val="clear" w:color="auto" w:fill="auto"/>
          <w:vAlign w:val="bottom"/>
        </w:tcPr>
        <w:p w14:paraId="34AACC52" w14:textId="699B1AD3" w:rsidR="0044384C" w:rsidRPr="0088604E" w:rsidRDefault="0044384C" w:rsidP="0088604E">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D5453">
            <w:rPr>
              <w:b/>
              <w:color w:val="000000"/>
            </w:rPr>
            <w:t>CEDAW/C/ALB/CO/4/Add.1</w:t>
          </w:r>
          <w:r>
            <w:rPr>
              <w:b/>
              <w:color w:val="000000"/>
            </w:rPr>
            <w:fldChar w:fldCharType="end"/>
          </w:r>
        </w:p>
      </w:tc>
      <w:tc>
        <w:tcPr>
          <w:tcW w:w="4920" w:type="dxa"/>
          <w:shd w:val="clear" w:color="auto" w:fill="auto"/>
          <w:vAlign w:val="bottom"/>
        </w:tcPr>
        <w:p w14:paraId="176D483F" w14:textId="77777777" w:rsidR="0044384C" w:rsidRDefault="0044384C" w:rsidP="0088604E">
          <w:pPr>
            <w:pStyle w:val="Header"/>
          </w:pPr>
        </w:p>
      </w:tc>
    </w:tr>
  </w:tbl>
  <w:p w14:paraId="0A55F0B7" w14:textId="77777777" w:rsidR="0044384C" w:rsidRPr="0088604E" w:rsidRDefault="0044384C" w:rsidP="0088604E">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44384C" w:rsidRPr="005F3377" w14:paraId="5E2860BB" w14:textId="77777777" w:rsidTr="0088604E">
      <w:trPr>
        <w:trHeight w:hRule="exact" w:val="864"/>
      </w:trPr>
      <w:tc>
        <w:tcPr>
          <w:tcW w:w="4920" w:type="dxa"/>
          <w:shd w:val="clear" w:color="auto" w:fill="auto"/>
          <w:vAlign w:val="bottom"/>
        </w:tcPr>
        <w:p w14:paraId="0BFFC794" w14:textId="77777777" w:rsidR="0044384C" w:rsidRDefault="0044384C" w:rsidP="0088604E">
          <w:pPr>
            <w:pStyle w:val="Header"/>
          </w:pPr>
        </w:p>
      </w:tc>
      <w:tc>
        <w:tcPr>
          <w:tcW w:w="4920" w:type="dxa"/>
          <w:shd w:val="clear" w:color="auto" w:fill="auto"/>
          <w:vAlign w:val="bottom"/>
        </w:tcPr>
        <w:p w14:paraId="6E98274B" w14:textId="68D12145" w:rsidR="0044384C" w:rsidRPr="0088604E" w:rsidRDefault="0044384C" w:rsidP="0088604E">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D5453">
            <w:rPr>
              <w:b/>
              <w:color w:val="000000"/>
            </w:rPr>
            <w:t>CEDAW/C/ALB/CO/4/Add.1</w:t>
          </w:r>
          <w:r>
            <w:rPr>
              <w:b/>
              <w:color w:val="000000"/>
            </w:rPr>
            <w:fldChar w:fldCharType="end"/>
          </w:r>
        </w:p>
      </w:tc>
    </w:tr>
  </w:tbl>
  <w:p w14:paraId="4E13C2C5" w14:textId="77777777" w:rsidR="0044384C" w:rsidRPr="0088604E" w:rsidRDefault="0044384C" w:rsidP="0088604E">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44384C" w:rsidRPr="005F3377" w14:paraId="7C7BFE67" w14:textId="77777777" w:rsidTr="0088604E">
      <w:trPr>
        <w:trHeight w:hRule="exact" w:val="864"/>
      </w:trPr>
      <w:tc>
        <w:tcPr>
          <w:tcW w:w="1267" w:type="dxa"/>
          <w:tcBorders>
            <w:bottom w:val="single" w:sz="4" w:space="0" w:color="auto"/>
          </w:tcBorders>
          <w:shd w:val="clear" w:color="auto" w:fill="auto"/>
          <w:vAlign w:val="bottom"/>
        </w:tcPr>
        <w:p w14:paraId="38E3CAF3" w14:textId="77777777" w:rsidR="0044384C" w:rsidRDefault="0044384C" w:rsidP="0088604E">
          <w:pPr>
            <w:pStyle w:val="Header"/>
            <w:spacing w:after="120"/>
          </w:pPr>
        </w:p>
      </w:tc>
      <w:tc>
        <w:tcPr>
          <w:tcW w:w="2059" w:type="dxa"/>
          <w:tcBorders>
            <w:bottom w:val="single" w:sz="4" w:space="0" w:color="auto"/>
          </w:tcBorders>
          <w:shd w:val="clear" w:color="auto" w:fill="auto"/>
          <w:vAlign w:val="bottom"/>
        </w:tcPr>
        <w:p w14:paraId="15ED9BDB" w14:textId="77777777" w:rsidR="0044384C" w:rsidRPr="0088604E" w:rsidRDefault="0044384C" w:rsidP="0088604E">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5780D049" w14:textId="77777777" w:rsidR="0044384C" w:rsidRDefault="0044384C" w:rsidP="0088604E">
          <w:pPr>
            <w:pStyle w:val="Header"/>
            <w:spacing w:after="120"/>
          </w:pPr>
        </w:p>
      </w:tc>
      <w:tc>
        <w:tcPr>
          <w:tcW w:w="6466" w:type="dxa"/>
          <w:gridSpan w:val="3"/>
          <w:tcBorders>
            <w:bottom w:val="single" w:sz="4" w:space="0" w:color="auto"/>
          </w:tcBorders>
          <w:shd w:val="clear" w:color="auto" w:fill="auto"/>
          <w:vAlign w:val="bottom"/>
        </w:tcPr>
        <w:p w14:paraId="03C37569" w14:textId="77777777" w:rsidR="0044384C" w:rsidRPr="000B1E5F" w:rsidRDefault="0044384C" w:rsidP="0088604E">
          <w:pPr>
            <w:spacing w:after="80" w:line="240" w:lineRule="auto"/>
            <w:jc w:val="right"/>
            <w:rPr>
              <w:position w:val="-4"/>
              <w:lang w:val="en-US"/>
            </w:rPr>
          </w:pPr>
          <w:r w:rsidRPr="000B1E5F">
            <w:rPr>
              <w:position w:val="-4"/>
              <w:sz w:val="40"/>
              <w:lang w:val="en-US"/>
            </w:rPr>
            <w:t>CEDAW</w:t>
          </w:r>
          <w:r w:rsidRPr="000B1E5F">
            <w:rPr>
              <w:position w:val="-4"/>
              <w:lang w:val="en-US"/>
            </w:rPr>
            <w:t>/C/ALB/CO/4/Add.1</w:t>
          </w:r>
        </w:p>
      </w:tc>
    </w:tr>
    <w:tr w:rsidR="0044384C" w:rsidRPr="0088604E" w14:paraId="397A9A45" w14:textId="77777777" w:rsidTr="0088604E">
      <w:trPr>
        <w:trHeight w:hRule="exact" w:val="2880"/>
      </w:trPr>
      <w:tc>
        <w:tcPr>
          <w:tcW w:w="1267" w:type="dxa"/>
          <w:tcBorders>
            <w:top w:val="single" w:sz="4" w:space="0" w:color="auto"/>
            <w:bottom w:val="single" w:sz="12" w:space="0" w:color="auto"/>
          </w:tcBorders>
          <w:shd w:val="clear" w:color="auto" w:fill="auto"/>
        </w:tcPr>
        <w:p w14:paraId="3BDBBDA3" w14:textId="77777777" w:rsidR="0044384C" w:rsidRPr="0088604E" w:rsidRDefault="0044384C" w:rsidP="0088604E">
          <w:pPr>
            <w:pStyle w:val="Header"/>
            <w:spacing w:before="120" w:line="240" w:lineRule="auto"/>
            <w:ind w:left="-72"/>
            <w:jc w:val="center"/>
          </w:pPr>
          <w:r>
            <w:t xml:space="preserve">  </w:t>
          </w:r>
          <w:r>
            <w:rPr>
              <w:noProof/>
            </w:rPr>
            <w:drawing>
              <wp:inline distT="0" distB="0" distL="0" distR="0" wp14:anchorId="34EEAC94" wp14:editId="435F82C8">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806F8BE" w14:textId="35936A29" w:rsidR="0044384C" w:rsidRPr="0088604E" w:rsidRDefault="0044384C" w:rsidP="0088604E">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3E818BC2" w14:textId="77777777" w:rsidR="0044384C" w:rsidRPr="000B1E5F" w:rsidRDefault="0044384C" w:rsidP="0088604E">
          <w:pPr>
            <w:pStyle w:val="Header"/>
            <w:spacing w:before="109"/>
            <w:rPr>
              <w:lang w:val="fr-CA"/>
            </w:rPr>
          </w:pPr>
        </w:p>
      </w:tc>
      <w:tc>
        <w:tcPr>
          <w:tcW w:w="3110" w:type="dxa"/>
          <w:tcBorders>
            <w:top w:val="single" w:sz="4" w:space="0" w:color="auto"/>
            <w:bottom w:val="single" w:sz="12" w:space="0" w:color="auto"/>
          </w:tcBorders>
          <w:shd w:val="clear" w:color="auto" w:fill="auto"/>
        </w:tcPr>
        <w:p w14:paraId="0ADB5956" w14:textId="77777777" w:rsidR="0044384C" w:rsidRPr="000B1E5F" w:rsidRDefault="0044384C" w:rsidP="0088604E">
          <w:pPr>
            <w:pStyle w:val="Distribution"/>
            <w:rPr>
              <w:color w:val="000000"/>
              <w:lang w:val="fr-CA"/>
            </w:rPr>
          </w:pPr>
          <w:r w:rsidRPr="000B1E5F">
            <w:rPr>
              <w:color w:val="000000"/>
              <w:lang w:val="fr-CA"/>
            </w:rPr>
            <w:t>Distr. générale</w:t>
          </w:r>
        </w:p>
        <w:p w14:paraId="1BFEF323" w14:textId="4C2F790A" w:rsidR="0044384C" w:rsidRPr="000B1E5F" w:rsidRDefault="0044384C" w:rsidP="0088604E">
          <w:pPr>
            <w:pStyle w:val="Publication"/>
            <w:rPr>
              <w:color w:val="000000"/>
              <w:lang w:val="fr-CA"/>
            </w:rPr>
          </w:pPr>
          <w:r>
            <w:rPr>
              <w:color w:val="000000"/>
              <w:lang w:val="fr-CA"/>
            </w:rPr>
            <w:t>17</w:t>
          </w:r>
          <w:r w:rsidRPr="000B1E5F">
            <w:rPr>
              <w:color w:val="000000"/>
              <w:lang w:val="fr-CA"/>
            </w:rPr>
            <w:t xml:space="preserve"> </w:t>
          </w:r>
          <w:r>
            <w:rPr>
              <w:color w:val="000000"/>
              <w:lang w:val="fr-CA"/>
            </w:rPr>
            <w:t>avril</w:t>
          </w:r>
          <w:r w:rsidRPr="000B1E5F">
            <w:rPr>
              <w:color w:val="000000"/>
              <w:lang w:val="fr-CA"/>
            </w:rPr>
            <w:t xml:space="preserve"> 2019</w:t>
          </w:r>
        </w:p>
        <w:p w14:paraId="1EC256B7" w14:textId="77777777" w:rsidR="0044384C" w:rsidRPr="000B1E5F" w:rsidRDefault="0044384C" w:rsidP="0088604E">
          <w:r w:rsidRPr="000B1E5F">
            <w:t>Français</w:t>
          </w:r>
        </w:p>
        <w:p w14:paraId="6593AC5A" w14:textId="77777777" w:rsidR="00DE078E" w:rsidRDefault="0044384C" w:rsidP="0088604E">
          <w:pPr>
            <w:pStyle w:val="Original"/>
            <w:rPr>
              <w:color w:val="000000"/>
              <w:lang w:val="fr-CA"/>
            </w:rPr>
          </w:pPr>
          <w:r w:rsidRPr="000B1E5F">
            <w:rPr>
              <w:color w:val="000000"/>
              <w:lang w:val="fr-CA"/>
            </w:rPr>
            <w:t>Original</w:t>
          </w:r>
          <w:r w:rsidR="00C6618C">
            <w:rPr>
              <w:color w:val="000000"/>
              <w:lang w:val="fr-CA"/>
            </w:rPr>
            <w:t> :</w:t>
          </w:r>
          <w:r w:rsidRPr="000B1E5F">
            <w:rPr>
              <w:color w:val="000000"/>
              <w:lang w:val="fr-CA"/>
            </w:rPr>
            <w:t xml:space="preserve"> anglais</w:t>
          </w:r>
        </w:p>
        <w:p w14:paraId="20856B85" w14:textId="152E812A" w:rsidR="0044384C" w:rsidRPr="000B1E5F" w:rsidRDefault="00DE078E" w:rsidP="0088604E">
          <w:pPr>
            <w:pStyle w:val="Original"/>
            <w:rPr>
              <w:color w:val="000000"/>
              <w:lang w:val="fr-CA"/>
            </w:rPr>
          </w:pPr>
          <w:r>
            <w:rPr>
              <w:color w:val="000000"/>
              <w:lang w:val="fr-CA"/>
            </w:rPr>
            <w:t>Anglais</w:t>
          </w:r>
          <w:r w:rsidR="0044384C">
            <w:rPr>
              <w:color w:val="000000"/>
              <w:lang w:val="fr-CA"/>
            </w:rPr>
            <w:t>, espagnol et français seulement</w:t>
          </w:r>
        </w:p>
      </w:tc>
    </w:tr>
  </w:tbl>
  <w:p w14:paraId="2F7D1173" w14:textId="77777777" w:rsidR="0044384C" w:rsidRPr="000B1E5F" w:rsidRDefault="0044384C" w:rsidP="0088604E">
    <w:pPr>
      <w:pStyle w:val="Header"/>
      <w:spacing w:line="240" w:lineRule="auto"/>
      <w:rPr>
        <w:sz w:val="2"/>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1ADCB6D0"/>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00EE27D4"/>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A238C8DA"/>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585221"/>
    <w:multiLevelType w:val="singleLevel"/>
    <w:tmpl w:val="275E9BF8"/>
    <w:lvl w:ilvl="0">
      <w:start w:val="1"/>
      <w:numFmt w:val="decimal"/>
      <w:lvlRestart w:val="0"/>
      <w:lvlText w:val="%1."/>
      <w:lvlJc w:val="left"/>
      <w:pPr>
        <w:tabs>
          <w:tab w:val="num" w:pos="475"/>
        </w:tabs>
        <w:ind w:left="0" w:firstLine="0"/>
      </w:pPr>
      <w:rPr>
        <w:w w:val="100"/>
      </w:rPr>
    </w:lvl>
  </w:abstractNum>
  <w:abstractNum w:abstractNumId="4" w15:restartNumberingAfterBreak="0">
    <w:nsid w:val="331F71BF"/>
    <w:multiLevelType w:val="hybridMultilevel"/>
    <w:tmpl w:val="6346E456"/>
    <w:lvl w:ilvl="0" w:tplc="77DCA1CA">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15:restartNumberingAfterBreak="0">
    <w:nsid w:val="47B40547"/>
    <w:multiLevelType w:val="hybridMultilevel"/>
    <w:tmpl w:val="DE085638"/>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D504A6"/>
    <w:multiLevelType w:val="singleLevel"/>
    <w:tmpl w:val="204C628A"/>
    <w:lvl w:ilvl="0">
      <w:start w:val="25"/>
      <w:numFmt w:val="decimal"/>
      <w:lvlRestart w:val="0"/>
      <w:lvlText w:val="%1."/>
      <w:lvlJc w:val="left"/>
      <w:pPr>
        <w:tabs>
          <w:tab w:val="num" w:pos="1742"/>
        </w:tabs>
        <w:ind w:left="1267" w:firstLine="0"/>
      </w:pPr>
      <w:rPr>
        <w:w w:val="100"/>
      </w:rPr>
    </w:lvl>
  </w:abstractNum>
  <w:num w:numId="1">
    <w:abstractNumId w:val="2"/>
  </w:num>
  <w:num w:numId="2">
    <w:abstractNumId w:val="5"/>
  </w:num>
  <w:num w:numId="3">
    <w:abstractNumId w:val="0"/>
  </w:num>
  <w:num w:numId="4">
    <w:abstractNumId w:val="1"/>
  </w:num>
  <w:num w:numId="5">
    <w:abstractNumId w:val="2"/>
  </w:num>
  <w:num w:numId="6">
    <w:abstractNumId w:val="5"/>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5"/>
  </w:num>
  <w:num w:numId="19">
    <w:abstractNumId w:val="0"/>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3"/>
  </w:num>
  <w:num w:numId="30">
    <w:abstractNumId w:val="4"/>
  </w:num>
  <w:num w:numId="31">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hideSpellingErrors/>
  <w:revisionView w:markup="0"/>
  <w:defaultTabStop w:val="475"/>
  <w:hyphenationZone w:val="425"/>
  <w:doNotHyphenateCaps/>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6470*"/>
    <w:docVar w:name="DocCategory" w:val="InternalDoc"/>
    <w:docVar w:name="DutyStation" w:val="New York"/>
    <w:docVar w:name="footerJN" w:val="19-06470"/>
    <w:docVar w:name="jobn" w:val="19-06470 (F)"/>
    <w:docVar w:name="JobNo" w:val="1906470F"/>
    <w:docVar w:name="ODSRefJobNo" w:val="1911339F"/>
    <w:docVar w:name="sss1" w:val="CEDAW/C/ALB/CO/4/Add.1"/>
    <w:docVar w:name="sss2" w:val="-"/>
    <w:docVar w:name="Symbol1" w:val="CEDAW/C/ALB/CO/4/Add.1"/>
  </w:docVars>
  <w:rsids>
    <w:rsidRoot w:val="002A5F4B"/>
    <w:rsid w:val="00002584"/>
    <w:rsid w:val="00011B49"/>
    <w:rsid w:val="00071D43"/>
    <w:rsid w:val="00082144"/>
    <w:rsid w:val="000B1E5F"/>
    <w:rsid w:val="000D4B4D"/>
    <w:rsid w:val="00101B18"/>
    <w:rsid w:val="0010322B"/>
    <w:rsid w:val="00122A56"/>
    <w:rsid w:val="00134FEE"/>
    <w:rsid w:val="00146C6A"/>
    <w:rsid w:val="00166A0D"/>
    <w:rsid w:val="001C05F7"/>
    <w:rsid w:val="001D4A56"/>
    <w:rsid w:val="001E4B50"/>
    <w:rsid w:val="00204E38"/>
    <w:rsid w:val="00211249"/>
    <w:rsid w:val="002478A0"/>
    <w:rsid w:val="002A5E20"/>
    <w:rsid w:val="002A5F4B"/>
    <w:rsid w:val="002D5453"/>
    <w:rsid w:val="00313404"/>
    <w:rsid w:val="00347C94"/>
    <w:rsid w:val="00366D21"/>
    <w:rsid w:val="003A675A"/>
    <w:rsid w:val="003C279F"/>
    <w:rsid w:val="003F61E1"/>
    <w:rsid w:val="00440C93"/>
    <w:rsid w:val="0044384C"/>
    <w:rsid w:val="00480B84"/>
    <w:rsid w:val="00483F4B"/>
    <w:rsid w:val="004B64F9"/>
    <w:rsid w:val="004C1A25"/>
    <w:rsid w:val="00515991"/>
    <w:rsid w:val="005225EC"/>
    <w:rsid w:val="00525097"/>
    <w:rsid w:val="005509B6"/>
    <w:rsid w:val="005706A1"/>
    <w:rsid w:val="005F1F5F"/>
    <w:rsid w:val="005F3377"/>
    <w:rsid w:val="006829C7"/>
    <w:rsid w:val="00690698"/>
    <w:rsid w:val="006E4A4B"/>
    <w:rsid w:val="007459AE"/>
    <w:rsid w:val="007531A5"/>
    <w:rsid w:val="00771C9E"/>
    <w:rsid w:val="007C3EE5"/>
    <w:rsid w:val="007E6384"/>
    <w:rsid w:val="007F2EAC"/>
    <w:rsid w:val="0082045E"/>
    <w:rsid w:val="008222A3"/>
    <w:rsid w:val="0088604E"/>
    <w:rsid w:val="008F3462"/>
    <w:rsid w:val="00927CC2"/>
    <w:rsid w:val="00935932"/>
    <w:rsid w:val="00966544"/>
    <w:rsid w:val="00993CB7"/>
    <w:rsid w:val="0099739F"/>
    <w:rsid w:val="009B0083"/>
    <w:rsid w:val="009D0EE3"/>
    <w:rsid w:val="00A171FF"/>
    <w:rsid w:val="00A2494D"/>
    <w:rsid w:val="00A42FBF"/>
    <w:rsid w:val="00A536A1"/>
    <w:rsid w:val="00AB0B7D"/>
    <w:rsid w:val="00AD5F2F"/>
    <w:rsid w:val="00B858D5"/>
    <w:rsid w:val="00BA6826"/>
    <w:rsid w:val="00BC6C36"/>
    <w:rsid w:val="00C5708F"/>
    <w:rsid w:val="00C6618C"/>
    <w:rsid w:val="00CB06FB"/>
    <w:rsid w:val="00CB63C5"/>
    <w:rsid w:val="00D0662E"/>
    <w:rsid w:val="00D30EED"/>
    <w:rsid w:val="00DA1B91"/>
    <w:rsid w:val="00DA5EF4"/>
    <w:rsid w:val="00DB0B40"/>
    <w:rsid w:val="00DC05DD"/>
    <w:rsid w:val="00DE078E"/>
    <w:rsid w:val="00DF3344"/>
    <w:rsid w:val="00E322CC"/>
    <w:rsid w:val="00E343A6"/>
    <w:rsid w:val="00E7105F"/>
    <w:rsid w:val="00EE37EC"/>
    <w:rsid w:val="00EF2DFA"/>
    <w:rsid w:val="00F5012D"/>
    <w:rsid w:val="00F73093"/>
    <w:rsid w:val="00FA3D05"/>
    <w:rsid w:val="00FA5CC9"/>
    <w:rsid w:val="00FB0A2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63BF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1B91"/>
    <w:pPr>
      <w:spacing w:after="0" w:line="240" w:lineRule="exact"/>
    </w:pPr>
    <w:rPr>
      <w:rFonts w:ascii="Times New Roman"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DA1B91"/>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DA1B91"/>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DA1B91"/>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DA1B91"/>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DA1B91"/>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DA1B91"/>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DA1B91"/>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DA1B91"/>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DA1B91"/>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DA1B91"/>
    <w:pPr>
      <w:keepNext/>
      <w:keepLines/>
      <w:suppressAutoHyphens/>
      <w:spacing w:line="270" w:lineRule="exact"/>
      <w:outlineLvl w:val="0"/>
    </w:pPr>
    <w:rPr>
      <w:b/>
      <w:sz w:val="24"/>
    </w:rPr>
  </w:style>
  <w:style w:type="paragraph" w:customStyle="1" w:styleId="HCH">
    <w:name w:val="_ H _CH"/>
    <w:basedOn w:val="H1"/>
    <w:next w:val="Normal"/>
    <w:qFormat/>
    <w:rsid w:val="00DA1B91"/>
    <w:pPr>
      <w:spacing w:line="300" w:lineRule="exact"/>
    </w:pPr>
    <w:rPr>
      <w:spacing w:val="-2"/>
      <w:sz w:val="28"/>
    </w:rPr>
  </w:style>
  <w:style w:type="paragraph" w:customStyle="1" w:styleId="HM">
    <w:name w:val="_ H __M"/>
    <w:basedOn w:val="HCH"/>
    <w:next w:val="Normal"/>
    <w:qFormat/>
    <w:rsid w:val="00DA1B91"/>
    <w:pPr>
      <w:spacing w:line="360" w:lineRule="exact"/>
    </w:pPr>
    <w:rPr>
      <w:spacing w:val="-3"/>
      <w:w w:val="99"/>
      <w:sz w:val="34"/>
    </w:rPr>
  </w:style>
  <w:style w:type="paragraph" w:customStyle="1" w:styleId="H23">
    <w:name w:val="_ H_2/3"/>
    <w:basedOn w:val="H1"/>
    <w:next w:val="SingleTxt"/>
    <w:qFormat/>
    <w:rsid w:val="00DA1B91"/>
    <w:pPr>
      <w:spacing w:line="240" w:lineRule="exact"/>
      <w:outlineLvl w:val="1"/>
    </w:pPr>
    <w:rPr>
      <w:spacing w:val="2"/>
      <w:sz w:val="20"/>
    </w:rPr>
  </w:style>
  <w:style w:type="paragraph" w:customStyle="1" w:styleId="H4">
    <w:name w:val="_ H_4"/>
    <w:basedOn w:val="Normal"/>
    <w:next w:val="Normal"/>
    <w:qFormat/>
    <w:rsid w:val="00DA1B91"/>
    <w:pPr>
      <w:keepNext/>
      <w:keepLines/>
      <w:tabs>
        <w:tab w:val="right" w:pos="360"/>
      </w:tabs>
      <w:suppressAutoHyphens/>
      <w:outlineLvl w:val="3"/>
    </w:pPr>
    <w:rPr>
      <w:i/>
      <w:spacing w:val="3"/>
    </w:rPr>
  </w:style>
  <w:style w:type="paragraph" w:customStyle="1" w:styleId="H56">
    <w:name w:val="_ H_5/6"/>
    <w:basedOn w:val="Normal"/>
    <w:next w:val="Normal"/>
    <w:qFormat/>
    <w:rsid w:val="00DA1B91"/>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DA1B91"/>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DA1B91"/>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DA1B91"/>
    <w:pPr>
      <w:spacing w:line="540" w:lineRule="exact"/>
    </w:pPr>
    <w:rPr>
      <w:spacing w:val="-8"/>
      <w:w w:val="96"/>
      <w:sz w:val="57"/>
    </w:rPr>
  </w:style>
  <w:style w:type="paragraph" w:customStyle="1" w:styleId="SS">
    <w:name w:val="__S_S"/>
    <w:basedOn w:val="HCH"/>
    <w:next w:val="Normal"/>
    <w:qFormat/>
    <w:rsid w:val="00DA1B91"/>
    <w:pPr>
      <w:ind w:left="1267" w:right="1267"/>
    </w:pPr>
  </w:style>
  <w:style w:type="paragraph" w:customStyle="1" w:styleId="SingleTxt">
    <w:name w:val="__Single Txt"/>
    <w:basedOn w:val="Normal"/>
    <w:qFormat/>
    <w:rsid w:val="00DA1B9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DA1B91"/>
    <w:pPr>
      <w:spacing w:after="0" w:line="240" w:lineRule="exact"/>
    </w:pPr>
    <w:rPr>
      <w:rFonts w:ascii="Times New Roman" w:hAnsi="Times New Roman" w:cs="Times New Roman"/>
      <w:spacing w:val="4"/>
      <w:w w:val="103"/>
      <w:kern w:val="14"/>
      <w:sz w:val="20"/>
      <w:lang w:val="fr-CA" w:eastAsia="en-US"/>
    </w:rPr>
  </w:style>
  <w:style w:type="paragraph" w:customStyle="1" w:styleId="TitleH1">
    <w:name w:val="Title_H1"/>
    <w:basedOn w:val="Normal"/>
    <w:next w:val="Normal"/>
    <w:qFormat/>
    <w:rsid w:val="00DA1B9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DA1B91"/>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DA1B9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A1B91"/>
    <w:rPr>
      <w:rFonts w:ascii="Tahoma" w:hAnsi="Tahoma" w:cs="Tahoma"/>
      <w:spacing w:val="4"/>
      <w:w w:val="103"/>
      <w:kern w:val="14"/>
      <w:sz w:val="16"/>
      <w:szCs w:val="16"/>
      <w:lang w:val="fr-CA" w:eastAsia="en-US"/>
    </w:rPr>
  </w:style>
  <w:style w:type="paragraph" w:customStyle="1" w:styleId="Bullet1">
    <w:name w:val="Bullet 1"/>
    <w:basedOn w:val="Normal"/>
    <w:qFormat/>
    <w:rsid w:val="00DA1B91"/>
    <w:pPr>
      <w:numPr>
        <w:numId w:val="17"/>
      </w:numPr>
      <w:spacing w:after="120"/>
      <w:ind w:right="1267"/>
    </w:pPr>
  </w:style>
  <w:style w:type="paragraph" w:customStyle="1" w:styleId="Bullet2">
    <w:name w:val="Bullet 2"/>
    <w:basedOn w:val="Normal"/>
    <w:qFormat/>
    <w:rsid w:val="00DA1B91"/>
    <w:pPr>
      <w:numPr>
        <w:numId w:val="18"/>
      </w:numPr>
      <w:spacing w:after="120"/>
      <w:ind w:right="1264"/>
    </w:pPr>
  </w:style>
  <w:style w:type="paragraph" w:customStyle="1" w:styleId="Bullet3">
    <w:name w:val="Bullet 3"/>
    <w:basedOn w:val="SingleTxt"/>
    <w:qFormat/>
    <w:rsid w:val="00DA1B91"/>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s>
    </w:pPr>
  </w:style>
  <w:style w:type="paragraph" w:customStyle="1" w:styleId="Distribution">
    <w:name w:val="Distribution"/>
    <w:next w:val="Normal"/>
    <w:autoRedefine/>
    <w:qFormat/>
    <w:rsid w:val="00DA1B91"/>
    <w:pPr>
      <w:spacing w:before="240" w:after="0" w:line="240" w:lineRule="auto"/>
    </w:pPr>
    <w:rPr>
      <w:rFonts w:ascii="Times New Roman"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DA1B91"/>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unhideWhenUsed/>
    <w:rsid w:val="00DA1B91"/>
    <w:pPr>
      <w:spacing w:line="210" w:lineRule="exact"/>
    </w:pPr>
    <w:rPr>
      <w:sz w:val="17"/>
      <w:szCs w:val="20"/>
    </w:rPr>
  </w:style>
  <w:style w:type="character" w:customStyle="1" w:styleId="EndnoteTextChar">
    <w:name w:val="Endnote Text Char"/>
    <w:link w:val="EndnoteText"/>
    <w:uiPriority w:val="99"/>
    <w:rsid w:val="00DA1B91"/>
    <w:rPr>
      <w:rFonts w:ascii="Times New Roman" w:hAnsi="Times New Roman" w:cs="Times New Roman"/>
      <w:spacing w:val="4"/>
      <w:w w:val="103"/>
      <w:kern w:val="14"/>
      <w:sz w:val="17"/>
      <w:szCs w:val="20"/>
      <w:lang w:val="fr-CA" w:eastAsia="en-US"/>
    </w:rPr>
  </w:style>
  <w:style w:type="paragraph" w:styleId="Footer">
    <w:name w:val="footer"/>
    <w:link w:val="FooterChar"/>
    <w:uiPriority w:val="99"/>
    <w:qFormat/>
    <w:rsid w:val="00DA1B91"/>
    <w:pPr>
      <w:tabs>
        <w:tab w:val="center" w:pos="4320"/>
        <w:tab w:val="right" w:pos="8640"/>
      </w:tabs>
      <w:spacing w:after="0" w:line="210" w:lineRule="exact"/>
    </w:pPr>
    <w:rPr>
      <w:rFonts w:ascii="Times New Roman" w:hAnsi="Times New Roman" w:cs="Times New Roman"/>
      <w:b/>
      <w:spacing w:val="3"/>
      <w:w w:val="105"/>
      <w:sz w:val="17"/>
      <w:lang w:val="en-US" w:eastAsia="en-US"/>
    </w:rPr>
  </w:style>
  <w:style w:type="character" w:customStyle="1" w:styleId="FooterChar">
    <w:name w:val="Footer Char"/>
    <w:link w:val="Footer"/>
    <w:uiPriority w:val="99"/>
    <w:rsid w:val="00DA1B91"/>
    <w:rPr>
      <w:rFonts w:ascii="Times New Roman" w:hAnsi="Times New Roman" w:cs="Times New Roman"/>
      <w:b/>
      <w:spacing w:val="3"/>
      <w:w w:val="105"/>
      <w:sz w:val="17"/>
      <w:lang w:val="en-US" w:eastAsia="en-US"/>
    </w:rPr>
  </w:style>
  <w:style w:type="character" w:styleId="FootnoteReference">
    <w:name w:val="footnote reference"/>
    <w:semiHidden/>
    <w:rsid w:val="00DA1B9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DA1B91"/>
    <w:pPr>
      <w:spacing w:line="210" w:lineRule="exact"/>
    </w:pPr>
    <w:rPr>
      <w:sz w:val="17"/>
      <w:szCs w:val="20"/>
    </w:rPr>
  </w:style>
  <w:style w:type="character" w:customStyle="1" w:styleId="FootnoteTextChar">
    <w:name w:val="Footnote Text Char"/>
    <w:link w:val="FootnoteText"/>
    <w:rsid w:val="00DA1B91"/>
    <w:rPr>
      <w:rFonts w:ascii="Times New Roman" w:hAnsi="Times New Roman" w:cs="Times New Roman"/>
      <w:spacing w:val="4"/>
      <w:w w:val="103"/>
      <w:kern w:val="14"/>
      <w:sz w:val="17"/>
      <w:szCs w:val="20"/>
      <w:lang w:val="fr-CA" w:eastAsia="en-US"/>
    </w:rPr>
  </w:style>
  <w:style w:type="paragraph" w:styleId="Header">
    <w:name w:val="header"/>
    <w:link w:val="HeaderChar"/>
    <w:uiPriority w:val="99"/>
    <w:rsid w:val="00DA1B91"/>
    <w:pPr>
      <w:tabs>
        <w:tab w:val="center" w:pos="4320"/>
        <w:tab w:val="right" w:pos="8640"/>
      </w:tabs>
      <w:spacing w:after="0" w:line="210" w:lineRule="exact"/>
    </w:pPr>
    <w:rPr>
      <w:rFonts w:ascii="Times New Roman" w:hAnsi="Times New Roman" w:cs="Times New Roman"/>
      <w:spacing w:val="3"/>
      <w:w w:val="105"/>
      <w:sz w:val="17"/>
      <w:lang w:val="en-US" w:eastAsia="en-US"/>
    </w:rPr>
  </w:style>
  <w:style w:type="character" w:customStyle="1" w:styleId="HeaderChar">
    <w:name w:val="Header Char"/>
    <w:link w:val="Header"/>
    <w:uiPriority w:val="99"/>
    <w:rsid w:val="00DA1B91"/>
    <w:rPr>
      <w:rFonts w:ascii="Times New Roman" w:hAnsi="Times New Roman" w:cs="Times New Roman"/>
      <w:spacing w:val="3"/>
      <w:w w:val="105"/>
      <w:sz w:val="17"/>
      <w:lang w:val="en-US" w:eastAsia="en-US"/>
    </w:rPr>
  </w:style>
  <w:style w:type="character" w:customStyle="1" w:styleId="Heading1Char">
    <w:name w:val="Heading 1 Char"/>
    <w:link w:val="Heading1"/>
    <w:uiPriority w:val="9"/>
    <w:rsid w:val="00DA1B91"/>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DA1B91"/>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DA1B91"/>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DA1B91"/>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DA1B91"/>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DA1B91"/>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DA1B91"/>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DA1B91"/>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DA1B91"/>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DA1B91"/>
    <w:rPr>
      <w:sz w:val="14"/>
    </w:rPr>
  </w:style>
  <w:style w:type="paragraph" w:styleId="ListParagraph">
    <w:name w:val="List Paragraph"/>
    <w:basedOn w:val="Normal"/>
    <w:uiPriority w:val="34"/>
    <w:rsid w:val="00DA1B91"/>
    <w:pPr>
      <w:ind w:left="720"/>
      <w:contextualSpacing/>
    </w:pPr>
  </w:style>
  <w:style w:type="paragraph" w:styleId="NoSpacing">
    <w:name w:val="No Spacing"/>
    <w:uiPriority w:val="1"/>
    <w:rsid w:val="00DA1B91"/>
    <w:pPr>
      <w:spacing w:after="0" w:line="240" w:lineRule="auto"/>
    </w:pPr>
    <w:rPr>
      <w:rFonts w:ascii="Calibri" w:hAnsi="Calibri" w:cs="Times New Roman"/>
      <w:lang w:val="en-US" w:eastAsia="en-US"/>
    </w:rPr>
  </w:style>
  <w:style w:type="paragraph" w:customStyle="1" w:styleId="Original">
    <w:name w:val="Original"/>
    <w:next w:val="Normal"/>
    <w:autoRedefine/>
    <w:qFormat/>
    <w:rsid w:val="00DA1B91"/>
    <w:pPr>
      <w:spacing w:after="0" w:line="240" w:lineRule="auto"/>
    </w:pPr>
    <w:rPr>
      <w:rFonts w:ascii="Times New Roman" w:hAnsi="Times New Roman" w:cs="Times New Roman"/>
      <w:spacing w:val="4"/>
      <w:w w:val="103"/>
      <w:kern w:val="14"/>
      <w:sz w:val="20"/>
      <w:lang w:val="en-US" w:eastAsia="en-US"/>
    </w:rPr>
  </w:style>
  <w:style w:type="paragraph" w:customStyle="1" w:styleId="Publication">
    <w:name w:val="Publication"/>
    <w:next w:val="Normal"/>
    <w:autoRedefine/>
    <w:qFormat/>
    <w:rsid w:val="00DA1B91"/>
    <w:pPr>
      <w:spacing w:after="0" w:line="240" w:lineRule="auto"/>
    </w:pPr>
    <w:rPr>
      <w:rFonts w:ascii="Times New Roman" w:hAnsi="Times New Roman" w:cs="Times New Roman"/>
      <w:spacing w:val="4"/>
      <w:w w:val="103"/>
      <w:kern w:val="14"/>
      <w:sz w:val="20"/>
      <w:lang w:val="en-US" w:eastAsia="en-US"/>
    </w:rPr>
  </w:style>
  <w:style w:type="paragraph" w:customStyle="1" w:styleId="ReleaseDate">
    <w:name w:val="Release Date"/>
    <w:next w:val="Normal"/>
    <w:autoRedefine/>
    <w:qFormat/>
    <w:rsid w:val="00DA1B91"/>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DA1B91"/>
    <w:pPr>
      <w:tabs>
        <w:tab w:val="right" w:pos="9965"/>
      </w:tabs>
      <w:spacing w:line="210" w:lineRule="exact"/>
    </w:pPr>
    <w:rPr>
      <w:spacing w:val="5"/>
      <w:w w:val="104"/>
      <w:sz w:val="17"/>
    </w:rPr>
  </w:style>
  <w:style w:type="paragraph" w:customStyle="1" w:styleId="SmallX">
    <w:name w:val="SmallX"/>
    <w:basedOn w:val="Small"/>
    <w:next w:val="Normal"/>
    <w:qFormat/>
    <w:rsid w:val="00DA1B91"/>
    <w:pPr>
      <w:spacing w:line="180" w:lineRule="exact"/>
      <w:jc w:val="right"/>
    </w:pPr>
    <w:rPr>
      <w:spacing w:val="6"/>
      <w:w w:val="106"/>
      <w:sz w:val="14"/>
    </w:rPr>
  </w:style>
  <w:style w:type="character" w:styleId="Strong">
    <w:name w:val="Strong"/>
    <w:uiPriority w:val="22"/>
    <w:rsid w:val="00DA1B91"/>
    <w:rPr>
      <w:b/>
      <w:bCs/>
    </w:rPr>
  </w:style>
  <w:style w:type="paragraph" w:customStyle="1" w:styleId="Style1">
    <w:name w:val="Style1"/>
    <w:basedOn w:val="Normal"/>
    <w:qFormat/>
    <w:rsid w:val="00DA1B91"/>
  </w:style>
  <w:style w:type="paragraph" w:customStyle="1" w:styleId="Style2">
    <w:name w:val="Style2"/>
    <w:basedOn w:val="Normal"/>
    <w:autoRedefine/>
    <w:qFormat/>
    <w:rsid w:val="00DA1B91"/>
  </w:style>
  <w:style w:type="paragraph" w:customStyle="1" w:styleId="TitleHCH">
    <w:name w:val="Title_H_CH"/>
    <w:basedOn w:val="H1"/>
    <w:next w:val="Normal"/>
    <w:qFormat/>
    <w:rsid w:val="00DA1B9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DA1B9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DA1B91"/>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paragraph" w:customStyle="1" w:styleId="STitleL">
    <w:name w:val="S_Title_L"/>
    <w:basedOn w:val="SM"/>
    <w:next w:val="Normal"/>
    <w:qFormat/>
    <w:rsid w:val="00082144"/>
    <w:pPr>
      <w:spacing w:line="540" w:lineRule="exact"/>
    </w:pPr>
    <w:rPr>
      <w:spacing w:val="-8"/>
      <w:w w:val="96"/>
      <w:sz w:val="57"/>
    </w:rPr>
  </w:style>
  <w:style w:type="character" w:styleId="CommentReference">
    <w:name w:val="annotation reference"/>
    <w:basedOn w:val="DefaultParagraphFont"/>
    <w:uiPriority w:val="99"/>
    <w:semiHidden/>
    <w:unhideWhenUsed/>
    <w:rsid w:val="0088604E"/>
    <w:rPr>
      <w:sz w:val="16"/>
      <w:szCs w:val="16"/>
    </w:rPr>
  </w:style>
  <w:style w:type="paragraph" w:styleId="CommentText">
    <w:name w:val="annotation text"/>
    <w:basedOn w:val="Normal"/>
    <w:link w:val="CommentTextChar"/>
    <w:uiPriority w:val="99"/>
    <w:semiHidden/>
    <w:unhideWhenUsed/>
    <w:rsid w:val="0088604E"/>
    <w:pPr>
      <w:spacing w:line="240" w:lineRule="auto"/>
    </w:pPr>
    <w:rPr>
      <w:szCs w:val="20"/>
    </w:rPr>
  </w:style>
  <w:style w:type="character" w:customStyle="1" w:styleId="CommentTextChar">
    <w:name w:val="Comment Text Char"/>
    <w:basedOn w:val="DefaultParagraphFont"/>
    <w:link w:val="CommentText"/>
    <w:uiPriority w:val="99"/>
    <w:semiHidden/>
    <w:rsid w:val="0088604E"/>
    <w:rPr>
      <w:rFonts w:ascii="Times New Roman"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88604E"/>
    <w:rPr>
      <w:b/>
      <w:bCs/>
    </w:rPr>
  </w:style>
  <w:style w:type="character" w:customStyle="1" w:styleId="CommentSubjectChar">
    <w:name w:val="Comment Subject Char"/>
    <w:basedOn w:val="CommentTextChar"/>
    <w:link w:val="CommentSubject"/>
    <w:uiPriority w:val="99"/>
    <w:semiHidden/>
    <w:rsid w:val="0088604E"/>
    <w:rPr>
      <w:rFonts w:ascii="Times New Roman" w:hAnsi="Times New Roman" w:cs="Times New Roman"/>
      <w:b/>
      <w:bCs/>
      <w:spacing w:val="4"/>
      <w:w w:val="103"/>
      <w:kern w:val="14"/>
      <w:sz w:val="20"/>
      <w:szCs w:val="20"/>
      <w:lang w:val="fr-CA" w:eastAsia="en-US"/>
    </w:rPr>
  </w:style>
  <w:style w:type="character" w:styleId="Hyperlink">
    <w:name w:val="Hyperlink"/>
    <w:basedOn w:val="DefaultParagraphFont"/>
    <w:rsid w:val="0044384C"/>
    <w:rPr>
      <w:color w:val="0000FF"/>
      <w:u w:val="none"/>
    </w:rPr>
  </w:style>
  <w:style w:type="character" w:styleId="UnresolvedMention">
    <w:name w:val="Unresolved Mention"/>
    <w:basedOn w:val="DefaultParagraphFont"/>
    <w:uiPriority w:val="99"/>
    <w:semiHidden/>
    <w:unhideWhenUsed/>
    <w:rsid w:val="00C6618C"/>
    <w:rPr>
      <w:color w:val="605E5C"/>
      <w:shd w:val="clear" w:color="auto" w:fill="E1DFDD"/>
    </w:rPr>
  </w:style>
  <w:style w:type="character" w:styleId="FollowedHyperlink">
    <w:name w:val="FollowedHyperlink"/>
    <w:basedOn w:val="DefaultParagraphFont"/>
    <w:uiPriority w:val="99"/>
    <w:semiHidden/>
    <w:unhideWhenUsed/>
    <w:rsid w:val="00DC05DD"/>
    <w:rPr>
      <w:color w:val="800080" w:themeColor="followedHyperlink"/>
      <w:u w:val="single"/>
    </w:rPr>
  </w:style>
  <w:style w:type="paragraph" w:styleId="Revision">
    <w:name w:val="Revision"/>
    <w:hidden/>
    <w:uiPriority w:val="99"/>
    <w:semiHidden/>
    <w:rsid w:val="005F3377"/>
    <w:pPr>
      <w:spacing w:after="0" w:line="240" w:lineRule="auto"/>
    </w:pPr>
    <w:rPr>
      <w:rFonts w:ascii="Times New Roman" w:hAnsi="Times New Roman" w:cs="Times New Roman"/>
      <w:spacing w:val="4"/>
      <w:w w:val="103"/>
      <w:kern w:val="14"/>
      <w:sz w:val="20"/>
      <w:lang w:val="fr-CA" w:eastAsia="en-US"/>
    </w:rPr>
  </w:style>
  <w:style w:type="table" w:styleId="TableGrid">
    <w:name w:val="Table Grid"/>
    <w:basedOn w:val="TableNormal"/>
    <w:uiPriority w:val="59"/>
    <w:rsid w:val="00347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www.instat.al" TargetMode="External"/><Relationship Id="rId2" Type="http://schemas.openxmlformats.org/officeDocument/2006/relationships/hyperlink" Target="http://www.parlament.al/ProjektLigje/ProjektLigjeDetails/44781" TargetMode="External"/><Relationship Id="rId1" Type="http://schemas.openxmlformats.org/officeDocument/2006/relationships/hyperlink" Target="http://www.qbz.gov.al/Botime/Akteindividuale/Janar%202017/Fletore%20241/LIGJ%20nr.%20111-2017,%20date%2014.12.2017.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4292</Words>
  <Characters>24469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2019-05-13T15:40:00Z</dcterms:created>
  <dcterms:modified xsi:type="dcterms:W3CDTF">2019-05-13T15:40:00Z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1">
    <vt:lpwstr>		Observations finales sur le quatrième rapport periodique de l’Albanie_x000d_</vt:lpwstr>
  </property>
</Properties>
</file>