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224A01" w:rsidTr="00134F2D">
        <w:trPr>
          <w:trHeight w:hRule="exact" w:val="851"/>
        </w:trPr>
        <w:tc>
          <w:tcPr>
            <w:tcW w:w="1276" w:type="dxa"/>
            <w:tcBorders>
              <w:bottom w:val="single" w:sz="4" w:space="0" w:color="auto"/>
            </w:tcBorders>
          </w:tcPr>
          <w:p w:rsidR="000F38B7" w:rsidRPr="00224A01" w:rsidRDefault="000F38B7" w:rsidP="000F38B7"/>
        </w:tc>
        <w:tc>
          <w:tcPr>
            <w:tcW w:w="2268" w:type="dxa"/>
            <w:tcBorders>
              <w:bottom w:val="single" w:sz="4" w:space="0" w:color="auto"/>
            </w:tcBorders>
            <w:vAlign w:val="bottom"/>
          </w:tcPr>
          <w:p w:rsidR="000F38B7" w:rsidRPr="00224A01" w:rsidRDefault="000F38B7" w:rsidP="000F38B7">
            <w:pPr>
              <w:spacing w:after="80" w:line="300" w:lineRule="exact"/>
              <w:rPr>
                <w:sz w:val="28"/>
              </w:rPr>
            </w:pPr>
            <w:r w:rsidRPr="00224A01">
              <w:rPr>
                <w:sz w:val="28"/>
              </w:rPr>
              <w:t>Nations Unies</w:t>
            </w:r>
          </w:p>
        </w:tc>
        <w:tc>
          <w:tcPr>
            <w:tcW w:w="6095" w:type="dxa"/>
            <w:gridSpan w:val="2"/>
            <w:tcBorders>
              <w:bottom w:val="single" w:sz="4" w:space="0" w:color="auto"/>
            </w:tcBorders>
            <w:vAlign w:val="bottom"/>
          </w:tcPr>
          <w:p w:rsidR="000F38B7" w:rsidRPr="00224A01" w:rsidRDefault="00134F2D" w:rsidP="00134F2D">
            <w:pPr>
              <w:jc w:val="right"/>
            </w:pPr>
            <w:r w:rsidRPr="00224A01">
              <w:rPr>
                <w:sz w:val="40"/>
              </w:rPr>
              <w:t>CEDAW</w:t>
            </w:r>
            <w:r w:rsidRPr="00224A01">
              <w:t>/C/AGO/6</w:t>
            </w:r>
          </w:p>
        </w:tc>
      </w:tr>
      <w:tr w:rsidR="000F38B7" w:rsidRPr="00224A01" w:rsidTr="000F38B7">
        <w:trPr>
          <w:trHeight w:hRule="exact" w:val="2835"/>
        </w:trPr>
        <w:tc>
          <w:tcPr>
            <w:tcW w:w="1276" w:type="dxa"/>
            <w:tcBorders>
              <w:top w:val="single" w:sz="4" w:space="0" w:color="auto"/>
              <w:bottom w:val="single" w:sz="12" w:space="0" w:color="auto"/>
            </w:tcBorders>
          </w:tcPr>
          <w:p w:rsidR="000F38B7" w:rsidRPr="00224A01" w:rsidRDefault="000F38B7" w:rsidP="000F38B7">
            <w:pPr>
              <w:spacing w:before="120"/>
              <w:jc w:val="center"/>
            </w:pPr>
            <w:r w:rsidRPr="00224A0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224A01" w:rsidRDefault="000F38B7" w:rsidP="000F38B7">
            <w:pPr>
              <w:spacing w:before="120" w:line="380" w:lineRule="exact"/>
              <w:rPr>
                <w:b/>
                <w:sz w:val="34"/>
                <w:szCs w:val="34"/>
              </w:rPr>
            </w:pPr>
            <w:r w:rsidRPr="00224A01">
              <w:rPr>
                <w:b/>
                <w:sz w:val="34"/>
                <w:szCs w:val="34"/>
              </w:rPr>
              <w:t>Convention sur l’élimination</w:t>
            </w:r>
            <w:r w:rsidRPr="00224A01">
              <w:rPr>
                <w:b/>
                <w:sz w:val="34"/>
                <w:szCs w:val="34"/>
              </w:rPr>
              <w:br/>
              <w:t>de toutes les formes</w:t>
            </w:r>
            <w:r w:rsidRPr="00224A01">
              <w:rPr>
                <w:b/>
                <w:sz w:val="34"/>
                <w:szCs w:val="34"/>
              </w:rPr>
              <w:br/>
              <w:t>de discrimination à l’égard</w:t>
            </w:r>
            <w:r w:rsidRPr="00224A01">
              <w:rPr>
                <w:b/>
                <w:sz w:val="34"/>
                <w:szCs w:val="34"/>
              </w:rPr>
              <w:br/>
              <w:t>des femmes</w:t>
            </w:r>
          </w:p>
        </w:tc>
        <w:tc>
          <w:tcPr>
            <w:tcW w:w="2835" w:type="dxa"/>
            <w:tcBorders>
              <w:top w:val="single" w:sz="4" w:space="0" w:color="auto"/>
              <w:bottom w:val="single" w:sz="12" w:space="0" w:color="auto"/>
            </w:tcBorders>
          </w:tcPr>
          <w:p w:rsidR="00134F2D" w:rsidRPr="00224A01" w:rsidRDefault="00134F2D" w:rsidP="000F38B7">
            <w:pPr>
              <w:spacing w:before="240"/>
            </w:pPr>
            <w:r w:rsidRPr="00224A01">
              <w:t>Distr. générale</w:t>
            </w:r>
          </w:p>
          <w:p w:rsidR="00134F2D" w:rsidRPr="00224A01" w:rsidRDefault="00134F2D" w:rsidP="00134F2D">
            <w:pPr>
              <w:spacing w:line="240" w:lineRule="exact"/>
            </w:pPr>
            <w:r w:rsidRPr="00224A01">
              <w:t>24 septembre 2011</w:t>
            </w:r>
          </w:p>
          <w:p w:rsidR="00134F2D" w:rsidRPr="00224A01" w:rsidRDefault="00134F2D" w:rsidP="00134F2D">
            <w:pPr>
              <w:spacing w:line="240" w:lineRule="exact"/>
            </w:pPr>
            <w:r w:rsidRPr="00224A01">
              <w:t>Français</w:t>
            </w:r>
          </w:p>
          <w:p w:rsidR="000F38B7" w:rsidRPr="00224A01" w:rsidRDefault="00134F2D" w:rsidP="00134F2D">
            <w:pPr>
              <w:spacing w:line="240" w:lineRule="exact"/>
            </w:pPr>
            <w:r w:rsidRPr="00224A01">
              <w:t>Original: anglais</w:t>
            </w:r>
          </w:p>
        </w:tc>
      </w:tr>
    </w:tbl>
    <w:p w:rsidR="00134F2D" w:rsidRPr="00224A01" w:rsidRDefault="00134F2D" w:rsidP="00134F2D">
      <w:pPr>
        <w:spacing w:before="120"/>
        <w:rPr>
          <w:b/>
          <w:sz w:val="24"/>
          <w:szCs w:val="24"/>
        </w:rPr>
      </w:pPr>
      <w:r w:rsidRPr="00224A01">
        <w:rPr>
          <w:b/>
          <w:sz w:val="24"/>
          <w:szCs w:val="24"/>
        </w:rPr>
        <w:t>Comité pour l’élimination de la discrimination</w:t>
      </w:r>
      <w:r w:rsidRPr="00224A01">
        <w:rPr>
          <w:b/>
          <w:sz w:val="24"/>
          <w:szCs w:val="24"/>
        </w:rPr>
        <w:br/>
        <w:t>à l’égard des femmes</w:t>
      </w:r>
    </w:p>
    <w:p w:rsidR="00134F2D" w:rsidRPr="00224A01" w:rsidRDefault="00134F2D" w:rsidP="00134F2D">
      <w:pPr>
        <w:pStyle w:val="HMG"/>
      </w:pPr>
      <w:r w:rsidRPr="00224A01">
        <w:tab/>
      </w:r>
      <w:r w:rsidRPr="00224A01">
        <w:tab/>
        <w:t>Examen des rapports présentés par</w:t>
      </w:r>
      <w:r w:rsidR="00FD0A65">
        <w:br/>
      </w:r>
      <w:r w:rsidRPr="00224A01">
        <w:t>les</w:t>
      </w:r>
      <w:r w:rsidR="00FD0A65">
        <w:t xml:space="preserve"> </w:t>
      </w:r>
      <w:r w:rsidRPr="00224A01">
        <w:t>États parties en application de l’article 18</w:t>
      </w:r>
      <w:r w:rsidR="00FD0A65">
        <w:br/>
      </w:r>
      <w:r w:rsidRPr="00224A01">
        <w:t>de</w:t>
      </w:r>
      <w:r w:rsidR="00FD0A65">
        <w:t xml:space="preserve"> </w:t>
      </w:r>
      <w:r w:rsidRPr="00224A01">
        <w:t xml:space="preserve">la Convention </w:t>
      </w:r>
      <w:r w:rsidR="00FD0A65">
        <w:t>sur l’élimination de toutes</w:t>
      </w:r>
      <w:r w:rsidR="00FD0A65">
        <w:br/>
        <w:t xml:space="preserve">les </w:t>
      </w:r>
      <w:r w:rsidRPr="00224A01">
        <w:t xml:space="preserve">formes de </w:t>
      </w:r>
      <w:r w:rsidR="00FD0A65">
        <w:t>d</w:t>
      </w:r>
      <w:r w:rsidRPr="00224A01">
        <w:t>iscrimination</w:t>
      </w:r>
      <w:r w:rsidR="00FD0A65">
        <w:t xml:space="preserve"> </w:t>
      </w:r>
      <w:r w:rsidRPr="00224A01">
        <w:t>à l’égard des femmes</w:t>
      </w:r>
    </w:p>
    <w:p w:rsidR="00134F2D" w:rsidRPr="00224A01" w:rsidRDefault="00134F2D" w:rsidP="00134F2D">
      <w:pPr>
        <w:pStyle w:val="HChG"/>
      </w:pPr>
      <w:r w:rsidRPr="00224A01">
        <w:tab/>
      </w:r>
      <w:r w:rsidRPr="00224A01">
        <w:tab/>
        <w:t>Sixième rapport périodique des États parties</w:t>
      </w:r>
    </w:p>
    <w:p w:rsidR="001C6663" w:rsidRPr="00224A01" w:rsidRDefault="00134F2D" w:rsidP="00134F2D">
      <w:pPr>
        <w:pStyle w:val="HMG"/>
        <w:rPr>
          <w:b w:val="0"/>
          <w:sz w:val="20"/>
        </w:rPr>
      </w:pPr>
      <w:r w:rsidRPr="00224A01">
        <w:tab/>
      </w:r>
      <w:r w:rsidRPr="00224A01">
        <w:tab/>
        <w:t>Angola</w:t>
      </w:r>
      <w:r w:rsidRPr="00224A01">
        <w:rPr>
          <w:rStyle w:val="FootnoteReference"/>
          <w:b w:val="0"/>
          <w:sz w:val="20"/>
          <w:vertAlign w:val="baseline"/>
        </w:rPr>
        <w:footnoteReference w:customMarkFollows="1" w:id="2"/>
        <w:t>*</w:t>
      </w:r>
    </w:p>
    <w:p w:rsidR="00134F2D" w:rsidRPr="00224A01" w:rsidRDefault="00134F2D" w:rsidP="00134F2D">
      <w:pPr>
        <w:spacing w:after="120"/>
        <w:rPr>
          <w:sz w:val="28"/>
        </w:rPr>
      </w:pPr>
      <w:r w:rsidRPr="00224A01">
        <w:br w:type="page"/>
      </w:r>
      <w:r w:rsidRPr="00224A01">
        <w:rPr>
          <w:sz w:val="28"/>
        </w:rPr>
        <w:t>Table des matières</w:t>
      </w:r>
    </w:p>
    <w:p w:rsidR="00134F2D" w:rsidRPr="00224A01" w:rsidRDefault="00134F2D" w:rsidP="00134F2D">
      <w:pPr>
        <w:tabs>
          <w:tab w:val="right" w:pos="8929"/>
          <w:tab w:val="right" w:pos="9638"/>
        </w:tabs>
        <w:spacing w:after="120"/>
        <w:ind w:left="283"/>
        <w:rPr>
          <w:i/>
          <w:sz w:val="18"/>
        </w:rPr>
      </w:pPr>
      <w:r w:rsidRPr="00224A01">
        <w:rPr>
          <w:i/>
          <w:sz w:val="18"/>
        </w:rPr>
        <w:tab/>
        <w:t>Paragraphes</w:t>
      </w:r>
      <w:r w:rsidRPr="00224A01">
        <w:rPr>
          <w:i/>
          <w:sz w:val="18"/>
        </w:rPr>
        <w:tab/>
        <w:t>Page</w:t>
      </w:r>
    </w:p>
    <w:p w:rsidR="00152775" w:rsidRPr="00224A01" w:rsidRDefault="00152775" w:rsidP="00191B0E">
      <w:pPr>
        <w:tabs>
          <w:tab w:val="right" w:pos="850"/>
          <w:tab w:val="right" w:leader="dot" w:pos="8929"/>
          <w:tab w:val="right" w:pos="9638"/>
        </w:tabs>
        <w:spacing w:after="100"/>
        <w:ind w:left="1134" w:hanging="1134"/>
      </w:pPr>
      <w:r w:rsidRPr="00224A01">
        <w:tab/>
      </w:r>
      <w:r w:rsidRPr="00224A01">
        <w:tab/>
        <w:t>Abréviations et acronymes</w:t>
      </w:r>
      <w:r w:rsidRPr="00224A01">
        <w:tab/>
      </w:r>
      <w:r w:rsidRPr="00224A01">
        <w:tab/>
      </w:r>
      <w:r w:rsidR="008B560B">
        <w:t>4</w:t>
      </w:r>
    </w:p>
    <w:p w:rsidR="00134F2D" w:rsidRPr="00224A01" w:rsidRDefault="00134F2D" w:rsidP="00191B0E">
      <w:pPr>
        <w:tabs>
          <w:tab w:val="right" w:pos="850"/>
          <w:tab w:val="right" w:leader="dot" w:pos="7654"/>
          <w:tab w:val="right" w:pos="8929"/>
          <w:tab w:val="right" w:pos="9638"/>
        </w:tabs>
        <w:spacing w:after="100"/>
        <w:ind w:left="1134" w:hanging="1134"/>
      </w:pPr>
      <w:r w:rsidRPr="00224A01">
        <w:tab/>
        <w:t>I.</w:t>
      </w:r>
      <w:r w:rsidRPr="00224A01">
        <w:tab/>
      </w:r>
      <w:r w:rsidR="00152775" w:rsidRPr="00224A01">
        <w:t>Introduction</w:t>
      </w:r>
      <w:r w:rsidRPr="00224A01">
        <w:tab/>
      </w:r>
      <w:r w:rsidRPr="00224A01">
        <w:tab/>
      </w:r>
      <w:r w:rsidR="00152775" w:rsidRPr="00224A01">
        <w:t>1−6</w:t>
      </w:r>
      <w:r w:rsidRPr="00224A01">
        <w:tab/>
      </w:r>
      <w:r w:rsidR="00C45A83">
        <w:t>5</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t>II.</w:t>
      </w:r>
      <w:r w:rsidRPr="00224A01">
        <w:tab/>
      </w:r>
      <w:r w:rsidR="00152775" w:rsidRPr="00224A01">
        <w:t>Mise en œuvre des dispositions de la Convention</w:t>
      </w:r>
      <w:r w:rsidRPr="00224A01">
        <w:tab/>
      </w:r>
      <w:r w:rsidRPr="00224A01">
        <w:tab/>
      </w:r>
      <w:r w:rsidR="00152775" w:rsidRPr="00224A01">
        <w:t>7−251</w:t>
      </w:r>
      <w:r w:rsidRPr="00224A01">
        <w:tab/>
      </w:r>
      <w:r w:rsidR="00C45A83">
        <w:t>5</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2C5551" w:rsidRPr="00224A01">
        <w:t xml:space="preserve">Articles </w:t>
      </w:r>
      <w:r w:rsidR="002C5551">
        <w:t>1</w:t>
      </w:r>
      <w:r w:rsidR="002C5551" w:rsidRPr="002C5551">
        <w:rPr>
          <w:vertAlign w:val="superscript"/>
        </w:rPr>
        <w:t>er</w:t>
      </w:r>
      <w:r w:rsidR="002C5551">
        <w:t xml:space="preserve"> </w:t>
      </w:r>
      <w:r w:rsidR="002C5551" w:rsidRPr="00224A01">
        <w:t>et 2</w:t>
      </w:r>
      <w:r w:rsidR="00E91CDD">
        <w:t xml:space="preserve">: </w:t>
      </w:r>
      <w:r w:rsidR="002C5551" w:rsidRPr="00224A01">
        <w:t>Mesures législatives établissant le principe de l</w:t>
      </w:r>
      <w:r w:rsidR="002C5551">
        <w:t>’</w:t>
      </w:r>
      <w:r w:rsidR="002C5551" w:rsidRPr="00224A01">
        <w:t>égalité</w:t>
      </w:r>
      <w:r w:rsidR="00E91CDD">
        <w:br/>
        <w:t xml:space="preserve">des </w:t>
      </w:r>
      <w:r w:rsidR="002C5551" w:rsidRPr="00224A01">
        <w:t>hommes</w:t>
      </w:r>
      <w:r w:rsidR="00E91CDD">
        <w:t xml:space="preserve"> </w:t>
      </w:r>
      <w:r w:rsidR="002C5551" w:rsidRPr="00224A01">
        <w:t>et des femmes</w:t>
      </w:r>
      <w:r w:rsidR="002C5551">
        <w:t xml:space="preserve"> </w:t>
      </w:r>
      <w:r w:rsidR="002C5551" w:rsidRPr="00224A01">
        <w:t>et tendant à éliminer la discrimination à l</w:t>
      </w:r>
      <w:r w:rsidR="002C5551">
        <w:t>’</w:t>
      </w:r>
      <w:r w:rsidR="002C5551" w:rsidRPr="00224A01">
        <w:t>égard</w:t>
      </w:r>
      <w:r w:rsidR="00E91CDD">
        <w:br/>
      </w:r>
      <w:r w:rsidR="002C5551" w:rsidRPr="00224A01">
        <w:t>des femmes</w:t>
      </w:r>
      <w:r w:rsidRPr="00224A01">
        <w:tab/>
      </w:r>
      <w:r w:rsidRPr="00224A01">
        <w:tab/>
      </w:r>
      <w:r w:rsidR="00152775" w:rsidRPr="00224A01">
        <w:t>7−9</w:t>
      </w:r>
      <w:r w:rsidRPr="00224A01">
        <w:tab/>
      </w:r>
      <w:r w:rsidR="00C45A83">
        <w:t>5</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152775" w:rsidRPr="00224A01">
        <w:t>Article 3</w:t>
      </w:r>
      <w:r w:rsidR="00E91CDD">
        <w:t xml:space="preserve">: </w:t>
      </w:r>
      <w:r w:rsidR="00152775" w:rsidRPr="00224A01">
        <w:t>Mesures visant à assurer le plein développement et le progrès</w:t>
      </w:r>
      <w:r w:rsidR="00152775" w:rsidRPr="00224A01">
        <w:br/>
        <w:t>des femmes</w:t>
      </w:r>
      <w:r w:rsidRPr="00224A01">
        <w:tab/>
      </w:r>
      <w:r w:rsidRPr="00224A01">
        <w:tab/>
      </w:r>
      <w:r w:rsidR="00152775" w:rsidRPr="00224A01">
        <w:t>10</w:t>
      </w:r>
      <w:r w:rsidRPr="00224A01">
        <w:tab/>
      </w:r>
      <w:r w:rsidR="00C45A83">
        <w:t>6</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152775" w:rsidRPr="00224A01">
        <w:t>Article 4</w:t>
      </w:r>
      <w:r w:rsidR="001B621C" w:rsidRPr="00224A01">
        <w:t xml:space="preserve">: </w:t>
      </w:r>
      <w:r w:rsidR="00152775" w:rsidRPr="00224A01">
        <w:t>Adoption de mesures spéciales pour la protection des femmes</w:t>
      </w:r>
      <w:r w:rsidRPr="00224A01">
        <w:tab/>
      </w:r>
      <w:r w:rsidRPr="00224A01">
        <w:tab/>
      </w:r>
      <w:r w:rsidR="00152775" w:rsidRPr="00224A01">
        <w:t>11−22</w:t>
      </w:r>
      <w:r w:rsidR="00152775" w:rsidRPr="00224A01">
        <w:tab/>
      </w:r>
      <w:r w:rsidR="00C45A83">
        <w:t>6</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8B560B">
        <w:t xml:space="preserve">Article 5: </w:t>
      </w:r>
      <w:r w:rsidR="00E91CDD">
        <w:t>Mesures appropriées pour mettre fin à des pratiques fondées sur</w:t>
      </w:r>
      <w:r w:rsidR="00E91CDD">
        <w:br/>
        <w:t>l’infériorité des femmes par rapport aux hommes</w:t>
      </w:r>
      <w:r w:rsidRPr="00224A01">
        <w:tab/>
      </w:r>
      <w:r w:rsidRPr="00224A01">
        <w:tab/>
      </w:r>
      <w:r w:rsidR="00E91CDD">
        <w:t>23−37</w:t>
      </w:r>
      <w:r w:rsidRPr="00224A01">
        <w:tab/>
      </w:r>
      <w:r w:rsidR="00C45A83">
        <w:t>11</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E91CDD">
        <w:t>Article 6: Mesures visant à supprimer le trafic des femmes et l’exploitation</w:t>
      </w:r>
      <w:r w:rsidR="00E91CDD">
        <w:br/>
        <w:t>de la prostitution des femmes</w:t>
      </w:r>
      <w:r w:rsidRPr="00224A01">
        <w:tab/>
      </w:r>
      <w:r w:rsidRPr="00224A01">
        <w:tab/>
      </w:r>
      <w:r w:rsidR="00E91CDD">
        <w:t>38−44</w:t>
      </w:r>
      <w:r w:rsidRPr="00224A01">
        <w:tab/>
      </w:r>
      <w:r w:rsidR="00C45A83">
        <w:t>13</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E91CDD" w:rsidRPr="00D83045">
        <w:t>Article 7</w:t>
      </w:r>
      <w:r w:rsidR="00E91CDD">
        <w:t xml:space="preserve">: </w:t>
      </w:r>
      <w:r w:rsidR="00E91CDD" w:rsidRPr="00D83045">
        <w:t>Mesures visant à assurer la participation des femmes à la vie publique</w:t>
      </w:r>
      <w:r w:rsidR="00E91CDD">
        <w:br/>
      </w:r>
      <w:r w:rsidR="00E91CDD" w:rsidRPr="00D83045">
        <w:t>en Angola dans des conditions d’égalité avec les hommes</w:t>
      </w:r>
      <w:r w:rsidRPr="00224A01">
        <w:tab/>
      </w:r>
      <w:r w:rsidRPr="00224A01">
        <w:tab/>
      </w:r>
      <w:r w:rsidR="00E91CDD">
        <w:t>45−49</w:t>
      </w:r>
      <w:r w:rsidRPr="00224A01">
        <w:tab/>
      </w:r>
      <w:r w:rsidR="00C45A83">
        <w:t>15</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E91CDD" w:rsidRPr="00D83045">
        <w:t>Article 8</w:t>
      </w:r>
      <w:r w:rsidR="00E91CDD">
        <w:t xml:space="preserve">: </w:t>
      </w:r>
      <w:r w:rsidR="00E91CDD" w:rsidRPr="00D83045">
        <w:t>Mesures appropriées pour la participation des femmes</w:t>
      </w:r>
      <w:r w:rsidR="00E91CDD">
        <w:br/>
      </w:r>
      <w:r w:rsidR="00E91CDD" w:rsidRPr="00D83045">
        <w:t>à la</w:t>
      </w:r>
      <w:r w:rsidR="00E91CDD">
        <w:t xml:space="preserve"> </w:t>
      </w:r>
      <w:r w:rsidR="00E91CDD" w:rsidRPr="00D83045">
        <w:t>représentation</w:t>
      </w:r>
      <w:r w:rsidR="00E91CDD">
        <w:t xml:space="preserve"> </w:t>
      </w:r>
      <w:r w:rsidR="00E91CDD" w:rsidRPr="00D83045">
        <w:t>du pays sur le plan international et aux travaux</w:t>
      </w:r>
      <w:r w:rsidR="00E91CDD">
        <w:br/>
      </w:r>
      <w:r w:rsidR="00E91CDD" w:rsidRPr="00D83045">
        <w:t>des organisations internationales</w:t>
      </w:r>
      <w:r w:rsidRPr="00224A01">
        <w:tab/>
      </w:r>
      <w:r w:rsidRPr="00224A01">
        <w:tab/>
      </w:r>
      <w:r w:rsidR="00E91CDD">
        <w:t>50−52</w:t>
      </w:r>
      <w:r w:rsidRPr="00224A01">
        <w:tab/>
      </w:r>
      <w:r w:rsidR="00C45A83">
        <w:t>16</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E91CDD" w:rsidRPr="00D83045">
        <w:t>Article 9</w:t>
      </w:r>
      <w:r w:rsidR="00E91CDD">
        <w:t xml:space="preserve">: </w:t>
      </w:r>
      <w:r w:rsidR="00E91CDD" w:rsidRPr="00D83045">
        <w:t xml:space="preserve">Veiller à ce que les femmes ne perdent pas leur nationalité </w:t>
      </w:r>
      <w:r w:rsidR="00E91CDD" w:rsidRPr="00D83045">
        <w:br/>
        <w:t xml:space="preserve">après un mariage avec des étrangers et puissent transmettre </w:t>
      </w:r>
      <w:r w:rsidR="00E91CDD" w:rsidRPr="00D83045">
        <w:br/>
        <w:t>leur nationalité à leurs enfants</w:t>
      </w:r>
      <w:r w:rsidRPr="00224A01">
        <w:tab/>
      </w:r>
      <w:r w:rsidRPr="00224A01">
        <w:tab/>
      </w:r>
      <w:r w:rsidR="00E91CDD">
        <w:t>53−55</w:t>
      </w:r>
      <w:r w:rsidRPr="00224A01">
        <w:tab/>
      </w:r>
      <w:r w:rsidR="00C45A83">
        <w:t>16</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E91CDD" w:rsidRPr="00D83045">
        <w:t>Article 10</w:t>
      </w:r>
      <w:r w:rsidR="00E91CDD">
        <w:t xml:space="preserve">: </w:t>
      </w:r>
      <w:r w:rsidR="00E91CDD" w:rsidRPr="00D83045">
        <w:t>Mesures appropriées visant à lever tous les obstacles à l’accès</w:t>
      </w:r>
      <w:r w:rsidR="00E91CDD">
        <w:br/>
      </w:r>
      <w:r w:rsidR="00E91CDD" w:rsidRPr="00D83045">
        <w:t>à l’éducation, aux sports et à la sant</w:t>
      </w:r>
      <w:r w:rsidR="00E91CDD">
        <w:t>é</w:t>
      </w:r>
      <w:r w:rsidRPr="00224A01">
        <w:tab/>
      </w:r>
      <w:r w:rsidRPr="00224A01">
        <w:tab/>
      </w:r>
      <w:r w:rsidR="00E91CDD">
        <w:t>56−81</w:t>
      </w:r>
      <w:r w:rsidRPr="00224A01">
        <w:tab/>
      </w:r>
      <w:r w:rsidR="00C45A83">
        <w:t>17</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E91CDD" w:rsidRPr="002E38E8">
        <w:t>Article 11</w:t>
      </w:r>
      <w:r w:rsidR="00E91CDD">
        <w:t xml:space="preserve">: </w:t>
      </w:r>
      <w:r w:rsidR="00E91CDD" w:rsidRPr="002E38E8">
        <w:t>Mesures appropriées pour permettre aux femmes d’accéder</w:t>
      </w:r>
      <w:r w:rsidR="00E91CDD">
        <w:br/>
      </w:r>
      <w:r w:rsidR="00E91CDD" w:rsidRPr="002E38E8">
        <w:t>à l’emploi et</w:t>
      </w:r>
      <w:r w:rsidR="00E91CDD">
        <w:t xml:space="preserve"> </w:t>
      </w:r>
      <w:r w:rsidR="00E91CDD" w:rsidRPr="002E38E8">
        <w:t>à une rémunération égale à celle des hommes et l’adoption</w:t>
      </w:r>
      <w:r w:rsidR="00E91CDD">
        <w:br/>
      </w:r>
      <w:r w:rsidR="00E91CDD" w:rsidRPr="002E38E8">
        <w:t>de mesures</w:t>
      </w:r>
      <w:r w:rsidR="00E91CDD">
        <w:t xml:space="preserve"> </w:t>
      </w:r>
      <w:r w:rsidR="00E91CDD" w:rsidRPr="002E38E8">
        <w:t>pour protéger les femmes durant la grossesse et après</w:t>
      </w:r>
      <w:r w:rsidR="00E91CDD">
        <w:br/>
      </w:r>
      <w:r w:rsidR="00E91CDD" w:rsidRPr="002E38E8">
        <w:t>l’accouchement</w:t>
      </w:r>
      <w:r w:rsidR="00E91CDD">
        <w:t xml:space="preserve"> </w:t>
      </w:r>
      <w:r w:rsidR="00E91CDD" w:rsidRPr="002E38E8">
        <w:t>ainsi que contre les licenciements</w:t>
      </w:r>
      <w:r w:rsidRPr="00224A01">
        <w:tab/>
      </w:r>
      <w:r w:rsidRPr="00224A01">
        <w:tab/>
      </w:r>
      <w:r w:rsidR="00E91CDD">
        <w:t>82−114</w:t>
      </w:r>
      <w:r w:rsidRPr="00224A01">
        <w:tab/>
      </w:r>
      <w:r w:rsidR="00C45A83">
        <w:t>21</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E91CDD" w:rsidRPr="002E38E8">
        <w:t>Article 12</w:t>
      </w:r>
      <w:r w:rsidR="00E91CDD">
        <w:t xml:space="preserve">: </w:t>
      </w:r>
      <w:r w:rsidR="00E91CDD" w:rsidRPr="002E38E8">
        <w:t>Mesures visant à donner aux femmes le même accès que</w:t>
      </w:r>
      <w:r w:rsidR="00191B0E">
        <w:br/>
      </w:r>
      <w:r w:rsidR="00E91CDD" w:rsidRPr="002E38E8">
        <w:t>les hommes</w:t>
      </w:r>
      <w:r w:rsidR="00191B0E">
        <w:t xml:space="preserve"> </w:t>
      </w:r>
      <w:r w:rsidR="00E91CDD" w:rsidRPr="002E38E8">
        <w:t>à la santé et aux services de planification de la famille, et</w:t>
      </w:r>
      <w:r w:rsidR="00191B0E">
        <w:br/>
      </w:r>
      <w:r w:rsidR="00E91CDD" w:rsidRPr="002E38E8">
        <w:t>à leur fournir</w:t>
      </w:r>
      <w:r w:rsidR="00191B0E">
        <w:t xml:space="preserve"> </w:t>
      </w:r>
      <w:r w:rsidR="00E91CDD" w:rsidRPr="002E38E8">
        <w:t>des services appropriés pendant la grossesse, pendant</w:t>
      </w:r>
      <w:r w:rsidR="00191B0E">
        <w:br/>
      </w:r>
      <w:r w:rsidR="00E91CDD" w:rsidRPr="002E38E8">
        <w:t>l’accouchement</w:t>
      </w:r>
      <w:r w:rsidR="00191B0E">
        <w:t xml:space="preserve"> </w:t>
      </w:r>
      <w:r w:rsidR="00E91CDD" w:rsidRPr="002E38E8">
        <w:t>et pendant la période prénatale</w:t>
      </w:r>
      <w:r w:rsidRPr="00224A01">
        <w:tab/>
      </w:r>
      <w:r w:rsidRPr="00224A01">
        <w:tab/>
      </w:r>
      <w:r w:rsidR="00191B0E">
        <w:t>115−143</w:t>
      </w:r>
      <w:r w:rsidRPr="00224A01">
        <w:tab/>
      </w:r>
      <w:r w:rsidR="00C45A83">
        <w:t>25</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191B0E" w:rsidRPr="00B72953">
        <w:t>Article 13</w:t>
      </w:r>
      <w:r w:rsidR="00191B0E">
        <w:t xml:space="preserve">: </w:t>
      </w:r>
      <w:r w:rsidR="00191B0E" w:rsidRPr="00B72953">
        <w:t>Mesures appropriées pour permettre aux femmes d’accéder</w:t>
      </w:r>
      <w:r w:rsidR="00191B0E">
        <w:br/>
      </w:r>
      <w:r w:rsidR="00191B0E" w:rsidRPr="00B72953">
        <w:t>au droit à des prêts bancaires et à des financements, et au droit à participer</w:t>
      </w:r>
      <w:r w:rsidR="00191B0E">
        <w:br/>
      </w:r>
      <w:r w:rsidR="00191B0E" w:rsidRPr="00B72953">
        <w:t>à tous les aspects de la vie culturelle</w:t>
      </w:r>
      <w:r w:rsidR="00191B0E">
        <w:tab/>
      </w:r>
      <w:r w:rsidRPr="00224A01">
        <w:tab/>
      </w:r>
      <w:r w:rsidR="00191B0E">
        <w:t>144−153</w:t>
      </w:r>
      <w:r w:rsidRPr="00224A01">
        <w:tab/>
      </w:r>
      <w:r w:rsidR="00C45A83">
        <w:t>29</w:t>
      </w:r>
    </w:p>
    <w:p w:rsidR="0022416E" w:rsidRPr="00224A01"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191B0E" w:rsidRPr="00B72953">
        <w:t>Article 14</w:t>
      </w:r>
      <w:r w:rsidR="00191B0E">
        <w:t xml:space="preserve">: </w:t>
      </w:r>
      <w:r w:rsidR="00191B0E" w:rsidRPr="00B72953">
        <w:t>Mesures appropriées pour assurer aux femmes rurales la capacité</w:t>
      </w:r>
      <w:r w:rsidR="00191B0E">
        <w:br/>
      </w:r>
      <w:r w:rsidR="00191B0E" w:rsidRPr="00B72953">
        <w:t>de participer au développement rural, à l’élaboration</w:t>
      </w:r>
      <w:r w:rsidR="00191B0E">
        <w:t xml:space="preserve"> </w:t>
      </w:r>
      <w:r w:rsidR="00191B0E" w:rsidRPr="00B72953">
        <w:t>et à l’application de plans</w:t>
      </w:r>
      <w:r w:rsidR="00191B0E">
        <w:br/>
      </w:r>
      <w:r w:rsidR="00191B0E" w:rsidRPr="00B72953">
        <w:t>de développement, et la possibilité de bénéficier des mêmes avantages</w:t>
      </w:r>
      <w:r w:rsidR="00191B0E">
        <w:br/>
      </w:r>
      <w:r w:rsidR="00191B0E" w:rsidRPr="00B72953">
        <w:t>que les hommes</w:t>
      </w:r>
      <w:r w:rsidRPr="00224A01">
        <w:tab/>
      </w:r>
      <w:r w:rsidRPr="00224A01">
        <w:tab/>
      </w:r>
      <w:r w:rsidR="00191B0E">
        <w:t>154−181</w:t>
      </w:r>
      <w:r w:rsidRPr="00224A01">
        <w:tab/>
      </w:r>
      <w:r w:rsidR="00C45A83">
        <w:t>31</w:t>
      </w:r>
    </w:p>
    <w:p w:rsidR="0022416E" w:rsidRDefault="0022416E" w:rsidP="00191B0E">
      <w:pPr>
        <w:tabs>
          <w:tab w:val="right" w:pos="850"/>
          <w:tab w:val="right" w:leader="dot" w:pos="7654"/>
          <w:tab w:val="right" w:pos="8929"/>
          <w:tab w:val="right" w:pos="9638"/>
        </w:tabs>
        <w:spacing w:after="100"/>
        <w:ind w:left="1134" w:hanging="1134"/>
      </w:pPr>
      <w:r w:rsidRPr="00224A01">
        <w:tab/>
      </w:r>
      <w:r w:rsidRPr="00224A01">
        <w:tab/>
      </w:r>
      <w:r w:rsidR="00191B0E" w:rsidRPr="00B72953">
        <w:t>Article 1</w:t>
      </w:r>
      <w:r w:rsidR="00191B0E">
        <w:t xml:space="preserve">5: </w:t>
      </w:r>
      <w:r w:rsidR="00191B0E" w:rsidRPr="00B72953">
        <w:t>Droits égaux en ce qui concerne la conclusion de contrats et</w:t>
      </w:r>
      <w:r w:rsidR="00191B0E">
        <w:br/>
      </w:r>
      <w:r w:rsidR="00191B0E" w:rsidRPr="00B72953">
        <w:t>l’administration de biens</w:t>
      </w:r>
      <w:r w:rsidRPr="00224A01">
        <w:tab/>
      </w:r>
      <w:r w:rsidRPr="00224A01">
        <w:tab/>
      </w:r>
      <w:r w:rsidR="00191B0E">
        <w:t>182−189</w:t>
      </w:r>
      <w:r w:rsidRPr="00224A01">
        <w:tab/>
      </w:r>
      <w:r w:rsidR="00C45A83">
        <w:t>35</w:t>
      </w:r>
    </w:p>
    <w:p w:rsidR="00191B0E" w:rsidRPr="00224A01" w:rsidRDefault="00191B0E" w:rsidP="00AC3421">
      <w:pPr>
        <w:tabs>
          <w:tab w:val="right" w:pos="850"/>
          <w:tab w:val="right" w:leader="dot" w:pos="7654"/>
          <w:tab w:val="right" w:pos="8929"/>
          <w:tab w:val="right" w:pos="9638"/>
        </w:tabs>
        <w:spacing w:after="120"/>
        <w:ind w:left="1134" w:hanging="1134"/>
      </w:pPr>
      <w:r>
        <w:tab/>
      </w:r>
      <w:r>
        <w:tab/>
      </w:r>
      <w:r w:rsidRPr="00B72953">
        <w:t>Article 1</w:t>
      </w:r>
      <w:r>
        <w:t xml:space="preserve">6: </w:t>
      </w:r>
      <w:r w:rsidRPr="00B72953">
        <w:t>Droits égaux entre les hommes et les femmes dans les questions</w:t>
      </w:r>
      <w:r w:rsidRPr="00B72953">
        <w:br/>
        <w:t>relatives au mariage et à la famille</w:t>
      </w:r>
      <w:r>
        <w:tab/>
      </w:r>
      <w:r>
        <w:tab/>
        <w:t>190−251</w:t>
      </w:r>
      <w:r w:rsidR="00C45A83">
        <w:tab/>
        <w:t>36</w:t>
      </w:r>
    </w:p>
    <w:p w:rsidR="00134F2D" w:rsidRPr="00224A01" w:rsidRDefault="00134F2D" w:rsidP="00134F2D">
      <w:pPr>
        <w:tabs>
          <w:tab w:val="right" w:pos="850"/>
        </w:tabs>
        <w:spacing w:after="120"/>
      </w:pPr>
      <w:r w:rsidRPr="00224A01">
        <w:tab/>
        <w:t>Annexe</w:t>
      </w:r>
    </w:p>
    <w:p w:rsidR="00134F2D" w:rsidRPr="00224A01" w:rsidRDefault="00134F2D" w:rsidP="00134F2D">
      <w:pPr>
        <w:tabs>
          <w:tab w:val="right" w:pos="850"/>
          <w:tab w:val="right" w:leader="dot" w:pos="8929"/>
          <w:tab w:val="right" w:pos="9638"/>
        </w:tabs>
        <w:spacing w:after="120"/>
        <w:ind w:left="1134" w:hanging="1134"/>
      </w:pPr>
      <w:r w:rsidRPr="00224A01">
        <w:tab/>
      </w:r>
      <w:r w:rsidRPr="00224A01">
        <w:tab/>
      </w:r>
      <w:r w:rsidR="00191B0E" w:rsidRPr="00D32F17">
        <w:rPr>
          <w:lang w:val="fr-FR"/>
        </w:rPr>
        <w:t>Statistiques relatives à la situation des femmes en Angola</w:t>
      </w:r>
      <w:r w:rsidRPr="00224A01">
        <w:tab/>
      </w:r>
      <w:r w:rsidRPr="00224A01">
        <w:tab/>
      </w:r>
      <w:r w:rsidR="00CD75FF">
        <w:t>42</w:t>
      </w:r>
    </w:p>
    <w:p w:rsidR="0022416E" w:rsidRPr="00224A01" w:rsidRDefault="0022416E" w:rsidP="00134F2D">
      <w:pPr>
        <w:tabs>
          <w:tab w:val="right" w:pos="850"/>
          <w:tab w:val="right" w:leader="dot" w:pos="8929"/>
          <w:tab w:val="right" w:pos="9638"/>
        </w:tabs>
        <w:spacing w:after="120"/>
        <w:ind w:left="1134" w:hanging="1134"/>
      </w:pPr>
      <w:r w:rsidRPr="00224A01">
        <w:t>List</w:t>
      </w:r>
      <w:r w:rsidR="00AC3421" w:rsidRPr="00224A01">
        <w:t>e des tableaux</w:t>
      </w:r>
    </w:p>
    <w:p w:rsidR="00B936E4" w:rsidRDefault="00B936E4" w:rsidP="00EC5769">
      <w:pPr>
        <w:tabs>
          <w:tab w:val="right" w:pos="850"/>
          <w:tab w:val="left" w:pos="2500"/>
          <w:tab w:val="right" w:leader="dot" w:pos="8929"/>
          <w:tab w:val="right" w:pos="9638"/>
        </w:tabs>
        <w:spacing w:after="120"/>
        <w:ind w:left="1134"/>
      </w:pPr>
      <w:r>
        <w:t>Participation des femmes dans les organes de décision publics:</w:t>
      </w:r>
    </w:p>
    <w:p w:rsidR="00A77378"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1</w:t>
      </w:r>
      <w:r w:rsidRPr="00224A01">
        <w:tab/>
      </w:r>
      <w:r w:rsidR="00044BCE" w:rsidRPr="00224A01">
        <w:t xml:space="preserve">Postes ministériels </w:t>
      </w:r>
      <w:r w:rsidR="0040496F">
        <w:t xml:space="preserve">occupés </w:t>
      </w:r>
      <w:r w:rsidR="00044BCE" w:rsidRPr="00224A01">
        <w:t>et assistants respectifs (2010)</w:t>
      </w:r>
    </w:p>
    <w:p w:rsidR="00A77378"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2</w:t>
      </w:r>
      <w:r w:rsidRPr="00224A01">
        <w:tab/>
      </w:r>
      <w:r w:rsidR="00B936E4">
        <w:t>Gouvernement fédéral (2009)</w:t>
      </w:r>
    </w:p>
    <w:p w:rsidR="00A77378"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3</w:t>
      </w:r>
      <w:r w:rsidRPr="00224A01">
        <w:tab/>
      </w:r>
      <w:r w:rsidR="00B936E4">
        <w:t>Autorités locales (direction) (2009)</w:t>
      </w:r>
    </w:p>
    <w:p w:rsidR="00A77378"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4</w:t>
      </w:r>
      <w:r w:rsidRPr="00224A01">
        <w:tab/>
      </w:r>
      <w:r w:rsidR="00B936E4">
        <w:t>Autorités locales (postes de direction) (2009)</w:t>
      </w:r>
    </w:p>
    <w:p w:rsidR="00EC5769"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5</w:t>
      </w:r>
      <w:r w:rsidRPr="00224A01">
        <w:tab/>
      </w:r>
      <w:r w:rsidR="00B936E4">
        <w:t>Autorités municipales et urbaines (2009)</w:t>
      </w:r>
    </w:p>
    <w:p w:rsidR="00B936E4" w:rsidRDefault="00B936E4" w:rsidP="00EC5769">
      <w:pPr>
        <w:tabs>
          <w:tab w:val="right" w:pos="850"/>
          <w:tab w:val="left" w:pos="2500"/>
          <w:tab w:val="right" w:leader="dot" w:pos="8929"/>
          <w:tab w:val="right" w:pos="9638"/>
        </w:tabs>
        <w:spacing w:after="120"/>
        <w:ind w:left="1134"/>
      </w:pPr>
      <w:r>
        <w:t>Participation des femmes dans l’appareil judiciaire:</w:t>
      </w:r>
    </w:p>
    <w:p w:rsidR="00EC5769"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6</w:t>
      </w:r>
      <w:r w:rsidRPr="00224A01">
        <w:tab/>
      </w:r>
      <w:r w:rsidR="00B936E4">
        <w:t>Bureau du Procureur général</w:t>
      </w:r>
      <w:r w:rsidR="00044BCE" w:rsidRPr="00224A01">
        <w:t xml:space="preserve"> (2009)</w:t>
      </w:r>
    </w:p>
    <w:p w:rsidR="00EC5769"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7</w:t>
      </w:r>
      <w:r w:rsidRPr="00224A01">
        <w:tab/>
      </w:r>
      <w:r w:rsidR="00044BCE" w:rsidRPr="00224A01">
        <w:t xml:space="preserve">Participation des femmes </w:t>
      </w:r>
      <w:r w:rsidR="00B936E4">
        <w:t xml:space="preserve">aux barreaux d’Angola </w:t>
      </w:r>
      <w:r w:rsidR="00044BCE" w:rsidRPr="00224A01">
        <w:t>(2009)</w:t>
      </w:r>
    </w:p>
    <w:p w:rsidR="00B936E4" w:rsidRDefault="00B936E4" w:rsidP="00EC5769">
      <w:pPr>
        <w:tabs>
          <w:tab w:val="right" w:pos="850"/>
          <w:tab w:val="left" w:pos="2500"/>
          <w:tab w:val="right" w:leader="dot" w:pos="8929"/>
          <w:tab w:val="right" w:pos="9638"/>
        </w:tabs>
        <w:spacing w:after="120"/>
        <w:ind w:left="1134"/>
      </w:pPr>
      <w:r>
        <w:t>Participation des femmes au Gouvernement:</w:t>
      </w:r>
    </w:p>
    <w:p w:rsidR="00EC5769"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8</w:t>
      </w:r>
      <w:r w:rsidRPr="00224A01">
        <w:tab/>
      </w:r>
      <w:r w:rsidR="00B936E4">
        <w:t xml:space="preserve">Répartition des agents par province et par sexe </w:t>
      </w:r>
      <w:r w:rsidR="001B621C" w:rsidRPr="00224A01">
        <w:t>(2009)</w:t>
      </w:r>
    </w:p>
    <w:p w:rsidR="00B936E4" w:rsidRDefault="00B936E4" w:rsidP="00EC5769">
      <w:pPr>
        <w:tabs>
          <w:tab w:val="right" w:pos="850"/>
          <w:tab w:val="left" w:pos="2500"/>
          <w:tab w:val="right" w:leader="dot" w:pos="8929"/>
          <w:tab w:val="right" w:pos="9638"/>
        </w:tabs>
        <w:spacing w:after="120"/>
        <w:ind w:left="1134"/>
      </w:pPr>
      <w:r>
        <w:t>Participation des femmes à la vie politique:</w:t>
      </w:r>
    </w:p>
    <w:p w:rsidR="00EC5769"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9</w:t>
      </w:r>
      <w:r w:rsidRPr="00224A01">
        <w:tab/>
      </w:r>
      <w:r w:rsidR="00B936E4">
        <w:t>Les femmes dans l’Assemblée nationale (2008)</w:t>
      </w:r>
    </w:p>
    <w:p w:rsidR="00B936E4" w:rsidRDefault="00B936E4" w:rsidP="00EC5769">
      <w:pPr>
        <w:tabs>
          <w:tab w:val="right" w:pos="850"/>
          <w:tab w:val="left" w:pos="2500"/>
          <w:tab w:val="right" w:leader="dot" w:pos="8929"/>
          <w:tab w:val="right" w:pos="9638"/>
        </w:tabs>
        <w:spacing w:after="120"/>
        <w:ind w:left="1134"/>
      </w:pPr>
      <w:r>
        <w:t>Participation des femmes aux relations internationales:</w:t>
      </w:r>
    </w:p>
    <w:p w:rsidR="00AC3421"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10</w:t>
      </w:r>
      <w:r w:rsidRPr="00224A01">
        <w:tab/>
      </w:r>
      <w:r w:rsidR="00B936E4">
        <w:t>Représentation et participation des femmes dans le corps diplomatique</w:t>
      </w:r>
    </w:p>
    <w:p w:rsidR="00B84541" w:rsidRDefault="00B84541" w:rsidP="00B84541">
      <w:pPr>
        <w:tabs>
          <w:tab w:val="right" w:pos="850"/>
          <w:tab w:val="left" w:pos="2500"/>
          <w:tab w:val="right" w:leader="dot" w:pos="8929"/>
          <w:tab w:val="right" w:pos="9638"/>
        </w:tabs>
        <w:spacing w:after="120"/>
        <w:ind w:left="1134"/>
      </w:pPr>
      <w:r>
        <w:t>Participation des femmes dans l’enseignement:</w:t>
      </w:r>
    </w:p>
    <w:p w:rsidR="00B84541"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11</w:t>
      </w:r>
      <w:r w:rsidRPr="00224A01">
        <w:tab/>
      </w:r>
      <w:r w:rsidR="00B84541">
        <w:t>Diplômés par domaine d’études de l’Universidade Agostinho Neto en 2006/07</w:t>
      </w:r>
    </w:p>
    <w:p w:rsidR="00B84541"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12</w:t>
      </w:r>
      <w:r w:rsidRPr="00224A01">
        <w:tab/>
      </w:r>
      <w:r w:rsidR="00B84541">
        <w:t>Élèves par niveau d’études au cours de la période 2004/08</w:t>
      </w:r>
    </w:p>
    <w:p w:rsidR="00B84541" w:rsidRDefault="00B84541" w:rsidP="00B84541">
      <w:pPr>
        <w:tabs>
          <w:tab w:val="right" w:pos="850"/>
          <w:tab w:val="left" w:pos="2500"/>
          <w:tab w:val="right" w:leader="dot" w:pos="8929"/>
          <w:tab w:val="right" w:pos="9638"/>
        </w:tabs>
        <w:spacing w:after="120"/>
        <w:ind w:left="1134"/>
      </w:pPr>
      <w:r>
        <w:t>Femmes et violence domestique:</w:t>
      </w:r>
    </w:p>
    <w:p w:rsidR="00AC3421" w:rsidRPr="00224A01" w:rsidRDefault="00AC3421" w:rsidP="00A77378">
      <w:pPr>
        <w:tabs>
          <w:tab w:val="right" w:pos="850"/>
          <w:tab w:val="left" w:pos="3000"/>
          <w:tab w:val="right" w:leader="dot" w:pos="8929"/>
          <w:tab w:val="right" w:pos="9638"/>
        </w:tabs>
        <w:spacing w:after="120"/>
        <w:ind w:left="1701"/>
      </w:pPr>
      <w:r w:rsidRPr="00224A01">
        <w:t>Tableau n</w:t>
      </w:r>
      <w:r w:rsidRPr="00224A01">
        <w:rPr>
          <w:vertAlign w:val="superscript"/>
        </w:rPr>
        <w:t>o</w:t>
      </w:r>
      <w:r w:rsidRPr="00224A01">
        <w:t> 13</w:t>
      </w:r>
      <w:r w:rsidRPr="00224A01">
        <w:tab/>
      </w:r>
      <w:r w:rsidR="00A77378">
        <w:t>Statistiques relative à la violence domestique (2009)</w:t>
      </w:r>
    </w:p>
    <w:p w:rsidR="00134F2D" w:rsidRPr="00224A01" w:rsidRDefault="00134F2D" w:rsidP="0022416E">
      <w:pPr>
        <w:pStyle w:val="HChG"/>
      </w:pPr>
      <w:r w:rsidRPr="00224A01">
        <w:br w:type="page"/>
      </w:r>
      <w:r w:rsidR="007B16FD" w:rsidRPr="00224A01">
        <w:tab/>
      </w:r>
      <w:r w:rsidR="007B16FD" w:rsidRPr="00224A01">
        <w:tab/>
      </w:r>
      <w:r w:rsidRPr="00224A01">
        <w:t>Abréviations et acronymes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237"/>
      </w:tblGrid>
      <w:tr w:rsidR="007B16FD" w:rsidRPr="00224A01" w:rsidTr="00E64E8C">
        <w:tc>
          <w:tcPr>
            <w:tcW w:w="1134" w:type="dxa"/>
          </w:tcPr>
          <w:p w:rsidR="007B16FD" w:rsidRPr="00224A01" w:rsidRDefault="007B16FD" w:rsidP="00AC3421">
            <w:pPr>
              <w:spacing w:after="120"/>
            </w:pPr>
            <w:r w:rsidRPr="00224A01">
              <w:t>BCI</w:t>
            </w:r>
          </w:p>
        </w:tc>
        <w:tc>
          <w:tcPr>
            <w:tcW w:w="6237" w:type="dxa"/>
          </w:tcPr>
          <w:p w:rsidR="007B16FD" w:rsidRPr="00224A01" w:rsidRDefault="007B16FD" w:rsidP="00AC3421">
            <w:pPr>
              <w:spacing w:after="120"/>
            </w:pPr>
            <w:r w:rsidRPr="00224A01">
              <w:t>Banco de Comércio e Indústria</w:t>
            </w:r>
          </w:p>
        </w:tc>
      </w:tr>
      <w:tr w:rsidR="007B16FD" w:rsidRPr="00224A01" w:rsidTr="00E64E8C">
        <w:tc>
          <w:tcPr>
            <w:tcW w:w="1134" w:type="dxa"/>
          </w:tcPr>
          <w:p w:rsidR="007B16FD" w:rsidRPr="00224A01" w:rsidRDefault="007B16FD" w:rsidP="00AC3421">
            <w:pPr>
              <w:spacing w:after="120"/>
            </w:pPr>
            <w:r w:rsidRPr="00224A01">
              <w:t>BPC</w:t>
            </w:r>
          </w:p>
        </w:tc>
        <w:tc>
          <w:tcPr>
            <w:tcW w:w="6237" w:type="dxa"/>
          </w:tcPr>
          <w:p w:rsidR="007B16FD" w:rsidRPr="00224A01" w:rsidRDefault="007B16FD" w:rsidP="00AC3421">
            <w:pPr>
              <w:spacing w:after="120"/>
            </w:pPr>
            <w:r w:rsidRPr="00224A01">
              <w:t>Banco de Poupança e Crédito</w:t>
            </w:r>
          </w:p>
        </w:tc>
      </w:tr>
      <w:tr w:rsidR="007B16FD" w:rsidRPr="00224A01" w:rsidTr="00E64E8C">
        <w:tc>
          <w:tcPr>
            <w:tcW w:w="1134" w:type="dxa"/>
          </w:tcPr>
          <w:p w:rsidR="007B16FD" w:rsidRPr="00224A01" w:rsidRDefault="007B16FD" w:rsidP="00AC3421">
            <w:pPr>
              <w:spacing w:after="120"/>
            </w:pPr>
            <w:r w:rsidRPr="00224A01">
              <w:t>COMUR</w:t>
            </w:r>
          </w:p>
        </w:tc>
        <w:tc>
          <w:tcPr>
            <w:tcW w:w="6237" w:type="dxa"/>
          </w:tcPr>
          <w:p w:rsidR="007B16FD" w:rsidRPr="00224A01" w:rsidRDefault="007B16FD" w:rsidP="00AC3421">
            <w:pPr>
              <w:spacing w:after="120"/>
            </w:pPr>
            <w:r w:rsidRPr="00224A01">
              <w:t xml:space="preserve">Comité pour le soutien aux femmes rurales </w:t>
            </w:r>
          </w:p>
        </w:tc>
      </w:tr>
      <w:tr w:rsidR="007B16FD" w:rsidRPr="00224A01" w:rsidTr="00E64E8C">
        <w:tc>
          <w:tcPr>
            <w:tcW w:w="1134" w:type="dxa"/>
          </w:tcPr>
          <w:p w:rsidR="007B16FD" w:rsidRPr="00224A01" w:rsidRDefault="007B16FD" w:rsidP="00AC3421">
            <w:pPr>
              <w:spacing w:after="120"/>
            </w:pPr>
            <w:r w:rsidRPr="00224A01">
              <w:t>FNUAP</w:t>
            </w:r>
          </w:p>
        </w:tc>
        <w:tc>
          <w:tcPr>
            <w:tcW w:w="6237" w:type="dxa"/>
          </w:tcPr>
          <w:p w:rsidR="007B16FD" w:rsidRPr="00224A01" w:rsidRDefault="007B16FD" w:rsidP="00AC3421">
            <w:pPr>
              <w:spacing w:after="120"/>
            </w:pPr>
            <w:r w:rsidRPr="00224A01">
              <w:t>Fonds des Nations Unies pour la population</w:t>
            </w:r>
          </w:p>
        </w:tc>
      </w:tr>
      <w:tr w:rsidR="007B16FD" w:rsidRPr="00224A01" w:rsidTr="00E64E8C">
        <w:tc>
          <w:tcPr>
            <w:tcW w:w="1134" w:type="dxa"/>
          </w:tcPr>
          <w:p w:rsidR="007B16FD" w:rsidRPr="00224A01" w:rsidRDefault="007B16FD" w:rsidP="00AC3421">
            <w:pPr>
              <w:spacing w:after="120"/>
            </w:pPr>
            <w:r w:rsidRPr="00224A01">
              <w:t>GEPE</w:t>
            </w:r>
          </w:p>
        </w:tc>
        <w:tc>
          <w:tcPr>
            <w:tcW w:w="6237" w:type="dxa"/>
          </w:tcPr>
          <w:p w:rsidR="007B16FD" w:rsidRPr="00224A01" w:rsidRDefault="007B16FD" w:rsidP="00AC3421">
            <w:pPr>
              <w:spacing w:after="120"/>
            </w:pPr>
            <w:r w:rsidRPr="00224A01">
              <w:t>Bureau de la recherche, de la planification et des statistiques</w:t>
            </w:r>
          </w:p>
        </w:tc>
      </w:tr>
      <w:tr w:rsidR="007B16FD" w:rsidRPr="00224A01" w:rsidTr="00E64E8C">
        <w:tc>
          <w:tcPr>
            <w:tcW w:w="1134" w:type="dxa"/>
          </w:tcPr>
          <w:p w:rsidR="007B16FD" w:rsidRPr="00224A01" w:rsidRDefault="007B16FD" w:rsidP="00AC3421">
            <w:pPr>
              <w:spacing w:after="120"/>
            </w:pPr>
            <w:r w:rsidRPr="00224A01">
              <w:t>ISCED</w:t>
            </w:r>
          </w:p>
        </w:tc>
        <w:tc>
          <w:tcPr>
            <w:tcW w:w="6237" w:type="dxa"/>
          </w:tcPr>
          <w:p w:rsidR="007B16FD" w:rsidRPr="00224A01" w:rsidRDefault="00E64E8C" w:rsidP="00AC3421">
            <w:pPr>
              <w:spacing w:after="120"/>
            </w:pPr>
            <w:r w:rsidRPr="00224A01">
              <w:t>Institut supérieur des sciences de l</w:t>
            </w:r>
            <w:r w:rsidR="0047381D">
              <w:t>’</w:t>
            </w:r>
            <w:r w:rsidRPr="00224A01">
              <w:t>éducation</w:t>
            </w:r>
          </w:p>
        </w:tc>
      </w:tr>
      <w:tr w:rsidR="007B16FD" w:rsidRPr="00224A01" w:rsidTr="00E64E8C">
        <w:tc>
          <w:tcPr>
            <w:tcW w:w="1134" w:type="dxa"/>
          </w:tcPr>
          <w:p w:rsidR="007B16FD" w:rsidRPr="00224A01" w:rsidRDefault="00E64E8C" w:rsidP="00AC3421">
            <w:pPr>
              <w:spacing w:after="120"/>
            </w:pPr>
            <w:r w:rsidRPr="00224A01">
              <w:t>MICS</w:t>
            </w:r>
          </w:p>
        </w:tc>
        <w:tc>
          <w:tcPr>
            <w:tcW w:w="6237" w:type="dxa"/>
          </w:tcPr>
          <w:p w:rsidR="007B16FD" w:rsidRPr="00224A01" w:rsidRDefault="00E64E8C" w:rsidP="00AC3421">
            <w:pPr>
              <w:spacing w:after="120"/>
            </w:pPr>
            <w:r w:rsidRPr="00224A01">
              <w:t xml:space="preserve">Enquête en grappes à indicateurs multiples </w:t>
            </w:r>
          </w:p>
        </w:tc>
      </w:tr>
      <w:tr w:rsidR="007B16FD" w:rsidRPr="00224A01" w:rsidTr="00E64E8C">
        <w:tc>
          <w:tcPr>
            <w:tcW w:w="1134" w:type="dxa"/>
          </w:tcPr>
          <w:p w:rsidR="007B16FD" w:rsidRPr="00224A01" w:rsidRDefault="00E64E8C" w:rsidP="00AC3421">
            <w:pPr>
              <w:spacing w:after="120"/>
            </w:pPr>
            <w:r w:rsidRPr="00224A01">
              <w:t>NEPAD</w:t>
            </w:r>
          </w:p>
        </w:tc>
        <w:tc>
          <w:tcPr>
            <w:tcW w:w="6237" w:type="dxa"/>
          </w:tcPr>
          <w:p w:rsidR="007B16FD" w:rsidRPr="00224A01" w:rsidRDefault="00E64E8C" w:rsidP="00AC3421">
            <w:pPr>
              <w:spacing w:after="120"/>
            </w:pPr>
            <w:r w:rsidRPr="00224A01">
              <w:t>Nouveau partenariat pour le développement de l</w:t>
            </w:r>
            <w:r w:rsidR="0047381D">
              <w:t>’</w:t>
            </w:r>
            <w:r w:rsidRPr="00224A01">
              <w:t>Afrique</w:t>
            </w:r>
          </w:p>
        </w:tc>
      </w:tr>
      <w:tr w:rsidR="007B16FD" w:rsidRPr="00224A01" w:rsidTr="00E64E8C">
        <w:tc>
          <w:tcPr>
            <w:tcW w:w="1134" w:type="dxa"/>
          </w:tcPr>
          <w:p w:rsidR="007B16FD" w:rsidRPr="00224A01" w:rsidRDefault="00E64E8C" w:rsidP="00AC3421">
            <w:pPr>
              <w:spacing w:after="120"/>
            </w:pPr>
            <w:r w:rsidRPr="00224A01">
              <w:t>ONG</w:t>
            </w:r>
          </w:p>
        </w:tc>
        <w:tc>
          <w:tcPr>
            <w:tcW w:w="6237" w:type="dxa"/>
          </w:tcPr>
          <w:p w:rsidR="007B16FD" w:rsidRPr="00224A01" w:rsidRDefault="00E64E8C" w:rsidP="00AC3421">
            <w:pPr>
              <w:spacing w:after="120"/>
            </w:pPr>
            <w:r w:rsidRPr="00224A01">
              <w:t>Organisation non gouvernementale</w:t>
            </w:r>
          </w:p>
        </w:tc>
      </w:tr>
      <w:tr w:rsidR="007B16FD" w:rsidRPr="00224A01" w:rsidTr="00E64E8C">
        <w:tc>
          <w:tcPr>
            <w:tcW w:w="1134" w:type="dxa"/>
          </w:tcPr>
          <w:p w:rsidR="007B16FD" w:rsidRPr="00224A01" w:rsidRDefault="00E64E8C" w:rsidP="00AC3421">
            <w:pPr>
              <w:spacing w:after="120"/>
            </w:pPr>
            <w:r w:rsidRPr="00224A01">
              <w:t>PIB</w:t>
            </w:r>
          </w:p>
        </w:tc>
        <w:tc>
          <w:tcPr>
            <w:tcW w:w="6237" w:type="dxa"/>
          </w:tcPr>
          <w:p w:rsidR="007B16FD" w:rsidRPr="00224A01" w:rsidRDefault="00E64E8C" w:rsidP="00AC3421">
            <w:pPr>
              <w:spacing w:after="120"/>
            </w:pPr>
            <w:r w:rsidRPr="00224A01">
              <w:t>Produit intérieur brut</w:t>
            </w:r>
          </w:p>
        </w:tc>
      </w:tr>
      <w:tr w:rsidR="007B16FD" w:rsidRPr="00224A01" w:rsidTr="00E64E8C">
        <w:tc>
          <w:tcPr>
            <w:tcW w:w="1134" w:type="dxa"/>
          </w:tcPr>
          <w:p w:rsidR="007B16FD" w:rsidRPr="00224A01" w:rsidRDefault="00E64E8C" w:rsidP="00AC3421">
            <w:pPr>
              <w:spacing w:after="120"/>
            </w:pPr>
            <w:r w:rsidRPr="00224A01">
              <w:t>PNUD</w:t>
            </w:r>
          </w:p>
        </w:tc>
        <w:tc>
          <w:tcPr>
            <w:tcW w:w="6237" w:type="dxa"/>
          </w:tcPr>
          <w:p w:rsidR="007B16FD" w:rsidRPr="00224A01" w:rsidRDefault="00E64E8C" w:rsidP="00AC3421">
            <w:pPr>
              <w:spacing w:after="120"/>
            </w:pPr>
            <w:r w:rsidRPr="00224A01">
              <w:t>Programme des Nations Unies pour le développement</w:t>
            </w:r>
          </w:p>
        </w:tc>
      </w:tr>
      <w:tr w:rsidR="007B16FD" w:rsidRPr="00224A01" w:rsidTr="00E64E8C">
        <w:tc>
          <w:tcPr>
            <w:tcW w:w="1134" w:type="dxa"/>
          </w:tcPr>
          <w:p w:rsidR="007B16FD" w:rsidRPr="00224A01" w:rsidRDefault="00E64E8C" w:rsidP="00AC3421">
            <w:pPr>
              <w:spacing w:after="120"/>
            </w:pPr>
            <w:r w:rsidRPr="00224A01">
              <w:t>SADC</w:t>
            </w:r>
          </w:p>
        </w:tc>
        <w:tc>
          <w:tcPr>
            <w:tcW w:w="6237" w:type="dxa"/>
          </w:tcPr>
          <w:p w:rsidR="007B16FD" w:rsidRPr="00224A01" w:rsidRDefault="00E64E8C" w:rsidP="00AC3421">
            <w:pPr>
              <w:spacing w:after="120"/>
            </w:pPr>
            <w:r w:rsidRPr="00224A01">
              <w:t>Communauté de développement de l</w:t>
            </w:r>
            <w:r w:rsidR="0047381D">
              <w:t>’</w:t>
            </w:r>
            <w:r w:rsidRPr="00224A01">
              <w:t>Afrique australe</w:t>
            </w:r>
          </w:p>
        </w:tc>
      </w:tr>
      <w:tr w:rsidR="007B16FD" w:rsidRPr="00224A01" w:rsidTr="00E64E8C">
        <w:tc>
          <w:tcPr>
            <w:tcW w:w="1134" w:type="dxa"/>
          </w:tcPr>
          <w:p w:rsidR="007B16FD" w:rsidRPr="00224A01" w:rsidRDefault="00E64E8C" w:rsidP="00AC3421">
            <w:pPr>
              <w:spacing w:after="120"/>
            </w:pPr>
            <w:r w:rsidRPr="00224A01">
              <w:t>Sida</w:t>
            </w:r>
          </w:p>
        </w:tc>
        <w:tc>
          <w:tcPr>
            <w:tcW w:w="6237" w:type="dxa"/>
          </w:tcPr>
          <w:p w:rsidR="007B16FD" w:rsidRPr="00224A01" w:rsidRDefault="00E64E8C" w:rsidP="00AC3421">
            <w:pPr>
              <w:spacing w:after="120"/>
            </w:pPr>
            <w:r w:rsidRPr="00224A01">
              <w:t>Syndrome d</w:t>
            </w:r>
            <w:r w:rsidR="0047381D">
              <w:t>’</w:t>
            </w:r>
            <w:r w:rsidRPr="00224A01">
              <w:t xml:space="preserve">immunodéficience acquise </w:t>
            </w:r>
          </w:p>
        </w:tc>
      </w:tr>
      <w:tr w:rsidR="007B16FD" w:rsidRPr="00224A01" w:rsidTr="00E64E8C">
        <w:tc>
          <w:tcPr>
            <w:tcW w:w="1134" w:type="dxa"/>
          </w:tcPr>
          <w:p w:rsidR="007B16FD" w:rsidRPr="00224A01" w:rsidRDefault="00E64E8C" w:rsidP="00AC3421">
            <w:pPr>
              <w:spacing w:after="120"/>
            </w:pPr>
            <w:r w:rsidRPr="00224A01">
              <w:t>UNACA</w:t>
            </w:r>
          </w:p>
        </w:tc>
        <w:tc>
          <w:tcPr>
            <w:tcW w:w="6237" w:type="dxa"/>
          </w:tcPr>
          <w:p w:rsidR="007B16FD" w:rsidRPr="00224A01" w:rsidRDefault="00E64E8C" w:rsidP="00AC3421">
            <w:pPr>
              <w:spacing w:after="120"/>
            </w:pPr>
            <w:r w:rsidRPr="00224A01">
              <w:t>Confédération nationale des associations paysannes</w:t>
            </w:r>
          </w:p>
        </w:tc>
      </w:tr>
      <w:tr w:rsidR="007B16FD" w:rsidRPr="00224A01" w:rsidTr="00E64E8C">
        <w:tc>
          <w:tcPr>
            <w:tcW w:w="1134" w:type="dxa"/>
          </w:tcPr>
          <w:p w:rsidR="007B16FD" w:rsidRPr="00224A01" w:rsidRDefault="00E64E8C" w:rsidP="00AC3421">
            <w:pPr>
              <w:spacing w:after="120"/>
            </w:pPr>
            <w:r w:rsidRPr="00224A01">
              <w:t>VIH</w:t>
            </w:r>
          </w:p>
        </w:tc>
        <w:tc>
          <w:tcPr>
            <w:tcW w:w="6237" w:type="dxa"/>
          </w:tcPr>
          <w:p w:rsidR="007B16FD" w:rsidRPr="00224A01" w:rsidRDefault="00E64E8C" w:rsidP="00AC3421">
            <w:pPr>
              <w:spacing w:after="120"/>
            </w:pPr>
            <w:r w:rsidRPr="00224A01">
              <w:t>Virus de l</w:t>
            </w:r>
            <w:r w:rsidR="0047381D">
              <w:t>’</w:t>
            </w:r>
            <w:r w:rsidRPr="00224A01">
              <w:t>immunodéficience humain</w:t>
            </w:r>
          </w:p>
        </w:tc>
      </w:tr>
    </w:tbl>
    <w:p w:rsidR="00134F2D" w:rsidRPr="00224A01" w:rsidRDefault="0022416E" w:rsidP="00134F2D">
      <w:pPr>
        <w:pStyle w:val="HChG"/>
      </w:pPr>
      <w:r w:rsidRPr="00224A01">
        <w:br w:type="page"/>
      </w:r>
      <w:r w:rsidR="00134F2D" w:rsidRPr="00224A01">
        <w:tab/>
        <w:t>I.</w:t>
      </w:r>
      <w:r w:rsidR="00134F2D" w:rsidRPr="00224A01">
        <w:tab/>
        <w:t>Introduction</w:t>
      </w:r>
    </w:p>
    <w:p w:rsidR="00134F2D" w:rsidRPr="00224A01" w:rsidRDefault="00134F2D" w:rsidP="00E64E8C">
      <w:pPr>
        <w:pStyle w:val="SingleTxtG"/>
      </w:pPr>
      <w:r w:rsidRPr="00224A01">
        <w:t>1.</w:t>
      </w:r>
      <w:r w:rsidRPr="00224A01">
        <w:tab/>
        <w:t>Par l</w:t>
      </w:r>
      <w:r w:rsidR="0047381D">
        <w:t>’</w:t>
      </w:r>
      <w:r w:rsidRPr="00224A01">
        <w:t>adoption de sa première loi constitutionnelle, l</w:t>
      </w:r>
      <w:r w:rsidR="0047381D">
        <w:t>’</w:t>
      </w:r>
      <w:r w:rsidRPr="00224A01">
        <w:t>État angolais a reconnu l</w:t>
      </w:r>
      <w:r w:rsidR="0047381D">
        <w:t>’</w:t>
      </w:r>
      <w:r w:rsidRPr="00224A01">
        <w:t>égalité entre les hommes et les femmes devant la loi, et a en même temps interdit toute discrimination fondée sur le sexe, la couleur de la peau, l</w:t>
      </w:r>
      <w:r w:rsidR="0047381D">
        <w:t>’</w:t>
      </w:r>
      <w:r w:rsidRPr="00224A01">
        <w:t>appartenance religieuse ou politique.</w:t>
      </w:r>
    </w:p>
    <w:p w:rsidR="00134F2D" w:rsidRPr="00224A01" w:rsidRDefault="00134F2D" w:rsidP="00E64E8C">
      <w:pPr>
        <w:pStyle w:val="SingleTxtG"/>
      </w:pPr>
      <w:r w:rsidRPr="00224A01">
        <w:t>2.</w:t>
      </w:r>
      <w:r w:rsidRPr="00224A01">
        <w:tab/>
        <w:t>Après l</w:t>
      </w:r>
      <w:r w:rsidR="0047381D">
        <w:t>’</w:t>
      </w:r>
      <w:r w:rsidRPr="00224A01">
        <w:t>adhésion à la Convention sur l</w:t>
      </w:r>
      <w:r w:rsidR="0047381D">
        <w:t>’</w:t>
      </w:r>
      <w:r w:rsidRPr="00224A01">
        <w:t>élimination de toutes les formes de discrimination à l</w:t>
      </w:r>
      <w:r w:rsidR="0047381D">
        <w:t>’</w:t>
      </w:r>
      <w:r w:rsidRPr="00224A01">
        <w:t xml:space="preserve">égard des femmes (la Convention) par la résolution </w:t>
      </w:r>
      <w:r w:rsidR="002C5551" w:rsidRPr="00C14D2A">
        <w:t>n</w:t>
      </w:r>
      <w:r w:rsidR="002C5551" w:rsidRPr="00C14D2A">
        <w:rPr>
          <w:vertAlign w:val="superscript"/>
        </w:rPr>
        <w:t>o</w:t>
      </w:r>
      <w:r w:rsidR="002C5551">
        <w:t> </w:t>
      </w:r>
      <w:r w:rsidRPr="00224A01">
        <w:t xml:space="preserve">15/84 publiée dans la série I du </w:t>
      </w:r>
      <w:r w:rsidR="002C5551">
        <w:t>J</w:t>
      </w:r>
      <w:r w:rsidRPr="00224A01">
        <w:t>ournal offici</w:t>
      </w:r>
      <w:r w:rsidR="002C5551">
        <w:t>e</w:t>
      </w:r>
      <w:r w:rsidRPr="00224A01">
        <w:t>l le 19</w:t>
      </w:r>
      <w:r w:rsidR="002C5551">
        <w:t> </w:t>
      </w:r>
      <w:r w:rsidRPr="00224A01">
        <w:t>septembre 1984, l</w:t>
      </w:r>
      <w:r w:rsidR="0047381D">
        <w:t>’</w:t>
      </w:r>
      <w:r w:rsidRPr="00224A01">
        <w:t>Angola est devenu État partie à la Convention et membre de ce très important instrument international de défense des droits des femmes.</w:t>
      </w:r>
    </w:p>
    <w:p w:rsidR="00134F2D" w:rsidRPr="00224A01" w:rsidRDefault="00134F2D" w:rsidP="00E64E8C">
      <w:pPr>
        <w:pStyle w:val="SingleTxtG"/>
      </w:pPr>
      <w:r w:rsidRPr="00224A01">
        <w:t>3.</w:t>
      </w:r>
      <w:r w:rsidRPr="00224A01">
        <w:tab/>
        <w:t>En ratifiant la Convention, l</w:t>
      </w:r>
      <w:r w:rsidR="0047381D">
        <w:t>’</w:t>
      </w:r>
      <w:r w:rsidRPr="00224A01">
        <w:t>État angolais prenait l</w:t>
      </w:r>
      <w:r w:rsidR="0047381D">
        <w:t>’</w:t>
      </w:r>
      <w:r w:rsidRPr="00224A01">
        <w:t>engagement d</w:t>
      </w:r>
      <w:r w:rsidR="0047381D">
        <w:t>’</w:t>
      </w:r>
      <w:r w:rsidRPr="00224A01">
        <w:t>adopter des mesures et des stratégies visant à protéger les droits de la personne humaine des femmes angolaises, et de lutter contre les stéréotypes qui maintiennent les femmes dans une situation d</w:t>
      </w:r>
      <w:r w:rsidR="0047381D">
        <w:t>’</w:t>
      </w:r>
      <w:r w:rsidRPr="00224A01">
        <w:t>infériorité par rapport aux hommes.</w:t>
      </w:r>
      <w:r w:rsidR="00224A01">
        <w:t xml:space="preserve"> </w:t>
      </w:r>
    </w:p>
    <w:p w:rsidR="00134F2D" w:rsidRPr="00224A01" w:rsidRDefault="00134F2D" w:rsidP="00E64E8C">
      <w:pPr>
        <w:pStyle w:val="SingleTxtG"/>
      </w:pPr>
      <w:r w:rsidRPr="00224A01">
        <w:t>4.</w:t>
      </w:r>
      <w:r w:rsidRPr="00224A01">
        <w:tab/>
        <w:t>En mettant en œuvre la Convention, l</w:t>
      </w:r>
      <w:r w:rsidR="0047381D">
        <w:t>’</w:t>
      </w:r>
      <w:r w:rsidRPr="00224A01">
        <w:t>État angolais reste convaincu qu</w:t>
      </w:r>
      <w:r w:rsidR="0047381D">
        <w:t>’</w:t>
      </w:r>
      <w:r w:rsidRPr="00224A01">
        <w:t xml:space="preserve">il ne saurait y avoir de développement sans autonomisation de la femme sur tous les plans. </w:t>
      </w:r>
    </w:p>
    <w:p w:rsidR="00134F2D" w:rsidRPr="00224A01" w:rsidRDefault="00134F2D" w:rsidP="00E64E8C">
      <w:pPr>
        <w:pStyle w:val="SingleTxtG"/>
      </w:pPr>
      <w:r w:rsidRPr="00224A01">
        <w:t>5.</w:t>
      </w:r>
      <w:r w:rsidRPr="00224A01">
        <w:tab/>
        <w:t>C</w:t>
      </w:r>
      <w:r w:rsidR="0047381D">
        <w:t>’</w:t>
      </w:r>
      <w:r w:rsidRPr="00224A01">
        <w:t>est pour cette raison que, maintenant que la paix règne dans le pays, la lut</w:t>
      </w:r>
      <w:r w:rsidR="002C5551">
        <w:t>t</w:t>
      </w:r>
      <w:r w:rsidRPr="00224A01">
        <w:t>e contre la pauvreté, contre l</w:t>
      </w:r>
      <w:r w:rsidR="0047381D">
        <w:t>’</w:t>
      </w:r>
      <w:r w:rsidRPr="00224A01">
        <w:t>analphabétisme et contre la mortalité maternelle et infantile, la construction et la rénovation d</w:t>
      </w:r>
      <w:r w:rsidR="0047381D">
        <w:t>’</w:t>
      </w:r>
      <w:r w:rsidRPr="00224A01">
        <w:t>écoles et d</w:t>
      </w:r>
      <w:r w:rsidR="0047381D">
        <w:t>’</w:t>
      </w:r>
      <w:r w:rsidRPr="00224A01">
        <w:t xml:space="preserve">hôpitaux, notamment, constituent des préoccupations majeures pour le Gouvernement angolais. </w:t>
      </w:r>
    </w:p>
    <w:p w:rsidR="00134F2D" w:rsidRPr="00224A01" w:rsidRDefault="00134F2D" w:rsidP="00E64E8C">
      <w:pPr>
        <w:pStyle w:val="SingleTxtG"/>
      </w:pPr>
      <w:r w:rsidRPr="00224A01">
        <w:t>6.</w:t>
      </w:r>
      <w:r w:rsidRPr="00224A01">
        <w:tab/>
        <w:t>Pour répondre aux préoccupations exprimées par le Comité en 2004, au sujet notamment de la diffusion de la Convention auprès des femmes, des réseaux sociaux de communication et des organisations non gouvernementales (ONG), de la promotion de l</w:t>
      </w:r>
      <w:r w:rsidR="0047381D">
        <w:t>’</w:t>
      </w:r>
      <w:r w:rsidRPr="00224A01">
        <w:t>égalité des sexes dans tous les programmes et mesures visant à lutter contre la violence à l</w:t>
      </w:r>
      <w:r w:rsidR="0047381D">
        <w:t>’</w:t>
      </w:r>
      <w:r w:rsidRPr="00224A01">
        <w:t>égard des femmes, et du renforcement du Ministère de la protection de la famille et de la femme, comme en témoigne le contenu du rapport qui suit, le Gouvernement angolais a entrepris un certain nombre d</w:t>
      </w:r>
      <w:r w:rsidR="0047381D">
        <w:t>’</w:t>
      </w:r>
      <w:r w:rsidRPr="00224A01">
        <w:t>activités et pris un certain nombre de mesures qui n</w:t>
      </w:r>
      <w:r w:rsidR="0047381D">
        <w:t>’</w:t>
      </w:r>
      <w:r w:rsidRPr="00224A01">
        <w:t xml:space="preserve">ont cessé de démontrer de façon claire et concrète que la condition des femmes angolaises constitue une question à laquelle est accordée une très vive attention aux niveaux les plus élevés. </w:t>
      </w:r>
    </w:p>
    <w:p w:rsidR="00134F2D" w:rsidRPr="00224A01" w:rsidRDefault="00134F2D" w:rsidP="00E64E8C">
      <w:pPr>
        <w:pStyle w:val="HChG"/>
      </w:pPr>
      <w:r w:rsidRPr="00224A01">
        <w:tab/>
        <w:t>II.</w:t>
      </w:r>
      <w:r w:rsidRPr="00224A01">
        <w:tab/>
        <w:t>Mise en œuvre des dispositions de la Convention</w:t>
      </w:r>
    </w:p>
    <w:p w:rsidR="00134F2D" w:rsidRPr="00224A01" w:rsidRDefault="00134F2D" w:rsidP="00E64E8C">
      <w:pPr>
        <w:pStyle w:val="H1G"/>
      </w:pPr>
      <w:r w:rsidRPr="00224A01">
        <w:tab/>
      </w:r>
      <w:r w:rsidRPr="00224A01">
        <w:tab/>
        <w:t xml:space="preserve">Articles </w:t>
      </w:r>
      <w:r w:rsidR="002C5551">
        <w:t>1</w:t>
      </w:r>
      <w:r w:rsidR="002C5551" w:rsidRPr="002C5551">
        <w:rPr>
          <w:vertAlign w:val="superscript"/>
        </w:rPr>
        <w:t>er</w:t>
      </w:r>
      <w:r w:rsidR="002C5551">
        <w:t xml:space="preserve"> </w:t>
      </w:r>
      <w:r w:rsidRPr="00224A01">
        <w:t>et 2</w:t>
      </w:r>
      <w:r w:rsidR="00E64E8C" w:rsidRPr="00224A01">
        <w:br/>
      </w:r>
      <w:r w:rsidRPr="00224A01">
        <w:t>Mesures législatives établissant le principe de l</w:t>
      </w:r>
      <w:r w:rsidR="0047381D">
        <w:t>’</w:t>
      </w:r>
      <w:r w:rsidRPr="00224A01">
        <w:t>égalité</w:t>
      </w:r>
      <w:r w:rsidR="00FD0A65">
        <w:br/>
      </w:r>
      <w:r w:rsidRPr="00224A01">
        <w:t>des hommes et</w:t>
      </w:r>
      <w:r w:rsidR="00E64E8C" w:rsidRPr="00224A01">
        <w:t> </w:t>
      </w:r>
      <w:r w:rsidRPr="00224A01">
        <w:t>des femmes et tendant à éliminer la discrimination</w:t>
      </w:r>
      <w:r w:rsidR="00FD0A65">
        <w:br/>
      </w:r>
      <w:r w:rsidRPr="00224A01">
        <w:t>à l</w:t>
      </w:r>
      <w:r w:rsidR="0047381D">
        <w:t>’</w:t>
      </w:r>
      <w:r w:rsidRPr="00224A01">
        <w:t>égard des</w:t>
      </w:r>
      <w:r w:rsidR="00E64E8C" w:rsidRPr="00224A01">
        <w:t> </w:t>
      </w:r>
      <w:r w:rsidRPr="00224A01">
        <w:t>femmes</w:t>
      </w:r>
    </w:p>
    <w:p w:rsidR="00134F2D" w:rsidRPr="00224A01" w:rsidRDefault="00134F2D" w:rsidP="00E64E8C">
      <w:pPr>
        <w:pStyle w:val="SingleTxtG"/>
      </w:pPr>
      <w:r w:rsidRPr="00224A01">
        <w:t>7.</w:t>
      </w:r>
      <w:r w:rsidRPr="00224A01">
        <w:tab/>
        <w:t>Toute la législation angolaise est pleinement conforme à l</w:t>
      </w:r>
      <w:r w:rsidR="0047381D">
        <w:t>’</w:t>
      </w:r>
      <w:r w:rsidRPr="00224A01">
        <w:t>article premier de la Convention parce que, depuis l</w:t>
      </w:r>
      <w:r w:rsidR="0047381D">
        <w:t>’</w:t>
      </w:r>
      <w:r w:rsidRPr="00224A01">
        <w:t>indépendance, par l</w:t>
      </w:r>
      <w:r w:rsidR="0047381D">
        <w:t>’</w:t>
      </w:r>
      <w:r w:rsidRPr="00224A01">
        <w:t>établissement du principe de l</w:t>
      </w:r>
      <w:r w:rsidR="0047381D">
        <w:t>’</w:t>
      </w:r>
      <w:r w:rsidRPr="00224A01">
        <w:t>égalité des hommes et des femmes, et l</w:t>
      </w:r>
      <w:r w:rsidR="0047381D">
        <w:t>’</w:t>
      </w:r>
      <w:r w:rsidRPr="00224A01">
        <w:t>interdiction de toute forme de discrimination fondée sur le sexe, y ont été abrogées toutes les lois discriminatoires héritées des colonialistes, dont celles qui étaient discriminatoires à l</w:t>
      </w:r>
      <w:r w:rsidR="0047381D">
        <w:t>’</w:t>
      </w:r>
      <w:r w:rsidRPr="00224A01">
        <w:t>égard des femmes et celles qui l</w:t>
      </w:r>
      <w:r w:rsidR="0047381D">
        <w:t>’</w:t>
      </w:r>
      <w:r w:rsidRPr="00224A01">
        <w:t>étaient à l</w:t>
      </w:r>
      <w:r w:rsidR="0047381D">
        <w:t>’</w:t>
      </w:r>
      <w:r w:rsidRPr="00224A01">
        <w:t>égard des enfants nés hors mariage. L</w:t>
      </w:r>
      <w:r w:rsidR="0047381D">
        <w:t>’</w:t>
      </w:r>
      <w:r w:rsidRPr="00224A01">
        <w:t>existence de ces lois discriminatoires dans les codes législatifs, qu</w:t>
      </w:r>
      <w:r w:rsidR="0047381D">
        <w:t>’</w:t>
      </w:r>
      <w:r w:rsidRPr="00224A01">
        <w:t>il s</w:t>
      </w:r>
      <w:r w:rsidR="0047381D">
        <w:t>’</w:t>
      </w:r>
      <w:r w:rsidRPr="00224A01">
        <w:t>agisse de règles de fond ou de droit procédural, ne signifie pas qu</w:t>
      </w:r>
      <w:r w:rsidR="0047381D">
        <w:t>’</w:t>
      </w:r>
      <w:r w:rsidRPr="00224A01">
        <w:t>elles sont utilisées ou appliquées, et elles seront toutes abrogées en une fois dans le cadre d</w:t>
      </w:r>
      <w:r w:rsidR="0047381D">
        <w:t>’</w:t>
      </w:r>
      <w:r w:rsidRPr="00224A01">
        <w:t xml:space="preserve">un ensemble de réformes législatives qui devraient être menées à bien sous peu. </w:t>
      </w:r>
    </w:p>
    <w:p w:rsidR="00134F2D" w:rsidRPr="00224A01" w:rsidRDefault="00134F2D" w:rsidP="00E64E8C">
      <w:pPr>
        <w:pStyle w:val="SingleTxtG"/>
      </w:pPr>
      <w:r w:rsidRPr="00224A01">
        <w:t>8.</w:t>
      </w:r>
      <w:r w:rsidRPr="00224A01">
        <w:tab/>
        <w:t>La Constitution en vigueur établit les principes de l</w:t>
      </w:r>
      <w:r w:rsidR="0047381D">
        <w:t>’</w:t>
      </w:r>
      <w:r w:rsidRPr="00224A01">
        <w:t>universalité et de l</w:t>
      </w:r>
      <w:r w:rsidR="0047381D">
        <w:t>’</w:t>
      </w:r>
      <w:r w:rsidRPr="00224A01">
        <w:t>égalité de tous les citoyens angolais (art</w:t>
      </w:r>
      <w:r w:rsidR="002C5551">
        <w:t>. </w:t>
      </w:r>
      <w:r w:rsidRPr="00224A01">
        <w:t>22 et 23). Le paragraphe 2 de l</w:t>
      </w:r>
      <w:r w:rsidR="0047381D">
        <w:t>’</w:t>
      </w:r>
      <w:r w:rsidRPr="00224A01">
        <w:t>article 26 va plus loin et dispose que «les normes constitutionnelles et légales relatives aux droits fondamentaux devront être interprété</w:t>
      </w:r>
      <w:r w:rsidR="002C5551">
        <w:t>e</w:t>
      </w:r>
      <w:r w:rsidRPr="00224A01">
        <w:t>s et appliquées en harmonie avec la Déclaration universelle des droits de l</w:t>
      </w:r>
      <w:r w:rsidR="0047381D">
        <w:t>’</w:t>
      </w:r>
      <w:r w:rsidRPr="00224A01">
        <w:t>homme, la Charte africaine des droits de l</w:t>
      </w:r>
      <w:r w:rsidR="0047381D">
        <w:t>’</w:t>
      </w:r>
      <w:r w:rsidRPr="00224A01">
        <w:t>homme et des peuples et les traités internationaux dans ce domaine ratifiés par la République d</w:t>
      </w:r>
      <w:r w:rsidR="0047381D">
        <w:t>’</w:t>
      </w:r>
      <w:r w:rsidRPr="00224A01">
        <w:t>Angola». C</w:t>
      </w:r>
      <w:r w:rsidR="0047381D">
        <w:t>’</w:t>
      </w:r>
      <w:r w:rsidRPr="00224A01">
        <w:t>est cependant l</w:t>
      </w:r>
      <w:r w:rsidR="0047381D">
        <w:t>’</w:t>
      </w:r>
      <w:r w:rsidRPr="00224A01">
        <w:t>article 13 qui montre clairement que la Convention est un instrument juridique interne qui a été pleinement incorporé dans l</w:t>
      </w:r>
      <w:r w:rsidR="0047381D">
        <w:t>’</w:t>
      </w:r>
      <w:r w:rsidRPr="00224A01">
        <w:t>ordre juridique angolais et en fait partie intégrante. Le paragraphe 1 de l</w:t>
      </w:r>
      <w:r w:rsidR="0047381D">
        <w:t>’</w:t>
      </w:r>
      <w:r w:rsidRPr="00224A01">
        <w:t>article 13 dispose comme suit: «Le droit général ou commun, reçu dans les termes de la présente Constitution, fait partie intégrante de l</w:t>
      </w:r>
      <w:r w:rsidR="0047381D">
        <w:t>’</w:t>
      </w:r>
      <w:r w:rsidRPr="00224A01">
        <w:t>ordre juridique angolais</w:t>
      </w:r>
      <w:r w:rsidR="002C5551">
        <w:t>.</w:t>
      </w:r>
      <w:r w:rsidRPr="00224A01">
        <w:t>».</w:t>
      </w:r>
      <w:r w:rsidR="00224A01">
        <w:t xml:space="preserve"> </w:t>
      </w:r>
    </w:p>
    <w:p w:rsidR="00134F2D" w:rsidRPr="00224A01" w:rsidRDefault="00134F2D" w:rsidP="00E64E8C">
      <w:pPr>
        <w:pStyle w:val="SingleTxtG"/>
      </w:pPr>
      <w:r w:rsidRPr="00224A01">
        <w:t>9.</w:t>
      </w:r>
      <w:r w:rsidRPr="00224A01">
        <w:tab/>
        <w:t xml:space="preserve">En 2007, le Gouvernement angolais a adhéré aux instruments relatifs aux droits des femmes suivants et les a ratifiés: </w:t>
      </w:r>
    </w:p>
    <w:p w:rsidR="00134F2D" w:rsidRPr="00224A01" w:rsidRDefault="00134F2D" w:rsidP="00E64E8C">
      <w:pPr>
        <w:pStyle w:val="SingleTxtG"/>
        <w:ind w:firstLine="567"/>
      </w:pPr>
      <w:r w:rsidRPr="00224A01">
        <w:t xml:space="preserve">a) </w:t>
      </w:r>
      <w:r w:rsidRPr="00224A01">
        <w:tab/>
        <w:t>Protocole à la Charte africaine des droits de l</w:t>
      </w:r>
      <w:r w:rsidR="0047381D">
        <w:t>’</w:t>
      </w:r>
      <w:r w:rsidRPr="00224A01">
        <w:t>homme et des peuples relatif aux droits de la femme en Afrique;</w:t>
      </w:r>
    </w:p>
    <w:p w:rsidR="00134F2D" w:rsidRPr="00224A01" w:rsidRDefault="00134F2D" w:rsidP="00E64E8C">
      <w:pPr>
        <w:pStyle w:val="SingleTxtG"/>
        <w:ind w:firstLine="567"/>
      </w:pPr>
      <w:r w:rsidRPr="00224A01">
        <w:t xml:space="preserve">b) </w:t>
      </w:r>
      <w:r w:rsidRPr="00224A01">
        <w:tab/>
        <w:t>Le Protocole de la SADC sur l</w:t>
      </w:r>
      <w:r w:rsidR="0047381D">
        <w:t>’</w:t>
      </w:r>
      <w:r w:rsidRPr="00224A01">
        <w:t>égalité des sexes et le développement a été signé par l</w:t>
      </w:r>
      <w:r w:rsidR="0047381D">
        <w:t>’</w:t>
      </w:r>
      <w:r w:rsidRPr="00224A01">
        <w:t>Angola en 2008 et ratifié par lui en 2010;</w:t>
      </w:r>
    </w:p>
    <w:p w:rsidR="00134F2D" w:rsidRPr="00224A01" w:rsidRDefault="00134F2D" w:rsidP="00E64E8C">
      <w:pPr>
        <w:pStyle w:val="SingleTxtG"/>
        <w:ind w:firstLine="567"/>
      </w:pPr>
      <w:r w:rsidRPr="00224A01">
        <w:t xml:space="preserve">c) </w:t>
      </w:r>
      <w:r w:rsidRPr="00224A01">
        <w:tab/>
        <w:t>La Déclaration solennelle de 2004 sur l</w:t>
      </w:r>
      <w:r w:rsidR="0047381D">
        <w:t>’</w:t>
      </w:r>
      <w:r w:rsidRPr="00224A01">
        <w:t>égalité entre les hommes et les femmes en Afrique a aussi été signé</w:t>
      </w:r>
      <w:r w:rsidR="002C5551">
        <w:t>e</w:t>
      </w:r>
      <w:r w:rsidRPr="00224A01">
        <w:t>;</w:t>
      </w:r>
    </w:p>
    <w:p w:rsidR="00134F2D" w:rsidRPr="00224A01" w:rsidRDefault="00134F2D" w:rsidP="00E64E8C">
      <w:pPr>
        <w:pStyle w:val="SingleTxtG"/>
        <w:ind w:firstLine="567"/>
      </w:pPr>
      <w:r w:rsidRPr="00224A01">
        <w:t xml:space="preserve">d) </w:t>
      </w:r>
      <w:r w:rsidRPr="00224A01">
        <w:tab/>
        <w:t>Divers séminaires ont été organisés pour diffuser la Convention auprès des parlementaires, des juges, des avocats, des coordonnateurs, des organisations fédérales, provinciales et non gouvernementales, et une équipe chargée du suivi de la Convention a été mise sur pied en 2006 conjointement avec le Comité de coordination multisectorielle pour l</w:t>
      </w:r>
      <w:r w:rsidR="0047381D">
        <w:t>’</w:t>
      </w:r>
      <w:r w:rsidRPr="00224A01">
        <w:t xml:space="preserve">égalité des sexes. </w:t>
      </w:r>
    </w:p>
    <w:p w:rsidR="00134F2D" w:rsidRPr="00224A01" w:rsidRDefault="00134F2D" w:rsidP="00E64E8C">
      <w:pPr>
        <w:pStyle w:val="H1G"/>
      </w:pPr>
      <w:r w:rsidRPr="00224A01">
        <w:tab/>
      </w:r>
      <w:r w:rsidRPr="00224A01">
        <w:tab/>
        <w:t>Article 3</w:t>
      </w:r>
      <w:r w:rsidR="00E64E8C" w:rsidRPr="00224A01">
        <w:br/>
      </w:r>
      <w:r w:rsidRPr="00224A01">
        <w:t>Mesures visant à assurer le plein développement et le progrès des</w:t>
      </w:r>
      <w:r w:rsidR="00E64E8C" w:rsidRPr="00224A01">
        <w:t> </w:t>
      </w:r>
      <w:r w:rsidRPr="00224A01">
        <w:t>femmes</w:t>
      </w:r>
    </w:p>
    <w:p w:rsidR="00134F2D" w:rsidRPr="00224A01" w:rsidRDefault="00134F2D" w:rsidP="00E64E8C">
      <w:pPr>
        <w:pStyle w:val="SingleTxtG"/>
      </w:pPr>
      <w:r w:rsidRPr="00224A01">
        <w:t>10.</w:t>
      </w:r>
      <w:r w:rsidRPr="00224A01">
        <w:tab/>
        <w:t>En 2005 a commencé l</w:t>
      </w:r>
      <w:r w:rsidR="0047381D">
        <w:t>’</w:t>
      </w:r>
      <w:r w:rsidRPr="00224A01">
        <w:t>élaboration d</w:t>
      </w:r>
      <w:r w:rsidR="0047381D">
        <w:t>’</w:t>
      </w:r>
      <w:r w:rsidRPr="00224A01">
        <w:t>une politique nationale de l</w:t>
      </w:r>
      <w:r w:rsidR="0047381D">
        <w:t>’</w:t>
      </w:r>
      <w:r w:rsidRPr="00224A01">
        <w:t xml:space="preserve">égalité des sexes, en réponse à une des préoccupations formulées dans </w:t>
      </w:r>
      <w:r w:rsidR="002C5551">
        <w:t xml:space="preserve">le </w:t>
      </w:r>
      <w:r w:rsidRPr="00224A01">
        <w:t>Programme d</w:t>
      </w:r>
      <w:r w:rsidR="0047381D">
        <w:t>’</w:t>
      </w:r>
      <w:r w:rsidRPr="00224A01">
        <w:t>action de Beijing. Un processus de consultations a été mené aux niveaux national et provincial, au cours duquel ont joué un rôle diverses parties, au nombre desquelles figurent les coordonnateurs en matière d</w:t>
      </w:r>
      <w:r w:rsidR="0047381D">
        <w:t>’</w:t>
      </w:r>
      <w:r w:rsidRPr="00224A01">
        <w:t>égalité des sexes, les universités, les organisations d</w:t>
      </w:r>
      <w:r w:rsidR="0047381D">
        <w:t>’</w:t>
      </w:r>
      <w:r w:rsidRPr="00224A01">
        <w:t>utilité publique, les associations de femmes et des individus. Les points importants de la politique nationale de l</w:t>
      </w:r>
      <w:r w:rsidR="0047381D">
        <w:t>’</w:t>
      </w:r>
      <w:r w:rsidRPr="00224A01">
        <w:t>égalité des sexes sont les suivants:</w:t>
      </w:r>
    </w:p>
    <w:p w:rsidR="00134F2D" w:rsidRPr="00224A01" w:rsidRDefault="00134F2D" w:rsidP="00E64E8C">
      <w:pPr>
        <w:pStyle w:val="SingleTxtG"/>
        <w:ind w:firstLine="567"/>
      </w:pPr>
      <w:r w:rsidRPr="00224A01">
        <w:t xml:space="preserve">a) </w:t>
      </w:r>
      <w:r w:rsidRPr="00224A01">
        <w:tab/>
        <w:t>Services éducatifs, de santé et de nutrition;</w:t>
      </w:r>
    </w:p>
    <w:p w:rsidR="00134F2D" w:rsidRPr="00224A01" w:rsidRDefault="00134F2D" w:rsidP="00E64E8C">
      <w:pPr>
        <w:pStyle w:val="SingleTxtG"/>
        <w:ind w:firstLine="567"/>
      </w:pPr>
      <w:r w:rsidRPr="00224A01">
        <w:t>b)</w:t>
      </w:r>
      <w:r w:rsidRPr="00224A01">
        <w:tab/>
        <w:t>Participation et représentation dans la vie politique et publique;</w:t>
      </w:r>
    </w:p>
    <w:p w:rsidR="00134F2D" w:rsidRPr="00224A01" w:rsidRDefault="00134F2D" w:rsidP="00E64E8C">
      <w:pPr>
        <w:pStyle w:val="SingleTxtG"/>
        <w:ind w:firstLine="567"/>
      </w:pPr>
      <w:r w:rsidRPr="00224A01">
        <w:t>c)</w:t>
      </w:r>
      <w:r w:rsidRPr="00224A01">
        <w:tab/>
        <w:t xml:space="preserve"> Égalité entre les hommes et les femmes dans l</w:t>
      </w:r>
      <w:r w:rsidR="0047381D">
        <w:t>’</w:t>
      </w:r>
      <w:r w:rsidRPr="00224A01">
        <w:t>exercice de la citoyenneté;</w:t>
      </w:r>
    </w:p>
    <w:p w:rsidR="00134F2D" w:rsidRPr="00224A01" w:rsidRDefault="00134F2D" w:rsidP="00E64E8C">
      <w:pPr>
        <w:pStyle w:val="SingleTxtG"/>
        <w:ind w:firstLine="567"/>
      </w:pPr>
      <w:r w:rsidRPr="00224A01">
        <w:t xml:space="preserve">d) </w:t>
      </w:r>
      <w:r w:rsidRPr="00224A01">
        <w:tab/>
        <w:t>Accès aux ressources et égalité des chances;</w:t>
      </w:r>
    </w:p>
    <w:p w:rsidR="00134F2D" w:rsidRPr="00224A01" w:rsidRDefault="00134F2D" w:rsidP="00E64E8C">
      <w:pPr>
        <w:pStyle w:val="SingleTxtG"/>
        <w:ind w:firstLine="567"/>
      </w:pPr>
      <w:r w:rsidRPr="00224A01">
        <w:t xml:space="preserve">e) </w:t>
      </w:r>
      <w:r w:rsidRPr="00224A01">
        <w:tab/>
        <w:t>Eau, énergie et commerce.</w:t>
      </w:r>
    </w:p>
    <w:p w:rsidR="00134F2D" w:rsidRPr="00224A01" w:rsidRDefault="00134F2D" w:rsidP="00E64E8C">
      <w:pPr>
        <w:pStyle w:val="H1G"/>
      </w:pPr>
      <w:r w:rsidRPr="00224A01">
        <w:tab/>
      </w:r>
      <w:r w:rsidRPr="00224A01">
        <w:tab/>
        <w:t>Article 4</w:t>
      </w:r>
      <w:r w:rsidR="00E64E8C" w:rsidRPr="00224A01">
        <w:br/>
      </w:r>
      <w:r w:rsidRPr="00224A01">
        <w:t>Adoption de mesures spéciales pour la protection des femmes</w:t>
      </w:r>
    </w:p>
    <w:p w:rsidR="00134F2D" w:rsidRPr="00224A01" w:rsidRDefault="00134F2D" w:rsidP="00E64E8C">
      <w:pPr>
        <w:pStyle w:val="SingleTxtG"/>
      </w:pPr>
      <w:r w:rsidRPr="00224A01">
        <w:t>11.</w:t>
      </w:r>
      <w:r w:rsidRPr="00224A01">
        <w:tab/>
        <w:t>L</w:t>
      </w:r>
      <w:r w:rsidR="0047381D">
        <w:t>’</w:t>
      </w:r>
      <w:r w:rsidRPr="00224A01">
        <w:t>État angolais a adopté des règles de discrimination positive en faveur des femmes. Les articles 69 et suivants de la loi générale sur le travail interdisent l</w:t>
      </w:r>
      <w:r w:rsidR="0047381D">
        <w:t>’</w:t>
      </w:r>
      <w:r w:rsidRPr="00224A01">
        <w:t>emploi des femmes pour des travaux insalubres. Ils protègent les femmes enceintes en interdisant le travail de nuit pour elles. Le travail à temps partiel est prévu pour les femmes ayant des responsabilités familiales, et une r</w:t>
      </w:r>
      <w:r w:rsidR="002C5551">
        <w:t>é</w:t>
      </w:r>
      <w:r w:rsidRPr="00224A01">
        <w:t>glementation existe pour la protection des mères. Les employeurs sont tenus, chaque fois que cela est possible, de créer des crèches sur le lieu de travail.</w:t>
      </w:r>
    </w:p>
    <w:p w:rsidR="00134F2D" w:rsidRPr="00224A01" w:rsidRDefault="00134F2D" w:rsidP="00E64E8C">
      <w:pPr>
        <w:pStyle w:val="SingleTxtG"/>
      </w:pPr>
      <w:r w:rsidRPr="00224A01">
        <w:t>12.</w:t>
      </w:r>
      <w:r w:rsidRPr="00224A01">
        <w:tab/>
        <w:t>Les femmes ont droit à une heure par jour sans perte de salaire pour allaiter leur enfant (incitation des mères à allaiter) et elles peuvent s</w:t>
      </w:r>
      <w:r w:rsidR="0047381D">
        <w:t>’</w:t>
      </w:r>
      <w:r w:rsidRPr="00224A01">
        <w:t>absenter un jour par mois sans perte de salaire, lorsqu</w:t>
      </w:r>
      <w:r w:rsidR="0047381D">
        <w:t>’</w:t>
      </w:r>
      <w:r w:rsidRPr="00224A01">
        <w:t>elles ont en charge des enfants de moins de 14 ans, afin de pouvoir rester en compagnie de ceux-ci.</w:t>
      </w:r>
      <w:r w:rsidR="00224A01">
        <w:t xml:space="preserve"> </w:t>
      </w:r>
    </w:p>
    <w:p w:rsidR="00134F2D" w:rsidRPr="00224A01" w:rsidRDefault="00134F2D" w:rsidP="00E64E8C">
      <w:pPr>
        <w:pStyle w:val="SingleTxtG"/>
      </w:pPr>
      <w:r w:rsidRPr="00224A01">
        <w:t>13.</w:t>
      </w:r>
      <w:r w:rsidRPr="00224A01">
        <w:tab/>
        <w:t>La réforme de la sécurité sociale permet que, à partir de l</w:t>
      </w:r>
      <w:r w:rsidR="0047381D">
        <w:t>’</w:t>
      </w:r>
      <w:r w:rsidRPr="00224A01">
        <w:t xml:space="preserve">âge </w:t>
      </w:r>
      <w:r w:rsidR="002C5551">
        <w:t xml:space="preserve">de </w:t>
      </w:r>
      <w:r w:rsidRPr="00224A01">
        <w:t>55 ans, les femmes soient créditées d</w:t>
      </w:r>
      <w:r w:rsidR="0047381D">
        <w:t>’</w:t>
      </w:r>
      <w:r w:rsidRPr="00224A01">
        <w:t>une année par enfant jusqu</w:t>
      </w:r>
      <w:r w:rsidR="0047381D">
        <w:t>’</w:t>
      </w:r>
      <w:r w:rsidRPr="00224A01">
        <w:t>à un nombre total de cinq enfants, dans le calcul de l</w:t>
      </w:r>
      <w:r w:rsidR="0047381D">
        <w:t>’</w:t>
      </w:r>
      <w:r w:rsidRPr="00224A01">
        <w:t>âge de la retraite fixé à 60 ans.</w:t>
      </w:r>
      <w:r w:rsidR="00224A01">
        <w:t xml:space="preserve"> </w:t>
      </w:r>
    </w:p>
    <w:p w:rsidR="00134F2D" w:rsidRPr="00224A01" w:rsidRDefault="00134F2D" w:rsidP="00E64E8C">
      <w:pPr>
        <w:pStyle w:val="SingleTxtG"/>
      </w:pPr>
      <w:r w:rsidRPr="00224A01">
        <w:t>14.</w:t>
      </w:r>
      <w:r w:rsidRPr="00224A01">
        <w:tab/>
        <w:t>Afin d</w:t>
      </w:r>
      <w:r w:rsidR="0047381D">
        <w:t>’</w:t>
      </w:r>
      <w:r w:rsidRPr="00224A01">
        <w:t>accroître la participation des femmes dans les organes de décision, à tous les niveaux, en 2005, en application de la Déclaration de la SADC sur l</w:t>
      </w:r>
      <w:r w:rsidR="0047381D">
        <w:t>’</w:t>
      </w:r>
      <w:r w:rsidRPr="00224A01">
        <w:t>égalité des sexes et le développement, le Parlement angolais a adopté la loi 02, la loi sur les partis politiques, le 1</w:t>
      </w:r>
      <w:r w:rsidRPr="00224A01">
        <w:rPr>
          <w:vertAlign w:val="superscript"/>
        </w:rPr>
        <w:t>er</w:t>
      </w:r>
      <w:r w:rsidR="00224A01">
        <w:t> </w:t>
      </w:r>
      <w:r w:rsidRPr="00224A01">
        <w:t>juillet 2005. L</w:t>
      </w:r>
      <w:r w:rsidR="0047381D">
        <w:t>’</w:t>
      </w:r>
      <w:r w:rsidRPr="00224A01">
        <w:t>un des articles de cette loi contient une disposition qui impose aux partis politiques de prévoir dans leurs statuts un quota d</w:t>
      </w:r>
      <w:r w:rsidR="0047381D">
        <w:t>’</w:t>
      </w:r>
      <w:r w:rsidRPr="00224A01">
        <w:t>au moins 30%.</w:t>
      </w:r>
    </w:p>
    <w:p w:rsidR="00134F2D" w:rsidRPr="00224A01" w:rsidRDefault="00134F2D" w:rsidP="00E64E8C">
      <w:pPr>
        <w:pStyle w:val="SingleTxtG"/>
      </w:pPr>
      <w:r w:rsidRPr="00224A01">
        <w:t>15.</w:t>
      </w:r>
      <w:r w:rsidRPr="00224A01">
        <w:tab/>
        <w:t>L</w:t>
      </w:r>
      <w:r w:rsidR="0047381D">
        <w:t>’</w:t>
      </w:r>
      <w:r w:rsidRPr="00224A01">
        <w:t>on peut dire que, même si les femmes sont représentées dans les différents secteurs de la vie nationale, et plus précisément dans la prise de décision</w:t>
      </w:r>
      <w:r w:rsidR="002C5551">
        <w:t>s</w:t>
      </w:r>
      <w:r w:rsidRPr="00224A01">
        <w:t>, le plus grand obstacle pour elles réside dans l</w:t>
      </w:r>
      <w:r w:rsidR="0047381D">
        <w:t>’</w:t>
      </w:r>
      <w:r w:rsidRPr="00224A01">
        <w:t>impossibilité de traduire leurs idées dans la réalité et de bénéficier du soutien et de la compréhension des hommes. Les tableaux et graphiques ci-après montrent l</w:t>
      </w:r>
      <w:r w:rsidR="0047381D">
        <w:t>’</w:t>
      </w:r>
      <w:r w:rsidRPr="00224A01">
        <w:t>accroissement de la participation des femmes dans les organes de décision au niveau national:</w:t>
      </w:r>
    </w:p>
    <w:p w:rsidR="008262C3" w:rsidRPr="00224A01" w:rsidRDefault="00134F2D" w:rsidP="00AC3421">
      <w:pPr>
        <w:pStyle w:val="Heading1"/>
        <w:spacing w:after="120"/>
        <w:rPr>
          <w:b/>
        </w:rPr>
      </w:pPr>
      <w:r w:rsidRPr="00224A01">
        <w:rPr>
          <w:b/>
        </w:rPr>
        <w:t>Postes ministériels et assistants respectifs</w:t>
      </w:r>
      <w:r w:rsidR="008262C3" w:rsidRPr="00224A01">
        <w:rPr>
          <w:b/>
        </w:rPr>
        <w:t xml:space="preserve"> </w:t>
      </w:r>
      <w:r w:rsidRPr="00224A01">
        <w:rPr>
          <w:b/>
        </w:rPr>
        <w:t>(2010)</w:t>
      </w:r>
    </w:p>
    <w:p w:rsidR="00134F2D" w:rsidRPr="00224A01" w:rsidRDefault="00AC061C" w:rsidP="00AC3421">
      <w:pPr>
        <w:ind w:left="1134"/>
        <w:rPr>
          <w:noProof/>
          <w:lang w:eastAsia="zh-CN"/>
        </w:rPr>
      </w:pPr>
      <w:r w:rsidRPr="00224A01">
        <w:rPr>
          <w:noProof/>
          <w:lang w:eastAsia="zh-CN"/>
        </w:rPr>
        <w:pict>
          <v:shape id="Gráfico 2" o:spid="_x0000_i1026" type="#_x0000_t75" style="width:422.25pt;height:220.5pt;visibility:visible;mso-position-horizontal:inside" o:preferrelative="f" o:bordertopcolor="this" o:borderleftcolor="this" o:borderbottomcolor="this" o:borderright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">
            <v:imagedata r:id="rId8" o:title="" cropbottom="-84f"/>
            <w10:bordertop type="single" width="4"/>
            <w10:borderleft type="single" width="4"/>
            <w10:borderbottom type="single" width="4"/>
            <w10:borderright type="single" width="4"/>
          </v:shape>
        </w:pict>
      </w:r>
    </w:p>
    <w:p w:rsidR="00134F2D" w:rsidRPr="00224A01" w:rsidRDefault="00134F2D" w:rsidP="00FD0A65">
      <w:pPr>
        <w:pStyle w:val="Heading1"/>
        <w:keepNext/>
        <w:keepLines/>
        <w:spacing w:before="240" w:after="120"/>
        <w:rPr>
          <w:b/>
        </w:rPr>
      </w:pPr>
      <w:r w:rsidRPr="00224A01">
        <w:rPr>
          <w:b/>
        </w:rPr>
        <w:t>Évolution dans la participation des femmes au Gouvernement fédéral (2002–2009)</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1134"/>
        <w:gridCol w:w="1134"/>
        <w:gridCol w:w="1134"/>
        <w:gridCol w:w="1134"/>
      </w:tblGrid>
      <w:tr w:rsidR="005719E4" w:rsidRPr="00224A01" w:rsidTr="00337E8F">
        <w:trPr>
          <w:tblHeader/>
        </w:trPr>
        <w:tc>
          <w:tcPr>
            <w:tcW w:w="2835" w:type="dxa"/>
            <w:tcBorders>
              <w:top w:val="single" w:sz="4" w:space="0" w:color="auto"/>
            </w:tcBorders>
            <w:shd w:val="clear" w:color="auto" w:fill="auto"/>
            <w:vAlign w:val="bottom"/>
          </w:tcPr>
          <w:p w:rsidR="005719E4" w:rsidRPr="00224A01" w:rsidRDefault="005719E4" w:rsidP="00FD0A65">
            <w:pPr>
              <w:keepNext/>
              <w:keepLines/>
              <w:spacing w:before="80" w:after="80" w:line="200" w:lineRule="exact"/>
              <w:rPr>
                <w:i/>
                <w:sz w:val="16"/>
              </w:rPr>
            </w:pPr>
          </w:p>
        </w:tc>
        <w:tc>
          <w:tcPr>
            <w:tcW w:w="2268" w:type="dxa"/>
            <w:gridSpan w:val="2"/>
            <w:tcBorders>
              <w:top w:val="single" w:sz="4" w:space="0" w:color="auto"/>
              <w:bottom w:val="single" w:sz="4" w:space="0" w:color="auto"/>
              <w:right w:val="single" w:sz="24" w:space="0" w:color="FFFFFF"/>
            </w:tcBorders>
            <w:shd w:val="clear" w:color="auto" w:fill="auto"/>
            <w:vAlign w:val="bottom"/>
          </w:tcPr>
          <w:p w:rsidR="005719E4" w:rsidRPr="00224A01" w:rsidRDefault="005719E4" w:rsidP="00FD0A65">
            <w:pPr>
              <w:keepNext/>
              <w:keepLines/>
              <w:spacing w:before="80" w:after="80" w:line="200" w:lineRule="exact"/>
              <w:jc w:val="center"/>
              <w:rPr>
                <w:i/>
                <w:sz w:val="16"/>
              </w:rPr>
            </w:pPr>
            <w:r w:rsidRPr="00224A01">
              <w:rPr>
                <w:i/>
                <w:sz w:val="16"/>
              </w:rPr>
              <w:t>2002</w:t>
            </w:r>
          </w:p>
        </w:tc>
        <w:tc>
          <w:tcPr>
            <w:tcW w:w="2268" w:type="dxa"/>
            <w:gridSpan w:val="2"/>
            <w:tcBorders>
              <w:top w:val="single" w:sz="4" w:space="0" w:color="auto"/>
              <w:left w:val="single" w:sz="24" w:space="0" w:color="FFFFFF"/>
              <w:bottom w:val="single" w:sz="4" w:space="0" w:color="auto"/>
            </w:tcBorders>
            <w:shd w:val="clear" w:color="auto" w:fill="FFFFFF"/>
            <w:vAlign w:val="bottom"/>
          </w:tcPr>
          <w:p w:rsidR="005719E4" w:rsidRPr="00224A01" w:rsidRDefault="005719E4" w:rsidP="00FD0A65">
            <w:pPr>
              <w:keepNext/>
              <w:keepLines/>
              <w:spacing w:before="80" w:after="80" w:line="200" w:lineRule="exact"/>
              <w:jc w:val="center"/>
              <w:rPr>
                <w:i/>
                <w:sz w:val="16"/>
              </w:rPr>
            </w:pPr>
            <w:r w:rsidRPr="00224A01">
              <w:rPr>
                <w:i/>
                <w:sz w:val="16"/>
              </w:rPr>
              <w:t>2009</w:t>
            </w:r>
          </w:p>
        </w:tc>
      </w:tr>
      <w:tr w:rsidR="00DC2D4D" w:rsidRPr="00224A01" w:rsidTr="00337E8F">
        <w:trPr>
          <w:tblHeader/>
        </w:trPr>
        <w:tc>
          <w:tcPr>
            <w:tcW w:w="2835" w:type="dxa"/>
            <w:tcBorders>
              <w:bottom w:val="single" w:sz="12" w:space="0" w:color="auto"/>
            </w:tcBorders>
            <w:shd w:val="clear" w:color="auto" w:fill="auto"/>
            <w:vAlign w:val="bottom"/>
          </w:tcPr>
          <w:p w:rsidR="00DC2D4D" w:rsidRPr="00224A01" w:rsidRDefault="00DC2D4D" w:rsidP="00FD0A65">
            <w:pPr>
              <w:keepNext/>
              <w:keepLines/>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tcPr>
          <w:p w:rsidR="00DC2D4D" w:rsidRPr="00224A01" w:rsidRDefault="00DC2D4D" w:rsidP="00FD0A65">
            <w:pPr>
              <w:keepNext/>
              <w:keepLines/>
              <w:spacing w:before="80" w:after="80" w:line="200" w:lineRule="exact"/>
              <w:jc w:val="right"/>
              <w:rPr>
                <w:i/>
                <w:sz w:val="16"/>
              </w:rPr>
            </w:pPr>
            <w:r w:rsidRPr="00224A01">
              <w:rPr>
                <w:i/>
                <w:sz w:val="16"/>
              </w:rPr>
              <w:t>Total</w:t>
            </w:r>
          </w:p>
        </w:tc>
        <w:tc>
          <w:tcPr>
            <w:tcW w:w="1134" w:type="dxa"/>
            <w:tcBorders>
              <w:top w:val="single" w:sz="4" w:space="0" w:color="auto"/>
              <w:bottom w:val="single" w:sz="12" w:space="0" w:color="auto"/>
              <w:right w:val="single" w:sz="24" w:space="0" w:color="FFFFFF"/>
            </w:tcBorders>
            <w:shd w:val="clear" w:color="auto" w:fill="auto"/>
            <w:vAlign w:val="bottom"/>
          </w:tcPr>
          <w:p w:rsidR="00DC2D4D" w:rsidRPr="00224A01" w:rsidRDefault="00DC2D4D" w:rsidP="00FD0A65">
            <w:pPr>
              <w:keepNext/>
              <w:keepLines/>
              <w:spacing w:before="80" w:after="80" w:line="200" w:lineRule="exact"/>
              <w:jc w:val="right"/>
              <w:rPr>
                <w:i/>
                <w:sz w:val="16"/>
              </w:rPr>
            </w:pPr>
            <w:r w:rsidRPr="00224A01">
              <w:rPr>
                <w:i/>
                <w:sz w:val="16"/>
              </w:rPr>
              <w:t>% de femmes</w:t>
            </w:r>
          </w:p>
        </w:tc>
        <w:tc>
          <w:tcPr>
            <w:tcW w:w="1134" w:type="dxa"/>
            <w:tcBorders>
              <w:top w:val="single" w:sz="4" w:space="0" w:color="auto"/>
              <w:left w:val="single" w:sz="24" w:space="0" w:color="FFFFFF"/>
              <w:bottom w:val="single" w:sz="12" w:space="0" w:color="auto"/>
            </w:tcBorders>
            <w:shd w:val="clear" w:color="auto" w:fill="FFFFFF"/>
            <w:vAlign w:val="bottom"/>
          </w:tcPr>
          <w:p w:rsidR="00DC2D4D" w:rsidRPr="00224A01" w:rsidRDefault="00DC2D4D" w:rsidP="00FD0A65">
            <w:pPr>
              <w:keepNext/>
              <w:keepLines/>
              <w:spacing w:before="80" w:after="80" w:line="200" w:lineRule="exact"/>
              <w:jc w:val="right"/>
              <w:rPr>
                <w:i/>
                <w:sz w:val="16"/>
              </w:rPr>
            </w:pPr>
            <w:r w:rsidRPr="00224A01">
              <w:rPr>
                <w:i/>
                <w:sz w:val="16"/>
              </w:rPr>
              <w:t>Total</w:t>
            </w:r>
          </w:p>
        </w:tc>
        <w:tc>
          <w:tcPr>
            <w:tcW w:w="1134" w:type="dxa"/>
            <w:tcBorders>
              <w:top w:val="single" w:sz="4" w:space="0" w:color="auto"/>
              <w:bottom w:val="single" w:sz="12" w:space="0" w:color="auto"/>
            </w:tcBorders>
            <w:shd w:val="clear" w:color="auto" w:fill="auto"/>
            <w:vAlign w:val="bottom"/>
          </w:tcPr>
          <w:p w:rsidR="00DC2D4D" w:rsidRPr="00224A01" w:rsidRDefault="00DC2D4D" w:rsidP="00FD0A65">
            <w:pPr>
              <w:keepNext/>
              <w:keepLines/>
              <w:spacing w:before="80" w:after="80" w:line="200" w:lineRule="exact"/>
              <w:jc w:val="right"/>
              <w:rPr>
                <w:i/>
                <w:sz w:val="16"/>
              </w:rPr>
            </w:pPr>
            <w:r w:rsidRPr="00224A01">
              <w:rPr>
                <w:i/>
                <w:sz w:val="16"/>
              </w:rPr>
              <w:t>% de femmes</w:t>
            </w:r>
          </w:p>
        </w:tc>
      </w:tr>
      <w:tr w:rsidR="00DC2D4D" w:rsidRPr="00224A01" w:rsidTr="00337E8F">
        <w:tc>
          <w:tcPr>
            <w:tcW w:w="2835" w:type="dxa"/>
            <w:tcBorders>
              <w:top w:val="single" w:sz="12" w:space="0" w:color="auto"/>
            </w:tcBorders>
            <w:shd w:val="clear" w:color="auto" w:fill="auto"/>
          </w:tcPr>
          <w:p w:rsidR="00DC2D4D" w:rsidRPr="00224A01" w:rsidRDefault="00DC2D4D" w:rsidP="00FD0A65">
            <w:pPr>
              <w:keepNext/>
              <w:keepLines/>
              <w:spacing w:before="40" w:after="40" w:line="220" w:lineRule="exact"/>
              <w:rPr>
                <w:sz w:val="18"/>
              </w:rPr>
            </w:pPr>
            <w:r w:rsidRPr="00224A01">
              <w:rPr>
                <w:sz w:val="18"/>
              </w:rPr>
              <w:t>Ministres</w:t>
            </w:r>
          </w:p>
        </w:tc>
        <w:tc>
          <w:tcPr>
            <w:tcW w:w="1134" w:type="dxa"/>
            <w:tcBorders>
              <w:top w:val="single" w:sz="12" w:space="0" w:color="auto"/>
            </w:tcBorders>
            <w:shd w:val="clear" w:color="auto" w:fill="auto"/>
            <w:vAlign w:val="bottom"/>
          </w:tcPr>
          <w:p w:rsidR="00DC2D4D" w:rsidRPr="00224A01" w:rsidRDefault="00DC2D4D" w:rsidP="00FD0A65">
            <w:pPr>
              <w:keepNext/>
              <w:keepLines/>
              <w:spacing w:before="40" w:after="40" w:line="220" w:lineRule="exact"/>
              <w:jc w:val="right"/>
              <w:rPr>
                <w:sz w:val="18"/>
              </w:rPr>
            </w:pPr>
            <w:r w:rsidRPr="00224A01">
              <w:rPr>
                <w:sz w:val="18"/>
              </w:rPr>
              <w:t>27</w:t>
            </w:r>
          </w:p>
        </w:tc>
        <w:tc>
          <w:tcPr>
            <w:tcW w:w="1134" w:type="dxa"/>
            <w:tcBorders>
              <w:top w:val="single" w:sz="12" w:space="0" w:color="auto"/>
            </w:tcBorders>
            <w:shd w:val="clear" w:color="auto" w:fill="auto"/>
            <w:vAlign w:val="bottom"/>
          </w:tcPr>
          <w:p w:rsidR="00DC2D4D" w:rsidRPr="00224A01" w:rsidRDefault="00DC2D4D" w:rsidP="00FD0A65">
            <w:pPr>
              <w:keepNext/>
              <w:keepLines/>
              <w:spacing w:before="40" w:after="40" w:line="220" w:lineRule="exact"/>
              <w:jc w:val="right"/>
              <w:rPr>
                <w:sz w:val="18"/>
              </w:rPr>
            </w:pPr>
            <w:r w:rsidRPr="00224A01">
              <w:rPr>
                <w:sz w:val="18"/>
              </w:rPr>
              <w:t>15</w:t>
            </w:r>
            <w:r w:rsidR="002C5551">
              <w:rPr>
                <w:sz w:val="18"/>
              </w:rPr>
              <w:t>,0</w:t>
            </w:r>
          </w:p>
        </w:tc>
        <w:tc>
          <w:tcPr>
            <w:tcW w:w="1134" w:type="dxa"/>
            <w:tcBorders>
              <w:top w:val="single" w:sz="12" w:space="0" w:color="auto"/>
            </w:tcBorders>
            <w:shd w:val="clear" w:color="auto" w:fill="auto"/>
            <w:vAlign w:val="bottom"/>
          </w:tcPr>
          <w:p w:rsidR="00DC2D4D" w:rsidRPr="00224A01" w:rsidRDefault="00DC2D4D" w:rsidP="00FD0A65">
            <w:pPr>
              <w:keepNext/>
              <w:keepLines/>
              <w:spacing w:before="40" w:after="40" w:line="220" w:lineRule="exact"/>
              <w:jc w:val="right"/>
              <w:rPr>
                <w:sz w:val="18"/>
              </w:rPr>
            </w:pPr>
            <w:r w:rsidRPr="00224A01">
              <w:rPr>
                <w:sz w:val="18"/>
              </w:rPr>
              <w:t>34</w:t>
            </w:r>
          </w:p>
        </w:tc>
        <w:tc>
          <w:tcPr>
            <w:tcW w:w="1134" w:type="dxa"/>
            <w:tcBorders>
              <w:top w:val="single" w:sz="12" w:space="0" w:color="auto"/>
            </w:tcBorders>
            <w:shd w:val="clear" w:color="auto" w:fill="auto"/>
            <w:vAlign w:val="bottom"/>
          </w:tcPr>
          <w:p w:rsidR="00DC2D4D" w:rsidRPr="00224A01" w:rsidRDefault="00DC2D4D" w:rsidP="00FD0A65">
            <w:pPr>
              <w:keepNext/>
              <w:keepLines/>
              <w:spacing w:before="40" w:after="40" w:line="220" w:lineRule="exact"/>
              <w:jc w:val="right"/>
              <w:rPr>
                <w:sz w:val="18"/>
              </w:rPr>
            </w:pPr>
            <w:r w:rsidRPr="00224A01">
              <w:rPr>
                <w:sz w:val="18"/>
              </w:rPr>
              <w:t>26,4</w:t>
            </w:r>
          </w:p>
        </w:tc>
      </w:tr>
      <w:tr w:rsidR="00DC2D4D" w:rsidRPr="00224A01" w:rsidTr="00337E8F">
        <w:tc>
          <w:tcPr>
            <w:tcW w:w="2835" w:type="dxa"/>
            <w:tcBorders>
              <w:bottom w:val="single" w:sz="12" w:space="0" w:color="auto"/>
            </w:tcBorders>
            <w:shd w:val="clear" w:color="auto" w:fill="auto"/>
          </w:tcPr>
          <w:p w:rsidR="00DC2D4D" w:rsidRPr="00224A01" w:rsidRDefault="00DC2D4D" w:rsidP="00FD0A65">
            <w:pPr>
              <w:keepNext/>
              <w:keepLines/>
              <w:spacing w:before="40" w:after="40" w:line="220" w:lineRule="exact"/>
              <w:rPr>
                <w:sz w:val="18"/>
              </w:rPr>
            </w:pPr>
            <w:r w:rsidRPr="00224A01">
              <w:rPr>
                <w:sz w:val="18"/>
              </w:rPr>
              <w:t>Vice-</w:t>
            </w:r>
            <w:r w:rsidR="008D22E9">
              <w:rPr>
                <w:sz w:val="18"/>
              </w:rPr>
              <w:t>m</w:t>
            </w:r>
            <w:r w:rsidRPr="00224A01">
              <w:rPr>
                <w:sz w:val="18"/>
              </w:rPr>
              <w:t>inistres</w:t>
            </w:r>
          </w:p>
        </w:tc>
        <w:tc>
          <w:tcPr>
            <w:tcW w:w="1134" w:type="dxa"/>
            <w:tcBorders>
              <w:bottom w:val="single" w:sz="12" w:space="0" w:color="auto"/>
            </w:tcBorders>
            <w:shd w:val="clear" w:color="auto" w:fill="auto"/>
            <w:vAlign w:val="bottom"/>
          </w:tcPr>
          <w:p w:rsidR="00DC2D4D" w:rsidRPr="00224A01" w:rsidRDefault="00DC2D4D" w:rsidP="00FD0A65">
            <w:pPr>
              <w:keepNext/>
              <w:keepLines/>
              <w:spacing w:before="40" w:after="40" w:line="220" w:lineRule="exact"/>
              <w:jc w:val="right"/>
              <w:rPr>
                <w:sz w:val="18"/>
              </w:rPr>
            </w:pPr>
            <w:r w:rsidRPr="00224A01">
              <w:rPr>
                <w:sz w:val="18"/>
              </w:rPr>
              <w:t>45</w:t>
            </w:r>
          </w:p>
        </w:tc>
        <w:tc>
          <w:tcPr>
            <w:tcW w:w="1134" w:type="dxa"/>
            <w:tcBorders>
              <w:bottom w:val="single" w:sz="12" w:space="0" w:color="auto"/>
            </w:tcBorders>
            <w:shd w:val="clear" w:color="auto" w:fill="auto"/>
            <w:vAlign w:val="bottom"/>
          </w:tcPr>
          <w:p w:rsidR="00DC2D4D" w:rsidRPr="00224A01" w:rsidRDefault="00DC2D4D" w:rsidP="00FD0A65">
            <w:pPr>
              <w:keepNext/>
              <w:keepLines/>
              <w:spacing w:before="40" w:after="40" w:line="220" w:lineRule="exact"/>
              <w:jc w:val="right"/>
              <w:rPr>
                <w:sz w:val="18"/>
              </w:rPr>
            </w:pPr>
            <w:r w:rsidRPr="00224A01">
              <w:rPr>
                <w:sz w:val="18"/>
              </w:rPr>
              <w:t>13,3</w:t>
            </w:r>
          </w:p>
        </w:tc>
        <w:tc>
          <w:tcPr>
            <w:tcW w:w="1134" w:type="dxa"/>
            <w:tcBorders>
              <w:bottom w:val="single" w:sz="12" w:space="0" w:color="auto"/>
            </w:tcBorders>
            <w:shd w:val="clear" w:color="auto" w:fill="auto"/>
            <w:vAlign w:val="bottom"/>
          </w:tcPr>
          <w:p w:rsidR="00DC2D4D" w:rsidRPr="00224A01" w:rsidRDefault="00DC2D4D" w:rsidP="00FD0A65">
            <w:pPr>
              <w:keepNext/>
              <w:keepLines/>
              <w:spacing w:before="40" w:after="40" w:line="220" w:lineRule="exact"/>
              <w:jc w:val="right"/>
              <w:rPr>
                <w:sz w:val="18"/>
              </w:rPr>
            </w:pPr>
            <w:r w:rsidRPr="00224A01">
              <w:rPr>
                <w:sz w:val="18"/>
              </w:rPr>
              <w:t>57</w:t>
            </w:r>
          </w:p>
        </w:tc>
        <w:tc>
          <w:tcPr>
            <w:tcW w:w="1134" w:type="dxa"/>
            <w:tcBorders>
              <w:bottom w:val="single" w:sz="12" w:space="0" w:color="auto"/>
            </w:tcBorders>
            <w:shd w:val="clear" w:color="auto" w:fill="auto"/>
            <w:vAlign w:val="bottom"/>
          </w:tcPr>
          <w:p w:rsidR="00DC2D4D" w:rsidRPr="00224A01" w:rsidRDefault="00DC2D4D" w:rsidP="00FD0A65">
            <w:pPr>
              <w:keepNext/>
              <w:keepLines/>
              <w:spacing w:before="40" w:after="40" w:line="220" w:lineRule="exact"/>
              <w:jc w:val="right"/>
              <w:rPr>
                <w:sz w:val="18"/>
              </w:rPr>
            </w:pPr>
            <w:r w:rsidRPr="00224A01">
              <w:rPr>
                <w:sz w:val="18"/>
              </w:rPr>
              <w:t>19,3</w:t>
            </w:r>
          </w:p>
        </w:tc>
      </w:tr>
    </w:tbl>
    <w:p w:rsidR="00337E8F" w:rsidRPr="00227A62" w:rsidRDefault="00337E8F" w:rsidP="005719E4">
      <w:pPr>
        <w:pStyle w:val="Heading1"/>
        <w:spacing w:before="240" w:after="120"/>
        <w:rPr>
          <w:b/>
          <w:sz w:val="4"/>
          <w:szCs w:val="4"/>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3686"/>
      </w:tblGrid>
      <w:tr w:rsidR="00337E8F" w:rsidTr="00337E8F">
        <w:tc>
          <w:tcPr>
            <w:tcW w:w="3686" w:type="dxa"/>
          </w:tcPr>
          <w:p w:rsidR="00337E8F" w:rsidRDefault="00337E8F" w:rsidP="00227A62">
            <w:r w:rsidRPr="00125D89">
              <w:pict>
                <v:shape id="Gráfico 5" o:spid="_x0000_i1027" type="#_x0000_t75" style="width:180pt;height:12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">
                  <v:imagedata r:id="rId9" o:title=""/>
                  <o:lock v:ext="edit" aspectratio="f"/>
                </v:shape>
              </w:pict>
            </w:r>
          </w:p>
        </w:tc>
        <w:tc>
          <w:tcPr>
            <w:tcW w:w="3686" w:type="dxa"/>
          </w:tcPr>
          <w:p w:rsidR="00337E8F" w:rsidRDefault="00337E8F" w:rsidP="00227A62">
            <w:r w:rsidRPr="00125D89">
              <w:pict>
                <v:shape id="Gráfico 6" o:spid="_x0000_i1028" type="#_x0000_t75" style="width:183.75pt;height:12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">
                  <v:imagedata r:id="rId10" o:title=""/>
                  <o:lock v:ext="edit" aspectratio="f"/>
                </v:shape>
              </w:pict>
            </w:r>
          </w:p>
        </w:tc>
      </w:tr>
    </w:tbl>
    <w:p w:rsidR="005719E4" w:rsidRPr="00224A01" w:rsidRDefault="005719E4" w:rsidP="005719E4">
      <w:pPr>
        <w:pStyle w:val="Heading1"/>
        <w:spacing w:before="240" w:after="120"/>
        <w:rPr>
          <w:b/>
        </w:rPr>
      </w:pPr>
      <w:r w:rsidRPr="00224A01">
        <w:rPr>
          <w:b/>
        </w:rPr>
        <w:t xml:space="preserve">Évolution dans la participation des femmes au gouvernement provincial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1134"/>
        <w:gridCol w:w="1134"/>
        <w:gridCol w:w="1134"/>
        <w:gridCol w:w="1134"/>
      </w:tblGrid>
      <w:tr w:rsidR="005719E4" w:rsidRPr="00224A01" w:rsidTr="000619C1">
        <w:trPr>
          <w:tblHeader/>
        </w:trPr>
        <w:tc>
          <w:tcPr>
            <w:tcW w:w="2835" w:type="dxa"/>
            <w:tcBorders>
              <w:top w:val="single" w:sz="4" w:space="0" w:color="auto"/>
            </w:tcBorders>
            <w:shd w:val="clear" w:color="auto" w:fill="auto"/>
            <w:vAlign w:val="bottom"/>
          </w:tcPr>
          <w:p w:rsidR="005719E4" w:rsidRPr="00224A01" w:rsidRDefault="005719E4" w:rsidP="000619C1">
            <w:pPr>
              <w:spacing w:before="80" w:after="80" w:line="200" w:lineRule="exact"/>
              <w:rPr>
                <w:i/>
                <w:sz w:val="16"/>
              </w:rPr>
            </w:pPr>
          </w:p>
        </w:tc>
        <w:tc>
          <w:tcPr>
            <w:tcW w:w="2268" w:type="dxa"/>
            <w:gridSpan w:val="2"/>
            <w:tcBorders>
              <w:top w:val="single" w:sz="4" w:space="0" w:color="auto"/>
              <w:bottom w:val="single" w:sz="4" w:space="0" w:color="auto"/>
              <w:right w:val="single" w:sz="24" w:space="0" w:color="FFFFFF"/>
            </w:tcBorders>
            <w:shd w:val="clear" w:color="auto" w:fill="auto"/>
            <w:vAlign w:val="bottom"/>
          </w:tcPr>
          <w:p w:rsidR="005719E4" w:rsidRPr="00224A01" w:rsidRDefault="005719E4" w:rsidP="000619C1">
            <w:pPr>
              <w:spacing w:before="80" w:after="80" w:line="200" w:lineRule="exact"/>
              <w:jc w:val="center"/>
              <w:rPr>
                <w:i/>
                <w:sz w:val="16"/>
              </w:rPr>
            </w:pPr>
            <w:r w:rsidRPr="00224A01">
              <w:rPr>
                <w:i/>
                <w:sz w:val="16"/>
              </w:rPr>
              <w:t>2002</w:t>
            </w:r>
          </w:p>
        </w:tc>
        <w:tc>
          <w:tcPr>
            <w:tcW w:w="2268" w:type="dxa"/>
            <w:gridSpan w:val="2"/>
            <w:tcBorders>
              <w:top w:val="single" w:sz="4" w:space="0" w:color="auto"/>
              <w:left w:val="single" w:sz="24" w:space="0" w:color="FFFFFF"/>
              <w:bottom w:val="single" w:sz="4" w:space="0" w:color="auto"/>
            </w:tcBorders>
            <w:shd w:val="clear" w:color="auto" w:fill="FFFFFF"/>
            <w:vAlign w:val="bottom"/>
          </w:tcPr>
          <w:p w:rsidR="005719E4" w:rsidRPr="00224A01" w:rsidRDefault="005719E4" w:rsidP="000619C1">
            <w:pPr>
              <w:spacing w:before="80" w:after="80" w:line="200" w:lineRule="exact"/>
              <w:jc w:val="center"/>
              <w:rPr>
                <w:i/>
                <w:sz w:val="16"/>
              </w:rPr>
            </w:pPr>
            <w:r w:rsidRPr="00224A01">
              <w:rPr>
                <w:i/>
                <w:sz w:val="16"/>
              </w:rPr>
              <w:t>2009</w:t>
            </w:r>
          </w:p>
        </w:tc>
      </w:tr>
      <w:tr w:rsidR="005719E4" w:rsidRPr="00224A01" w:rsidTr="000619C1">
        <w:trPr>
          <w:tblHeader/>
        </w:trPr>
        <w:tc>
          <w:tcPr>
            <w:tcW w:w="2835" w:type="dxa"/>
            <w:tcBorders>
              <w:bottom w:val="single" w:sz="12" w:space="0" w:color="auto"/>
            </w:tcBorders>
            <w:shd w:val="clear" w:color="auto" w:fill="auto"/>
            <w:vAlign w:val="bottom"/>
          </w:tcPr>
          <w:p w:rsidR="005719E4" w:rsidRPr="00224A01" w:rsidRDefault="005719E4" w:rsidP="000619C1">
            <w:pPr>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tcPr>
          <w:p w:rsidR="005719E4" w:rsidRPr="00224A01" w:rsidRDefault="005719E4" w:rsidP="000619C1">
            <w:pPr>
              <w:spacing w:before="80" w:after="80" w:line="200" w:lineRule="exact"/>
              <w:jc w:val="right"/>
              <w:rPr>
                <w:i/>
                <w:sz w:val="16"/>
              </w:rPr>
            </w:pPr>
            <w:r w:rsidRPr="00224A01">
              <w:rPr>
                <w:i/>
                <w:sz w:val="16"/>
              </w:rPr>
              <w:t>Total</w:t>
            </w:r>
          </w:p>
        </w:tc>
        <w:tc>
          <w:tcPr>
            <w:tcW w:w="1134" w:type="dxa"/>
            <w:tcBorders>
              <w:top w:val="single" w:sz="4" w:space="0" w:color="auto"/>
              <w:bottom w:val="single" w:sz="12" w:space="0" w:color="auto"/>
              <w:right w:val="single" w:sz="24" w:space="0" w:color="FFFFFF"/>
            </w:tcBorders>
            <w:shd w:val="clear" w:color="auto" w:fill="auto"/>
            <w:vAlign w:val="bottom"/>
          </w:tcPr>
          <w:p w:rsidR="005719E4" w:rsidRPr="00224A01" w:rsidRDefault="005719E4" w:rsidP="000619C1">
            <w:pPr>
              <w:spacing w:before="80" w:after="80" w:line="200" w:lineRule="exact"/>
              <w:jc w:val="right"/>
              <w:rPr>
                <w:i/>
                <w:sz w:val="16"/>
              </w:rPr>
            </w:pPr>
            <w:r w:rsidRPr="00224A01">
              <w:rPr>
                <w:i/>
                <w:sz w:val="16"/>
              </w:rPr>
              <w:t>% de femmes</w:t>
            </w:r>
          </w:p>
        </w:tc>
        <w:tc>
          <w:tcPr>
            <w:tcW w:w="1134" w:type="dxa"/>
            <w:tcBorders>
              <w:top w:val="single" w:sz="4" w:space="0" w:color="auto"/>
              <w:left w:val="single" w:sz="24" w:space="0" w:color="FFFFFF"/>
              <w:bottom w:val="single" w:sz="12" w:space="0" w:color="auto"/>
            </w:tcBorders>
            <w:shd w:val="clear" w:color="auto" w:fill="FFFFFF"/>
            <w:vAlign w:val="bottom"/>
          </w:tcPr>
          <w:p w:rsidR="005719E4" w:rsidRPr="00224A01" w:rsidRDefault="005719E4" w:rsidP="000619C1">
            <w:pPr>
              <w:spacing w:before="80" w:after="80" w:line="200" w:lineRule="exact"/>
              <w:jc w:val="right"/>
              <w:rPr>
                <w:i/>
                <w:sz w:val="16"/>
              </w:rPr>
            </w:pPr>
            <w:r w:rsidRPr="00224A01">
              <w:rPr>
                <w:i/>
                <w:sz w:val="16"/>
              </w:rPr>
              <w:t>Total</w:t>
            </w:r>
          </w:p>
        </w:tc>
        <w:tc>
          <w:tcPr>
            <w:tcW w:w="1134" w:type="dxa"/>
            <w:tcBorders>
              <w:top w:val="single" w:sz="4" w:space="0" w:color="auto"/>
              <w:bottom w:val="single" w:sz="12" w:space="0" w:color="auto"/>
            </w:tcBorders>
            <w:shd w:val="clear" w:color="auto" w:fill="auto"/>
            <w:vAlign w:val="bottom"/>
          </w:tcPr>
          <w:p w:rsidR="005719E4" w:rsidRPr="00224A01" w:rsidRDefault="005719E4" w:rsidP="000619C1">
            <w:pPr>
              <w:spacing w:before="80" w:after="80" w:line="200" w:lineRule="exact"/>
              <w:jc w:val="right"/>
              <w:rPr>
                <w:i/>
                <w:sz w:val="16"/>
              </w:rPr>
            </w:pPr>
            <w:r w:rsidRPr="00224A01">
              <w:rPr>
                <w:i/>
                <w:sz w:val="16"/>
              </w:rPr>
              <w:t>% de femmes</w:t>
            </w:r>
          </w:p>
        </w:tc>
      </w:tr>
      <w:tr w:rsidR="005719E4" w:rsidRPr="00224A01" w:rsidTr="000619C1">
        <w:tc>
          <w:tcPr>
            <w:tcW w:w="2835" w:type="dxa"/>
            <w:tcBorders>
              <w:top w:val="single" w:sz="12" w:space="0" w:color="auto"/>
            </w:tcBorders>
            <w:shd w:val="clear" w:color="auto" w:fill="auto"/>
          </w:tcPr>
          <w:p w:rsidR="005719E4" w:rsidRPr="00224A01" w:rsidRDefault="005719E4" w:rsidP="000619C1">
            <w:pPr>
              <w:spacing w:before="40" w:after="40" w:line="220" w:lineRule="exact"/>
              <w:rPr>
                <w:sz w:val="18"/>
              </w:rPr>
            </w:pPr>
            <w:r w:rsidRPr="00224A01">
              <w:rPr>
                <w:sz w:val="18"/>
              </w:rPr>
              <w:t>Gouverneurs</w:t>
            </w:r>
          </w:p>
        </w:tc>
        <w:tc>
          <w:tcPr>
            <w:tcW w:w="1134" w:type="dxa"/>
            <w:tcBorders>
              <w:top w:val="single" w:sz="12" w:space="0" w:color="auto"/>
            </w:tcBorders>
            <w:shd w:val="clear" w:color="auto" w:fill="auto"/>
            <w:vAlign w:val="bottom"/>
          </w:tcPr>
          <w:p w:rsidR="005719E4" w:rsidRPr="00224A01" w:rsidRDefault="005719E4" w:rsidP="000619C1">
            <w:pPr>
              <w:spacing w:before="40" w:after="40" w:line="220" w:lineRule="exact"/>
              <w:jc w:val="right"/>
              <w:rPr>
                <w:sz w:val="18"/>
              </w:rPr>
            </w:pPr>
            <w:r w:rsidRPr="00224A01">
              <w:rPr>
                <w:sz w:val="18"/>
              </w:rPr>
              <w:t>18</w:t>
            </w:r>
          </w:p>
        </w:tc>
        <w:tc>
          <w:tcPr>
            <w:tcW w:w="1134" w:type="dxa"/>
            <w:tcBorders>
              <w:top w:val="single" w:sz="12" w:space="0" w:color="auto"/>
            </w:tcBorders>
            <w:shd w:val="clear" w:color="auto" w:fill="auto"/>
            <w:vAlign w:val="bottom"/>
          </w:tcPr>
          <w:p w:rsidR="005719E4" w:rsidRPr="00224A01" w:rsidRDefault="005719E4" w:rsidP="000619C1">
            <w:pPr>
              <w:spacing w:before="40" w:after="40" w:line="220" w:lineRule="exact"/>
              <w:jc w:val="right"/>
              <w:rPr>
                <w:sz w:val="18"/>
              </w:rPr>
            </w:pPr>
            <w:r w:rsidRPr="00224A01">
              <w:rPr>
                <w:sz w:val="18"/>
              </w:rPr>
              <w:t>0</w:t>
            </w:r>
            <w:r w:rsidR="002C5551">
              <w:rPr>
                <w:sz w:val="18"/>
              </w:rPr>
              <w:t>,0</w:t>
            </w:r>
          </w:p>
        </w:tc>
        <w:tc>
          <w:tcPr>
            <w:tcW w:w="1134" w:type="dxa"/>
            <w:tcBorders>
              <w:top w:val="single" w:sz="12" w:space="0" w:color="auto"/>
            </w:tcBorders>
            <w:shd w:val="clear" w:color="auto" w:fill="auto"/>
            <w:vAlign w:val="bottom"/>
          </w:tcPr>
          <w:p w:rsidR="005719E4" w:rsidRPr="00224A01" w:rsidRDefault="005719E4" w:rsidP="000619C1">
            <w:pPr>
              <w:spacing w:before="40" w:after="40" w:line="220" w:lineRule="exact"/>
              <w:jc w:val="right"/>
              <w:rPr>
                <w:sz w:val="18"/>
              </w:rPr>
            </w:pPr>
            <w:r w:rsidRPr="00224A01">
              <w:rPr>
                <w:sz w:val="18"/>
              </w:rPr>
              <w:t>18</w:t>
            </w:r>
          </w:p>
        </w:tc>
        <w:tc>
          <w:tcPr>
            <w:tcW w:w="1134" w:type="dxa"/>
            <w:tcBorders>
              <w:top w:val="single" w:sz="12" w:space="0" w:color="auto"/>
            </w:tcBorders>
            <w:shd w:val="clear" w:color="auto" w:fill="auto"/>
            <w:vAlign w:val="bottom"/>
          </w:tcPr>
          <w:p w:rsidR="005719E4" w:rsidRPr="00224A01" w:rsidRDefault="005719E4" w:rsidP="000619C1">
            <w:pPr>
              <w:spacing w:before="40" w:after="40" w:line="220" w:lineRule="exact"/>
              <w:jc w:val="right"/>
              <w:rPr>
                <w:sz w:val="18"/>
              </w:rPr>
            </w:pPr>
            <w:r w:rsidRPr="00224A01">
              <w:rPr>
                <w:sz w:val="18"/>
              </w:rPr>
              <w:t>16,7</w:t>
            </w:r>
          </w:p>
        </w:tc>
      </w:tr>
      <w:tr w:rsidR="005719E4" w:rsidRPr="00224A01" w:rsidTr="000619C1">
        <w:tc>
          <w:tcPr>
            <w:tcW w:w="2835" w:type="dxa"/>
            <w:tcBorders>
              <w:bottom w:val="single" w:sz="12" w:space="0" w:color="auto"/>
            </w:tcBorders>
            <w:shd w:val="clear" w:color="auto" w:fill="auto"/>
          </w:tcPr>
          <w:p w:rsidR="005719E4" w:rsidRPr="00224A01" w:rsidRDefault="005719E4" w:rsidP="000619C1">
            <w:pPr>
              <w:spacing w:before="40" w:after="40" w:line="220" w:lineRule="exact"/>
              <w:rPr>
                <w:sz w:val="18"/>
              </w:rPr>
            </w:pPr>
            <w:r w:rsidRPr="00224A01">
              <w:rPr>
                <w:sz w:val="18"/>
              </w:rPr>
              <w:t>Vice-</w:t>
            </w:r>
            <w:r w:rsidR="008D22E9">
              <w:rPr>
                <w:sz w:val="18"/>
              </w:rPr>
              <w:t>g</w:t>
            </w:r>
            <w:r w:rsidRPr="00224A01">
              <w:rPr>
                <w:sz w:val="18"/>
              </w:rPr>
              <w:t>ouverneurs</w:t>
            </w:r>
          </w:p>
        </w:tc>
        <w:tc>
          <w:tcPr>
            <w:tcW w:w="1134" w:type="dxa"/>
            <w:tcBorders>
              <w:bottom w:val="single" w:sz="12" w:space="0" w:color="auto"/>
            </w:tcBorders>
            <w:shd w:val="clear" w:color="auto" w:fill="auto"/>
            <w:vAlign w:val="bottom"/>
          </w:tcPr>
          <w:p w:rsidR="005719E4" w:rsidRPr="00224A01" w:rsidRDefault="005719E4" w:rsidP="000619C1">
            <w:pPr>
              <w:spacing w:before="40" w:after="40" w:line="220" w:lineRule="exact"/>
              <w:jc w:val="right"/>
              <w:rPr>
                <w:sz w:val="18"/>
              </w:rPr>
            </w:pPr>
            <w:r w:rsidRPr="00224A01">
              <w:rPr>
                <w:sz w:val="18"/>
              </w:rPr>
              <w:t>37</w:t>
            </w:r>
          </w:p>
        </w:tc>
        <w:tc>
          <w:tcPr>
            <w:tcW w:w="1134" w:type="dxa"/>
            <w:tcBorders>
              <w:bottom w:val="single" w:sz="12" w:space="0" w:color="auto"/>
            </w:tcBorders>
            <w:shd w:val="clear" w:color="auto" w:fill="auto"/>
            <w:vAlign w:val="bottom"/>
          </w:tcPr>
          <w:p w:rsidR="005719E4" w:rsidRPr="00224A01" w:rsidRDefault="005719E4" w:rsidP="000619C1">
            <w:pPr>
              <w:spacing w:before="40" w:after="40" w:line="220" w:lineRule="exact"/>
              <w:jc w:val="right"/>
              <w:rPr>
                <w:sz w:val="18"/>
              </w:rPr>
            </w:pPr>
            <w:r w:rsidRPr="00224A01">
              <w:rPr>
                <w:sz w:val="18"/>
              </w:rPr>
              <w:t>0</w:t>
            </w:r>
            <w:r w:rsidR="002C5551">
              <w:rPr>
                <w:sz w:val="18"/>
              </w:rPr>
              <w:t>,0</w:t>
            </w:r>
          </w:p>
        </w:tc>
        <w:tc>
          <w:tcPr>
            <w:tcW w:w="1134" w:type="dxa"/>
            <w:tcBorders>
              <w:bottom w:val="single" w:sz="12" w:space="0" w:color="auto"/>
            </w:tcBorders>
            <w:shd w:val="clear" w:color="auto" w:fill="auto"/>
            <w:vAlign w:val="bottom"/>
          </w:tcPr>
          <w:p w:rsidR="005719E4" w:rsidRPr="00224A01" w:rsidRDefault="005719E4" w:rsidP="000619C1">
            <w:pPr>
              <w:spacing w:before="40" w:after="40" w:line="220" w:lineRule="exact"/>
              <w:jc w:val="right"/>
              <w:rPr>
                <w:sz w:val="18"/>
              </w:rPr>
            </w:pPr>
            <w:r w:rsidRPr="00224A01">
              <w:rPr>
                <w:sz w:val="18"/>
              </w:rPr>
              <w:t>40</w:t>
            </w:r>
          </w:p>
        </w:tc>
        <w:tc>
          <w:tcPr>
            <w:tcW w:w="1134" w:type="dxa"/>
            <w:tcBorders>
              <w:bottom w:val="single" w:sz="12" w:space="0" w:color="auto"/>
            </w:tcBorders>
            <w:shd w:val="clear" w:color="auto" w:fill="auto"/>
            <w:vAlign w:val="bottom"/>
          </w:tcPr>
          <w:p w:rsidR="005719E4" w:rsidRPr="00224A01" w:rsidRDefault="005719E4" w:rsidP="000619C1">
            <w:pPr>
              <w:spacing w:before="40" w:after="40" w:line="220" w:lineRule="exact"/>
              <w:jc w:val="right"/>
              <w:rPr>
                <w:sz w:val="18"/>
              </w:rPr>
            </w:pPr>
            <w:r w:rsidRPr="00224A01">
              <w:rPr>
                <w:sz w:val="18"/>
              </w:rPr>
              <w:t>22,5</w:t>
            </w:r>
          </w:p>
        </w:tc>
      </w:tr>
    </w:tbl>
    <w:p w:rsidR="00134F2D" w:rsidRPr="00224A01" w:rsidRDefault="00134F2D" w:rsidP="005719E4">
      <w:pPr>
        <w:pStyle w:val="Heading1"/>
        <w:spacing w:before="240" w:after="120"/>
        <w:rPr>
          <w:b/>
        </w:rPr>
      </w:pPr>
      <w:r w:rsidRPr="00224A01">
        <w:rPr>
          <w:b/>
        </w:rPr>
        <w:t>Participation des femmes dans l</w:t>
      </w:r>
      <w:r w:rsidR="0047381D">
        <w:rPr>
          <w:b/>
        </w:rPr>
        <w:t>’</w:t>
      </w:r>
      <w:r w:rsidRPr="00224A01">
        <w:rPr>
          <w:b/>
        </w:rPr>
        <w:t>administration publique – niveau provincial (2009)</w:t>
      </w:r>
    </w:p>
    <w:p w:rsidR="00134F2D" w:rsidRPr="00224A01" w:rsidRDefault="005719E4" w:rsidP="005719E4">
      <w:pPr>
        <w:ind w:left="1134"/>
      </w:pPr>
      <w:r w:rsidRPr="00224A01">
        <w:rPr>
          <w:b/>
        </w:rPr>
        <w:pict>
          <v:shape id="_x0000_i1029" type="#_x0000_t75" style="width:422.25pt;height:197.25pt;visibility:visible" o:preferrelative="f" o:bordertopcolor="white" o:borderleftcolor="white" o:borderbottomcolor="white" o:borderrightcolor="whit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">
            <v:imagedata r:id="rId11" o:title=""/>
            <w10:bordertop type="single" width="24"/>
            <w10:borderleft type="single" width="24"/>
            <w10:borderbottom type="single" width="24"/>
            <w10:borderright type="single" width="24"/>
          </v:shape>
        </w:pict>
      </w:r>
    </w:p>
    <w:p w:rsidR="00EE2974" w:rsidRPr="00224A01" w:rsidRDefault="00044BCE" w:rsidP="00044BCE">
      <w:pPr>
        <w:pStyle w:val="Heading1"/>
        <w:keepNext/>
        <w:spacing w:before="240" w:after="120"/>
        <w:rPr>
          <w:b/>
        </w:rPr>
      </w:pPr>
      <w:r w:rsidRPr="00224A01">
        <w:rPr>
          <w:b/>
        </w:rPr>
        <w:t>Participation des femmes dans l</w:t>
      </w:r>
      <w:r w:rsidR="0047381D">
        <w:rPr>
          <w:b/>
        </w:rPr>
        <w:t>’</w:t>
      </w:r>
      <w:r w:rsidRPr="00224A01">
        <w:rPr>
          <w:b/>
        </w:rPr>
        <w:t>administration publique</w:t>
      </w:r>
      <w:r w:rsidR="00227A62">
        <w:rPr>
          <w:b/>
        </w:rPr>
        <w:t xml:space="preserve"> − </w:t>
      </w:r>
      <w:r w:rsidRPr="00224A01">
        <w:rPr>
          <w:b/>
        </w:rPr>
        <w:t>niveau provincial (2009)</w:t>
      </w:r>
    </w:p>
    <w:p w:rsidR="00044BCE" w:rsidRPr="00224A01" w:rsidRDefault="00044BCE" w:rsidP="00044BCE">
      <w:pPr>
        <w:ind w:left="1134"/>
      </w:pPr>
      <w:r w:rsidRPr="00224A01">
        <w:rPr>
          <w:b/>
        </w:rPr>
        <w:pict>
          <v:shape id="_x0000_i1030" type="#_x0000_t75" style="width:422.25pt;height:195.75pt;visibility:visible" o:preferrelative="f" o:bordertopcolor="white" o:borderleftcolor="white" o:borderbottomcolor="white" o:borderrightcolor="whit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">
            <v:imagedata r:id="rId12" o:title=""/>
            <w10:bordertop type="single" width="24"/>
            <w10:borderleft type="single" width="24"/>
            <w10:borderbottom type="single" width="24"/>
            <w10:borderright type="single" width="24"/>
          </v:shape>
        </w:pict>
      </w:r>
    </w:p>
    <w:p w:rsidR="00044BCE" w:rsidRPr="00224A01" w:rsidRDefault="00044BCE" w:rsidP="00044BCE">
      <w:pPr>
        <w:pStyle w:val="Heading1"/>
        <w:keepNext/>
        <w:spacing w:before="240" w:after="120"/>
        <w:rPr>
          <w:b/>
        </w:rPr>
      </w:pPr>
      <w:r w:rsidRPr="00224A01">
        <w:rPr>
          <w:b/>
        </w:rPr>
        <w:t>Participation des femmes dans les organes de décision de l</w:t>
      </w:r>
      <w:r w:rsidR="0047381D">
        <w:rPr>
          <w:b/>
        </w:rPr>
        <w:t>’</w:t>
      </w:r>
      <w:r w:rsidRPr="00224A01">
        <w:rPr>
          <w:b/>
        </w:rPr>
        <w:t>administration</w:t>
      </w:r>
      <w:r w:rsidR="001B621C" w:rsidRPr="00224A01">
        <w:rPr>
          <w:b/>
        </w:rPr>
        <w:t xml:space="preserve"> </w:t>
      </w:r>
      <w:r w:rsidRPr="00224A01">
        <w:rPr>
          <w:b/>
        </w:rPr>
        <w:t>publique</w:t>
      </w:r>
      <w:r w:rsidR="001B621C" w:rsidRPr="00224A01">
        <w:rPr>
          <w:b/>
        </w:rPr>
        <w:t xml:space="preserve"> </w:t>
      </w:r>
      <w:r w:rsidRPr="00224A01">
        <w:rPr>
          <w:b/>
        </w:rPr>
        <w:t>–</w:t>
      </w:r>
      <w:r w:rsidR="001B621C" w:rsidRPr="00224A01">
        <w:rPr>
          <w:b/>
        </w:rPr>
        <w:br/>
      </w:r>
      <w:r w:rsidRPr="00224A01">
        <w:rPr>
          <w:b/>
        </w:rPr>
        <w:t>Bureau du Procureur général (2009)</w:t>
      </w:r>
    </w:p>
    <w:p w:rsidR="00044BCE" w:rsidRPr="00224A01" w:rsidRDefault="00044BCE" w:rsidP="00044BCE">
      <w:pPr>
        <w:ind w:left="1134"/>
      </w:pPr>
      <w:r w:rsidRPr="00224A01">
        <w:rPr>
          <w:b/>
        </w:rPr>
        <w:pict>
          <v:shape id="Gráfico 7" o:spid="_x0000_i1031" type="#_x0000_t75" style="width:422.25pt;height:201.75pt;visibility:visible" o:preferrelative="f" o:bordertopcolor="white" o:borderleftcolor="white" o:borderbottomcolor="white" o:borderrightcolor="whit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">
            <v:imagedata r:id="rId13" o:title=""/>
            <w10:bordertop type="single" width="24"/>
            <w10:borderleft type="single" width="24"/>
            <w10:borderbottom type="single" width="24"/>
            <w10:borderright type="single" width="24"/>
          </v:shape>
        </w:pict>
      </w:r>
    </w:p>
    <w:p w:rsidR="00044BCE" w:rsidRPr="00224A01" w:rsidRDefault="00044BCE" w:rsidP="00044BCE">
      <w:pPr>
        <w:pStyle w:val="H23G"/>
      </w:pPr>
      <w:r w:rsidRPr="00224A01">
        <w:tab/>
        <w:t>1.</w:t>
      </w:r>
      <w:r w:rsidRPr="00224A01">
        <w:tab/>
        <w:t>Renforcement du Ministère de la protection de la famille et de la femme</w:t>
      </w:r>
    </w:p>
    <w:p w:rsidR="00044BCE" w:rsidRPr="00224A01" w:rsidRDefault="00044BCE" w:rsidP="00044BCE">
      <w:pPr>
        <w:pStyle w:val="SingleTxtG"/>
      </w:pPr>
      <w:r w:rsidRPr="00224A01">
        <w:t>16.</w:t>
      </w:r>
      <w:r w:rsidRPr="00224A01">
        <w:tab/>
        <w:t>Une des préoccupations formulées par le Comité en 2004 avait trait au renforcement des capacités institutionnelles du Ministère.</w:t>
      </w:r>
    </w:p>
    <w:p w:rsidR="00044BCE" w:rsidRPr="00224A01" w:rsidRDefault="00044BCE" w:rsidP="00044BCE">
      <w:pPr>
        <w:pStyle w:val="SingleTxtG"/>
      </w:pPr>
      <w:r w:rsidRPr="00224A01">
        <w:t>17.</w:t>
      </w:r>
      <w:r w:rsidRPr="00224A01">
        <w:tab/>
        <w:t xml:space="preserve">Le Ministère a procédé à une révision de ses règlements de 1997, révision qui a été soumise </w:t>
      </w:r>
      <w:r w:rsidR="00AC061C">
        <w:t xml:space="preserve">en 2008 </w:t>
      </w:r>
      <w:r w:rsidRPr="00224A01">
        <w:t>à l</w:t>
      </w:r>
      <w:r w:rsidR="0047381D">
        <w:t>’</w:t>
      </w:r>
      <w:r w:rsidRPr="00224A01">
        <w:t xml:space="preserve">approbation du Conseil des </w:t>
      </w:r>
      <w:r w:rsidR="00814AB3">
        <w:t>m</w:t>
      </w:r>
      <w:r w:rsidRPr="00224A01">
        <w:t>inistres. Le Conseil de coordination multisectorielle pour l</w:t>
      </w:r>
      <w:r w:rsidR="0047381D">
        <w:t>’</w:t>
      </w:r>
      <w:r w:rsidRPr="00224A01">
        <w:t>égalité des sexes, créé en 1999, a reçu le statut d</w:t>
      </w:r>
      <w:r w:rsidR="0047381D">
        <w:t>’</w:t>
      </w:r>
      <w:r w:rsidRPr="00224A01">
        <w:t>entité consultative du Ministère.</w:t>
      </w:r>
      <w:r w:rsidR="00224A01">
        <w:t xml:space="preserve"> </w:t>
      </w:r>
    </w:p>
    <w:p w:rsidR="00044BCE" w:rsidRPr="00224A01" w:rsidRDefault="00044BCE" w:rsidP="00044BCE">
      <w:pPr>
        <w:pStyle w:val="SingleTxtG"/>
      </w:pPr>
      <w:r w:rsidRPr="00224A01">
        <w:t>18.</w:t>
      </w:r>
      <w:r w:rsidRPr="00224A01">
        <w:tab/>
        <w:t>Afin de répondre aux préoccupations des familles, le travail qui était fait dans le domaine des conseils à la famille a été accru. Des centres ont été créés dans l</w:t>
      </w:r>
      <w:r w:rsidR="0047381D">
        <w:t>’</w:t>
      </w:r>
      <w:r w:rsidRPr="00224A01">
        <w:t>ensemble du pays. Des personnes sont en cours de formation dans le domaine des conseils à la famille et des conseils juridiques, et des bases de données contenant des statistiques ventilées par sexe ont été créées.</w:t>
      </w:r>
    </w:p>
    <w:p w:rsidR="00044BCE" w:rsidRPr="00224A01" w:rsidRDefault="00044BCE" w:rsidP="00044BCE">
      <w:pPr>
        <w:pStyle w:val="SingleTxtG"/>
      </w:pPr>
      <w:r w:rsidRPr="00224A01">
        <w:t>19.</w:t>
      </w:r>
      <w:r w:rsidRPr="00224A01">
        <w:tab/>
        <w:t>Vu le besoin de recherche dans les domaines de la famille et de la femme, un centre de recherche spécifique a été créé dans le cadre d</w:t>
      </w:r>
      <w:r w:rsidR="0047381D">
        <w:t>’</w:t>
      </w:r>
      <w:r w:rsidRPr="00224A01">
        <w:t>une démarche innovante pour s</w:t>
      </w:r>
      <w:r w:rsidR="0047381D">
        <w:t>’</w:t>
      </w:r>
      <w:r w:rsidRPr="00224A01">
        <w:t xml:space="preserve">occuper de ces questions et réagir aux observations finales du Comité. </w:t>
      </w:r>
    </w:p>
    <w:p w:rsidR="00044BCE" w:rsidRPr="00224A01" w:rsidRDefault="00044BCE" w:rsidP="00044BCE">
      <w:pPr>
        <w:pStyle w:val="H23G"/>
      </w:pPr>
      <w:r w:rsidRPr="00224A01">
        <w:tab/>
        <w:t>2.</w:t>
      </w:r>
      <w:r w:rsidRPr="00224A01">
        <w:tab/>
        <w:t>Programme conjoint de l</w:t>
      </w:r>
      <w:r w:rsidR="0047381D">
        <w:t>’</w:t>
      </w:r>
      <w:r w:rsidRPr="00224A01">
        <w:t>égalité des sexes</w:t>
      </w:r>
    </w:p>
    <w:p w:rsidR="00044BCE" w:rsidRDefault="00044BCE" w:rsidP="00044BCE">
      <w:pPr>
        <w:pStyle w:val="SingleTxtG"/>
        <w:rPr>
          <w:bCs/>
        </w:rPr>
      </w:pPr>
      <w:r w:rsidRPr="00224A01">
        <w:rPr>
          <w:bCs/>
        </w:rPr>
        <w:t>20.</w:t>
      </w:r>
      <w:r w:rsidRPr="00224A01">
        <w:rPr>
          <w:bCs/>
        </w:rPr>
        <w:tab/>
        <w:t>Le Programme répond à la nécessité de renforcer la capacité du pays à défendre l</w:t>
      </w:r>
      <w:r w:rsidR="0047381D">
        <w:rPr>
          <w:bCs/>
        </w:rPr>
        <w:t>’</w:t>
      </w:r>
      <w:r w:rsidRPr="00224A01">
        <w:rPr>
          <w:bCs/>
        </w:rPr>
        <w:t>égalité des sexes et les droits de l</w:t>
      </w:r>
      <w:r w:rsidR="0047381D">
        <w:rPr>
          <w:bCs/>
        </w:rPr>
        <w:t>’</w:t>
      </w:r>
      <w:r w:rsidRPr="00224A01">
        <w:rPr>
          <w:bCs/>
        </w:rPr>
        <w:t xml:space="preserve">homme, et à les intégrer dans divers </w:t>
      </w:r>
      <w:r w:rsidRPr="00224A01">
        <w:t>processus</w:t>
      </w:r>
      <w:r w:rsidRPr="00224A01">
        <w:rPr>
          <w:bCs/>
        </w:rPr>
        <w:t xml:space="preserve"> de développement, en contribuant par là à l</w:t>
      </w:r>
      <w:r w:rsidR="0047381D">
        <w:rPr>
          <w:bCs/>
        </w:rPr>
        <w:t>’</w:t>
      </w:r>
      <w:r w:rsidRPr="00224A01">
        <w:rPr>
          <w:bCs/>
        </w:rPr>
        <w:t>autonomisation des femmes angolaises. Les principaux domaines retenus à cet égard sont les suivants:</w:t>
      </w:r>
    </w:p>
    <w:p w:rsidR="007E0D82" w:rsidRPr="00D83045" w:rsidRDefault="007E0D82" w:rsidP="007E0D82">
      <w:pPr>
        <w:pStyle w:val="SingleTxtG"/>
        <w:ind w:firstLine="567"/>
      </w:pPr>
      <w:r w:rsidRPr="00D83045">
        <w:t>a)</w:t>
      </w:r>
      <w:r w:rsidRPr="00D83045">
        <w:tab/>
        <w:t xml:space="preserve">Renforcement des capacités du Ministère de la protection de la famille et de la femme, des comités de coordination multisectorielle pour l’égalité des sexes au niveau national et dans des provinces choisies, de même que des associations de femmes; </w:t>
      </w:r>
    </w:p>
    <w:p w:rsidR="007E0D82" w:rsidRPr="00D83045" w:rsidRDefault="007E0D82" w:rsidP="007E0D82">
      <w:pPr>
        <w:pStyle w:val="SingleTxtG"/>
        <w:ind w:firstLine="567"/>
      </w:pPr>
      <w:r w:rsidRPr="00D83045">
        <w:t>b)</w:t>
      </w:r>
      <w:r w:rsidRPr="00D83045">
        <w:tab/>
        <w:t xml:space="preserve">Soutien à l’instauration de politiques et d’un dialogue, en particulier une politique nationale de l’égalité des sexes, et veiller à ce </w:t>
      </w:r>
      <w:r>
        <w:t xml:space="preserve">que </w:t>
      </w:r>
      <w:r w:rsidRPr="00D83045">
        <w:t>l’égalité des sexes et les droits de l’homme soient intégrés dans le Cadre stratégique national d’action contre le VIH/sida, sous réserve d’examen dans le courant du programme;</w:t>
      </w:r>
    </w:p>
    <w:p w:rsidR="007E0D82" w:rsidRPr="00D83045" w:rsidRDefault="007E0D82" w:rsidP="007E0D82">
      <w:pPr>
        <w:pStyle w:val="SingleTxtG"/>
        <w:ind w:firstLine="567"/>
      </w:pPr>
      <w:r w:rsidRPr="00D83045">
        <w:t>c)</w:t>
      </w:r>
      <w:r w:rsidRPr="00D83045">
        <w:tab/>
        <w:t>Renforcement de la protection des droits civils et politiques des femmes, notamment la révision et la réforme des lois cl</w:t>
      </w:r>
      <w:r>
        <w:t>ef</w:t>
      </w:r>
      <w:r w:rsidRPr="00D83045">
        <w:t>s, en s’inspirant de la Convention. Ceci inclut la conception d’un plan de mise en œuvre fondé sur les recommandations internationales émanant de Beijing +15, et le lancement d’une campagne de sensibilisation pour que les dispositions de la Convention et d’autres dispositions juridiques, comme le Code de la famille, soient bien connues, en mettant en œuvre une stratégie de plaidoyer, en mettant en place des services de formation et d’appui concernant la violence contre les femmes et les enfants;</w:t>
      </w:r>
    </w:p>
    <w:p w:rsidR="007E0D82" w:rsidRPr="00D83045" w:rsidRDefault="007E0D82" w:rsidP="007E0D82">
      <w:pPr>
        <w:pStyle w:val="SingleTxtG"/>
        <w:ind w:firstLine="567"/>
      </w:pPr>
      <w:r w:rsidRPr="00D83045">
        <w:t>d)</w:t>
      </w:r>
      <w:r w:rsidRPr="00D83045">
        <w:tab/>
        <w:t xml:space="preserve">Soutien aux femmes et à leur famille afin de leur assurer une autonomie socialement et économiquement, grâce à la création ou au soutien de coopératives communautaires, et à la formation et l’information en matière de droits de l’homme, de violence sexiste, de VIH et de sida. </w:t>
      </w:r>
    </w:p>
    <w:p w:rsidR="007E0D82" w:rsidRPr="00D83045" w:rsidRDefault="007E0D82" w:rsidP="007E0D82">
      <w:pPr>
        <w:pStyle w:val="H23G"/>
      </w:pPr>
      <w:r w:rsidRPr="00D83045">
        <w:tab/>
        <w:t>3.</w:t>
      </w:r>
      <w:r w:rsidRPr="00D83045">
        <w:tab/>
        <w:t>Conseil national de la famille</w:t>
      </w:r>
    </w:p>
    <w:p w:rsidR="007E0D82" w:rsidRPr="00D83045" w:rsidRDefault="007E0D82" w:rsidP="007E0D82">
      <w:pPr>
        <w:pStyle w:val="SingleTxtG"/>
        <w:tabs>
          <w:tab w:val="left" w:pos="1560"/>
        </w:tabs>
        <w:ind w:left="1100"/>
        <w:rPr>
          <w:bCs/>
        </w:rPr>
      </w:pPr>
      <w:r w:rsidRPr="00D83045">
        <w:rPr>
          <w:bCs/>
        </w:rPr>
        <w:t>21.</w:t>
      </w:r>
      <w:r w:rsidRPr="00D83045">
        <w:rPr>
          <w:bCs/>
        </w:rPr>
        <w:tab/>
        <w:t>Mener diverses activités, notamment avec la participation de partenaires sociaux, tenir des réunions périodiques des conseils national et provinciaux pour déterminer la politique nationale de la famille, organiser des forums nationaux et provinciaux pour concevoir des programmes au profit des femmes rurales et des activités relatives à la violence sexiste.</w:t>
      </w:r>
    </w:p>
    <w:p w:rsidR="007E0D82" w:rsidRPr="00D83045" w:rsidRDefault="007E0D82" w:rsidP="007E0D82">
      <w:pPr>
        <w:pStyle w:val="H23G"/>
      </w:pPr>
      <w:r w:rsidRPr="00D83045">
        <w:tab/>
        <w:t>4.</w:t>
      </w:r>
      <w:r w:rsidRPr="00D83045">
        <w:tab/>
        <w:t xml:space="preserve">Projet NEPAD </w:t>
      </w:r>
    </w:p>
    <w:p w:rsidR="007E0D82" w:rsidRPr="00D83045" w:rsidRDefault="007E0D82" w:rsidP="007E0D82">
      <w:pPr>
        <w:pStyle w:val="SingleTxtG"/>
        <w:tabs>
          <w:tab w:val="left" w:pos="1560"/>
        </w:tabs>
        <w:ind w:left="1100"/>
        <w:rPr>
          <w:bCs/>
        </w:rPr>
      </w:pPr>
      <w:r w:rsidRPr="00D83045">
        <w:rPr>
          <w:bCs/>
        </w:rPr>
        <w:t>22.</w:t>
      </w:r>
      <w:r w:rsidRPr="00D83045">
        <w:rPr>
          <w:bCs/>
        </w:rPr>
        <w:tab/>
        <w:t xml:space="preserve">Grâce à des fonds venant du Gouvernement angolais et d’un projet Nouveau partenariat pour le développement de l’Afrique (NEPAD)/Espagne, nous sommes sur le point de mettre en œuvre le projet appelé «Appui aux questions d’égalité des sexes en Angola», dont l’objectif général est de favoriser la création de conditions permettant la protection des femmes victimes de la violence domestique, et aussi de former les secteurs en matière d’approche multisectorielle et intégrée à la Convention, par: </w:t>
      </w:r>
    </w:p>
    <w:p w:rsidR="007E0D82" w:rsidRPr="00D83045" w:rsidRDefault="007E0D82" w:rsidP="007E0D82">
      <w:pPr>
        <w:pStyle w:val="SingleTxtG"/>
        <w:ind w:firstLine="567"/>
        <w:rPr>
          <w:bCs/>
        </w:rPr>
      </w:pPr>
      <w:r w:rsidRPr="00D83045">
        <w:rPr>
          <w:bCs/>
        </w:rPr>
        <w:t>a)</w:t>
      </w:r>
      <w:r w:rsidRPr="00D83045">
        <w:rPr>
          <w:bCs/>
        </w:rPr>
        <w:tab/>
        <w:t>L’amélioration des conditions de travail dans les centres de conseil familiaux;</w:t>
      </w:r>
    </w:p>
    <w:p w:rsidR="007E0D82" w:rsidRPr="00D83045" w:rsidRDefault="007E0D82" w:rsidP="007E0D82">
      <w:pPr>
        <w:pStyle w:val="SingleTxtG"/>
        <w:ind w:firstLine="567"/>
        <w:rPr>
          <w:bCs/>
        </w:rPr>
      </w:pPr>
      <w:r w:rsidRPr="00D83045">
        <w:rPr>
          <w:bCs/>
        </w:rPr>
        <w:t>b)</w:t>
      </w:r>
      <w:r w:rsidRPr="00D83045">
        <w:rPr>
          <w:bCs/>
        </w:rPr>
        <w:tab/>
        <w:t>La création de conditions qui facilitent le travail des conseillers;</w:t>
      </w:r>
    </w:p>
    <w:p w:rsidR="007E0D82" w:rsidRPr="00D83045" w:rsidRDefault="007E0D82" w:rsidP="007E0D82">
      <w:pPr>
        <w:pStyle w:val="SingleTxtG"/>
        <w:ind w:firstLine="567"/>
        <w:rPr>
          <w:bCs/>
        </w:rPr>
      </w:pPr>
      <w:r w:rsidRPr="00D83045">
        <w:rPr>
          <w:bCs/>
        </w:rPr>
        <w:t>c)</w:t>
      </w:r>
      <w:r w:rsidRPr="00D83045">
        <w:rPr>
          <w:bCs/>
        </w:rPr>
        <w:tab/>
        <w:t>La mise en place d’un environnement juridique pour la défense des femmes victimes de violence;</w:t>
      </w:r>
    </w:p>
    <w:p w:rsidR="007E0D82" w:rsidRPr="00D83045" w:rsidRDefault="007E0D82" w:rsidP="007E0D82">
      <w:pPr>
        <w:pStyle w:val="SingleTxtG"/>
        <w:ind w:firstLine="567"/>
        <w:rPr>
          <w:bCs/>
        </w:rPr>
      </w:pPr>
      <w:r w:rsidRPr="00D83045">
        <w:rPr>
          <w:bCs/>
        </w:rPr>
        <w:t>d)</w:t>
      </w:r>
      <w:r w:rsidRPr="00D83045">
        <w:rPr>
          <w:bCs/>
        </w:rPr>
        <w:tab/>
        <w:t>L’amélioration des systèmes de gestion des données statistiques sur la violence domestique en Angola;</w:t>
      </w:r>
    </w:p>
    <w:p w:rsidR="007E0D82" w:rsidRPr="00D83045" w:rsidRDefault="007E0D82" w:rsidP="007E0D82">
      <w:pPr>
        <w:pStyle w:val="SingleTxtG"/>
        <w:ind w:firstLine="567"/>
        <w:rPr>
          <w:bCs/>
        </w:rPr>
      </w:pPr>
      <w:r w:rsidRPr="00D83045">
        <w:rPr>
          <w:bCs/>
        </w:rPr>
        <w:t>e)</w:t>
      </w:r>
      <w:r w:rsidRPr="00D83045">
        <w:rPr>
          <w:bCs/>
        </w:rPr>
        <w:tab/>
        <w:t>Le travail avec cinq secteurs pilotes (justice, éducation, santé, agriculture et finances), en assurant à ceux-ci une formation en matière d’approche multisectorielle et intégrée à la Convention, et l’élaboration de mesures et d’un plan de suivi;</w:t>
      </w:r>
    </w:p>
    <w:p w:rsidR="007E0D82" w:rsidRPr="00D83045" w:rsidRDefault="007E0D82" w:rsidP="007E0D82">
      <w:pPr>
        <w:pStyle w:val="SingleTxtG"/>
        <w:ind w:firstLine="567"/>
        <w:rPr>
          <w:bCs/>
        </w:rPr>
      </w:pPr>
      <w:r w:rsidRPr="00D83045">
        <w:rPr>
          <w:bCs/>
        </w:rPr>
        <w:t>f)</w:t>
      </w:r>
      <w:r w:rsidRPr="00D83045">
        <w:rPr>
          <w:bCs/>
        </w:rPr>
        <w:tab/>
        <w:t>Le développement et l’entretien d’une base de données statistiques ventilées par sexe.</w:t>
      </w:r>
    </w:p>
    <w:p w:rsidR="007E0D82" w:rsidRPr="00D83045" w:rsidRDefault="007E0D82" w:rsidP="007E0D82">
      <w:pPr>
        <w:pStyle w:val="H1G"/>
      </w:pPr>
      <w:r w:rsidRPr="00D83045">
        <w:tab/>
      </w:r>
      <w:r w:rsidRPr="00D83045">
        <w:tab/>
        <w:t>Article 5</w:t>
      </w:r>
      <w:r w:rsidRPr="00D83045">
        <w:br/>
        <w:t xml:space="preserve">Mesures appropriées pour mettre fin à des pratiques fondées </w:t>
      </w:r>
      <w:r w:rsidRPr="00D83045">
        <w:br/>
        <w:t>sur l’infériorité des femmes par rapport aux hommes</w:t>
      </w:r>
    </w:p>
    <w:p w:rsidR="007E0D82" w:rsidRPr="00D83045" w:rsidRDefault="007E0D82" w:rsidP="007E0D82">
      <w:pPr>
        <w:pStyle w:val="SingleTxtG"/>
        <w:tabs>
          <w:tab w:val="left" w:pos="1560"/>
        </w:tabs>
        <w:ind w:left="1100"/>
        <w:rPr>
          <w:bCs/>
        </w:rPr>
      </w:pPr>
      <w:r w:rsidRPr="00D83045">
        <w:rPr>
          <w:bCs/>
        </w:rPr>
        <w:t>23.</w:t>
      </w:r>
      <w:r w:rsidRPr="00D83045">
        <w:rPr>
          <w:bCs/>
        </w:rPr>
        <w:tab/>
        <w:t>Un projet de loi contre la violence domestique a été établi et se trouve présentement devant l’Assemblée nationale pour adoption. Ce projet de loi consacre les principes de la Convention et la protection des femmes et des enfants. Il est centré sur l’égalité des sexes; il a pour objet de faire en sorte que les femmes ne soient pas victimes de discrimination a</w:t>
      </w:r>
      <w:r>
        <w:rPr>
          <w:bCs/>
        </w:rPr>
        <w:t>u sein de leur</w:t>
      </w:r>
      <w:r w:rsidRPr="00D83045">
        <w:rPr>
          <w:bCs/>
        </w:rPr>
        <w:t xml:space="preserve"> famille, tout en évitant en même temps qu’elles soient des agents de la violence.</w:t>
      </w:r>
    </w:p>
    <w:p w:rsidR="007E0D82" w:rsidRPr="00D83045" w:rsidRDefault="007E0D82" w:rsidP="007E0D82">
      <w:pPr>
        <w:pStyle w:val="SingleTxtG"/>
        <w:tabs>
          <w:tab w:val="left" w:pos="1560"/>
        </w:tabs>
        <w:ind w:left="1100"/>
        <w:rPr>
          <w:bCs/>
        </w:rPr>
      </w:pPr>
      <w:r w:rsidRPr="00D83045">
        <w:rPr>
          <w:bCs/>
        </w:rPr>
        <w:t>24.</w:t>
      </w:r>
      <w:r w:rsidRPr="00D83045">
        <w:rPr>
          <w:bCs/>
        </w:rPr>
        <w:tab/>
        <w:t>L’adoption des mesures a été fondée sur l’éducation portant sur les questions qui découlent des règles de conduite suivies par la majorité des groupes ethnolinguistiques, règles qui reposent sur des valeurs patriarcales qui traditionnellement confèrent à l’homme le rôle de chef de famille.</w:t>
      </w:r>
    </w:p>
    <w:p w:rsidR="007E0D82" w:rsidRPr="00D83045" w:rsidRDefault="007E0D82" w:rsidP="007E0D82">
      <w:pPr>
        <w:pStyle w:val="SingleTxtG"/>
        <w:tabs>
          <w:tab w:val="left" w:pos="1560"/>
        </w:tabs>
        <w:ind w:left="1100"/>
        <w:rPr>
          <w:bCs/>
        </w:rPr>
      </w:pPr>
      <w:r w:rsidRPr="00D83045">
        <w:rPr>
          <w:bCs/>
        </w:rPr>
        <w:t>25.</w:t>
      </w:r>
      <w:r w:rsidRPr="00D83045">
        <w:rPr>
          <w:bCs/>
        </w:rPr>
        <w:tab/>
        <w:t>Le processus d’introduction des questions liées à l’égalité des sexes dans l’éducation a commencé en 1999, avec le développement d’un programme national indicatif pour l’éducation des filles au cours de la période triennale 1999-2002, ce programme devenant le programme national 2001-2005 de l’égalité des sexes dans le cadre du système éducatif, dont la mise en œuvre incombe à la Commission nationale de l’égalité des sexes.</w:t>
      </w:r>
    </w:p>
    <w:p w:rsidR="007E0D82" w:rsidRPr="00D83045" w:rsidRDefault="007E0D82" w:rsidP="007E0D82">
      <w:pPr>
        <w:pStyle w:val="SingleTxtG"/>
        <w:tabs>
          <w:tab w:val="left" w:pos="1560"/>
        </w:tabs>
        <w:ind w:left="1100"/>
        <w:rPr>
          <w:bCs/>
        </w:rPr>
      </w:pPr>
      <w:r w:rsidRPr="00D83045">
        <w:rPr>
          <w:bCs/>
        </w:rPr>
        <w:t>26.</w:t>
      </w:r>
      <w:r w:rsidRPr="00D83045">
        <w:rPr>
          <w:bCs/>
        </w:rPr>
        <w:tab/>
        <w:t>Les objectifs du programme national indicatif pour l’éducation des filles au cours de la période 1999-2002 étaient les suivants:</w:t>
      </w:r>
    </w:p>
    <w:p w:rsidR="007E0D82" w:rsidRPr="00D83045" w:rsidRDefault="007E0D82" w:rsidP="007E0D82">
      <w:pPr>
        <w:pStyle w:val="SingleTxtG"/>
        <w:tabs>
          <w:tab w:val="left" w:pos="2300"/>
        </w:tabs>
        <w:ind w:left="1100" w:firstLine="700"/>
        <w:rPr>
          <w:bCs/>
        </w:rPr>
      </w:pPr>
      <w:r w:rsidRPr="00D83045">
        <w:rPr>
          <w:bCs/>
        </w:rPr>
        <w:t>a)</w:t>
      </w:r>
      <w:r w:rsidRPr="00D83045">
        <w:rPr>
          <w:bCs/>
        </w:rPr>
        <w:tab/>
        <w:t>Éviter les stéréotypes sexistes dans les salles de classe;</w:t>
      </w:r>
    </w:p>
    <w:p w:rsidR="007E0D82" w:rsidRPr="00D83045" w:rsidRDefault="007E0D82" w:rsidP="007E0D82">
      <w:pPr>
        <w:pStyle w:val="SingleTxtG"/>
        <w:tabs>
          <w:tab w:val="left" w:pos="2300"/>
        </w:tabs>
        <w:ind w:left="1100" w:firstLine="700"/>
        <w:rPr>
          <w:bCs/>
        </w:rPr>
      </w:pPr>
      <w:r w:rsidRPr="00D83045">
        <w:rPr>
          <w:bCs/>
        </w:rPr>
        <w:t>b)</w:t>
      </w:r>
      <w:r w:rsidRPr="00D83045">
        <w:rPr>
          <w:bCs/>
        </w:rPr>
        <w:tab/>
        <w:t>Encourager l’égalité des sexes;</w:t>
      </w:r>
    </w:p>
    <w:p w:rsidR="007E0D82" w:rsidRPr="00D83045" w:rsidRDefault="007E0D82" w:rsidP="007E0D82">
      <w:pPr>
        <w:pStyle w:val="SingleTxtG"/>
        <w:tabs>
          <w:tab w:val="left" w:pos="2300"/>
        </w:tabs>
        <w:ind w:left="1100" w:firstLine="700"/>
        <w:rPr>
          <w:bCs/>
        </w:rPr>
      </w:pPr>
      <w:r w:rsidRPr="00D83045">
        <w:rPr>
          <w:bCs/>
        </w:rPr>
        <w:t>c)</w:t>
      </w:r>
      <w:r w:rsidRPr="00D83045">
        <w:rPr>
          <w:bCs/>
        </w:rPr>
        <w:tab/>
        <w:t xml:space="preserve">Mettre en œuvre des politiques et stratégies propices à la prise en compte et au développement des filles. </w:t>
      </w:r>
    </w:p>
    <w:p w:rsidR="007E0D82" w:rsidRPr="00D83045" w:rsidRDefault="007E0D82" w:rsidP="007E0D82">
      <w:pPr>
        <w:pStyle w:val="SingleTxtG"/>
        <w:tabs>
          <w:tab w:val="left" w:pos="1560"/>
        </w:tabs>
        <w:ind w:left="1100"/>
        <w:rPr>
          <w:bCs/>
        </w:rPr>
      </w:pPr>
      <w:r w:rsidRPr="00D83045">
        <w:rPr>
          <w:bCs/>
        </w:rPr>
        <w:t>27.</w:t>
      </w:r>
      <w:r w:rsidRPr="00D83045">
        <w:rPr>
          <w:bCs/>
        </w:rPr>
        <w:tab/>
        <w:t xml:space="preserve">Accélération de l’élimination des disparités entre les sexes dans l’éducation et l’apprentissage, l’accent étant mis sur la mise en œuvre d’ici à 2015 du Plan d’action en matière d’éducation pour tous et du Plan national pour l’égalité des sexes dans le système éducatif, et création de centres de formation professionnelle pour les femmes dans certaines provinces. </w:t>
      </w:r>
    </w:p>
    <w:p w:rsidR="007E0D82" w:rsidRPr="00D83045" w:rsidRDefault="007E0D82" w:rsidP="007E0D82">
      <w:pPr>
        <w:pStyle w:val="SingleTxtG"/>
        <w:tabs>
          <w:tab w:val="left" w:pos="1560"/>
        </w:tabs>
        <w:ind w:left="1100"/>
      </w:pPr>
      <w:r w:rsidRPr="00D83045">
        <w:t>28.</w:t>
      </w:r>
      <w:r w:rsidRPr="00D83045">
        <w:tab/>
      </w:r>
      <w:r w:rsidRPr="00D83045">
        <w:rPr>
          <w:bCs/>
        </w:rPr>
        <w:t>Chacun sait bien que l’éducation est le meilleur moyen de parvenir à l’égalité des sexes et à l’affirmation de soi des femmes. La volonté politique constitue un plus, parce qu’elle contribue à l’expansion d’une infrastructure éducationnelle bien équipée, avec des enseignants qualifiés et des programmes de réforme, principalement dans les zones rurales où, et il est important de le noter, les femmes constituent 53</w:t>
      </w:r>
      <w:r>
        <w:rPr>
          <w:bCs/>
        </w:rPr>
        <w:t> </w:t>
      </w:r>
      <w:r w:rsidRPr="00D83045">
        <w:rPr>
          <w:bCs/>
        </w:rPr>
        <w:t>% de la population.</w:t>
      </w:r>
      <w:r w:rsidRPr="00D83045">
        <w:t xml:space="preserve"> Le processus d’éducation des femmes est clairement lié aux activités concernant l’éradication de la pauvreté, parce que, lorsque les femmes sont formées, alphabétisées, éduquées et employées, elles deviennent autonomes et peuvent ainsi entrer dans la vie économique et sociale du pays de façon équilibrée, pour ce qui est de l’égalité des sexes.  </w:t>
      </w:r>
    </w:p>
    <w:p w:rsidR="007E0D82" w:rsidRPr="00D83045" w:rsidRDefault="007E0D82" w:rsidP="007E0D82">
      <w:pPr>
        <w:pStyle w:val="SingleTxtG"/>
        <w:tabs>
          <w:tab w:val="left" w:pos="1560"/>
        </w:tabs>
        <w:ind w:left="1100"/>
        <w:rPr>
          <w:bCs/>
        </w:rPr>
      </w:pPr>
      <w:r w:rsidRPr="00D83045">
        <w:rPr>
          <w:bCs/>
        </w:rPr>
        <w:t>29.</w:t>
      </w:r>
      <w:r w:rsidRPr="00D83045">
        <w:rPr>
          <w:bCs/>
        </w:rPr>
        <w:tab/>
        <w:t>Le renforcement du système d’alphabétisation par l’intermédiaire des associations et des coopératives paysannes contribue à la réduction du taux d’analphabétisme chez les femmes. Selon des statistiques émanant du Ministère de l’éducation (2009), près de 1 717 052 personnes sont potentiellement analphabètes.</w:t>
      </w:r>
    </w:p>
    <w:p w:rsidR="007E0D82" w:rsidRPr="00D83045" w:rsidRDefault="007E0D82" w:rsidP="007E0D82">
      <w:pPr>
        <w:pStyle w:val="SingleTxtG"/>
        <w:tabs>
          <w:tab w:val="left" w:pos="1560"/>
        </w:tabs>
        <w:ind w:left="1100"/>
        <w:rPr>
          <w:bCs/>
        </w:rPr>
      </w:pPr>
      <w:r w:rsidRPr="00D83045">
        <w:rPr>
          <w:bCs/>
        </w:rPr>
        <w:t>30.</w:t>
      </w:r>
      <w:r w:rsidRPr="00D83045">
        <w:rPr>
          <w:bCs/>
        </w:rPr>
        <w:tab/>
        <w:t>Des activités de formation ont été menées en ce qui concerne notamment les questions d’égalité des sexes, d’environnement, du VIH et du sida, de la citoyenneté, de la violence sexiste et de l’économie domestique.</w:t>
      </w:r>
    </w:p>
    <w:p w:rsidR="007E0D82" w:rsidRPr="00D83045" w:rsidRDefault="007E0D82" w:rsidP="007E0D82">
      <w:pPr>
        <w:pStyle w:val="H23G"/>
      </w:pPr>
      <w:r w:rsidRPr="00D83045">
        <w:tab/>
        <w:t>1.</w:t>
      </w:r>
      <w:r w:rsidRPr="00D83045">
        <w:tab/>
        <w:t xml:space="preserve">Obstacles </w:t>
      </w:r>
    </w:p>
    <w:p w:rsidR="007E0D82" w:rsidRPr="00D83045" w:rsidRDefault="007E0D82" w:rsidP="007E0D82">
      <w:pPr>
        <w:pStyle w:val="SingleTxtG"/>
        <w:tabs>
          <w:tab w:val="left" w:pos="1560"/>
        </w:tabs>
        <w:ind w:left="1100"/>
      </w:pPr>
      <w:r w:rsidRPr="00D83045">
        <w:t>31.</w:t>
      </w:r>
      <w:r w:rsidRPr="00D83045">
        <w:tab/>
        <w:t>L’obstacle majeur lorsque l’on tente de fournir une scolarité complète aux femmes réside dans les aspects de la culture qui imposent aux femmes la responsabilité du travail domestique et, par conséquent, imposent aux jeunes filles la responsabilité de prendre soin de leurs jeunes frères et sœurs.</w:t>
      </w:r>
    </w:p>
    <w:p w:rsidR="007E0D82" w:rsidRPr="00D83045" w:rsidRDefault="007E0D82" w:rsidP="007E0D82">
      <w:pPr>
        <w:pStyle w:val="H23G"/>
      </w:pPr>
      <w:r w:rsidRPr="00D83045">
        <w:tab/>
        <w:t>2.</w:t>
      </w:r>
      <w:r w:rsidRPr="00D83045">
        <w:tab/>
        <w:t xml:space="preserve">Défis à relever </w:t>
      </w:r>
    </w:p>
    <w:p w:rsidR="007E0D82" w:rsidRPr="00D83045" w:rsidRDefault="007E0D82" w:rsidP="007E0D82">
      <w:pPr>
        <w:pStyle w:val="SingleTxtG"/>
        <w:tabs>
          <w:tab w:val="left" w:pos="1560"/>
        </w:tabs>
        <w:ind w:left="1100"/>
      </w:pPr>
      <w:r w:rsidRPr="00D83045">
        <w:t>32.</w:t>
      </w:r>
      <w:r w:rsidRPr="00D83045">
        <w:tab/>
        <w:t>Les défis à relever sont les suivants:</w:t>
      </w:r>
    </w:p>
    <w:p w:rsidR="007E0D82" w:rsidRPr="00D83045" w:rsidRDefault="007E0D82" w:rsidP="007E0D82">
      <w:pPr>
        <w:pStyle w:val="SingleTxtG"/>
        <w:ind w:firstLine="566"/>
      </w:pPr>
      <w:r w:rsidRPr="00D83045">
        <w:t xml:space="preserve">a) </w:t>
      </w:r>
      <w:r w:rsidRPr="00D83045">
        <w:tab/>
        <w:t>Accroître le taux de scolarisation des filles et des femmes;</w:t>
      </w:r>
    </w:p>
    <w:p w:rsidR="007E0D82" w:rsidRPr="00D83045" w:rsidRDefault="007E0D82" w:rsidP="007E0D82">
      <w:pPr>
        <w:pStyle w:val="SingleTxtG"/>
        <w:ind w:firstLine="566"/>
      </w:pPr>
      <w:r w:rsidRPr="00D83045">
        <w:t xml:space="preserve">b) </w:t>
      </w:r>
      <w:r w:rsidRPr="00D83045">
        <w:tab/>
        <w:t>Étendre les partenariats sociaux, en particulier le partage par les familles de l’entretien et de la responsabilité des écoles;</w:t>
      </w:r>
    </w:p>
    <w:p w:rsidR="007E0D82" w:rsidRPr="00D83045" w:rsidRDefault="007E0D82" w:rsidP="007E0D82">
      <w:pPr>
        <w:pStyle w:val="SingleTxtG"/>
        <w:ind w:firstLine="566"/>
      </w:pPr>
      <w:r w:rsidRPr="00D83045">
        <w:t>c)</w:t>
      </w:r>
      <w:r w:rsidRPr="00D83045">
        <w:tab/>
        <w:t>Avoir en place des comités de parents et des personnes en charge de l’éducation;</w:t>
      </w:r>
    </w:p>
    <w:p w:rsidR="007E0D82" w:rsidRPr="00D83045" w:rsidRDefault="007E0D82" w:rsidP="007E0D82">
      <w:pPr>
        <w:pStyle w:val="SingleTxtG"/>
        <w:ind w:firstLine="566"/>
      </w:pPr>
      <w:r w:rsidRPr="00D83045">
        <w:t>d)</w:t>
      </w:r>
      <w:r w:rsidRPr="00D83045">
        <w:tab/>
        <w:t>Former et éduquer des enseignants;</w:t>
      </w:r>
    </w:p>
    <w:p w:rsidR="007E0D82" w:rsidRPr="00D83045" w:rsidRDefault="007E0D82" w:rsidP="007E0D82">
      <w:pPr>
        <w:pStyle w:val="SingleTxtG"/>
        <w:ind w:firstLine="566"/>
      </w:pPr>
      <w:r w:rsidRPr="00D83045">
        <w:t>e)</w:t>
      </w:r>
      <w:r w:rsidRPr="00D83045">
        <w:tab/>
        <w:t xml:space="preserve">Continuer à organiser les campagnes de </w:t>
      </w:r>
      <w:r>
        <w:t>seize</w:t>
      </w:r>
      <w:r w:rsidRPr="00D83045">
        <w:t xml:space="preserve"> jours d’action contre la violence sexiste, afin d’inciter la population à signaler les cas de violence;</w:t>
      </w:r>
    </w:p>
    <w:p w:rsidR="007E0D82" w:rsidRPr="00D83045" w:rsidRDefault="007E0D82" w:rsidP="007E0D82">
      <w:pPr>
        <w:pStyle w:val="SingleTxtG"/>
        <w:ind w:firstLine="566"/>
      </w:pPr>
      <w:r w:rsidRPr="00D83045">
        <w:t>f)</w:t>
      </w:r>
      <w:r w:rsidRPr="00D83045">
        <w:tab/>
        <w:t>Amener les organes de décision à adopter des mesures qui permettent de faire connaître les questions liées à la violence grâce à la diffusion de documents d’information;</w:t>
      </w:r>
    </w:p>
    <w:p w:rsidR="007E0D82" w:rsidRPr="00D83045" w:rsidRDefault="007E0D82" w:rsidP="007E0D82">
      <w:pPr>
        <w:pStyle w:val="SingleTxtG"/>
        <w:ind w:firstLine="566"/>
      </w:pPr>
      <w:r w:rsidRPr="00D83045">
        <w:t>g)</w:t>
      </w:r>
      <w:r w:rsidRPr="00D83045">
        <w:tab/>
        <w:t>Organiser des débats à la radio et à la télévision, dans les écoles, les postes de police; se rendre dans les prisons et tenir des réunions à différents niveaux avec diverses entités.</w:t>
      </w:r>
    </w:p>
    <w:p w:rsidR="007E0D82" w:rsidRPr="00D83045" w:rsidRDefault="007E0D82" w:rsidP="007E0D82">
      <w:pPr>
        <w:pStyle w:val="SingleTxtG"/>
        <w:tabs>
          <w:tab w:val="left" w:pos="1560"/>
        </w:tabs>
        <w:ind w:left="1100"/>
      </w:pPr>
      <w:r w:rsidRPr="00D83045">
        <w:t>33.</w:t>
      </w:r>
      <w:r w:rsidRPr="00D83045">
        <w:tab/>
        <w:t>Ces campagnes ont contribué à accroître le nombre de cas signalés et, par conséquent, à un recours plus important aux services de conseil à la famille. Il est à noter que, durant l’année 2009, à l’échelle de tout le pays, les centres de conseil à la famille des bureaux provinciaux ont enregistré 8 866 cas de conflit familial et de violence sexiste. Le tableau ci-après montre un accroissement de 67,9</w:t>
      </w:r>
      <w:r>
        <w:t> </w:t>
      </w:r>
      <w:r w:rsidRPr="00D83045">
        <w:t>% des cas, par rapport au nombre de cas signalés en 2008. La violence de nature économique était la plus répandue, représentant 55,8</w:t>
      </w:r>
      <w:r>
        <w:t> </w:t>
      </w:r>
      <w:r w:rsidRPr="00D83045">
        <w:t>% des cas, alors que la violence sexuelle représentait 0,2</w:t>
      </w:r>
      <w:r>
        <w:t> </w:t>
      </w:r>
      <w:r w:rsidRPr="00D83045">
        <w:t>% du total des cas. Il convient de souligner que, par sexe, les cas signalés par les hommes étaient de 18,7</w:t>
      </w:r>
      <w:r>
        <w:t> </w:t>
      </w:r>
      <w:r w:rsidRPr="00D83045">
        <w:t>%, comparativement à 81,2</w:t>
      </w:r>
      <w:r>
        <w:t> </w:t>
      </w:r>
      <w:r w:rsidRPr="00D83045">
        <w:t xml:space="preserve">% pour les femmes (voir tableau </w:t>
      </w:r>
      <w:r>
        <w:rPr>
          <w:rFonts w:eastAsia="MS Mincho"/>
        </w:rPr>
        <w:t>n</w:t>
      </w:r>
      <w:r>
        <w:rPr>
          <w:rFonts w:eastAsia="MS Mincho"/>
          <w:vertAlign w:val="superscript"/>
        </w:rPr>
        <w:t>o</w:t>
      </w:r>
      <w:r>
        <w:t> </w:t>
      </w:r>
      <w:r w:rsidRPr="00D83045">
        <w:t xml:space="preserve">13). </w:t>
      </w:r>
    </w:p>
    <w:p w:rsidR="007E0D82" w:rsidRPr="00D83045" w:rsidRDefault="007E0D82" w:rsidP="007E0D82">
      <w:pPr>
        <w:pStyle w:val="SingleTxtG"/>
        <w:rPr>
          <w:b/>
          <w:bCs/>
        </w:rPr>
      </w:pPr>
      <w:r w:rsidRPr="00D83045">
        <w:rPr>
          <w:b/>
          <w:bCs/>
        </w:rPr>
        <w:t>Données statistiques relatives aux changements dans la violence domestique</w:t>
      </w:r>
    </w:p>
    <w:tbl>
      <w:tblPr>
        <w:tblW w:w="7370" w:type="dxa"/>
        <w:tblInd w:w="1134" w:type="dxa"/>
        <w:tblLayout w:type="fixed"/>
        <w:tblCellMar>
          <w:left w:w="0" w:type="dxa"/>
          <w:right w:w="0" w:type="dxa"/>
        </w:tblCellMar>
        <w:tblLook w:val="00A0" w:firstRow="1" w:lastRow="0" w:firstColumn="1" w:lastColumn="0" w:noHBand="0" w:noVBand="0"/>
      </w:tblPr>
      <w:tblGrid>
        <w:gridCol w:w="2729"/>
        <w:gridCol w:w="1365"/>
        <w:gridCol w:w="1229"/>
        <w:gridCol w:w="2047"/>
      </w:tblGrid>
      <w:tr w:rsidR="007E0D82" w:rsidRPr="00055D23" w:rsidTr="00B84541">
        <w:trPr>
          <w:tblHeader/>
        </w:trPr>
        <w:tc>
          <w:tcPr>
            <w:tcW w:w="2835" w:type="dxa"/>
            <w:tcBorders>
              <w:top w:val="single" w:sz="4" w:space="0" w:color="auto"/>
              <w:bottom w:val="single" w:sz="12" w:space="0" w:color="auto"/>
            </w:tcBorders>
            <w:shd w:val="clear" w:color="auto" w:fill="auto"/>
            <w:vAlign w:val="bottom"/>
          </w:tcPr>
          <w:p w:rsidR="007E0D82" w:rsidRPr="00055D23" w:rsidRDefault="007E0D82" w:rsidP="00B84541">
            <w:pPr>
              <w:suppressAutoHyphens w:val="0"/>
              <w:spacing w:before="80" w:after="80" w:line="200" w:lineRule="exact"/>
              <w:rPr>
                <w:i/>
                <w:sz w:val="16"/>
              </w:rPr>
            </w:pPr>
            <w:r w:rsidRPr="00055D23">
              <w:rPr>
                <w:i/>
                <w:sz w:val="16"/>
              </w:rPr>
              <w:t>Type de violence</w:t>
            </w:r>
          </w:p>
        </w:tc>
        <w:tc>
          <w:tcPr>
            <w:tcW w:w="1417" w:type="dxa"/>
            <w:tcBorders>
              <w:top w:val="single" w:sz="4" w:space="0" w:color="auto"/>
              <w:bottom w:val="single" w:sz="12" w:space="0" w:color="auto"/>
            </w:tcBorders>
            <w:shd w:val="clear" w:color="auto" w:fill="auto"/>
            <w:vAlign w:val="bottom"/>
          </w:tcPr>
          <w:p w:rsidR="007E0D82" w:rsidRPr="00055D23" w:rsidRDefault="007E0D82" w:rsidP="00B84541">
            <w:pPr>
              <w:suppressAutoHyphens w:val="0"/>
              <w:spacing w:before="80" w:after="80" w:line="200" w:lineRule="exact"/>
              <w:jc w:val="right"/>
              <w:rPr>
                <w:i/>
                <w:sz w:val="16"/>
              </w:rPr>
            </w:pPr>
            <w:r w:rsidRPr="00055D23">
              <w:rPr>
                <w:i/>
                <w:sz w:val="16"/>
              </w:rPr>
              <w:t>2008</w:t>
            </w:r>
          </w:p>
        </w:tc>
        <w:tc>
          <w:tcPr>
            <w:tcW w:w="1276" w:type="dxa"/>
            <w:tcBorders>
              <w:top w:val="single" w:sz="4" w:space="0" w:color="auto"/>
              <w:bottom w:val="single" w:sz="12" w:space="0" w:color="auto"/>
            </w:tcBorders>
            <w:shd w:val="clear" w:color="auto" w:fill="auto"/>
            <w:vAlign w:val="bottom"/>
          </w:tcPr>
          <w:p w:rsidR="007E0D82" w:rsidRPr="00055D23" w:rsidRDefault="007E0D82" w:rsidP="00B84541">
            <w:pPr>
              <w:suppressAutoHyphens w:val="0"/>
              <w:spacing w:before="80" w:after="80" w:line="200" w:lineRule="exact"/>
              <w:jc w:val="right"/>
              <w:rPr>
                <w:i/>
                <w:sz w:val="16"/>
              </w:rPr>
            </w:pPr>
            <w:r w:rsidRPr="00055D23">
              <w:rPr>
                <w:i/>
                <w:sz w:val="16"/>
              </w:rPr>
              <w:t>2009</w:t>
            </w:r>
          </w:p>
        </w:tc>
        <w:tc>
          <w:tcPr>
            <w:tcW w:w="2126" w:type="dxa"/>
            <w:tcBorders>
              <w:top w:val="single" w:sz="4" w:space="0" w:color="auto"/>
              <w:bottom w:val="single" w:sz="12" w:space="0" w:color="auto"/>
            </w:tcBorders>
            <w:shd w:val="clear" w:color="auto" w:fill="auto"/>
            <w:vAlign w:val="bottom"/>
          </w:tcPr>
          <w:p w:rsidR="007E0D82" w:rsidRPr="00055D23" w:rsidRDefault="007E0D82" w:rsidP="00B84541">
            <w:pPr>
              <w:suppressAutoHyphens w:val="0"/>
              <w:spacing w:before="80" w:after="80" w:line="200" w:lineRule="exact"/>
              <w:jc w:val="right"/>
              <w:rPr>
                <w:i/>
                <w:sz w:val="16"/>
              </w:rPr>
            </w:pPr>
            <w:r w:rsidRPr="00055D23">
              <w:rPr>
                <w:i/>
                <w:sz w:val="16"/>
              </w:rPr>
              <w:t>Pourcentage du changement</w:t>
            </w:r>
          </w:p>
        </w:tc>
      </w:tr>
      <w:tr w:rsidR="007E0D82" w:rsidRPr="00055D23" w:rsidTr="00B84541">
        <w:tc>
          <w:tcPr>
            <w:tcW w:w="2835" w:type="dxa"/>
            <w:tcBorders>
              <w:top w:val="single" w:sz="12" w:space="0" w:color="auto"/>
            </w:tcBorders>
            <w:shd w:val="clear" w:color="auto" w:fill="auto"/>
          </w:tcPr>
          <w:p w:rsidR="007E0D82" w:rsidRPr="00055D23" w:rsidRDefault="007E0D82" w:rsidP="00B84541">
            <w:pPr>
              <w:suppressAutoHyphens w:val="0"/>
              <w:spacing w:before="40" w:after="40" w:line="220" w:lineRule="exact"/>
              <w:rPr>
                <w:sz w:val="18"/>
              </w:rPr>
            </w:pPr>
            <w:r w:rsidRPr="00055D23">
              <w:rPr>
                <w:sz w:val="18"/>
              </w:rPr>
              <w:t>Physique</w:t>
            </w:r>
          </w:p>
        </w:tc>
        <w:tc>
          <w:tcPr>
            <w:tcW w:w="1417" w:type="dxa"/>
            <w:tcBorders>
              <w:top w:val="single" w:sz="12" w:space="0" w:color="auto"/>
            </w:tcBorders>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947</w:t>
            </w:r>
          </w:p>
        </w:tc>
        <w:tc>
          <w:tcPr>
            <w:tcW w:w="1276" w:type="dxa"/>
            <w:tcBorders>
              <w:top w:val="single" w:sz="12" w:space="0" w:color="auto"/>
            </w:tcBorders>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1 564</w:t>
            </w:r>
          </w:p>
        </w:tc>
        <w:tc>
          <w:tcPr>
            <w:tcW w:w="2126" w:type="dxa"/>
            <w:tcBorders>
              <w:top w:val="single" w:sz="12" w:space="0" w:color="auto"/>
            </w:tcBorders>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54,7</w:t>
            </w:r>
          </w:p>
        </w:tc>
      </w:tr>
      <w:tr w:rsidR="007E0D82" w:rsidRPr="00055D23" w:rsidTr="00B84541">
        <w:tc>
          <w:tcPr>
            <w:tcW w:w="2835" w:type="dxa"/>
            <w:shd w:val="clear" w:color="auto" w:fill="auto"/>
          </w:tcPr>
          <w:p w:rsidR="007E0D82" w:rsidRPr="00055D23" w:rsidRDefault="007E0D82" w:rsidP="00B84541">
            <w:pPr>
              <w:suppressAutoHyphens w:val="0"/>
              <w:spacing w:before="40" w:after="40" w:line="220" w:lineRule="exact"/>
              <w:rPr>
                <w:sz w:val="18"/>
              </w:rPr>
            </w:pPr>
            <w:r w:rsidRPr="00055D23">
              <w:rPr>
                <w:sz w:val="18"/>
              </w:rPr>
              <w:t>Psychologique</w:t>
            </w:r>
          </w:p>
        </w:tc>
        <w:tc>
          <w:tcPr>
            <w:tcW w:w="1417" w:type="dxa"/>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1 445</w:t>
            </w:r>
          </w:p>
        </w:tc>
        <w:tc>
          <w:tcPr>
            <w:tcW w:w="1276" w:type="dxa"/>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2 424</w:t>
            </w:r>
          </w:p>
        </w:tc>
        <w:tc>
          <w:tcPr>
            <w:tcW w:w="2126" w:type="dxa"/>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57,1</w:t>
            </w:r>
          </w:p>
        </w:tc>
      </w:tr>
      <w:tr w:rsidR="007E0D82" w:rsidRPr="00055D23" w:rsidTr="00B84541">
        <w:tc>
          <w:tcPr>
            <w:tcW w:w="2835" w:type="dxa"/>
            <w:shd w:val="clear" w:color="auto" w:fill="auto"/>
          </w:tcPr>
          <w:p w:rsidR="007E0D82" w:rsidRPr="00055D23" w:rsidRDefault="007E0D82" w:rsidP="00B84541">
            <w:pPr>
              <w:suppressAutoHyphens w:val="0"/>
              <w:spacing w:before="40" w:after="40" w:line="220" w:lineRule="exact"/>
              <w:rPr>
                <w:sz w:val="18"/>
              </w:rPr>
            </w:pPr>
            <w:r w:rsidRPr="00055D23">
              <w:rPr>
                <w:sz w:val="18"/>
              </w:rPr>
              <w:t>Économique</w:t>
            </w:r>
          </w:p>
        </w:tc>
        <w:tc>
          <w:tcPr>
            <w:tcW w:w="1417" w:type="dxa"/>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2 847</w:t>
            </w:r>
          </w:p>
        </w:tc>
        <w:tc>
          <w:tcPr>
            <w:tcW w:w="1276" w:type="dxa"/>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5 493</w:t>
            </w:r>
          </w:p>
        </w:tc>
        <w:tc>
          <w:tcPr>
            <w:tcW w:w="2126" w:type="dxa"/>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74</w:t>
            </w:r>
          </w:p>
        </w:tc>
      </w:tr>
      <w:tr w:rsidR="007E0D82" w:rsidRPr="00055D23" w:rsidTr="00B84541">
        <w:tc>
          <w:tcPr>
            <w:tcW w:w="2835" w:type="dxa"/>
            <w:shd w:val="clear" w:color="auto" w:fill="auto"/>
          </w:tcPr>
          <w:p w:rsidR="007E0D82" w:rsidRPr="00055D23" w:rsidRDefault="007E0D82" w:rsidP="00B84541">
            <w:pPr>
              <w:suppressAutoHyphens w:val="0"/>
              <w:spacing w:before="40" w:after="40" w:line="220" w:lineRule="exact"/>
              <w:rPr>
                <w:sz w:val="18"/>
              </w:rPr>
            </w:pPr>
            <w:r w:rsidRPr="00055D23">
              <w:rPr>
                <w:sz w:val="18"/>
              </w:rPr>
              <w:t>Travail</w:t>
            </w:r>
          </w:p>
        </w:tc>
        <w:tc>
          <w:tcPr>
            <w:tcW w:w="1417" w:type="dxa"/>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32</w:t>
            </w:r>
          </w:p>
        </w:tc>
        <w:tc>
          <w:tcPr>
            <w:tcW w:w="1276" w:type="dxa"/>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156</w:t>
            </w:r>
          </w:p>
        </w:tc>
        <w:tc>
          <w:tcPr>
            <w:tcW w:w="2126" w:type="dxa"/>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387,5</w:t>
            </w:r>
          </w:p>
        </w:tc>
      </w:tr>
      <w:tr w:rsidR="007E0D82" w:rsidRPr="00055D23" w:rsidTr="00B84541">
        <w:tc>
          <w:tcPr>
            <w:tcW w:w="2835" w:type="dxa"/>
            <w:tcBorders>
              <w:bottom w:val="single" w:sz="4" w:space="0" w:color="auto"/>
            </w:tcBorders>
            <w:shd w:val="clear" w:color="auto" w:fill="auto"/>
          </w:tcPr>
          <w:p w:rsidR="007E0D82" w:rsidRPr="00055D23" w:rsidRDefault="007E0D82" w:rsidP="00B84541">
            <w:pPr>
              <w:suppressAutoHyphens w:val="0"/>
              <w:spacing w:before="40" w:after="40" w:line="220" w:lineRule="exact"/>
              <w:rPr>
                <w:sz w:val="18"/>
              </w:rPr>
            </w:pPr>
            <w:r w:rsidRPr="00055D23">
              <w:rPr>
                <w:sz w:val="18"/>
              </w:rPr>
              <w:t>Sexuelle</w:t>
            </w:r>
          </w:p>
        </w:tc>
        <w:tc>
          <w:tcPr>
            <w:tcW w:w="1417" w:type="dxa"/>
            <w:tcBorders>
              <w:bottom w:val="single" w:sz="4" w:space="0" w:color="auto"/>
            </w:tcBorders>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8</w:t>
            </w:r>
          </w:p>
        </w:tc>
        <w:tc>
          <w:tcPr>
            <w:tcW w:w="1276" w:type="dxa"/>
            <w:tcBorders>
              <w:bottom w:val="single" w:sz="4" w:space="0" w:color="auto"/>
            </w:tcBorders>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21</w:t>
            </w:r>
          </w:p>
        </w:tc>
        <w:tc>
          <w:tcPr>
            <w:tcW w:w="2126" w:type="dxa"/>
            <w:tcBorders>
              <w:bottom w:val="single" w:sz="4" w:space="0" w:color="auto"/>
            </w:tcBorders>
            <w:shd w:val="clear" w:color="auto" w:fill="auto"/>
            <w:vAlign w:val="bottom"/>
          </w:tcPr>
          <w:p w:rsidR="007E0D82" w:rsidRPr="00055D23" w:rsidRDefault="007E0D82" w:rsidP="00B84541">
            <w:pPr>
              <w:suppressAutoHyphens w:val="0"/>
              <w:spacing w:before="40" w:after="40" w:line="220" w:lineRule="exact"/>
              <w:jc w:val="right"/>
              <w:rPr>
                <w:sz w:val="18"/>
              </w:rPr>
            </w:pPr>
            <w:r w:rsidRPr="00055D23">
              <w:rPr>
                <w:sz w:val="18"/>
              </w:rPr>
              <w:t>162,5</w:t>
            </w:r>
          </w:p>
        </w:tc>
      </w:tr>
      <w:tr w:rsidR="007E0D82" w:rsidRPr="006F07BE" w:rsidTr="005E6FA6">
        <w:tc>
          <w:tcPr>
            <w:tcW w:w="2835" w:type="dxa"/>
            <w:tcBorders>
              <w:top w:val="single" w:sz="4" w:space="0" w:color="auto"/>
              <w:bottom w:val="single" w:sz="12" w:space="0" w:color="auto"/>
            </w:tcBorders>
            <w:shd w:val="clear" w:color="auto" w:fill="auto"/>
            <w:vAlign w:val="bottom"/>
          </w:tcPr>
          <w:p w:rsidR="007E0D82" w:rsidRPr="006F07BE" w:rsidRDefault="007E0D82" w:rsidP="005E6FA6">
            <w:pPr>
              <w:suppressAutoHyphens w:val="0"/>
              <w:spacing w:before="80" w:after="80" w:line="220" w:lineRule="exact"/>
              <w:ind w:left="284"/>
              <w:rPr>
                <w:b/>
                <w:sz w:val="18"/>
              </w:rPr>
            </w:pPr>
            <w:r w:rsidRPr="006F07BE">
              <w:rPr>
                <w:b/>
                <w:sz w:val="18"/>
              </w:rPr>
              <w:t>Total</w:t>
            </w:r>
          </w:p>
        </w:tc>
        <w:tc>
          <w:tcPr>
            <w:tcW w:w="1417" w:type="dxa"/>
            <w:tcBorders>
              <w:top w:val="single" w:sz="4" w:space="0" w:color="auto"/>
              <w:bottom w:val="single" w:sz="12" w:space="0" w:color="auto"/>
            </w:tcBorders>
            <w:shd w:val="clear" w:color="auto" w:fill="auto"/>
            <w:vAlign w:val="bottom"/>
          </w:tcPr>
          <w:p w:rsidR="007E0D82" w:rsidRPr="006F07BE" w:rsidRDefault="007E0D82" w:rsidP="005E6FA6">
            <w:pPr>
              <w:suppressAutoHyphens w:val="0"/>
              <w:spacing w:before="80" w:after="80" w:line="220" w:lineRule="exact"/>
              <w:jc w:val="right"/>
              <w:rPr>
                <w:b/>
                <w:sz w:val="18"/>
              </w:rPr>
            </w:pPr>
            <w:r w:rsidRPr="006F07BE">
              <w:rPr>
                <w:b/>
                <w:sz w:val="18"/>
              </w:rPr>
              <w:t>5 279</w:t>
            </w:r>
          </w:p>
        </w:tc>
        <w:tc>
          <w:tcPr>
            <w:tcW w:w="1276" w:type="dxa"/>
            <w:tcBorders>
              <w:top w:val="single" w:sz="4" w:space="0" w:color="auto"/>
              <w:bottom w:val="single" w:sz="12" w:space="0" w:color="auto"/>
            </w:tcBorders>
            <w:shd w:val="clear" w:color="auto" w:fill="auto"/>
            <w:vAlign w:val="bottom"/>
          </w:tcPr>
          <w:p w:rsidR="007E0D82" w:rsidRPr="006F07BE" w:rsidRDefault="007E0D82" w:rsidP="005E6FA6">
            <w:pPr>
              <w:suppressAutoHyphens w:val="0"/>
              <w:spacing w:before="80" w:after="80" w:line="220" w:lineRule="exact"/>
              <w:jc w:val="right"/>
              <w:rPr>
                <w:b/>
                <w:sz w:val="18"/>
              </w:rPr>
            </w:pPr>
            <w:r w:rsidRPr="006F07BE">
              <w:rPr>
                <w:b/>
                <w:sz w:val="18"/>
              </w:rPr>
              <w:t>9 658</w:t>
            </w:r>
          </w:p>
        </w:tc>
        <w:tc>
          <w:tcPr>
            <w:tcW w:w="2126" w:type="dxa"/>
            <w:tcBorders>
              <w:top w:val="single" w:sz="4" w:space="0" w:color="auto"/>
              <w:bottom w:val="single" w:sz="12" w:space="0" w:color="auto"/>
            </w:tcBorders>
            <w:shd w:val="clear" w:color="auto" w:fill="auto"/>
            <w:vAlign w:val="bottom"/>
          </w:tcPr>
          <w:p w:rsidR="007E0D82" w:rsidRPr="006F07BE" w:rsidRDefault="007E0D82" w:rsidP="005E6FA6">
            <w:pPr>
              <w:suppressAutoHyphens w:val="0"/>
              <w:spacing w:before="80" w:after="80" w:line="220" w:lineRule="exact"/>
              <w:jc w:val="right"/>
              <w:rPr>
                <w:b/>
                <w:sz w:val="18"/>
              </w:rPr>
            </w:pPr>
            <w:r w:rsidRPr="006F07BE">
              <w:rPr>
                <w:b/>
                <w:sz w:val="18"/>
              </w:rPr>
              <w:t>67,9</w:t>
            </w:r>
          </w:p>
        </w:tc>
      </w:tr>
    </w:tbl>
    <w:p w:rsidR="007E0D82" w:rsidRPr="00D83045" w:rsidRDefault="007E0D82" w:rsidP="007E0D82">
      <w:pPr>
        <w:pStyle w:val="SingleTxtG"/>
        <w:tabs>
          <w:tab w:val="left" w:pos="1560"/>
        </w:tabs>
        <w:spacing w:before="240"/>
        <w:ind w:left="1100"/>
        <w:rPr>
          <w:bCs/>
        </w:rPr>
      </w:pPr>
      <w:r w:rsidRPr="00D83045">
        <w:rPr>
          <w:bCs/>
        </w:rPr>
        <w:t>34.</w:t>
      </w:r>
      <w:r w:rsidRPr="00D83045">
        <w:rPr>
          <w:bCs/>
        </w:rPr>
        <w:tab/>
        <w:t>Tous les centres de conseil à la famille de l’Angola sont en cours de restructuration autour de ces mesures et activités. Il s’agit de fournir une assistance juridique aux personnes, de les éduquer et de les informer au sujet de leurs droits, et d’apporter un soutien psychologique aux victimes de violence. Les centres de conseils familiaux</w:t>
      </w:r>
      <w:r w:rsidRPr="00D83045">
        <w:rPr>
          <w:rStyle w:val="FootnoteReference"/>
        </w:rPr>
        <w:footnoteReference w:id="3"/>
      </w:r>
      <w:r w:rsidRPr="00D83045">
        <w:rPr>
          <w:bCs/>
        </w:rPr>
        <w:t xml:space="preserve"> ont été créés pour renforcer le travail que font des partenaires parmi les ONG, tels que l’Organisation des femmes angolaises (OMA), qui a créé le premier centre de conseil aux victimes de violence en 1987, a créé en 2000, à Luanda, le premier centre d’accueil pour les femmes victimes de violence et a organisé un certain nombre de séminaires dans diverses provinces pour former des conseillers juridiques. Les programmes de formation sont sur le point d’être lancés au niveau national pour les conseillers à la famille dans le cadre du Projet pour l’appui aux questions d’égalité des sexes en Angola, afin de normaliser les services fournis et de permettre aux centres de conseils de mieux fonctionner.</w:t>
      </w:r>
    </w:p>
    <w:p w:rsidR="007E0D82" w:rsidRPr="00D83045" w:rsidRDefault="007E0D82" w:rsidP="007E0D82">
      <w:pPr>
        <w:pStyle w:val="SingleTxtG"/>
        <w:tabs>
          <w:tab w:val="left" w:pos="1560"/>
        </w:tabs>
        <w:ind w:left="1100"/>
        <w:rPr>
          <w:bCs/>
        </w:rPr>
      </w:pPr>
      <w:r w:rsidRPr="00D83045">
        <w:rPr>
          <w:bCs/>
        </w:rPr>
        <w:t>35.</w:t>
      </w:r>
      <w:r w:rsidRPr="00D83045">
        <w:rPr>
          <w:bCs/>
        </w:rPr>
        <w:tab/>
        <w:t xml:space="preserve">S’agissant de l’objectif de l’élimination de la violence au sein de la famille, le Gouvernement angolais s’est associé aux autorités provinciales, aux juges du Bureau du Procureur général et des tribunaux, aux autorités traditionnelles, aux associations, aux ONG, aux </w:t>
      </w:r>
      <w:r>
        <w:rPr>
          <w:bCs/>
        </w:rPr>
        <w:t>É</w:t>
      </w:r>
      <w:r w:rsidRPr="00D83045">
        <w:rPr>
          <w:bCs/>
        </w:rPr>
        <w:t xml:space="preserve">glises, à des experts et à des personnes individuelles, pour élaborer l’avant-projet de loi contre la violence domestique et le Plan d’action national contre la violence domestique, qui se trouvent devant le Conseil des ministres pour approbation, avant d’être envoyés devant l’Assemblée nationale pour ratification. La lutte contre la violence en général et contre la violence à l’égard des femmes en particulier constitue l’une des plus grandes préoccupations du Gouvernement angolais.   </w:t>
      </w:r>
    </w:p>
    <w:p w:rsidR="007E0D82" w:rsidRPr="00D83045" w:rsidRDefault="007E0D82" w:rsidP="007E0D82">
      <w:pPr>
        <w:pStyle w:val="SingleTxtG"/>
        <w:tabs>
          <w:tab w:val="left" w:pos="1560"/>
        </w:tabs>
        <w:ind w:left="1100"/>
        <w:rPr>
          <w:bCs/>
        </w:rPr>
      </w:pPr>
      <w:r w:rsidRPr="00D83045">
        <w:rPr>
          <w:bCs/>
        </w:rPr>
        <w:t>36.</w:t>
      </w:r>
      <w:r w:rsidRPr="00D83045">
        <w:rPr>
          <w:bCs/>
        </w:rPr>
        <w:tab/>
        <w:t xml:space="preserve">Les objectifs du projet de loi contre la violence domestique sont de prévenir, réprimer (et éradiquer) la violence sexiste, de protéger les victimes et de créer des centres d’accueil. Il y a eu une coopération approfondie au cours du processus d’élaboration du projet de loi. Des équipes d’experts ont été constituées dans les provinces, comprenant des représentants du Bureau du Procureur général, des tribunaux, de la police, du procureur militaire, des partis politiques et d’organisations d’utilité publique s’occupant des questions des droits de l’homme, des organisations et des associations de femmes, équipes qui ont procédé à des analyses et fait des propositions aux conférences tenues dans les provinces. Il convient de noter que des représentants communautaires et des représentants des autorités traditionnelles ont pris part au processus. </w:t>
      </w:r>
    </w:p>
    <w:p w:rsidR="007E0D82" w:rsidRPr="00D83045" w:rsidRDefault="007E0D82" w:rsidP="007E0D82">
      <w:pPr>
        <w:pStyle w:val="SingleTxtG"/>
        <w:tabs>
          <w:tab w:val="left" w:pos="1560"/>
        </w:tabs>
        <w:ind w:left="1100"/>
        <w:rPr>
          <w:bCs/>
        </w:rPr>
      </w:pPr>
      <w:r w:rsidRPr="00D83045">
        <w:rPr>
          <w:bCs/>
        </w:rPr>
        <w:t>37.</w:t>
      </w:r>
      <w:r w:rsidRPr="00D83045">
        <w:rPr>
          <w:bCs/>
        </w:rPr>
        <w:tab/>
        <w:t xml:space="preserve">Au niveau national, des consultations se sont déroulées avec les parlementaires, les coordonnateurs, les partis politiques, les associations de femmes, les universités, et des débats ont eu lieu entre différents réseaux sociaux de communication. </w:t>
      </w:r>
    </w:p>
    <w:p w:rsidR="007E0D82" w:rsidRPr="00D83045" w:rsidRDefault="007E0D82" w:rsidP="007E0D82">
      <w:pPr>
        <w:pStyle w:val="H1G"/>
      </w:pPr>
      <w:r w:rsidRPr="00D83045">
        <w:tab/>
      </w:r>
      <w:r w:rsidRPr="00D83045">
        <w:tab/>
        <w:t>Article 6</w:t>
      </w:r>
      <w:r w:rsidRPr="00D83045">
        <w:br/>
        <w:t xml:space="preserve">Mesures visant à supprimer le trafic des femmes et l’exploitation </w:t>
      </w:r>
      <w:r>
        <w:br/>
      </w:r>
      <w:r w:rsidRPr="00D83045">
        <w:t>de la prostitution des femmes</w:t>
      </w:r>
    </w:p>
    <w:p w:rsidR="007E0D82" w:rsidRPr="00D83045" w:rsidRDefault="007E0D82" w:rsidP="007E0D82">
      <w:pPr>
        <w:pStyle w:val="SingleTxtG"/>
        <w:tabs>
          <w:tab w:val="left" w:pos="1560"/>
        </w:tabs>
        <w:ind w:left="1100"/>
        <w:rPr>
          <w:bCs/>
        </w:rPr>
      </w:pPr>
      <w:r w:rsidRPr="00D83045">
        <w:rPr>
          <w:bCs/>
        </w:rPr>
        <w:t>38.</w:t>
      </w:r>
      <w:r w:rsidRPr="00D83045">
        <w:rPr>
          <w:bCs/>
        </w:rPr>
        <w:tab/>
        <w:t xml:space="preserve">Le Gouvernement angolais a conçu, par le truchement du </w:t>
      </w:r>
      <w:r>
        <w:rPr>
          <w:bCs/>
        </w:rPr>
        <w:t>m</w:t>
      </w:r>
      <w:r w:rsidRPr="00D83045">
        <w:rPr>
          <w:bCs/>
        </w:rPr>
        <w:t xml:space="preserve">inistère compétent, des programmes permettant de sortir les enfants et les adolescents de la rue, de fournir des services de réadaptation psychosociale, de soutien médical, d’alphabétisation, et de créer des garderies pour leurs enfants. </w:t>
      </w:r>
    </w:p>
    <w:p w:rsidR="007E0D82" w:rsidRPr="00D83045" w:rsidRDefault="007E0D82" w:rsidP="007E0D82">
      <w:pPr>
        <w:pStyle w:val="SingleTxtG"/>
        <w:tabs>
          <w:tab w:val="left" w:pos="1560"/>
        </w:tabs>
        <w:ind w:left="1100"/>
        <w:rPr>
          <w:bCs/>
        </w:rPr>
      </w:pPr>
      <w:r w:rsidRPr="00D83045">
        <w:rPr>
          <w:bCs/>
        </w:rPr>
        <w:t>39.</w:t>
      </w:r>
      <w:r w:rsidRPr="00D83045">
        <w:rPr>
          <w:bCs/>
        </w:rPr>
        <w:tab/>
        <w:t xml:space="preserve">Entre janvier 2005 et juillet 2009, près de 890 jeunes engagés dans la prostitution ont reçu l’aide du Centre Ilumba; 300 d’entre eux ont été réinsérés sur le marché du travail. Parmi les 890 jeunes, 400 ont reçu une formation dans les domaines des soins aux enfants, de la couture, de la pâtisserie, de la manucure et de la pédicure.  </w:t>
      </w:r>
    </w:p>
    <w:p w:rsidR="007E0D82" w:rsidRPr="00D83045" w:rsidRDefault="007E0D82" w:rsidP="007E0D82">
      <w:pPr>
        <w:pStyle w:val="SingleTxtG"/>
        <w:tabs>
          <w:tab w:val="left" w:pos="1560"/>
        </w:tabs>
        <w:ind w:left="1100"/>
        <w:rPr>
          <w:bCs/>
        </w:rPr>
      </w:pPr>
      <w:r w:rsidRPr="00D83045">
        <w:rPr>
          <w:bCs/>
        </w:rPr>
        <w:t>40.</w:t>
      </w:r>
      <w:r w:rsidRPr="00D83045">
        <w:rPr>
          <w:bCs/>
        </w:rPr>
        <w:tab/>
        <w:t>Les institutions qui œuvrent à la protection des mineurs, des adolescents et autres ont fait des efforts pour obtenir l’adoption de règlements visant à trouver une solution à des problèmes tels que la traite des femmes, des adolescents et des enfants, les maltraitances liées à la prostitution et à d’autres situations dues à l’exploitation sexuelle et commerciale des femmes et des filles.</w:t>
      </w:r>
    </w:p>
    <w:p w:rsidR="007E0D82" w:rsidRPr="00D83045" w:rsidRDefault="007E0D82" w:rsidP="007E0D82">
      <w:pPr>
        <w:pStyle w:val="SingleTxtG"/>
        <w:tabs>
          <w:tab w:val="left" w:pos="1560"/>
        </w:tabs>
        <w:ind w:left="1100"/>
        <w:rPr>
          <w:bCs/>
        </w:rPr>
      </w:pPr>
      <w:r w:rsidRPr="00D83045">
        <w:rPr>
          <w:bCs/>
        </w:rPr>
        <w:t>41.</w:t>
      </w:r>
      <w:r w:rsidRPr="00D83045">
        <w:rPr>
          <w:bCs/>
        </w:rPr>
        <w:tab/>
        <w:t xml:space="preserve">Le Conseil des ministres a approuvé la résolution </w:t>
      </w:r>
      <w:r w:rsidRPr="004027C7">
        <w:rPr>
          <w:rFonts w:eastAsia="MS Mincho"/>
          <w:bCs/>
        </w:rPr>
        <w:t>n</w:t>
      </w:r>
      <w:r w:rsidRPr="004027C7">
        <w:rPr>
          <w:rFonts w:eastAsia="MS Mincho"/>
          <w:bCs/>
          <w:vertAlign w:val="superscript"/>
        </w:rPr>
        <w:t>o</w:t>
      </w:r>
      <w:r>
        <w:rPr>
          <w:bCs/>
        </w:rPr>
        <w:t> </w:t>
      </w:r>
      <w:r w:rsidRPr="00D83045">
        <w:rPr>
          <w:bCs/>
        </w:rPr>
        <w:t>24 du 20 octobre 1999 sur le Plan national d’action contre l’exploitation sexuelle et commerciale des enfants en Angola, résolution qui avait été soumise par l’Institut national pour l’enfance.</w:t>
      </w:r>
    </w:p>
    <w:p w:rsidR="007E0D82" w:rsidRPr="00D83045" w:rsidRDefault="007E0D82" w:rsidP="007E0D82">
      <w:pPr>
        <w:pStyle w:val="SingleTxtG"/>
        <w:tabs>
          <w:tab w:val="left" w:pos="1560"/>
        </w:tabs>
        <w:ind w:left="1100"/>
        <w:rPr>
          <w:bCs/>
        </w:rPr>
      </w:pPr>
      <w:r w:rsidRPr="00D83045">
        <w:rPr>
          <w:bCs/>
        </w:rPr>
        <w:t>42.</w:t>
      </w:r>
      <w:r w:rsidRPr="00D83045">
        <w:rPr>
          <w:bCs/>
        </w:rPr>
        <w:tab/>
        <w:t>Le travail est en cours pour réaliser, notamment, les aspects suivants:</w:t>
      </w:r>
    </w:p>
    <w:p w:rsidR="007E0D82" w:rsidRPr="00D83045" w:rsidRDefault="007E0D82" w:rsidP="007E0D82">
      <w:pPr>
        <w:pStyle w:val="SingleTxtG"/>
        <w:ind w:firstLine="567"/>
        <w:rPr>
          <w:bCs/>
        </w:rPr>
      </w:pPr>
      <w:r w:rsidRPr="00D83045">
        <w:rPr>
          <w:bCs/>
        </w:rPr>
        <w:t>a)</w:t>
      </w:r>
      <w:r w:rsidRPr="00D83045">
        <w:rPr>
          <w:bCs/>
        </w:rPr>
        <w:tab/>
        <w:t>Veiller à la restauration des droits des personnes qui ont été exploitées, ont été victimes d’abus sexuels ou de maltraitances, en leur assurant une protection et la capacité d’exercer leurs droits de citoyens, et en leur permettant de vivre dans la dignité;</w:t>
      </w:r>
    </w:p>
    <w:p w:rsidR="007E0D82" w:rsidRPr="00D83045" w:rsidRDefault="007E0D82" w:rsidP="007E0D82">
      <w:pPr>
        <w:pStyle w:val="SingleTxtG"/>
        <w:ind w:firstLine="567"/>
        <w:rPr>
          <w:bCs/>
        </w:rPr>
      </w:pPr>
      <w:r w:rsidRPr="00D83045">
        <w:rPr>
          <w:bCs/>
        </w:rPr>
        <w:t>b)</w:t>
      </w:r>
      <w:r w:rsidRPr="00D83045">
        <w:rPr>
          <w:bCs/>
        </w:rPr>
        <w:tab/>
        <w:t>Tenir juridiquement responsables les auteurs de l’exploitation, des abus et des viols, par une application de la loi et des peines appropriées, afin d’éliminer ou d’affaiblir les «réseaux» d’exploitation et de traite, et de mettre fin à leur impunité;</w:t>
      </w:r>
    </w:p>
    <w:p w:rsidR="007E0D82" w:rsidRPr="00D83045" w:rsidRDefault="007E0D82" w:rsidP="007E0D82">
      <w:pPr>
        <w:pStyle w:val="SingleTxtG"/>
        <w:ind w:firstLine="567"/>
        <w:rPr>
          <w:bCs/>
        </w:rPr>
      </w:pPr>
      <w:r w:rsidRPr="00D83045">
        <w:rPr>
          <w:bCs/>
        </w:rPr>
        <w:t>c)</w:t>
      </w:r>
      <w:r w:rsidRPr="00D83045">
        <w:rPr>
          <w:bCs/>
        </w:rPr>
        <w:tab/>
        <w:t>Renforcer les partenariats avec les organisations sociales qui apportent un soutien aux filles et aux femmes victimes de ce phénomène, en assurant une formation professionnelle et une scolarité complète aux filles et femmes sorties de la rue.</w:t>
      </w:r>
    </w:p>
    <w:p w:rsidR="007E0D82" w:rsidRPr="00D83045" w:rsidRDefault="007E0D82" w:rsidP="007E0D82">
      <w:pPr>
        <w:pStyle w:val="H23G"/>
      </w:pPr>
      <w:r w:rsidRPr="00D83045">
        <w:tab/>
        <w:t>1.</w:t>
      </w:r>
      <w:r w:rsidRPr="00D83045">
        <w:tab/>
        <w:t>Obstacles</w:t>
      </w:r>
    </w:p>
    <w:p w:rsidR="007E0D82" w:rsidRPr="00D83045" w:rsidRDefault="007E0D82" w:rsidP="007E0D82">
      <w:pPr>
        <w:pStyle w:val="SingleTxtG"/>
        <w:tabs>
          <w:tab w:val="left" w:pos="1560"/>
        </w:tabs>
        <w:ind w:left="1100"/>
      </w:pPr>
      <w:r w:rsidRPr="00D83045">
        <w:t>43.</w:t>
      </w:r>
      <w:r w:rsidRPr="00D83045">
        <w:tab/>
        <w:t>Les obstacles sont les suivants:</w:t>
      </w:r>
    </w:p>
    <w:p w:rsidR="007E0D82" w:rsidRPr="00D83045" w:rsidRDefault="007E0D82" w:rsidP="007E0D82">
      <w:pPr>
        <w:pStyle w:val="SingleTxtG"/>
        <w:ind w:firstLine="567"/>
      </w:pPr>
      <w:r w:rsidRPr="00D83045">
        <w:t>a)</w:t>
      </w:r>
      <w:r w:rsidRPr="00D83045">
        <w:tab/>
        <w:t xml:space="preserve">La culture qui, sous la forme des us et coutumes, n’accorde </w:t>
      </w:r>
      <w:r>
        <w:t>parfois</w:t>
      </w:r>
      <w:r w:rsidRPr="00D83045">
        <w:t xml:space="preserve"> pas de valeur aux femmes ou ne leur offre pas une égalité de chances, ce qui amène les filles et les femmes à ne pas se sentir soutenues, écoutées ou protégées au sein de leur famille;</w:t>
      </w:r>
    </w:p>
    <w:p w:rsidR="007E0D82" w:rsidRPr="00D83045" w:rsidRDefault="007E0D82" w:rsidP="007E0D82">
      <w:pPr>
        <w:pStyle w:val="SingleTxtG"/>
        <w:ind w:firstLine="567"/>
      </w:pPr>
      <w:r w:rsidRPr="00D83045">
        <w:t>b)</w:t>
      </w:r>
      <w:r w:rsidRPr="00D83045">
        <w:tab/>
        <w:t>Le taux d’analphabétisme parmi les femmes constitue un des facteurs qui freinent le développement de celles-ci;</w:t>
      </w:r>
    </w:p>
    <w:p w:rsidR="007E0D82" w:rsidRPr="00D83045" w:rsidRDefault="007E0D82" w:rsidP="007E0D82">
      <w:pPr>
        <w:pStyle w:val="SingleTxtG"/>
        <w:ind w:firstLine="567"/>
      </w:pPr>
      <w:r w:rsidRPr="00D83045">
        <w:t>c)</w:t>
      </w:r>
      <w:r w:rsidRPr="00D83045">
        <w:tab/>
      </w:r>
      <w:r>
        <w:t>Le</w:t>
      </w:r>
      <w:r w:rsidRPr="00D83045">
        <w:t xml:space="preserve"> peu </w:t>
      </w:r>
      <w:r>
        <w:t>d’</w:t>
      </w:r>
      <w:r w:rsidRPr="00D83045">
        <w:t>accès à l’information</w:t>
      </w:r>
      <w:r>
        <w:t xml:space="preserve"> des </w:t>
      </w:r>
      <w:r w:rsidRPr="00D83045">
        <w:t xml:space="preserve">femmes et </w:t>
      </w:r>
      <w:r>
        <w:t>d</w:t>
      </w:r>
      <w:r w:rsidRPr="00D83045">
        <w:t>es filles ;</w:t>
      </w:r>
    </w:p>
    <w:p w:rsidR="007E0D82" w:rsidRPr="00D83045" w:rsidRDefault="007E0D82" w:rsidP="007E0D82">
      <w:pPr>
        <w:pStyle w:val="SingleTxtG"/>
        <w:ind w:firstLine="567"/>
      </w:pPr>
      <w:r w:rsidRPr="00D83045">
        <w:t>d)</w:t>
      </w:r>
      <w:r w:rsidRPr="00D83045">
        <w:tab/>
      </w:r>
      <w:r>
        <w:t xml:space="preserve">Le manque de normalisation </w:t>
      </w:r>
      <w:r w:rsidRPr="00D83045">
        <w:t xml:space="preserve">et </w:t>
      </w:r>
      <w:r>
        <w:t>d’</w:t>
      </w:r>
      <w:r w:rsidRPr="00D83045">
        <w:t>uniformis</w:t>
      </w:r>
      <w:r>
        <w:t>ation d</w:t>
      </w:r>
      <w:r w:rsidRPr="00D83045">
        <w:t>es techniques de conseil dans les centres de conseil à la famille.</w:t>
      </w:r>
    </w:p>
    <w:p w:rsidR="007E0D82" w:rsidRPr="00D83045" w:rsidRDefault="007E0D82" w:rsidP="007E0D82">
      <w:pPr>
        <w:pStyle w:val="H23G"/>
      </w:pPr>
      <w:r w:rsidRPr="00D83045">
        <w:tab/>
        <w:t>2.</w:t>
      </w:r>
      <w:r w:rsidRPr="00D83045">
        <w:tab/>
        <w:t>Défis à relever</w:t>
      </w:r>
    </w:p>
    <w:p w:rsidR="007E0D82" w:rsidRPr="00D83045" w:rsidRDefault="007E0D82" w:rsidP="007E0D82">
      <w:pPr>
        <w:pStyle w:val="SingleTxtG"/>
        <w:tabs>
          <w:tab w:val="left" w:pos="1560"/>
        </w:tabs>
        <w:ind w:left="1100"/>
      </w:pPr>
      <w:r w:rsidRPr="00D83045">
        <w:t>44.</w:t>
      </w:r>
      <w:r w:rsidRPr="00D83045">
        <w:tab/>
        <w:t>Les défis à relever sont les suivants:</w:t>
      </w:r>
    </w:p>
    <w:p w:rsidR="007E0D82" w:rsidRPr="00D83045" w:rsidRDefault="007E0D82" w:rsidP="007E0D82">
      <w:pPr>
        <w:pStyle w:val="SingleTxtG"/>
        <w:ind w:firstLine="567"/>
      </w:pPr>
      <w:r w:rsidRPr="00D83045">
        <w:t xml:space="preserve">a) </w:t>
      </w:r>
      <w:r w:rsidRPr="00D83045">
        <w:tab/>
        <w:t>Sensibiliser la société par l’intermédiaire des m</w:t>
      </w:r>
      <w:r>
        <w:t>é</w:t>
      </w:r>
      <w:r w:rsidRPr="00D83045">
        <w:t>dias et organiser des débats, des ateliers et des réunions, de sorte que les aspects culturels cessent d’être des facteurs qui empêchent la promotion de l’égalité des femmes au sein de leur famille, en éliminant par là la violence domestique;</w:t>
      </w:r>
    </w:p>
    <w:p w:rsidR="007E0D82" w:rsidRPr="00D83045" w:rsidRDefault="007E0D82" w:rsidP="007E0D82">
      <w:pPr>
        <w:pStyle w:val="SingleTxtG"/>
        <w:ind w:firstLine="567"/>
      </w:pPr>
      <w:r w:rsidRPr="00D83045">
        <w:t>b)</w:t>
      </w:r>
      <w:r w:rsidRPr="00D83045">
        <w:tab/>
        <w:t>Lutter contre la traite et l’exploitation sexuelle des femmes et des filles, notamment l’exploitation à des fins commerciales;</w:t>
      </w:r>
    </w:p>
    <w:p w:rsidR="007E0D82" w:rsidRPr="00D83045" w:rsidRDefault="007E0D82" w:rsidP="007E0D82">
      <w:pPr>
        <w:pStyle w:val="SingleTxtG"/>
        <w:ind w:firstLine="567"/>
      </w:pPr>
      <w:r w:rsidRPr="00D83045">
        <w:t>c)</w:t>
      </w:r>
      <w:r w:rsidRPr="00D83045">
        <w:tab/>
        <w:t>Mettre l’accent sur la formation technique et professionnelle des femmes et des filles;</w:t>
      </w:r>
    </w:p>
    <w:p w:rsidR="007E0D82" w:rsidRPr="00D83045" w:rsidRDefault="007E0D82" w:rsidP="007E0D82">
      <w:pPr>
        <w:pStyle w:val="SingleTxtG"/>
        <w:ind w:firstLine="567"/>
      </w:pPr>
      <w:r w:rsidRPr="00D83045">
        <w:t>d)</w:t>
      </w:r>
      <w:r w:rsidRPr="00D83045">
        <w:tab/>
        <w:t>Encourager chaque femme à devenir une championne de la lutte pour l’égalité des sexes.</w:t>
      </w:r>
    </w:p>
    <w:p w:rsidR="007E0D82" w:rsidRPr="00D83045" w:rsidRDefault="007E0D82" w:rsidP="007E0D82">
      <w:pPr>
        <w:pStyle w:val="H1G"/>
      </w:pPr>
      <w:r w:rsidRPr="00D83045">
        <w:tab/>
      </w:r>
      <w:r w:rsidRPr="00D83045">
        <w:tab/>
        <w:t>Article 7</w:t>
      </w:r>
      <w:r w:rsidRPr="00D83045">
        <w:br/>
        <w:t>Mesures visant à assurer la participation des femmes à la vie publique en Angola dans des conditions d’égalité avec les hommes</w:t>
      </w:r>
    </w:p>
    <w:p w:rsidR="007E0D82" w:rsidRPr="00D83045" w:rsidRDefault="007E0D82" w:rsidP="007E0D82">
      <w:pPr>
        <w:pStyle w:val="SingleTxtG"/>
        <w:tabs>
          <w:tab w:val="left" w:pos="1560"/>
        </w:tabs>
        <w:ind w:left="1100"/>
        <w:rPr>
          <w:bCs/>
        </w:rPr>
      </w:pPr>
      <w:r w:rsidRPr="00D83045">
        <w:rPr>
          <w:bCs/>
        </w:rPr>
        <w:t>45.</w:t>
      </w:r>
      <w:r w:rsidRPr="00D83045">
        <w:rPr>
          <w:bCs/>
        </w:rPr>
        <w:tab/>
        <w:t xml:space="preserve">Les conditions créées par le processus de l’organisation des deuxièmes élections en Angola ont permis aux femmes d’entrer dans la vie politique et dans la fonction publique, grâce à un ensemble de lois, dont la loi </w:t>
      </w:r>
      <w:r w:rsidRPr="00D83045">
        <w:rPr>
          <w:rFonts w:eastAsia="MS Mincho"/>
          <w:bCs/>
        </w:rPr>
        <w:t>n</w:t>
      </w:r>
      <w:r w:rsidRPr="00D83045">
        <w:rPr>
          <w:rFonts w:eastAsia="MS Mincho"/>
          <w:bCs/>
          <w:vertAlign w:val="superscript"/>
        </w:rPr>
        <w:t>o</w:t>
      </w:r>
      <w:r w:rsidRPr="00D83045">
        <w:rPr>
          <w:rFonts w:eastAsia="MS Mincho"/>
          <w:bCs/>
        </w:rPr>
        <w:t> </w:t>
      </w:r>
      <w:r w:rsidRPr="00D83045">
        <w:rPr>
          <w:bCs/>
        </w:rPr>
        <w:t xml:space="preserve">3/97 du 13 mars portant financement des partis politiques, la loi </w:t>
      </w:r>
      <w:r w:rsidRPr="00D83045">
        <w:rPr>
          <w:rFonts w:eastAsia="MS Mincho"/>
          <w:bCs/>
        </w:rPr>
        <w:t>n</w:t>
      </w:r>
      <w:r w:rsidRPr="00D83045">
        <w:rPr>
          <w:rFonts w:eastAsia="MS Mincho"/>
          <w:bCs/>
          <w:vertAlign w:val="superscript"/>
        </w:rPr>
        <w:t>o</w:t>
      </w:r>
      <w:r w:rsidRPr="00D83045">
        <w:rPr>
          <w:bCs/>
        </w:rPr>
        <w:t> 3/05 du 1</w:t>
      </w:r>
      <w:r w:rsidRPr="00D83045">
        <w:rPr>
          <w:bCs/>
          <w:vertAlign w:val="superscript"/>
        </w:rPr>
        <w:t>er</w:t>
      </w:r>
      <w:r w:rsidRPr="00D83045">
        <w:rPr>
          <w:bCs/>
        </w:rPr>
        <w:t xml:space="preserve"> juillet sur les principes structurels qui régissent le fichier électoral, la loi </w:t>
      </w:r>
      <w:r w:rsidRPr="00D83045">
        <w:rPr>
          <w:rFonts w:eastAsia="MS Mincho"/>
          <w:bCs/>
        </w:rPr>
        <w:t>n</w:t>
      </w:r>
      <w:r w:rsidRPr="00D83045">
        <w:rPr>
          <w:rFonts w:eastAsia="MS Mincho"/>
          <w:bCs/>
          <w:vertAlign w:val="superscript"/>
        </w:rPr>
        <w:t>o</w:t>
      </w:r>
      <w:r w:rsidRPr="00D83045">
        <w:rPr>
          <w:rFonts w:eastAsia="MS Mincho"/>
          <w:bCs/>
        </w:rPr>
        <w:t> </w:t>
      </w:r>
      <w:r w:rsidRPr="00D83045">
        <w:rPr>
          <w:bCs/>
        </w:rPr>
        <w:t xml:space="preserve">6/05 du 10 août (loi électorale) et la loi </w:t>
      </w:r>
      <w:r w:rsidRPr="00D83045">
        <w:rPr>
          <w:rFonts w:eastAsia="MS Mincho"/>
          <w:bCs/>
        </w:rPr>
        <w:t>n</w:t>
      </w:r>
      <w:r w:rsidRPr="00D83045">
        <w:rPr>
          <w:rFonts w:eastAsia="MS Mincho"/>
          <w:bCs/>
          <w:vertAlign w:val="superscript"/>
        </w:rPr>
        <w:t>o</w:t>
      </w:r>
      <w:r w:rsidRPr="00D83045">
        <w:rPr>
          <w:rFonts w:eastAsia="MS Mincho"/>
          <w:bCs/>
        </w:rPr>
        <w:t> </w:t>
      </w:r>
      <w:r w:rsidRPr="00D83045">
        <w:rPr>
          <w:bCs/>
        </w:rPr>
        <w:t>10/05 du 14 juillet (loi sur l’organisation des élections).</w:t>
      </w:r>
    </w:p>
    <w:p w:rsidR="007E0D82" w:rsidRPr="00D83045" w:rsidRDefault="007E0D82" w:rsidP="007E0D82">
      <w:pPr>
        <w:pStyle w:val="SingleTxtG"/>
        <w:tabs>
          <w:tab w:val="left" w:pos="1560"/>
        </w:tabs>
        <w:ind w:left="1100"/>
        <w:rPr>
          <w:bCs/>
        </w:rPr>
      </w:pPr>
      <w:r w:rsidRPr="00D83045">
        <w:rPr>
          <w:bCs/>
        </w:rPr>
        <w:t>46.</w:t>
      </w:r>
      <w:r w:rsidRPr="00D83045">
        <w:rPr>
          <w:bCs/>
        </w:rPr>
        <w:tab/>
        <w:t xml:space="preserve">La participation active et passive au processus électoral est garantie à tous les citoyens angolais âgés de plus de 18 ans, dans le cadre du plein exercice de leurs droits politiques et s’ils jouissent entièrement de leurs facultés mentales. Il n’existe absolument pas de discrimination fondée sur le sexe, les convictions religieuses ou politiques. Les partis politiques ont la responsabilité d’assurer </w:t>
      </w:r>
      <w:r>
        <w:rPr>
          <w:bCs/>
        </w:rPr>
        <w:t>la</w:t>
      </w:r>
      <w:r w:rsidRPr="00D83045">
        <w:rPr>
          <w:bCs/>
        </w:rPr>
        <w:t xml:space="preserve"> participation active d’un nombre minimum de femmes à leurs activités, à savoir assurer à ces femmes la possibilité de </w:t>
      </w:r>
      <w:r>
        <w:rPr>
          <w:bCs/>
        </w:rPr>
        <w:t>se présenter</w:t>
      </w:r>
      <w:r w:rsidRPr="00D83045">
        <w:rPr>
          <w:bCs/>
        </w:rPr>
        <w:t xml:space="preserve"> dans les mêmes conditions que les hommes, et, par conséquent, de pouvoir accéder aux </w:t>
      </w:r>
      <w:r>
        <w:rPr>
          <w:bCs/>
        </w:rPr>
        <w:t>mêmes postes politiques</w:t>
      </w:r>
      <w:r w:rsidRPr="00D83045">
        <w:rPr>
          <w:bCs/>
        </w:rPr>
        <w:t xml:space="preserve">.  </w:t>
      </w:r>
    </w:p>
    <w:p w:rsidR="007E0D82" w:rsidRPr="00D83045" w:rsidRDefault="007E0D82" w:rsidP="007E0D82">
      <w:pPr>
        <w:pStyle w:val="SingleTxtG"/>
        <w:tabs>
          <w:tab w:val="left" w:pos="1560"/>
        </w:tabs>
        <w:ind w:left="1100"/>
        <w:rPr>
          <w:bCs/>
        </w:rPr>
      </w:pPr>
      <w:r w:rsidRPr="00D83045">
        <w:rPr>
          <w:bCs/>
        </w:rPr>
        <w:t>47.</w:t>
      </w:r>
      <w:r w:rsidRPr="00D83045">
        <w:rPr>
          <w:bCs/>
        </w:rPr>
        <w:tab/>
        <w:t xml:space="preserve">Les restrictions en matière de droit de vote s’appliquent aux personnes âgées de moins de 18 ans le jour du vote, à celles qui été déclarées démentes par les services de santé et les délinquants qui ont été déchus de leurs droits civils et politiques, sur une base provisoire ou permanente. Ces restrictions s’appliquent aussi aux étrangers et aux immigrants, la loi conférant le droit de vote aux Angolais exclusivement.  </w:t>
      </w:r>
    </w:p>
    <w:p w:rsidR="007E0D82" w:rsidRPr="00D83045" w:rsidRDefault="007E0D82" w:rsidP="007E0D82">
      <w:pPr>
        <w:pStyle w:val="SingleTxtG"/>
        <w:tabs>
          <w:tab w:val="left" w:pos="1560"/>
        </w:tabs>
        <w:ind w:left="1100"/>
        <w:rPr>
          <w:bCs/>
        </w:rPr>
      </w:pPr>
      <w:r w:rsidRPr="00D83045">
        <w:rPr>
          <w:bCs/>
        </w:rPr>
        <w:t>48.</w:t>
      </w:r>
      <w:r w:rsidRPr="00D83045">
        <w:rPr>
          <w:bCs/>
        </w:rPr>
        <w:tab/>
        <w:t>Pour la législature issue des élections de 2008, le pourcentage de femmes siégeant à l’Assemblée nationale est passé de 15</w:t>
      </w:r>
      <w:r>
        <w:rPr>
          <w:bCs/>
        </w:rPr>
        <w:t> </w:t>
      </w:r>
      <w:r w:rsidRPr="00D83045">
        <w:rPr>
          <w:bCs/>
        </w:rPr>
        <w:t>% à 38,6</w:t>
      </w:r>
      <w:r>
        <w:rPr>
          <w:bCs/>
        </w:rPr>
        <w:t> </w:t>
      </w:r>
      <w:r w:rsidRPr="00D83045">
        <w:rPr>
          <w:bCs/>
        </w:rPr>
        <w:t>%. Ce changement a aussi eu lieu dans d’autres domaines de la prise de décision</w:t>
      </w:r>
      <w:r>
        <w:rPr>
          <w:bCs/>
        </w:rPr>
        <w:t>s</w:t>
      </w:r>
      <w:r w:rsidRPr="00D83045">
        <w:rPr>
          <w:bCs/>
        </w:rPr>
        <w:t xml:space="preserve">:  </w:t>
      </w:r>
    </w:p>
    <w:p w:rsidR="007E0D82" w:rsidRPr="00D83045" w:rsidRDefault="007E0D82" w:rsidP="007E0D82">
      <w:pPr>
        <w:pStyle w:val="Heading1"/>
        <w:spacing w:after="120"/>
        <w:rPr>
          <w:b/>
        </w:rPr>
      </w:pPr>
      <w:r w:rsidRPr="00D83045">
        <w:rPr>
          <w:b/>
        </w:rPr>
        <w:t>Représentation à l’Assemblée nationale (hommes; femmes; membres)</w:t>
      </w:r>
    </w:p>
    <w:p w:rsidR="007E0D82" w:rsidRPr="00D83045" w:rsidRDefault="007E0D82" w:rsidP="007E0D82">
      <w:pPr>
        <w:tabs>
          <w:tab w:val="right" w:pos="850"/>
          <w:tab w:val="left" w:pos="1134"/>
          <w:tab w:val="left" w:pos="1559"/>
          <w:tab w:val="left" w:pos="1984"/>
          <w:tab w:val="left" w:leader="dot" w:pos="8929"/>
          <w:tab w:val="right" w:pos="9638"/>
        </w:tabs>
        <w:spacing w:after="120"/>
        <w:jc w:val="center"/>
      </w:pPr>
      <w:r w:rsidRPr="00D83045">
        <w:pict>
          <v:shape id="_x0000_i1032" type="#_x0000_t75" style="width:366pt;height:15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">
            <v:imagedata r:id="rId14" o:title=""/>
            <o:lock v:ext="edit" aspectratio="f"/>
          </v:shape>
        </w:pict>
      </w:r>
    </w:p>
    <w:p w:rsidR="007E0D82" w:rsidRPr="00D83045" w:rsidRDefault="007E0D82" w:rsidP="007E0D82">
      <w:pPr>
        <w:pStyle w:val="SingleTxtG"/>
        <w:tabs>
          <w:tab w:val="left" w:pos="1560"/>
        </w:tabs>
        <w:spacing w:before="240"/>
        <w:ind w:left="1100"/>
        <w:rPr>
          <w:bCs/>
        </w:rPr>
      </w:pPr>
      <w:r w:rsidRPr="00D83045">
        <w:rPr>
          <w:bCs/>
        </w:rPr>
        <w:t>49.</w:t>
      </w:r>
      <w:r w:rsidRPr="00D83045">
        <w:rPr>
          <w:bCs/>
        </w:rPr>
        <w:tab/>
        <w:t>Concernant la participation des femmes dans les organisations et associations non gouvernementales, l’action de sensibilisation entreprise par le Gouvernement a poussé à la mise en place d’un réseau des femmes ministres et des femmes parlementaires en 1999. Ce réseau est composé, outre les ministres et les députées, d’adjointes aux gouverneurs, d’ambassadeurs en activité et d’anciennes femmes ambassadeurs, de membres de l’Association des femmes chefs d’entreprise d’Angola créée en 2001, de l’Association des policières créée en 2004</w:t>
      </w:r>
      <w:r>
        <w:rPr>
          <w:bCs/>
        </w:rPr>
        <w:t>,</w:t>
      </w:r>
      <w:r w:rsidRPr="00D83045">
        <w:rPr>
          <w:bCs/>
        </w:rPr>
        <w:t xml:space="preserve"> de l’Association des femmes journalistes créée en 2008, de l’Association des femmes vivant avec le VIH et le sida créée en 2006 et de l’Association des femmes juristes. </w:t>
      </w:r>
    </w:p>
    <w:p w:rsidR="007E0D82" w:rsidRPr="00D83045" w:rsidRDefault="007E0D82" w:rsidP="007E0D82">
      <w:pPr>
        <w:pStyle w:val="H1G"/>
      </w:pPr>
      <w:r w:rsidRPr="00D83045">
        <w:tab/>
      </w:r>
      <w:r w:rsidRPr="00D83045">
        <w:tab/>
        <w:t>Article 8</w:t>
      </w:r>
      <w:r w:rsidRPr="00D83045">
        <w:br/>
        <w:t>Mesures appropriées pour la participation des femmes</w:t>
      </w:r>
      <w:r>
        <w:br/>
      </w:r>
      <w:r w:rsidRPr="00D83045">
        <w:t xml:space="preserve">à la représentation du pays sur le plan international </w:t>
      </w:r>
      <w:r w:rsidRPr="00D83045">
        <w:br/>
        <w:t>et aux travaux des organisations internationales</w:t>
      </w:r>
    </w:p>
    <w:p w:rsidR="007E0D82" w:rsidRPr="00D83045" w:rsidRDefault="007E0D82" w:rsidP="007E0D82">
      <w:pPr>
        <w:pStyle w:val="H23G"/>
      </w:pPr>
      <w:r w:rsidRPr="00D83045">
        <w:tab/>
        <w:t>1.</w:t>
      </w:r>
      <w:r w:rsidRPr="00D83045">
        <w:tab/>
        <w:t xml:space="preserve">Représentation et participation dans </w:t>
      </w:r>
      <w:r>
        <w:t xml:space="preserve">les </w:t>
      </w:r>
      <w:r w:rsidRPr="00D83045">
        <w:t xml:space="preserve">organisations internationales </w:t>
      </w:r>
    </w:p>
    <w:p w:rsidR="007E0D82" w:rsidRPr="00D83045" w:rsidRDefault="007E0D82" w:rsidP="007E0D82">
      <w:pPr>
        <w:pStyle w:val="SingleTxtG"/>
        <w:tabs>
          <w:tab w:val="left" w:pos="1560"/>
        </w:tabs>
        <w:ind w:left="1100"/>
        <w:rPr>
          <w:bCs/>
        </w:rPr>
      </w:pPr>
      <w:r w:rsidRPr="00D83045">
        <w:rPr>
          <w:bCs/>
        </w:rPr>
        <w:t>50.</w:t>
      </w:r>
      <w:r w:rsidRPr="00D83045">
        <w:rPr>
          <w:bCs/>
        </w:rPr>
        <w:tab/>
        <w:t>Depuis l’accession du pays à l’indépendance en 1975, l’Angola s’est efforcé de se conformer aux instruments juridiques internationaux. Ainsi, dans le milieu des années 1980, il a adhéré à certaines conventions internationales relatives à l’égalité des sexes, à savoir la Convention sur l’élimination de toutes les formes de discrimination à l’égard des femmes (17</w:t>
      </w:r>
      <w:r>
        <w:rPr>
          <w:bCs/>
        </w:rPr>
        <w:t> </w:t>
      </w:r>
      <w:r w:rsidRPr="00D83045">
        <w:rPr>
          <w:bCs/>
        </w:rPr>
        <w:t xml:space="preserve">septembre 1986) et la </w:t>
      </w:r>
      <w:r w:rsidRPr="00D83045">
        <w:rPr>
          <w:color w:val="000000"/>
        </w:rPr>
        <w:t xml:space="preserve">Convention sur les droits politiques de la femme </w:t>
      </w:r>
      <w:r w:rsidRPr="00D83045">
        <w:rPr>
          <w:bCs/>
        </w:rPr>
        <w:t xml:space="preserve">(1986). </w:t>
      </w:r>
    </w:p>
    <w:p w:rsidR="007E0D82" w:rsidRPr="00D83045" w:rsidRDefault="007E0D82" w:rsidP="007E0D82">
      <w:pPr>
        <w:pStyle w:val="SingleTxtG"/>
        <w:tabs>
          <w:tab w:val="left" w:pos="1560"/>
        </w:tabs>
        <w:ind w:left="1100"/>
        <w:rPr>
          <w:bCs/>
        </w:rPr>
      </w:pPr>
      <w:r w:rsidRPr="00D83045">
        <w:rPr>
          <w:bCs/>
        </w:rPr>
        <w:t>51.</w:t>
      </w:r>
      <w:r w:rsidRPr="00D83045">
        <w:rPr>
          <w:bCs/>
        </w:rPr>
        <w:tab/>
        <w:t xml:space="preserve">Le corps diplomatique est structuré comme suit: </w:t>
      </w:r>
      <w:r>
        <w:rPr>
          <w:bCs/>
        </w:rPr>
        <w:t>a</w:t>
      </w:r>
      <w:r w:rsidRPr="00D83045">
        <w:rPr>
          <w:bCs/>
        </w:rPr>
        <w:t xml:space="preserve">mbassadeurs, </w:t>
      </w:r>
      <w:r>
        <w:rPr>
          <w:bCs/>
        </w:rPr>
        <w:t>m</w:t>
      </w:r>
      <w:r w:rsidRPr="00D83045">
        <w:rPr>
          <w:bCs/>
        </w:rPr>
        <w:t xml:space="preserve">inistres </w:t>
      </w:r>
      <w:r>
        <w:rPr>
          <w:bCs/>
        </w:rPr>
        <w:t>c</w:t>
      </w:r>
      <w:r w:rsidRPr="00D83045">
        <w:rPr>
          <w:bCs/>
        </w:rPr>
        <w:t xml:space="preserve">onseillers, </w:t>
      </w:r>
      <w:r>
        <w:rPr>
          <w:bCs/>
        </w:rPr>
        <w:t>c</w:t>
      </w:r>
      <w:r w:rsidRPr="00D83045">
        <w:rPr>
          <w:bCs/>
        </w:rPr>
        <w:t xml:space="preserve">onseillers, </w:t>
      </w:r>
      <w:r>
        <w:rPr>
          <w:bCs/>
        </w:rPr>
        <w:t>p</w:t>
      </w:r>
      <w:r w:rsidRPr="00D83045">
        <w:rPr>
          <w:bCs/>
        </w:rPr>
        <w:t xml:space="preserve">remiers, </w:t>
      </w:r>
      <w:r>
        <w:rPr>
          <w:bCs/>
        </w:rPr>
        <w:t>d</w:t>
      </w:r>
      <w:r w:rsidRPr="00D83045">
        <w:rPr>
          <w:bCs/>
        </w:rPr>
        <w:t xml:space="preserve">euxièmes et </w:t>
      </w:r>
      <w:r>
        <w:rPr>
          <w:bCs/>
        </w:rPr>
        <w:t>t</w:t>
      </w:r>
      <w:r w:rsidRPr="00D83045">
        <w:rPr>
          <w:bCs/>
        </w:rPr>
        <w:t xml:space="preserve">roisièmes </w:t>
      </w:r>
      <w:r>
        <w:rPr>
          <w:bCs/>
        </w:rPr>
        <w:t>s</w:t>
      </w:r>
      <w:r w:rsidRPr="00D83045">
        <w:rPr>
          <w:bCs/>
        </w:rPr>
        <w:t xml:space="preserve">ecrétaires, </w:t>
      </w:r>
      <w:r>
        <w:rPr>
          <w:bCs/>
        </w:rPr>
        <w:t>a</w:t>
      </w:r>
      <w:r w:rsidRPr="00D83045">
        <w:rPr>
          <w:bCs/>
        </w:rPr>
        <w:t xml:space="preserve">ttachés (il s’agit là d’une catégorie pour simplement entrer dans la carrière, les diplomates devenant </w:t>
      </w:r>
      <w:r>
        <w:rPr>
          <w:bCs/>
        </w:rPr>
        <w:t>t</w:t>
      </w:r>
      <w:r w:rsidRPr="00D83045">
        <w:rPr>
          <w:bCs/>
        </w:rPr>
        <w:t xml:space="preserve">roisième </w:t>
      </w:r>
      <w:r>
        <w:rPr>
          <w:bCs/>
        </w:rPr>
        <w:t>s</w:t>
      </w:r>
      <w:r w:rsidRPr="00D83045">
        <w:rPr>
          <w:bCs/>
        </w:rPr>
        <w:t xml:space="preserve">ecrétaire à l’issue de leur période probatoire) et </w:t>
      </w:r>
      <w:r>
        <w:rPr>
          <w:bCs/>
        </w:rPr>
        <w:t>c</w:t>
      </w:r>
      <w:r w:rsidRPr="00D83045">
        <w:rPr>
          <w:bCs/>
        </w:rPr>
        <w:t>onsuls généraux, qui n’appartiennent pas à une catégorie diplomatique. À l’exception de l’</w:t>
      </w:r>
      <w:r>
        <w:rPr>
          <w:bCs/>
        </w:rPr>
        <w:t>a</w:t>
      </w:r>
      <w:r w:rsidRPr="00D83045">
        <w:rPr>
          <w:bCs/>
        </w:rPr>
        <w:t xml:space="preserve">mbassadeur, tous, y compris le </w:t>
      </w:r>
      <w:r>
        <w:rPr>
          <w:bCs/>
        </w:rPr>
        <w:t>c</w:t>
      </w:r>
      <w:r w:rsidRPr="00D83045">
        <w:rPr>
          <w:bCs/>
        </w:rPr>
        <w:t>onsul, sont nommés sur proposition du Ministre des affaires étrangères.</w:t>
      </w:r>
    </w:p>
    <w:p w:rsidR="007E0D82" w:rsidRPr="00D83045" w:rsidRDefault="007E0D82" w:rsidP="007E0D82">
      <w:pPr>
        <w:pStyle w:val="SingleTxtG"/>
        <w:tabs>
          <w:tab w:val="left" w:pos="1560"/>
        </w:tabs>
        <w:ind w:left="1100"/>
        <w:rPr>
          <w:bCs/>
        </w:rPr>
      </w:pPr>
      <w:r w:rsidRPr="00D83045">
        <w:rPr>
          <w:bCs/>
        </w:rPr>
        <w:t>52.</w:t>
      </w:r>
      <w:r w:rsidRPr="00D83045">
        <w:rPr>
          <w:bCs/>
        </w:rPr>
        <w:tab/>
        <w:t xml:space="preserve">L’on accède à la carrière diplomatique par voie d’un concours de la fonction publique, sans distinction de race, de sexe ou de convictions religieuses. Le tableau et le graphique ci-après montrent une tendance de plus en plus marquée vers un équilibre entre les sexes.  </w:t>
      </w:r>
    </w:p>
    <w:p w:rsidR="007E0D82" w:rsidRPr="00D83045" w:rsidRDefault="007E0D82" w:rsidP="007E0D82">
      <w:pPr>
        <w:pStyle w:val="SingleTxtG"/>
      </w:pPr>
      <w:r w:rsidRPr="00D83045">
        <w:rPr>
          <w:b/>
        </w:rPr>
        <w:t>Note</w:t>
      </w:r>
      <w:r w:rsidRPr="00D83045">
        <w:t xml:space="preserve">: L’on peut mentionner, entre autres représentantes, une Angolaise qui est Secrétaire générale de l’Organisation interafricaine du café et une autre qui est </w:t>
      </w:r>
      <w:r>
        <w:t xml:space="preserve">quatrième </w:t>
      </w:r>
      <w:r w:rsidRPr="00D83045">
        <w:t>Vice-Présidente de l’Organisation africaine des sports.</w:t>
      </w:r>
    </w:p>
    <w:p w:rsidR="007E0D82" w:rsidRPr="00D83045" w:rsidRDefault="007E0D82" w:rsidP="007E0D82">
      <w:pPr>
        <w:pStyle w:val="Heading1"/>
        <w:spacing w:after="120"/>
        <w:rPr>
          <w:b/>
        </w:rPr>
      </w:pPr>
      <w:r w:rsidRPr="00D83045">
        <w:rPr>
          <w:b/>
        </w:rPr>
        <w:t>Évolution de la composition du corps diplomatique (hommes; femmes)</w:t>
      </w:r>
    </w:p>
    <w:p w:rsidR="007E0D82" w:rsidRPr="00D83045" w:rsidRDefault="007E0D82" w:rsidP="007E0D82">
      <w:pPr>
        <w:tabs>
          <w:tab w:val="right" w:pos="850"/>
          <w:tab w:val="left" w:pos="1134"/>
          <w:tab w:val="left" w:pos="1559"/>
          <w:tab w:val="left" w:pos="1984"/>
          <w:tab w:val="left" w:leader="dot" w:pos="8929"/>
          <w:tab w:val="right" w:pos="9638"/>
        </w:tabs>
        <w:spacing w:after="120"/>
        <w:jc w:val="center"/>
      </w:pPr>
      <w:r w:rsidRPr="00D83045">
        <w:rPr>
          <w:b/>
        </w:rPr>
        <w:pict>
          <v:shape id="Gráfico 4" o:spid="_x0000_i1033" type="#_x0000_t75" style="width:366pt;height:16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">
            <v:imagedata r:id="rId15" o:title=""/>
            <o:lock v:ext="edit" aspectratio="f"/>
          </v:shape>
        </w:pict>
      </w:r>
    </w:p>
    <w:p w:rsidR="007E0D82" w:rsidRPr="00D83045" w:rsidRDefault="007E0D82" w:rsidP="007E0D82">
      <w:pPr>
        <w:pStyle w:val="H1G"/>
      </w:pPr>
      <w:r w:rsidRPr="00D83045">
        <w:tab/>
      </w:r>
      <w:r w:rsidRPr="00D83045">
        <w:tab/>
        <w:t>Article 9</w:t>
      </w:r>
      <w:r w:rsidRPr="00D83045">
        <w:br/>
        <w:t xml:space="preserve">Veiller à ce que les femmes ne perdent pas leur nationalité </w:t>
      </w:r>
      <w:r w:rsidRPr="00D83045">
        <w:br/>
        <w:t xml:space="preserve">après un mariage avec des étrangers et puissent transmettre </w:t>
      </w:r>
      <w:r w:rsidRPr="00D83045">
        <w:br/>
        <w:t xml:space="preserve">leur nationalité à leurs enfants </w:t>
      </w:r>
    </w:p>
    <w:p w:rsidR="007E0D82" w:rsidRPr="00D83045" w:rsidRDefault="007E0D82" w:rsidP="007E0D82">
      <w:pPr>
        <w:pStyle w:val="H23G"/>
      </w:pPr>
      <w:r w:rsidRPr="00D83045">
        <w:tab/>
      </w:r>
      <w:r w:rsidRPr="00D83045">
        <w:tab/>
        <w:t>Loi sur la nationalité</w:t>
      </w:r>
    </w:p>
    <w:p w:rsidR="007E0D82" w:rsidRPr="00D83045" w:rsidRDefault="007E0D82" w:rsidP="007E0D82">
      <w:pPr>
        <w:pStyle w:val="SingleTxtG"/>
        <w:tabs>
          <w:tab w:val="left" w:pos="1560"/>
        </w:tabs>
        <w:ind w:left="1100"/>
        <w:rPr>
          <w:bCs/>
        </w:rPr>
      </w:pPr>
      <w:r w:rsidRPr="00D83045">
        <w:rPr>
          <w:bCs/>
        </w:rPr>
        <w:t>53.</w:t>
      </w:r>
      <w:r w:rsidRPr="00D83045">
        <w:rPr>
          <w:bCs/>
        </w:rPr>
        <w:tab/>
        <w:t>Un étranger qui se marie à une Angolaise, ou une étrangère qui se marie à un Angolais</w:t>
      </w:r>
      <w:r>
        <w:rPr>
          <w:bCs/>
        </w:rPr>
        <w:t>,</w:t>
      </w:r>
      <w:r w:rsidRPr="00D83045">
        <w:rPr>
          <w:bCs/>
        </w:rPr>
        <w:t xml:space="preserve"> peut devenir citoyen angolais après cinq ans de mariage, sous réserve que la demande en soit faite et d’une enquête sur le conjoint. Le mariage avec une personne étrangère n’a pas d’effet sur la nationalité du conjoint angolais. Par conséquent, aucun Angolais et aucune Angolaise ne perd sa nationalité du fait d’un mariage avec une personne étrangère. </w:t>
      </w:r>
    </w:p>
    <w:p w:rsidR="007E0D82" w:rsidRPr="00D83045" w:rsidRDefault="007E0D82" w:rsidP="007E0D82">
      <w:pPr>
        <w:pStyle w:val="SingleTxtG"/>
        <w:tabs>
          <w:tab w:val="left" w:pos="1560"/>
        </w:tabs>
        <w:ind w:left="1100"/>
        <w:rPr>
          <w:bCs/>
        </w:rPr>
      </w:pPr>
      <w:r w:rsidRPr="00D83045">
        <w:rPr>
          <w:bCs/>
        </w:rPr>
        <w:t>54.</w:t>
      </w:r>
      <w:r w:rsidRPr="00D83045">
        <w:rPr>
          <w:bCs/>
        </w:rPr>
        <w:tab/>
        <w:t xml:space="preserve">Les seuls Angolais qui perdent leur nationalité sont ceux qui deviennent volontairement citoyens d’un autre pays en renonçant à la nationalité angolaise; ceux qui exercent, sans autorisation de l’Assemblée nationale, des fonctions de souveraineté en faveur d’un pays étranger; des enfants mineurs nés à l’étranger de parents angolais, qui deviennent citoyens du pays de leur naissance et à leur majorité renoncent à la nationalité angolaise; les enfants adoptés par des étrangers, qui, à leur majorité, renoncent à la nationalité angolaise. </w:t>
      </w:r>
    </w:p>
    <w:p w:rsidR="007E0D82" w:rsidRPr="00D83045" w:rsidRDefault="007E0D82" w:rsidP="007E0D82">
      <w:pPr>
        <w:pStyle w:val="SingleTxtG"/>
        <w:tabs>
          <w:tab w:val="left" w:pos="1560"/>
        </w:tabs>
        <w:ind w:left="1100"/>
        <w:rPr>
          <w:bCs/>
        </w:rPr>
      </w:pPr>
      <w:r w:rsidRPr="00D83045">
        <w:rPr>
          <w:bCs/>
        </w:rPr>
        <w:t>55.</w:t>
      </w:r>
      <w:r w:rsidRPr="00D83045">
        <w:rPr>
          <w:bCs/>
        </w:rPr>
        <w:tab/>
        <w:t>La loi sur la nationalité en vigueur prévoit aussi le droit à la nationalité pour un enfant né en Angola de père angolais ou de mère angolaise, ou pour un enfant né à l’étranger de père angolais ou de mère angolaise; ainsi, le champ d’application de la loi est-</w:t>
      </w:r>
      <w:r>
        <w:rPr>
          <w:bCs/>
        </w:rPr>
        <w:t>il</w:t>
      </w:r>
      <w:r w:rsidRPr="00D83045">
        <w:rPr>
          <w:bCs/>
        </w:rPr>
        <w:t xml:space="preserve"> très vaste. Elle garantit que tout enfant de sexe féminin né de mère angolaise, quelle que soit la nationalité du père, </w:t>
      </w:r>
      <w:r>
        <w:rPr>
          <w:bCs/>
        </w:rPr>
        <w:t>a la</w:t>
      </w:r>
      <w:r w:rsidRPr="00D83045">
        <w:rPr>
          <w:bCs/>
        </w:rPr>
        <w:t xml:space="preserve"> citoyenne</w:t>
      </w:r>
      <w:r>
        <w:rPr>
          <w:bCs/>
        </w:rPr>
        <w:t>té</w:t>
      </w:r>
      <w:r w:rsidRPr="00D83045">
        <w:rPr>
          <w:bCs/>
        </w:rPr>
        <w:t xml:space="preserve"> angolaise, qu’</w:t>
      </w:r>
      <w:r>
        <w:rPr>
          <w:bCs/>
        </w:rPr>
        <w:t xml:space="preserve">il </w:t>
      </w:r>
      <w:r w:rsidRPr="00D83045">
        <w:rPr>
          <w:bCs/>
        </w:rPr>
        <w:t xml:space="preserve">soit né à l’étranger ou en Angola.  </w:t>
      </w:r>
    </w:p>
    <w:p w:rsidR="007E0D82" w:rsidRPr="00D83045" w:rsidRDefault="007E0D82" w:rsidP="007E0D82">
      <w:pPr>
        <w:pStyle w:val="H1G"/>
      </w:pPr>
      <w:r w:rsidRPr="00D83045">
        <w:tab/>
      </w:r>
      <w:r w:rsidRPr="00D83045">
        <w:tab/>
        <w:t>Article 10</w:t>
      </w:r>
      <w:r>
        <w:br/>
      </w:r>
      <w:r w:rsidRPr="00D83045">
        <w:t xml:space="preserve">Mesures appropriées visant à lever tous les obstacles </w:t>
      </w:r>
      <w:r>
        <w:br/>
      </w:r>
      <w:r w:rsidRPr="00D83045">
        <w:t>à l’accès à l’éducation, aux sports et à la santé</w:t>
      </w:r>
    </w:p>
    <w:p w:rsidR="007E0D82" w:rsidRPr="00D83045" w:rsidRDefault="007E0D82" w:rsidP="007E0D82">
      <w:pPr>
        <w:pStyle w:val="H23G"/>
      </w:pPr>
      <w:r w:rsidRPr="00D83045">
        <w:tab/>
        <w:t>1.</w:t>
      </w:r>
      <w:r w:rsidRPr="00D83045">
        <w:tab/>
        <w:t>Éducation et formation professionnelle</w:t>
      </w:r>
    </w:p>
    <w:p w:rsidR="007E0D82" w:rsidRPr="00D83045" w:rsidRDefault="007E0D82" w:rsidP="007E0D82">
      <w:pPr>
        <w:pStyle w:val="SingleTxtG"/>
        <w:tabs>
          <w:tab w:val="left" w:pos="1560"/>
        </w:tabs>
        <w:ind w:left="1100"/>
        <w:rPr>
          <w:bCs/>
        </w:rPr>
      </w:pPr>
      <w:r w:rsidRPr="00D83045">
        <w:rPr>
          <w:bCs/>
        </w:rPr>
        <w:t>56.</w:t>
      </w:r>
      <w:r w:rsidRPr="00D83045">
        <w:rPr>
          <w:bCs/>
        </w:rPr>
        <w:tab/>
        <w:t xml:space="preserve">L’accès à l’éducation est un droit garanti par la Constitution de la République d’Angola. Le paragraphe 1 de l’article 79 de la Constitution dispose que l’État favorise l’accès à l’alphabétisation, l’enseignement et au sport, tout en stimulant la participation des divers agents privés à sa réalisation.  </w:t>
      </w:r>
    </w:p>
    <w:p w:rsidR="007E0D82" w:rsidRPr="00D83045" w:rsidRDefault="007E0D82" w:rsidP="007E0D82">
      <w:pPr>
        <w:pStyle w:val="SingleTxtG"/>
        <w:tabs>
          <w:tab w:val="left" w:pos="1560"/>
        </w:tabs>
        <w:ind w:left="1100"/>
        <w:rPr>
          <w:bCs/>
        </w:rPr>
      </w:pPr>
      <w:r w:rsidRPr="00D83045">
        <w:rPr>
          <w:bCs/>
        </w:rPr>
        <w:t>57.</w:t>
      </w:r>
      <w:r w:rsidRPr="00D83045">
        <w:rPr>
          <w:bCs/>
        </w:rPr>
        <w:tab/>
        <w:t>Le système éducatif angolais se caractérisait à tous les niveaux par un faible taux de scolarisation (41</w:t>
      </w:r>
      <w:r>
        <w:rPr>
          <w:bCs/>
        </w:rPr>
        <w:t> </w:t>
      </w:r>
      <w:r w:rsidRPr="00D83045">
        <w:rPr>
          <w:bCs/>
        </w:rPr>
        <w:t>% des enfants n’étaient pas scolarisés en 1997, soit un déficit de 50</w:t>
      </w:r>
      <w:r>
        <w:rPr>
          <w:bCs/>
        </w:rPr>
        <w:t> </w:t>
      </w:r>
      <w:r w:rsidRPr="00D83045">
        <w:rPr>
          <w:bCs/>
        </w:rPr>
        <w:t>000 élèves), du fait de la guerre qui s’est poursuivi</w:t>
      </w:r>
      <w:r>
        <w:rPr>
          <w:bCs/>
        </w:rPr>
        <w:t>e</w:t>
      </w:r>
      <w:r w:rsidRPr="00D83045">
        <w:rPr>
          <w:bCs/>
        </w:rPr>
        <w:t xml:space="preserve"> jusqu’en 2002.</w:t>
      </w:r>
    </w:p>
    <w:p w:rsidR="007E0D82" w:rsidRPr="00D83045" w:rsidRDefault="007E0D82" w:rsidP="007E0D82">
      <w:pPr>
        <w:pStyle w:val="SingleTxtG"/>
        <w:tabs>
          <w:tab w:val="left" w:pos="1560"/>
        </w:tabs>
        <w:ind w:left="1100"/>
        <w:rPr>
          <w:bCs/>
        </w:rPr>
      </w:pPr>
      <w:r w:rsidRPr="00D83045">
        <w:rPr>
          <w:bCs/>
        </w:rPr>
        <w:t>58.</w:t>
      </w:r>
      <w:r w:rsidRPr="00D83045">
        <w:rPr>
          <w:bCs/>
        </w:rPr>
        <w:tab/>
        <w:t>En 2008, le système éducatif comptait 5 736</w:t>
      </w:r>
      <w:r>
        <w:rPr>
          <w:bCs/>
        </w:rPr>
        <w:t> </w:t>
      </w:r>
      <w:r w:rsidRPr="00D83045">
        <w:rPr>
          <w:bCs/>
        </w:rPr>
        <w:t xml:space="preserve">520 élèves (dont la majorité dans l’enseignement élémentaire, voir tableau 12 </w:t>
      </w:r>
      <w:r>
        <w:rPr>
          <w:bCs/>
        </w:rPr>
        <w:t>− </w:t>
      </w:r>
      <w:r w:rsidRPr="00D83045">
        <w:rPr>
          <w:bCs/>
        </w:rPr>
        <w:t>élèves par niveau d’études), 191</w:t>
      </w:r>
      <w:r>
        <w:rPr>
          <w:bCs/>
        </w:rPr>
        <w:t> </w:t>
      </w:r>
      <w:r w:rsidRPr="00D83045">
        <w:rPr>
          <w:bCs/>
        </w:rPr>
        <w:t>867 enseignants, dont 65</w:t>
      </w:r>
      <w:r>
        <w:rPr>
          <w:bCs/>
        </w:rPr>
        <w:t> </w:t>
      </w:r>
      <w:r w:rsidRPr="00D83045">
        <w:rPr>
          <w:bCs/>
        </w:rPr>
        <w:t>% ont reçu une formation d’enseignant, et 50</w:t>
      </w:r>
      <w:r>
        <w:rPr>
          <w:bCs/>
        </w:rPr>
        <w:t> </w:t>
      </w:r>
      <w:r w:rsidRPr="00D83045">
        <w:rPr>
          <w:bCs/>
        </w:rPr>
        <w:t xml:space="preserve">516 salles de classe. </w:t>
      </w:r>
    </w:p>
    <w:p w:rsidR="007E0D82" w:rsidRPr="00D83045" w:rsidRDefault="007E0D82" w:rsidP="007E0D82">
      <w:pPr>
        <w:pStyle w:val="SingleTxtG"/>
        <w:tabs>
          <w:tab w:val="left" w:pos="1560"/>
        </w:tabs>
        <w:ind w:left="1100"/>
        <w:rPr>
          <w:bCs/>
        </w:rPr>
      </w:pPr>
      <w:r w:rsidRPr="00D83045">
        <w:rPr>
          <w:bCs/>
        </w:rPr>
        <w:t>59.</w:t>
      </w:r>
      <w:r w:rsidRPr="00D83045">
        <w:rPr>
          <w:bCs/>
        </w:rPr>
        <w:tab/>
        <w:t>La capacité d’accueil de nouveaux élèves est passée de 2 558</w:t>
      </w:r>
      <w:r>
        <w:rPr>
          <w:bCs/>
        </w:rPr>
        <w:t> </w:t>
      </w:r>
      <w:r w:rsidRPr="00D83045">
        <w:rPr>
          <w:bCs/>
        </w:rPr>
        <w:t>136 à 5 736</w:t>
      </w:r>
      <w:r>
        <w:rPr>
          <w:bCs/>
        </w:rPr>
        <w:t> </w:t>
      </w:r>
      <w:r w:rsidRPr="00D83045">
        <w:rPr>
          <w:bCs/>
        </w:rPr>
        <w:t>520. En d’autres termes, entre 2002 et 2008, 3 178 384 nouvelles places ont été créées dans le système scolaire angolais. Afin de réaliser les objectifs de réduction des inégalités</w:t>
      </w:r>
      <w:r>
        <w:rPr>
          <w:bCs/>
        </w:rPr>
        <w:t xml:space="preserve"> </w:t>
      </w:r>
      <w:r w:rsidRPr="00D83045">
        <w:rPr>
          <w:bCs/>
        </w:rPr>
        <w:t>régionales et contribuer activement au développement national, le Gouvernement a pris des mesures d’incitation pour accroître le nombre d’élèves dans les provinces de l’intérieur, ce qui a permis d’atteindre un taux de scolarisation de 66,3</w:t>
      </w:r>
      <w:r>
        <w:rPr>
          <w:bCs/>
        </w:rPr>
        <w:t> </w:t>
      </w:r>
      <w:r w:rsidRPr="00D83045">
        <w:rPr>
          <w:bCs/>
        </w:rPr>
        <w:t>% dans l’intérieur du pays et 33,7</w:t>
      </w:r>
      <w:r>
        <w:rPr>
          <w:bCs/>
        </w:rPr>
        <w:t> </w:t>
      </w:r>
      <w:r w:rsidRPr="00D83045">
        <w:rPr>
          <w:bCs/>
        </w:rPr>
        <w:t>% sur la côte.</w:t>
      </w:r>
    </w:p>
    <w:p w:rsidR="007E0D82" w:rsidRPr="00D83045" w:rsidRDefault="007E0D82" w:rsidP="007E0D82">
      <w:pPr>
        <w:pStyle w:val="SingleTxtG"/>
        <w:tabs>
          <w:tab w:val="left" w:pos="1560"/>
        </w:tabs>
        <w:spacing w:after="100"/>
        <w:ind w:left="1100"/>
        <w:rPr>
          <w:bCs/>
        </w:rPr>
      </w:pPr>
      <w:r w:rsidRPr="00D83045">
        <w:rPr>
          <w:bCs/>
        </w:rPr>
        <w:t>60.</w:t>
      </w:r>
      <w:r w:rsidRPr="00D83045">
        <w:rPr>
          <w:bCs/>
        </w:rPr>
        <w:tab/>
        <w:t xml:space="preserve">L’enseignement spécial, une forme d’enseignement largement diffusée en 2004, concerne plus de 10 000 élèves dans les 18 provinces, élèves qui se trouvent à divers niveaux d’enseignement, y compris l’enseignement supérieur. </w:t>
      </w:r>
    </w:p>
    <w:p w:rsidR="007E0D82" w:rsidRPr="00D83045" w:rsidRDefault="007E0D82" w:rsidP="007E0D82">
      <w:pPr>
        <w:pStyle w:val="SingleTxtG"/>
        <w:tabs>
          <w:tab w:val="left" w:pos="1560"/>
        </w:tabs>
        <w:spacing w:after="100"/>
        <w:ind w:left="1100"/>
        <w:rPr>
          <w:bCs/>
        </w:rPr>
      </w:pPr>
      <w:r w:rsidRPr="00D83045">
        <w:rPr>
          <w:bCs/>
        </w:rPr>
        <w:t>61.</w:t>
      </w:r>
      <w:r w:rsidRPr="00D83045">
        <w:rPr>
          <w:bCs/>
        </w:rPr>
        <w:tab/>
        <w:t xml:space="preserve">Les écoles privées et sous contrat, créées en 1992 par le décret </w:t>
      </w:r>
      <w:r w:rsidRPr="00D83045">
        <w:rPr>
          <w:rFonts w:eastAsia="MS Mincho"/>
          <w:bCs/>
        </w:rPr>
        <w:t>n</w:t>
      </w:r>
      <w:r w:rsidRPr="00D83045">
        <w:rPr>
          <w:rFonts w:eastAsia="MS Mincho"/>
          <w:bCs/>
          <w:vertAlign w:val="superscript"/>
        </w:rPr>
        <w:t>o</w:t>
      </w:r>
      <w:r w:rsidRPr="00D83045">
        <w:rPr>
          <w:rFonts w:eastAsia="MS Mincho"/>
          <w:bCs/>
        </w:rPr>
        <w:t> </w:t>
      </w:r>
      <w:r w:rsidRPr="00D83045">
        <w:rPr>
          <w:bCs/>
        </w:rPr>
        <w:t xml:space="preserve">21/91, avaient pour objet d’aider à réduire le nombre d’élèves se trouvant hors du système scolaire. Il s’agit d’importants alliés pour accroître l’accès à l’enseignement et sont de ce fait par là des partenaires du Ministère de l’éducation. De 2001 à 2007, le nombre d’écoles s’est accru de 368, avec un total de 3 000 salles de classe et 8 223 enseignants pour 153 940 élèves dans les écoles privées (créées par des </w:t>
      </w:r>
      <w:r>
        <w:rPr>
          <w:bCs/>
        </w:rPr>
        <w:t>É</w:t>
      </w:r>
      <w:r w:rsidRPr="00D83045">
        <w:rPr>
          <w:bCs/>
        </w:rPr>
        <w:t>glises et des organisations d’utilité publique). L’Angola compte un total de 713 écoles sous contrat, qui disposent de 2 052 salles de classe pour 143 640 élèves dans l’enseignement primaire et secondaire (premier et second cycles).</w:t>
      </w:r>
    </w:p>
    <w:p w:rsidR="007E0D82" w:rsidRPr="00D83045" w:rsidRDefault="007E0D82" w:rsidP="007A79C8">
      <w:pPr>
        <w:pStyle w:val="SingleTxtG"/>
        <w:tabs>
          <w:tab w:val="left" w:pos="1560"/>
        </w:tabs>
        <w:ind w:left="1100"/>
        <w:rPr>
          <w:bCs/>
        </w:rPr>
      </w:pPr>
      <w:r w:rsidRPr="00D83045">
        <w:rPr>
          <w:bCs/>
        </w:rPr>
        <w:t>62.</w:t>
      </w:r>
      <w:r w:rsidRPr="00D83045">
        <w:rPr>
          <w:bCs/>
        </w:rPr>
        <w:tab/>
        <w:t>Pour l’enseignement supérieur, en 1997, l’université publique comptait 7 916 étudiants, dont 39 % de femmes qui avaient pour domaines de prédilection l’enseignement, les études commerciales et le droit.</w:t>
      </w:r>
    </w:p>
    <w:p w:rsidR="007E0D82" w:rsidRPr="00D83045" w:rsidRDefault="007E0D82" w:rsidP="007A79C8">
      <w:pPr>
        <w:pStyle w:val="SingleTxtG"/>
        <w:tabs>
          <w:tab w:val="left" w:pos="1560"/>
        </w:tabs>
        <w:ind w:left="1100"/>
        <w:rPr>
          <w:bCs/>
        </w:rPr>
      </w:pPr>
      <w:r w:rsidRPr="00D83045">
        <w:rPr>
          <w:bCs/>
        </w:rPr>
        <w:t>63.</w:t>
      </w:r>
      <w:r w:rsidRPr="00D83045">
        <w:rPr>
          <w:bCs/>
        </w:rPr>
        <w:tab/>
        <w:t>Avec la libéralisation du secteur de l’enseignement, les écoles privées ont commencé à devenir des solutions de remplacement pour les familles. Diverses universités privées ont été créées, dont les frais de scolarité allaient de 150 à 300 dollars des États-Unis. Afin d’améliorer le secteur de l’éducation, le Gouvernement a créé le Ministère d’État chargé de l’enseignement supérieur, qui a alors commencé à coordonn</w:t>
      </w:r>
      <w:r>
        <w:rPr>
          <w:bCs/>
        </w:rPr>
        <w:t>er</w:t>
      </w:r>
      <w:r w:rsidRPr="00D83045">
        <w:rPr>
          <w:bCs/>
        </w:rPr>
        <w:t xml:space="preserve"> les activités dans le secteur. Aujourd’hui, l’université publique compte 8 départements, des instituts supérieurs et diverses antennes dans 8 provinces du pays, et il existe un pourcentage élevé de femmes qui sont étudiantes en médecine, en économie ou dans le domaine de l’enseignement (voir tableau 11 des diplômés de l’Universidade Agostinho Neto par domaines d’études).</w:t>
      </w:r>
    </w:p>
    <w:p w:rsidR="007E0D82" w:rsidRPr="00D83045" w:rsidRDefault="007E0D82" w:rsidP="007A79C8">
      <w:pPr>
        <w:pStyle w:val="SingleTxtG"/>
        <w:tabs>
          <w:tab w:val="left" w:pos="1560"/>
        </w:tabs>
        <w:ind w:left="1100"/>
        <w:rPr>
          <w:bCs/>
        </w:rPr>
      </w:pPr>
      <w:r w:rsidRPr="00D83045">
        <w:rPr>
          <w:bCs/>
        </w:rPr>
        <w:t>64.</w:t>
      </w:r>
      <w:r w:rsidRPr="00D83045">
        <w:rPr>
          <w:bCs/>
        </w:rPr>
        <w:tab/>
        <w:t>De façon générale, depuis la mise en œuvre de la réforme de l’enseignement, des améliorations ont été enregistrées dans les principaux indicateurs du système, comme le montre le tableau ci-après:</w:t>
      </w:r>
    </w:p>
    <w:p w:rsidR="007E0D82" w:rsidRDefault="007E0D82" w:rsidP="007A79C8">
      <w:pPr>
        <w:pStyle w:val="Heading1"/>
        <w:spacing w:after="120"/>
        <w:ind w:right="1134"/>
        <w:rPr>
          <w:b/>
        </w:rPr>
      </w:pPr>
      <w:r w:rsidRPr="00D83045">
        <w:rPr>
          <w:b/>
        </w:rPr>
        <w:t>Changements dans les principaux indicateurs du Ministère de l’</w:t>
      </w:r>
      <w:r>
        <w:rPr>
          <w:b/>
        </w:rPr>
        <w:t>é</w:t>
      </w:r>
      <w:r w:rsidRPr="00D83045">
        <w:rPr>
          <w:b/>
        </w:rPr>
        <w:t xml:space="preserve">ducation </w:t>
      </w:r>
      <w:r w:rsidRPr="00D83045">
        <w:rPr>
          <w:b/>
        </w:rPr>
        <w:br/>
        <w:t>de 2004 à 2007</w:t>
      </w:r>
    </w:p>
    <w:tbl>
      <w:tblPr>
        <w:tblW w:w="8505" w:type="dxa"/>
        <w:tblInd w:w="1134" w:type="dxa"/>
        <w:tblLayout w:type="fixed"/>
        <w:tblCellMar>
          <w:left w:w="0" w:type="dxa"/>
          <w:right w:w="0" w:type="dxa"/>
        </w:tblCellMar>
        <w:tblLook w:val="00A0" w:firstRow="1" w:lastRow="0" w:firstColumn="1" w:lastColumn="0" w:noHBand="0" w:noVBand="0"/>
      </w:tblPr>
      <w:tblGrid>
        <w:gridCol w:w="3140"/>
        <w:gridCol w:w="2093"/>
        <w:gridCol w:w="1047"/>
        <w:gridCol w:w="1047"/>
        <w:gridCol w:w="1178"/>
      </w:tblGrid>
      <w:tr w:rsidR="00A1696B" w:rsidRPr="00A1696B" w:rsidTr="00A1696B">
        <w:tc>
          <w:tcPr>
            <w:tcW w:w="3140" w:type="dxa"/>
            <w:tcBorders>
              <w:top w:val="single" w:sz="4" w:space="0" w:color="auto"/>
              <w:bottom w:val="single" w:sz="12" w:space="0" w:color="auto"/>
            </w:tcBorders>
            <w:shd w:val="clear" w:color="auto" w:fill="auto"/>
          </w:tcPr>
          <w:p w:rsidR="00A1696B" w:rsidRPr="00A1696B" w:rsidRDefault="00A1696B" w:rsidP="00A1696B">
            <w:pPr>
              <w:suppressAutoHyphens w:val="0"/>
              <w:spacing w:before="80" w:after="80" w:line="200" w:lineRule="exact"/>
              <w:rPr>
                <w:i/>
                <w:sz w:val="16"/>
                <w:szCs w:val="16"/>
              </w:rPr>
            </w:pPr>
            <w:r w:rsidRPr="00A1696B">
              <w:rPr>
                <w:i/>
                <w:sz w:val="16"/>
                <w:szCs w:val="16"/>
              </w:rPr>
              <w:t>Indicateurs</w:t>
            </w:r>
          </w:p>
        </w:tc>
        <w:tc>
          <w:tcPr>
            <w:tcW w:w="2093" w:type="dxa"/>
            <w:tcBorders>
              <w:top w:val="single" w:sz="4" w:space="0" w:color="auto"/>
              <w:bottom w:val="single" w:sz="12" w:space="0" w:color="auto"/>
            </w:tcBorders>
          </w:tcPr>
          <w:p w:rsidR="00A1696B" w:rsidRPr="00A1696B" w:rsidRDefault="00A1696B" w:rsidP="00A1696B">
            <w:pPr>
              <w:suppressAutoHyphens w:val="0"/>
              <w:spacing w:before="80" w:after="80" w:line="200" w:lineRule="exact"/>
              <w:jc w:val="right"/>
              <w:rPr>
                <w:i/>
                <w:sz w:val="16"/>
                <w:szCs w:val="16"/>
              </w:rPr>
            </w:pPr>
          </w:p>
        </w:tc>
        <w:tc>
          <w:tcPr>
            <w:tcW w:w="1047" w:type="dxa"/>
            <w:tcBorders>
              <w:top w:val="single" w:sz="4" w:space="0" w:color="auto"/>
              <w:bottom w:val="single" w:sz="12" w:space="0" w:color="auto"/>
            </w:tcBorders>
            <w:shd w:val="clear" w:color="auto" w:fill="auto"/>
            <w:vAlign w:val="bottom"/>
          </w:tcPr>
          <w:p w:rsidR="00A1696B" w:rsidRPr="00A1696B" w:rsidRDefault="00A1696B" w:rsidP="00A1696B">
            <w:pPr>
              <w:suppressAutoHyphens w:val="0"/>
              <w:spacing w:before="80" w:after="80" w:line="200" w:lineRule="exact"/>
              <w:jc w:val="right"/>
              <w:rPr>
                <w:i/>
                <w:sz w:val="16"/>
                <w:szCs w:val="16"/>
              </w:rPr>
            </w:pPr>
            <w:r>
              <w:rPr>
                <w:i/>
                <w:sz w:val="16"/>
                <w:szCs w:val="16"/>
              </w:rPr>
              <w:t>2004</w:t>
            </w:r>
          </w:p>
        </w:tc>
        <w:tc>
          <w:tcPr>
            <w:tcW w:w="1047" w:type="dxa"/>
            <w:tcBorders>
              <w:top w:val="single" w:sz="4" w:space="0" w:color="auto"/>
              <w:bottom w:val="single" w:sz="12" w:space="0" w:color="auto"/>
            </w:tcBorders>
            <w:shd w:val="clear" w:color="auto" w:fill="auto"/>
            <w:vAlign w:val="bottom"/>
          </w:tcPr>
          <w:p w:rsidR="00A1696B" w:rsidRPr="00A1696B" w:rsidRDefault="00A1696B" w:rsidP="00A1696B">
            <w:pPr>
              <w:suppressAutoHyphens w:val="0"/>
              <w:spacing w:before="80" w:after="80" w:line="200" w:lineRule="exact"/>
              <w:jc w:val="right"/>
              <w:rPr>
                <w:i/>
                <w:sz w:val="16"/>
                <w:szCs w:val="16"/>
              </w:rPr>
            </w:pPr>
            <w:r>
              <w:rPr>
                <w:i/>
                <w:sz w:val="16"/>
                <w:szCs w:val="16"/>
              </w:rPr>
              <w:t>2007</w:t>
            </w:r>
          </w:p>
        </w:tc>
        <w:tc>
          <w:tcPr>
            <w:tcW w:w="1178" w:type="dxa"/>
            <w:tcBorders>
              <w:top w:val="single" w:sz="4" w:space="0" w:color="auto"/>
              <w:bottom w:val="single" w:sz="12" w:space="0" w:color="auto"/>
            </w:tcBorders>
            <w:shd w:val="clear" w:color="auto" w:fill="auto"/>
            <w:vAlign w:val="bottom"/>
          </w:tcPr>
          <w:p w:rsidR="00A1696B" w:rsidRPr="00A1696B" w:rsidRDefault="00A1696B" w:rsidP="00A1696B">
            <w:pPr>
              <w:suppressAutoHyphens w:val="0"/>
              <w:spacing w:before="80" w:after="80" w:line="200" w:lineRule="exact"/>
              <w:jc w:val="right"/>
              <w:rPr>
                <w:i/>
                <w:sz w:val="16"/>
                <w:szCs w:val="16"/>
              </w:rPr>
            </w:pPr>
            <w:r>
              <w:rPr>
                <w:i/>
                <w:sz w:val="16"/>
                <w:szCs w:val="16"/>
              </w:rPr>
              <w:t>(Augm./Dimin.)</w:t>
            </w:r>
          </w:p>
        </w:tc>
      </w:tr>
      <w:tr w:rsidR="007E0D82" w:rsidRPr="00443450" w:rsidTr="007A79C8">
        <w:tc>
          <w:tcPr>
            <w:tcW w:w="3140" w:type="dxa"/>
            <w:tcBorders>
              <w:top w:val="single" w:sz="12" w:space="0" w:color="auto"/>
            </w:tcBorders>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Taux d’échec (TR)</w:t>
            </w:r>
          </w:p>
        </w:tc>
        <w:tc>
          <w:tcPr>
            <w:tcW w:w="2093" w:type="dxa"/>
            <w:tcBorders>
              <w:top w:val="single" w:sz="12" w:space="0" w:color="auto"/>
            </w:tcBorders>
            <w:vAlign w:val="bottom"/>
          </w:tcPr>
          <w:p w:rsidR="007E0D82" w:rsidRPr="00443450" w:rsidRDefault="007E0D82" w:rsidP="007A79C8">
            <w:pPr>
              <w:suppressAutoHyphens w:val="0"/>
              <w:spacing w:before="40" w:after="40" w:line="220" w:lineRule="exact"/>
              <w:jc w:val="right"/>
              <w:rPr>
                <w:sz w:val="18"/>
              </w:rPr>
            </w:pPr>
          </w:p>
        </w:tc>
        <w:tc>
          <w:tcPr>
            <w:tcW w:w="1047" w:type="dxa"/>
            <w:tcBorders>
              <w:top w:val="single" w:sz="12" w:space="0" w:color="auto"/>
            </w:tcBorders>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32</w:t>
            </w:r>
            <w:r w:rsidR="00A1696B">
              <w:rPr>
                <w:sz w:val="18"/>
              </w:rPr>
              <w:t>,0 %</w:t>
            </w:r>
          </w:p>
        </w:tc>
        <w:tc>
          <w:tcPr>
            <w:tcW w:w="1047" w:type="dxa"/>
            <w:tcBorders>
              <w:top w:val="single" w:sz="12" w:space="0" w:color="auto"/>
            </w:tcBorders>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22</w:t>
            </w:r>
            <w:r w:rsidR="00A1696B">
              <w:rPr>
                <w:sz w:val="18"/>
              </w:rPr>
              <w:t>,0 %</w:t>
            </w:r>
          </w:p>
        </w:tc>
        <w:tc>
          <w:tcPr>
            <w:tcW w:w="1178" w:type="dxa"/>
            <w:tcBorders>
              <w:top w:val="single" w:sz="12" w:space="0" w:color="auto"/>
            </w:tcBorders>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10</w:t>
            </w:r>
            <w:r w:rsidR="00A1696B">
              <w:rPr>
                <w:sz w:val="18"/>
              </w:rPr>
              <w:t>,0 %</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Taux d’abandon (TA)</w:t>
            </w:r>
          </w:p>
        </w:tc>
        <w:tc>
          <w:tcPr>
            <w:tcW w:w="2093" w:type="dxa"/>
            <w:vAlign w:val="bottom"/>
          </w:tcPr>
          <w:p w:rsidR="007E0D82" w:rsidRPr="00443450" w:rsidRDefault="007E0D82" w:rsidP="007A79C8">
            <w:pPr>
              <w:suppressAutoHyphens w:val="0"/>
              <w:spacing w:before="40" w:after="40" w:line="220" w:lineRule="exact"/>
              <w:jc w:val="right"/>
              <w:rPr>
                <w:sz w:val="18"/>
              </w:rPr>
            </w:pP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26</w:t>
            </w:r>
            <w:r w:rsidR="00A1696B">
              <w:rPr>
                <w:sz w:val="18"/>
              </w:rPr>
              <w:t>,0 %</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24</w:t>
            </w:r>
            <w:r w:rsidR="00A1696B">
              <w:rPr>
                <w:sz w:val="18"/>
              </w:rPr>
              <w:t>,0</w:t>
            </w:r>
            <w:r>
              <w:rPr>
                <w:sz w:val="18"/>
              </w:rPr>
              <w:t xml:space="preserve"> </w:t>
            </w:r>
            <w:r w:rsidRPr="00443450">
              <w:rPr>
                <w:sz w:val="18"/>
              </w:rPr>
              <w:t>%</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2</w:t>
            </w:r>
            <w:r w:rsidR="00A1696B">
              <w:rPr>
                <w:sz w:val="18"/>
              </w:rPr>
              <w:t>,0</w:t>
            </w:r>
            <w:r>
              <w:rPr>
                <w:sz w:val="18"/>
              </w:rPr>
              <w:t xml:space="preserve"> </w:t>
            </w:r>
            <w:r w:rsidRPr="00443450">
              <w:rPr>
                <w:sz w:val="18"/>
              </w:rPr>
              <w:t>%</w:t>
            </w:r>
          </w:p>
        </w:tc>
      </w:tr>
      <w:tr w:rsidR="007E0D82" w:rsidRPr="00443450" w:rsidTr="007A79C8">
        <w:trPr>
          <w:trHeight w:val="80"/>
        </w:trPr>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Pertes du système (PS)</w:t>
            </w:r>
          </w:p>
        </w:tc>
        <w:tc>
          <w:tcPr>
            <w:tcW w:w="2093" w:type="dxa"/>
            <w:vAlign w:val="bottom"/>
          </w:tcPr>
          <w:p w:rsidR="007E0D82" w:rsidRPr="00443450" w:rsidRDefault="007E0D82" w:rsidP="007A79C8">
            <w:pPr>
              <w:suppressAutoHyphens w:val="0"/>
              <w:spacing w:before="40" w:after="40" w:line="220" w:lineRule="exact"/>
              <w:jc w:val="right"/>
              <w:rPr>
                <w:sz w:val="18"/>
              </w:rPr>
            </w:pP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58</w:t>
            </w:r>
            <w:r w:rsidR="00A1696B">
              <w:rPr>
                <w:sz w:val="18"/>
              </w:rPr>
              <w:t>,0 %</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46</w:t>
            </w:r>
            <w:r w:rsidR="00A1696B">
              <w:rPr>
                <w:sz w:val="18"/>
              </w:rPr>
              <w:t>,0 %</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12</w:t>
            </w:r>
            <w:r w:rsidR="00A1696B">
              <w:rPr>
                <w:sz w:val="18"/>
              </w:rPr>
              <w:t>,0 %</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Taux d’achèvement des études (TC)</w:t>
            </w:r>
          </w:p>
        </w:tc>
        <w:tc>
          <w:tcPr>
            <w:tcW w:w="2093" w:type="dxa"/>
            <w:vAlign w:val="bottom"/>
          </w:tcPr>
          <w:p w:rsidR="007E0D82" w:rsidRPr="00443450" w:rsidRDefault="007E0D82" w:rsidP="007A79C8">
            <w:pPr>
              <w:suppressAutoHyphens w:val="0"/>
              <w:spacing w:before="40" w:after="40" w:line="220" w:lineRule="exact"/>
              <w:jc w:val="right"/>
              <w:rPr>
                <w:sz w:val="18"/>
              </w:rPr>
            </w:pP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42</w:t>
            </w:r>
            <w:r w:rsidR="00A1696B">
              <w:rPr>
                <w:sz w:val="18"/>
              </w:rPr>
              <w:t>,0 %</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54</w:t>
            </w:r>
            <w:r w:rsidR="00A1696B">
              <w:rPr>
                <w:sz w:val="18"/>
              </w:rPr>
              <w:t>,0 %</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12</w:t>
            </w:r>
            <w:r w:rsidR="00A1696B">
              <w:rPr>
                <w:sz w:val="18"/>
              </w:rPr>
              <w:t>,0 %</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Taux de formation des enseignants (TFPE)</w:t>
            </w:r>
          </w:p>
        </w:tc>
        <w:tc>
          <w:tcPr>
            <w:tcW w:w="2093" w:type="dxa"/>
            <w:vAlign w:val="bottom"/>
          </w:tcPr>
          <w:p w:rsidR="007E0D82" w:rsidRPr="00443450" w:rsidRDefault="007E0D82" w:rsidP="007A79C8">
            <w:pPr>
              <w:suppressAutoHyphens w:val="0"/>
              <w:spacing w:before="40" w:after="40" w:line="220" w:lineRule="exact"/>
              <w:jc w:val="right"/>
              <w:rPr>
                <w:sz w:val="18"/>
              </w:rPr>
            </w:pP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51</w:t>
            </w:r>
            <w:r w:rsidR="00A1696B">
              <w:rPr>
                <w:sz w:val="18"/>
              </w:rPr>
              <w:t>,0 %</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67,6</w:t>
            </w:r>
            <w:r w:rsidR="00A1696B">
              <w:rPr>
                <w:sz w:val="18"/>
              </w:rPr>
              <w:t xml:space="preserve"> %</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16,6</w:t>
            </w:r>
            <w:r w:rsidR="00A1696B">
              <w:rPr>
                <w:sz w:val="18"/>
              </w:rPr>
              <w:t xml:space="preserve"> %</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Taux d’enrôlement (TANA)</w:t>
            </w:r>
          </w:p>
        </w:tc>
        <w:tc>
          <w:tcPr>
            <w:tcW w:w="2093" w:type="dxa"/>
            <w:vAlign w:val="bottom"/>
          </w:tcPr>
          <w:p w:rsidR="007E0D82" w:rsidRPr="00443450" w:rsidRDefault="007E0D82" w:rsidP="007A79C8">
            <w:pPr>
              <w:suppressAutoHyphens w:val="0"/>
              <w:spacing w:before="40" w:after="40" w:line="220" w:lineRule="exact"/>
              <w:jc w:val="right"/>
              <w:rPr>
                <w:sz w:val="18"/>
              </w:rPr>
            </w:pP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65,8</w:t>
            </w:r>
            <w:r>
              <w:rPr>
                <w:sz w:val="18"/>
              </w:rPr>
              <w:t xml:space="preserve"> </w:t>
            </w:r>
            <w:r w:rsidRPr="00443450">
              <w:rPr>
                <w:sz w:val="18"/>
              </w:rPr>
              <w:t>%</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82</w:t>
            </w:r>
            <w:r w:rsidR="00A1696B">
              <w:rPr>
                <w:sz w:val="18"/>
              </w:rPr>
              <w:t>,0 %</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16,2</w:t>
            </w:r>
            <w:r w:rsidR="00A1696B">
              <w:rPr>
                <w:sz w:val="18"/>
              </w:rPr>
              <w:t xml:space="preserve"> %</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Taux de construction de nouvelles salles</w:t>
            </w:r>
            <w:r>
              <w:rPr>
                <w:sz w:val="18"/>
              </w:rPr>
              <w:br/>
            </w:r>
            <w:r w:rsidRPr="00443450">
              <w:rPr>
                <w:sz w:val="18"/>
              </w:rPr>
              <w:t>de classe (TNSA)</w:t>
            </w:r>
          </w:p>
        </w:tc>
        <w:tc>
          <w:tcPr>
            <w:tcW w:w="2093" w:type="dxa"/>
            <w:vAlign w:val="bottom"/>
          </w:tcPr>
          <w:p w:rsidR="007E0D82" w:rsidRPr="00443450" w:rsidRDefault="007E0D82" w:rsidP="007A79C8">
            <w:pPr>
              <w:suppressAutoHyphens w:val="0"/>
              <w:spacing w:before="40" w:after="40" w:line="220" w:lineRule="exact"/>
              <w:jc w:val="right"/>
              <w:rPr>
                <w:sz w:val="18"/>
              </w:rPr>
            </w:pP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8,9</w:t>
            </w:r>
            <w:r w:rsidR="00A1696B">
              <w:rPr>
                <w:sz w:val="18"/>
              </w:rPr>
              <w:t xml:space="preserve"> %</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9,4</w:t>
            </w:r>
            <w:r w:rsidR="00A1696B">
              <w:rPr>
                <w:sz w:val="18"/>
              </w:rPr>
              <w:t xml:space="preserve"> %</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0,5</w:t>
            </w:r>
            <w:r w:rsidR="00A1696B">
              <w:rPr>
                <w:sz w:val="18"/>
              </w:rPr>
              <w:t xml:space="preserve"> %</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Taux de recrutement de nouveaux enseignants (TANP)</w:t>
            </w:r>
          </w:p>
        </w:tc>
        <w:tc>
          <w:tcPr>
            <w:tcW w:w="2093" w:type="dxa"/>
            <w:vAlign w:val="bottom"/>
          </w:tcPr>
          <w:p w:rsidR="007E0D82" w:rsidRPr="00443450" w:rsidRDefault="007E0D82" w:rsidP="007A79C8">
            <w:pPr>
              <w:suppressAutoHyphens w:val="0"/>
              <w:spacing w:before="40" w:after="40" w:line="220" w:lineRule="exact"/>
              <w:jc w:val="right"/>
              <w:rPr>
                <w:sz w:val="18"/>
              </w:rPr>
            </w:pP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0,89</w:t>
            </w:r>
            <w:r w:rsidR="00A1696B">
              <w:rPr>
                <w:sz w:val="18"/>
              </w:rPr>
              <w:t xml:space="preserve"> %</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11,43</w:t>
            </w:r>
            <w:r w:rsidR="00A1696B">
              <w:rPr>
                <w:sz w:val="18"/>
              </w:rPr>
              <w:t xml:space="preserve"> %</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10,54</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 xml:space="preserve">Ratio livre scolaire/élèves R(M/A) </w:t>
            </w:r>
          </w:p>
        </w:tc>
        <w:tc>
          <w:tcPr>
            <w:tcW w:w="2093" w:type="dxa"/>
            <w:vAlign w:val="bottom"/>
          </w:tcPr>
          <w:p w:rsidR="007E0D82" w:rsidRPr="00443450" w:rsidRDefault="007E0D82" w:rsidP="007A79C8">
            <w:pPr>
              <w:suppressAutoHyphens w:val="0"/>
              <w:spacing w:before="40" w:after="40" w:line="220" w:lineRule="exact"/>
              <w:jc w:val="right"/>
              <w:rPr>
                <w:sz w:val="18"/>
              </w:rPr>
            </w:pP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1/56</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1/35</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1/21</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Ratio enseignant/élèves R(P/A)</w:t>
            </w:r>
          </w:p>
        </w:tc>
        <w:tc>
          <w:tcPr>
            <w:tcW w:w="2093" w:type="dxa"/>
            <w:vAlign w:val="bottom"/>
          </w:tcPr>
          <w:p w:rsidR="007E0D82" w:rsidRPr="00443450" w:rsidRDefault="007E0D82" w:rsidP="007A79C8">
            <w:pPr>
              <w:suppressAutoHyphens w:val="0"/>
              <w:spacing w:before="40" w:after="40" w:line="220" w:lineRule="exact"/>
              <w:jc w:val="right"/>
              <w:rPr>
                <w:sz w:val="18"/>
              </w:rPr>
            </w:pP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1/39</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1/32</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1/7</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Taux d’alphabétisation (TAL)</w:t>
            </w:r>
          </w:p>
        </w:tc>
        <w:tc>
          <w:tcPr>
            <w:tcW w:w="2093" w:type="dxa"/>
            <w:vAlign w:val="bottom"/>
          </w:tcPr>
          <w:p w:rsidR="007E0D82" w:rsidRPr="00443450" w:rsidRDefault="007E0D82" w:rsidP="007A79C8">
            <w:pPr>
              <w:suppressAutoHyphens w:val="0"/>
              <w:spacing w:before="40" w:after="40" w:line="220" w:lineRule="exact"/>
              <w:jc w:val="right"/>
              <w:rPr>
                <w:sz w:val="18"/>
              </w:rPr>
            </w:pP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65</w:t>
            </w:r>
            <w:r w:rsidR="007A79C8">
              <w:rPr>
                <w:sz w:val="18"/>
              </w:rPr>
              <w:t>,0 %</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77</w:t>
            </w:r>
            <w:r w:rsidR="007A79C8">
              <w:rPr>
                <w:sz w:val="18"/>
              </w:rPr>
              <w:t>,0 %</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12</w:t>
            </w:r>
            <w:r w:rsidR="007A79C8">
              <w:rPr>
                <w:sz w:val="18"/>
              </w:rPr>
              <w:t>,0 %</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r w:rsidRPr="00443450">
              <w:rPr>
                <w:sz w:val="18"/>
              </w:rPr>
              <w:t>Taux bruts dans l’éducation (TBE)</w:t>
            </w:r>
          </w:p>
        </w:tc>
        <w:tc>
          <w:tcPr>
            <w:tcW w:w="2093" w:type="dxa"/>
            <w:vAlign w:val="bottom"/>
          </w:tcPr>
          <w:p w:rsidR="007E0D82" w:rsidRPr="00443450" w:rsidRDefault="007E0D82" w:rsidP="007A79C8">
            <w:pPr>
              <w:suppressAutoHyphens w:val="0"/>
              <w:spacing w:before="40" w:after="40" w:line="220" w:lineRule="exact"/>
              <w:rPr>
                <w:sz w:val="18"/>
              </w:rPr>
            </w:pPr>
            <w:r w:rsidRPr="00443450">
              <w:rPr>
                <w:sz w:val="18"/>
              </w:rPr>
              <w:t>Enseignement de dépar</w:t>
            </w:r>
            <w:r>
              <w:rPr>
                <w:sz w:val="18"/>
              </w:rPr>
              <w:t>t</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158,5</w:t>
            </w:r>
            <w:r w:rsidR="007A79C8">
              <w:rPr>
                <w:sz w:val="18"/>
              </w:rPr>
              <w:t xml:space="preserve"> %</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184</w:t>
            </w:r>
            <w:r w:rsidR="007A79C8">
              <w:rPr>
                <w:sz w:val="18"/>
              </w:rPr>
              <w:t>,0 %</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25,5</w:t>
            </w:r>
            <w:r w:rsidR="007A79C8">
              <w:rPr>
                <w:sz w:val="18"/>
              </w:rPr>
              <w:t xml:space="preserve"> %</w:t>
            </w:r>
          </w:p>
        </w:tc>
      </w:tr>
      <w:tr w:rsidR="007E0D82" w:rsidRPr="00443450" w:rsidTr="007A79C8">
        <w:tc>
          <w:tcPr>
            <w:tcW w:w="3140" w:type="dxa"/>
            <w:shd w:val="clear" w:color="auto" w:fill="auto"/>
            <w:vAlign w:val="bottom"/>
          </w:tcPr>
          <w:p w:rsidR="007E0D82" w:rsidRPr="00443450" w:rsidRDefault="007E0D82" w:rsidP="007A79C8">
            <w:pPr>
              <w:suppressAutoHyphens w:val="0"/>
              <w:spacing w:before="40" w:after="40" w:line="220" w:lineRule="exact"/>
              <w:rPr>
                <w:sz w:val="18"/>
              </w:rPr>
            </w:pPr>
          </w:p>
        </w:tc>
        <w:tc>
          <w:tcPr>
            <w:tcW w:w="2093" w:type="dxa"/>
            <w:vAlign w:val="bottom"/>
          </w:tcPr>
          <w:p w:rsidR="007E0D82" w:rsidRPr="00443450" w:rsidRDefault="007E0D82" w:rsidP="007A79C8">
            <w:pPr>
              <w:suppressAutoHyphens w:val="0"/>
              <w:spacing w:before="40" w:after="40" w:line="220" w:lineRule="exact"/>
              <w:rPr>
                <w:sz w:val="18"/>
              </w:rPr>
            </w:pPr>
            <w:r w:rsidRPr="00443450">
              <w:rPr>
                <w:sz w:val="18"/>
              </w:rPr>
              <w:t>Enseignemen</w:t>
            </w:r>
            <w:r>
              <w:rPr>
                <w:sz w:val="18"/>
              </w:rPr>
              <w:t>t primaire</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Pr>
                <w:sz w:val="18"/>
              </w:rPr>
              <w:t>118,1</w:t>
            </w:r>
            <w:r w:rsidR="007A79C8">
              <w:rPr>
                <w:sz w:val="18"/>
              </w:rPr>
              <w:t xml:space="preserve"> %</w:t>
            </w:r>
          </w:p>
        </w:tc>
        <w:tc>
          <w:tcPr>
            <w:tcW w:w="1047"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127,1</w:t>
            </w:r>
            <w:r w:rsidR="007A79C8">
              <w:rPr>
                <w:sz w:val="18"/>
              </w:rPr>
              <w:t xml:space="preserve"> %</w:t>
            </w:r>
          </w:p>
        </w:tc>
        <w:tc>
          <w:tcPr>
            <w:tcW w:w="1178" w:type="dxa"/>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9</w:t>
            </w:r>
            <w:r w:rsidR="007A79C8">
              <w:rPr>
                <w:sz w:val="18"/>
              </w:rPr>
              <w:t>,0 %</w:t>
            </w:r>
          </w:p>
        </w:tc>
      </w:tr>
      <w:tr w:rsidR="007E0D82" w:rsidRPr="00443450" w:rsidTr="007A79C8">
        <w:tc>
          <w:tcPr>
            <w:tcW w:w="3140" w:type="dxa"/>
            <w:tcBorders>
              <w:bottom w:val="single" w:sz="12" w:space="0" w:color="auto"/>
            </w:tcBorders>
            <w:shd w:val="clear" w:color="auto" w:fill="auto"/>
            <w:vAlign w:val="bottom"/>
          </w:tcPr>
          <w:p w:rsidR="007E0D82" w:rsidRPr="00443450" w:rsidRDefault="007E0D82" w:rsidP="007A79C8">
            <w:pPr>
              <w:suppressAutoHyphens w:val="0"/>
              <w:spacing w:before="40" w:after="40" w:line="220" w:lineRule="exact"/>
              <w:rPr>
                <w:sz w:val="18"/>
              </w:rPr>
            </w:pPr>
          </w:p>
        </w:tc>
        <w:tc>
          <w:tcPr>
            <w:tcW w:w="2093" w:type="dxa"/>
            <w:tcBorders>
              <w:bottom w:val="single" w:sz="12" w:space="0" w:color="auto"/>
            </w:tcBorders>
            <w:vAlign w:val="bottom"/>
          </w:tcPr>
          <w:p w:rsidR="007E0D82" w:rsidRPr="00443450" w:rsidRDefault="007E0D82" w:rsidP="007A79C8">
            <w:pPr>
              <w:suppressAutoHyphens w:val="0"/>
              <w:spacing w:before="40" w:after="40" w:line="220" w:lineRule="exact"/>
              <w:rPr>
                <w:sz w:val="18"/>
              </w:rPr>
            </w:pPr>
            <w:r w:rsidRPr="00443450">
              <w:rPr>
                <w:sz w:val="18"/>
              </w:rPr>
              <w:t>Enseignement sec</w:t>
            </w:r>
            <w:r>
              <w:rPr>
                <w:sz w:val="18"/>
              </w:rPr>
              <w:t>ondaire</w:t>
            </w:r>
          </w:p>
        </w:tc>
        <w:tc>
          <w:tcPr>
            <w:tcW w:w="1047" w:type="dxa"/>
            <w:tcBorders>
              <w:bottom w:val="single" w:sz="12" w:space="0" w:color="auto"/>
            </w:tcBorders>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38,1</w:t>
            </w:r>
            <w:r w:rsidR="007A79C8">
              <w:rPr>
                <w:sz w:val="18"/>
              </w:rPr>
              <w:t xml:space="preserve"> %</w:t>
            </w:r>
          </w:p>
        </w:tc>
        <w:tc>
          <w:tcPr>
            <w:tcW w:w="1047" w:type="dxa"/>
            <w:tcBorders>
              <w:bottom w:val="single" w:sz="12" w:space="0" w:color="auto"/>
            </w:tcBorders>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31,8</w:t>
            </w:r>
            <w:r w:rsidR="007A79C8">
              <w:rPr>
                <w:sz w:val="18"/>
              </w:rPr>
              <w:t xml:space="preserve"> %</w:t>
            </w:r>
          </w:p>
        </w:tc>
        <w:tc>
          <w:tcPr>
            <w:tcW w:w="1178" w:type="dxa"/>
            <w:tcBorders>
              <w:bottom w:val="single" w:sz="12" w:space="0" w:color="auto"/>
            </w:tcBorders>
            <w:shd w:val="clear" w:color="auto" w:fill="auto"/>
            <w:vAlign w:val="bottom"/>
          </w:tcPr>
          <w:p w:rsidR="007E0D82" w:rsidRPr="00443450" w:rsidRDefault="007E0D82" w:rsidP="007A79C8">
            <w:pPr>
              <w:suppressAutoHyphens w:val="0"/>
              <w:spacing w:before="40" w:after="40" w:line="220" w:lineRule="exact"/>
              <w:jc w:val="right"/>
              <w:rPr>
                <w:sz w:val="18"/>
              </w:rPr>
            </w:pPr>
            <w:r w:rsidRPr="00443450">
              <w:rPr>
                <w:sz w:val="18"/>
              </w:rPr>
              <w:t>(-) 6,3</w:t>
            </w:r>
            <w:r w:rsidR="007A79C8">
              <w:rPr>
                <w:sz w:val="18"/>
              </w:rPr>
              <w:t xml:space="preserve"> %</w:t>
            </w:r>
          </w:p>
        </w:tc>
      </w:tr>
    </w:tbl>
    <w:p w:rsidR="007E0D82" w:rsidRPr="00D83045" w:rsidRDefault="007E0D82" w:rsidP="007E0D82">
      <w:pPr>
        <w:pStyle w:val="SingleTxtG"/>
        <w:spacing w:before="120" w:after="240"/>
        <w:ind w:firstLine="170"/>
        <w:rPr>
          <w:i/>
          <w:iCs/>
          <w:sz w:val="18"/>
          <w:szCs w:val="18"/>
        </w:rPr>
      </w:pPr>
      <w:r w:rsidRPr="00D83045">
        <w:rPr>
          <w:i/>
          <w:iCs/>
          <w:sz w:val="18"/>
          <w:szCs w:val="18"/>
        </w:rPr>
        <w:t>Source</w:t>
      </w:r>
      <w:r w:rsidRPr="00D83045">
        <w:rPr>
          <w:iCs/>
          <w:sz w:val="18"/>
          <w:szCs w:val="18"/>
        </w:rPr>
        <w:t xml:space="preserve">: </w:t>
      </w:r>
      <w:r w:rsidRPr="0087600C">
        <w:rPr>
          <w:i/>
          <w:iCs/>
          <w:sz w:val="18"/>
          <w:szCs w:val="18"/>
        </w:rPr>
        <w:t xml:space="preserve">GEPE </w:t>
      </w:r>
      <w:r w:rsidRPr="004027C7">
        <w:rPr>
          <w:iCs/>
          <w:sz w:val="18"/>
          <w:szCs w:val="18"/>
        </w:rPr>
        <w:t>[Bureau de la recherche, de la planification et des statistiques du Ministère de l’éducation]</w:t>
      </w:r>
      <w:r w:rsidRPr="00D83045">
        <w:rPr>
          <w:iCs/>
          <w:sz w:val="18"/>
          <w:szCs w:val="18"/>
        </w:rPr>
        <w:t>.</w:t>
      </w:r>
    </w:p>
    <w:p w:rsidR="007E0D82" w:rsidRPr="00D83045" w:rsidRDefault="007E0D82" w:rsidP="007E0D82">
      <w:pPr>
        <w:pStyle w:val="SingleTxtG"/>
        <w:tabs>
          <w:tab w:val="left" w:pos="1560"/>
        </w:tabs>
        <w:ind w:left="1100"/>
        <w:rPr>
          <w:bCs/>
        </w:rPr>
      </w:pPr>
      <w:r w:rsidRPr="00D83045">
        <w:rPr>
          <w:bCs/>
        </w:rPr>
        <w:t>65.</w:t>
      </w:r>
      <w:r w:rsidRPr="00D83045">
        <w:rPr>
          <w:bCs/>
        </w:rPr>
        <w:tab/>
        <w:t>Les indicateurs montrent que la majorité des enfants se trouvent dans les quatre premiers niveaux. Il existe une légère disparité entre les sexes en faveur des garçons dans l’enseignement, cette disparité tendant à s’accroître dans les niveaux les plus élevés.</w:t>
      </w:r>
    </w:p>
    <w:p w:rsidR="007E0D82" w:rsidRPr="00D83045" w:rsidRDefault="007E0D82" w:rsidP="007E0D82">
      <w:pPr>
        <w:pStyle w:val="SingleTxtG"/>
        <w:tabs>
          <w:tab w:val="left" w:pos="1560"/>
        </w:tabs>
        <w:ind w:left="1100"/>
        <w:rPr>
          <w:bCs/>
        </w:rPr>
      </w:pPr>
      <w:r w:rsidRPr="00D83045">
        <w:rPr>
          <w:bCs/>
        </w:rPr>
        <w:t>66.</w:t>
      </w:r>
      <w:r w:rsidRPr="00D83045">
        <w:rPr>
          <w:bCs/>
        </w:rPr>
        <w:tab/>
        <w:t>L’amélioration dans le système d’alphabétisation mis en place par les associations et coopératives paysannes a réduit le taux d’analphabétisme chez les femmes, dont le nombre, selon les données du Ministère de l’éducation (2009), s’élève à quelque 1 717 052 personnes potentiellement analphabètes.</w:t>
      </w:r>
    </w:p>
    <w:p w:rsidR="007E0D82" w:rsidRPr="00D83045" w:rsidRDefault="007E0D82" w:rsidP="007E0D82">
      <w:pPr>
        <w:pStyle w:val="SingleTxtG"/>
        <w:tabs>
          <w:tab w:val="left" w:pos="1560"/>
        </w:tabs>
        <w:ind w:left="1100"/>
        <w:rPr>
          <w:bCs/>
        </w:rPr>
      </w:pPr>
      <w:r w:rsidRPr="00D83045">
        <w:rPr>
          <w:bCs/>
        </w:rPr>
        <w:t>67.</w:t>
      </w:r>
      <w:r w:rsidRPr="00D83045">
        <w:rPr>
          <w:bCs/>
        </w:rPr>
        <w:tab/>
        <w:t>Près de 30 % de la population âgée de plus de 15 ans sont analphabètes, dont la majorité est constituée de femmes. Le programme d’alphabétisation et de retour à l’école est mis en œuvre par 6 698 alphabétiseurs et 109 superviseurs. À partir de 2009, l’enseignement devait être accéléré grâce au recours à une étude indépendante et une certification des compétences par le truchement de divers</w:t>
      </w:r>
      <w:r>
        <w:rPr>
          <w:bCs/>
        </w:rPr>
        <w:t>es</w:t>
      </w:r>
      <w:r w:rsidRPr="00D83045">
        <w:rPr>
          <w:bCs/>
        </w:rPr>
        <w:t xml:space="preserve"> structures éducatives formelles et informelles permettant à 60 % des élèves d’apprendre à lire et à écrire en l’espace de trois</w:t>
      </w:r>
      <w:r>
        <w:rPr>
          <w:bCs/>
        </w:rPr>
        <w:t> </w:t>
      </w:r>
      <w:r w:rsidRPr="00D83045">
        <w:rPr>
          <w:bCs/>
        </w:rPr>
        <w:t xml:space="preserve">mois.  </w:t>
      </w:r>
    </w:p>
    <w:p w:rsidR="007E0D82" w:rsidRPr="00D83045" w:rsidRDefault="007E0D82" w:rsidP="007E0D82">
      <w:pPr>
        <w:pStyle w:val="SingleTxtG"/>
        <w:tabs>
          <w:tab w:val="left" w:pos="1560"/>
        </w:tabs>
        <w:ind w:left="1100"/>
        <w:rPr>
          <w:bCs/>
        </w:rPr>
      </w:pPr>
      <w:r w:rsidRPr="00D83045">
        <w:rPr>
          <w:bCs/>
        </w:rPr>
        <w:t>68.</w:t>
      </w:r>
      <w:r w:rsidRPr="00D83045">
        <w:rPr>
          <w:bCs/>
        </w:rPr>
        <w:tab/>
        <w:t xml:space="preserve">Le programme de la cantine scolaire est en passe d’être appliqué dans l’ensemble de l’Angola. De 2005 à 2008, près de 944 721 élèves de l’enseignement primaire ont bénéficié de ce programme, qui a pour objet d’empêcher que les enfants n’abandonnent l’école par manque de nourriture et d’améliorer leur capacité à apprendre. </w:t>
      </w:r>
    </w:p>
    <w:p w:rsidR="007E0D82" w:rsidRPr="00D83045" w:rsidRDefault="007E0D82" w:rsidP="007E0D82">
      <w:pPr>
        <w:pStyle w:val="SingleTxtG"/>
        <w:tabs>
          <w:tab w:val="left" w:pos="1560"/>
        </w:tabs>
        <w:ind w:left="1100"/>
        <w:rPr>
          <w:bCs/>
        </w:rPr>
      </w:pPr>
      <w:r w:rsidRPr="00D83045">
        <w:rPr>
          <w:bCs/>
        </w:rPr>
        <w:t>69.</w:t>
      </w:r>
      <w:r w:rsidRPr="00D83045">
        <w:rPr>
          <w:bCs/>
        </w:rPr>
        <w:tab/>
        <w:t xml:space="preserve">Les langues nationales ont été introduites dans le système éducatif pour prévenir l’exclusion linguistique et sauvegarder les identités culturelles. Ce projet concerne 12 000 élèves de 240 classes et se trouve à la phase expérimentale. Le Gouvernement angolais a mené des activités de formation portant notamment sur les questions d’égalité des sexes, d’environnement, du VIH, du sida, de la nationalité, de la violence sexiste et de l’économie domestique. </w:t>
      </w:r>
    </w:p>
    <w:p w:rsidR="007E0D82" w:rsidRPr="00D83045" w:rsidRDefault="007E0D82" w:rsidP="007E0D82">
      <w:pPr>
        <w:pStyle w:val="SingleTxtG"/>
        <w:tabs>
          <w:tab w:val="left" w:pos="1560"/>
        </w:tabs>
        <w:ind w:left="1100"/>
        <w:rPr>
          <w:bCs/>
        </w:rPr>
      </w:pPr>
      <w:r w:rsidRPr="00D83045">
        <w:rPr>
          <w:bCs/>
        </w:rPr>
        <w:t>70.</w:t>
      </w:r>
      <w:r w:rsidRPr="00D83045">
        <w:rPr>
          <w:bCs/>
        </w:rPr>
        <w:tab/>
        <w:t xml:space="preserve">L’abandon scolaire demeure une source de préoccupation. Selon </w:t>
      </w:r>
      <w:r w:rsidRPr="00D83045">
        <w:t>l’enquête en grappes à indicateurs multiples (MICS), le taux le plus élevé est enregistré parmi les élèves âgés de plus de 10 ans.</w:t>
      </w:r>
    </w:p>
    <w:p w:rsidR="007E0D82" w:rsidRPr="00D83045" w:rsidRDefault="007E0D82" w:rsidP="007E0D82">
      <w:pPr>
        <w:pStyle w:val="SingleTxtG"/>
        <w:tabs>
          <w:tab w:val="left" w:pos="1560"/>
        </w:tabs>
        <w:ind w:left="1100"/>
        <w:rPr>
          <w:bCs/>
        </w:rPr>
      </w:pPr>
      <w:r w:rsidRPr="00D83045">
        <w:rPr>
          <w:bCs/>
        </w:rPr>
        <w:t>71.</w:t>
      </w:r>
      <w:r w:rsidRPr="00D83045">
        <w:rPr>
          <w:bCs/>
        </w:rPr>
        <w:tab/>
        <w:t xml:space="preserve">L’information sur la santé reproductive a été introduite dans les programmes de l’enseignement primaire avec l’appui du FNUAP. Dans la recherche de solutions à certains problèmes, les ONG qui travaillent dans les domaines du sida et des droits de l’homme collaborent avec les écoles, en y faisant des exposés et en y organisant des débats et conférences. </w:t>
      </w:r>
    </w:p>
    <w:p w:rsidR="007E0D82" w:rsidRPr="00D83045" w:rsidRDefault="007E0D82" w:rsidP="007E0D82">
      <w:pPr>
        <w:pStyle w:val="H23G"/>
        <w:jc w:val="both"/>
      </w:pPr>
      <w:r w:rsidRPr="00D83045">
        <w:tab/>
        <w:t>2.</w:t>
      </w:r>
      <w:r w:rsidRPr="00D83045">
        <w:tab/>
        <w:t xml:space="preserve">Accès des femmes à la formation professionnelle dans les domaines de la science, </w:t>
      </w:r>
      <w:r w:rsidRPr="00D83045">
        <w:br/>
        <w:t>de la technologie et de l’éducation permanente</w:t>
      </w:r>
    </w:p>
    <w:p w:rsidR="007E0D82" w:rsidRPr="00D83045" w:rsidRDefault="007E0D82" w:rsidP="007E0D82">
      <w:pPr>
        <w:pStyle w:val="SingleTxtG"/>
        <w:tabs>
          <w:tab w:val="left" w:pos="1560"/>
        </w:tabs>
        <w:ind w:left="1100"/>
        <w:rPr>
          <w:bCs/>
        </w:rPr>
      </w:pPr>
      <w:r w:rsidRPr="00D83045">
        <w:rPr>
          <w:bCs/>
        </w:rPr>
        <w:t>72.</w:t>
      </w:r>
      <w:r w:rsidRPr="00D83045">
        <w:rPr>
          <w:bCs/>
        </w:rPr>
        <w:tab/>
        <w:t>S’agissant des cours suivis, les femmes on</w:t>
      </w:r>
      <w:r>
        <w:rPr>
          <w:bCs/>
        </w:rPr>
        <w:t>t</w:t>
      </w:r>
      <w:r w:rsidRPr="00D83045">
        <w:rPr>
          <w:bCs/>
        </w:rPr>
        <w:t xml:space="preserve"> une prédilection pour l’enseignement, suivi des études commerciales et du droit, de la médecine, des études d’ingénieur et, enfin, de l’agronomie. Cette conclusion est en soi symptomatique de l’influence des préjugés sociaux dans les choix professionnels des femmes. </w:t>
      </w:r>
    </w:p>
    <w:p w:rsidR="007E0D82" w:rsidRPr="00D83045" w:rsidRDefault="007E0D82" w:rsidP="007E0D82">
      <w:pPr>
        <w:pStyle w:val="SingleTxtG"/>
        <w:tabs>
          <w:tab w:val="left" w:pos="1560"/>
        </w:tabs>
        <w:ind w:left="1100"/>
        <w:rPr>
          <w:bCs/>
        </w:rPr>
      </w:pPr>
      <w:r w:rsidRPr="00D83045">
        <w:rPr>
          <w:bCs/>
        </w:rPr>
        <w:t>73.</w:t>
      </w:r>
      <w:r w:rsidRPr="00D83045">
        <w:rPr>
          <w:bCs/>
        </w:rPr>
        <w:tab/>
        <w:t>Cette situation est conforme à la tendance constatée dans la formation professionnelle, où les femmes choisissent les cours dans les domaines de l’administration, des travaux de secrétariat, de la couture et de la cuisine.</w:t>
      </w:r>
    </w:p>
    <w:p w:rsidR="007E0D82" w:rsidRPr="00D83045" w:rsidRDefault="007E0D82" w:rsidP="007E0D82">
      <w:pPr>
        <w:pStyle w:val="H23G"/>
      </w:pPr>
      <w:r w:rsidRPr="00D83045">
        <w:tab/>
        <w:t>3.</w:t>
      </w:r>
      <w:r w:rsidRPr="00D83045">
        <w:tab/>
        <w:t xml:space="preserve">Financement et réforme de l’éducation </w:t>
      </w:r>
    </w:p>
    <w:p w:rsidR="007E0D82" w:rsidRPr="00D83045" w:rsidRDefault="007E0D82" w:rsidP="007E0D82">
      <w:pPr>
        <w:pStyle w:val="SingleTxtG"/>
        <w:tabs>
          <w:tab w:val="left" w:pos="1560"/>
        </w:tabs>
        <w:ind w:left="1100"/>
        <w:rPr>
          <w:bCs/>
        </w:rPr>
      </w:pPr>
      <w:r w:rsidRPr="00D83045">
        <w:rPr>
          <w:bCs/>
        </w:rPr>
        <w:t>74.</w:t>
      </w:r>
      <w:r w:rsidRPr="00D83045">
        <w:rPr>
          <w:bCs/>
        </w:rPr>
        <w:tab/>
        <w:t xml:space="preserve">Bien que le Gouvernement soit la principale source de financement de l’éducation, les ressources allouées à ce secteur, même lorsqu’elles sont complétées par des contributions venant des partenaires au développement, des familles et par de petites recettes des écoles elles-mêmes, restent inférieures aux ressources financières minimales nécessaires. </w:t>
      </w:r>
    </w:p>
    <w:p w:rsidR="007E0D82" w:rsidRPr="00D83045" w:rsidRDefault="007E0D82" w:rsidP="007E0D82">
      <w:pPr>
        <w:pStyle w:val="SingleTxtG"/>
        <w:tabs>
          <w:tab w:val="left" w:pos="1560"/>
        </w:tabs>
        <w:ind w:left="1100"/>
        <w:rPr>
          <w:bCs/>
        </w:rPr>
      </w:pPr>
      <w:r w:rsidRPr="00D83045">
        <w:rPr>
          <w:bCs/>
        </w:rPr>
        <w:t>75.</w:t>
      </w:r>
      <w:r w:rsidRPr="00D83045">
        <w:rPr>
          <w:bCs/>
        </w:rPr>
        <w:tab/>
        <w:t>De fait, une analyse des dépenses publiques dans le domaine de l’éducation montre que le montant du budget fédéral alloué à ce secteur n’a jamais atteint 10</w:t>
      </w:r>
      <w:r>
        <w:rPr>
          <w:bCs/>
        </w:rPr>
        <w:t> </w:t>
      </w:r>
      <w:r w:rsidRPr="00D83045">
        <w:rPr>
          <w:bCs/>
        </w:rPr>
        <w:t xml:space="preserve">% du budget total. Le montant est inférieur au taux moyen du budget national consacré à l’éducation en Afrique, qui est de 17,8 % et de 16,7 % dans les pays de la SADC. L’objectif visé dans le programme de l’éducation pour tous est de parvenir à 20 % d’ici </w:t>
      </w:r>
      <w:r>
        <w:rPr>
          <w:bCs/>
        </w:rPr>
        <w:t xml:space="preserve">à </w:t>
      </w:r>
      <w:r w:rsidRPr="00D83045">
        <w:rPr>
          <w:bCs/>
        </w:rPr>
        <w:t xml:space="preserve">2015.  </w:t>
      </w:r>
    </w:p>
    <w:p w:rsidR="007E0D82" w:rsidRPr="00D83045" w:rsidRDefault="007E0D82" w:rsidP="007E0D82">
      <w:pPr>
        <w:pStyle w:val="SingleTxtG"/>
        <w:tabs>
          <w:tab w:val="left" w:pos="1560"/>
        </w:tabs>
        <w:ind w:left="1100"/>
        <w:rPr>
          <w:bCs/>
        </w:rPr>
      </w:pPr>
      <w:r w:rsidRPr="00D83045">
        <w:rPr>
          <w:bCs/>
        </w:rPr>
        <w:t>76.</w:t>
      </w:r>
      <w:r w:rsidRPr="00D83045">
        <w:rPr>
          <w:bCs/>
        </w:rPr>
        <w:tab/>
        <w:t>Les dépenses d’éducation ont, en pourcentage du PIB, baissé de 1,8 % en 1994 et ont augmenté légèrement en 1995, de près de 2,5</w:t>
      </w:r>
      <w:r>
        <w:rPr>
          <w:bCs/>
        </w:rPr>
        <w:t> </w:t>
      </w:r>
      <w:r w:rsidRPr="00D83045">
        <w:rPr>
          <w:bCs/>
        </w:rPr>
        <w:t>%. Même dans ce cas, il s’agit là de pourcentages très faibles par rapport à ceux qui existent dans la plupart des pays africains. En 2009, les dépenses d’éducation s’élevaient à 7,9 % du total du budget fédéral.</w:t>
      </w:r>
    </w:p>
    <w:p w:rsidR="00FD0A65" w:rsidRDefault="007E0D82" w:rsidP="007E0D82">
      <w:pPr>
        <w:pStyle w:val="SingleTxtG"/>
        <w:rPr>
          <w:bCs/>
        </w:rPr>
      </w:pPr>
      <w:r w:rsidRPr="00D83045">
        <w:rPr>
          <w:bCs/>
        </w:rPr>
        <w:t>77.</w:t>
      </w:r>
      <w:r w:rsidRPr="00D83045">
        <w:rPr>
          <w:bCs/>
        </w:rPr>
        <w:tab/>
        <w:t xml:space="preserve">Il convient de noter que les investissements durant la période 2004-2008 se sont élevés à un montant total de 551 737 426 520 </w:t>
      </w:r>
      <w:r>
        <w:rPr>
          <w:bCs/>
        </w:rPr>
        <w:t>k</w:t>
      </w:r>
      <w:r w:rsidRPr="00D83045">
        <w:rPr>
          <w:bCs/>
        </w:rPr>
        <w:t>wanza</w:t>
      </w:r>
      <w:r>
        <w:rPr>
          <w:bCs/>
        </w:rPr>
        <w:t>s</w:t>
      </w:r>
      <w:r w:rsidRPr="00D83045">
        <w:rPr>
          <w:bCs/>
        </w:rPr>
        <w:t xml:space="preserve"> angolais, soit une croissance cumulée de 140,77 % et un taux de croissance de 188,09 %, comparativement aux investissements faits en 2008.</w:t>
      </w:r>
    </w:p>
    <w:p w:rsidR="00FE79AB" w:rsidRDefault="00FE79AB" w:rsidP="00FE79AB">
      <w:pPr>
        <w:pStyle w:val="H23G"/>
      </w:pPr>
      <w:r w:rsidRPr="002E38E8">
        <w:tab/>
      </w:r>
      <w:r w:rsidRPr="002E38E8">
        <w:tab/>
        <w:t>Dépenses d’éducation en Kwanzas (2004-2008)</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9"/>
        <w:gridCol w:w="1147"/>
        <w:gridCol w:w="1528"/>
        <w:gridCol w:w="874"/>
        <w:gridCol w:w="1530"/>
        <w:gridCol w:w="873"/>
      </w:tblGrid>
      <w:tr w:rsidR="00FE79AB" w:rsidRPr="004D164D" w:rsidTr="00FE79AB">
        <w:trPr>
          <w:tblHeader/>
        </w:trPr>
        <w:tc>
          <w:tcPr>
            <w:tcW w:w="1474" w:type="dxa"/>
            <w:vMerge w:val="restart"/>
            <w:tcBorders>
              <w:top w:val="single" w:sz="4" w:space="0" w:color="auto"/>
            </w:tcBorders>
            <w:shd w:val="clear" w:color="auto" w:fill="auto"/>
            <w:vAlign w:val="bottom"/>
          </w:tcPr>
          <w:p w:rsidR="00FE79AB" w:rsidRPr="004D164D" w:rsidRDefault="00FE79AB" w:rsidP="00B84541">
            <w:pPr>
              <w:spacing w:before="80" w:after="80" w:line="200" w:lineRule="exact"/>
              <w:rPr>
                <w:i/>
                <w:sz w:val="16"/>
              </w:rPr>
            </w:pPr>
          </w:p>
        </w:tc>
        <w:tc>
          <w:tcPr>
            <w:tcW w:w="1191" w:type="dxa"/>
            <w:vMerge w:val="restart"/>
            <w:tcBorders>
              <w:top w:val="single" w:sz="4" w:space="0" w:color="auto"/>
            </w:tcBorders>
            <w:shd w:val="clear" w:color="auto" w:fill="auto"/>
            <w:vAlign w:val="bottom"/>
          </w:tcPr>
          <w:p w:rsidR="00FE79AB" w:rsidRPr="004D164D" w:rsidRDefault="00FE79AB" w:rsidP="00B84541">
            <w:pPr>
              <w:spacing w:before="80" w:after="80" w:line="200" w:lineRule="exact"/>
              <w:rPr>
                <w:i/>
                <w:sz w:val="16"/>
              </w:rPr>
            </w:pPr>
            <w:r>
              <w:rPr>
                <w:i/>
                <w:sz w:val="16"/>
              </w:rPr>
              <w:t>Éducation</w:t>
            </w:r>
          </w:p>
        </w:tc>
        <w:tc>
          <w:tcPr>
            <w:tcW w:w="2419" w:type="dxa"/>
            <w:gridSpan w:val="2"/>
            <w:tcBorders>
              <w:top w:val="single" w:sz="4" w:space="0" w:color="auto"/>
              <w:bottom w:val="single" w:sz="4" w:space="0" w:color="auto"/>
              <w:right w:val="single" w:sz="24" w:space="0" w:color="FFFFFF"/>
            </w:tcBorders>
            <w:shd w:val="clear" w:color="auto" w:fill="auto"/>
            <w:vAlign w:val="bottom"/>
          </w:tcPr>
          <w:p w:rsidR="00FE79AB" w:rsidRPr="004D164D" w:rsidRDefault="00FE79AB" w:rsidP="00B84541">
            <w:pPr>
              <w:spacing w:before="80" w:after="80" w:line="200" w:lineRule="exact"/>
              <w:jc w:val="center"/>
              <w:rPr>
                <w:i/>
                <w:sz w:val="16"/>
              </w:rPr>
            </w:pPr>
            <w:r>
              <w:rPr>
                <w:i/>
                <w:sz w:val="16"/>
              </w:rPr>
              <w:t>2004</w:t>
            </w:r>
          </w:p>
        </w:tc>
        <w:tc>
          <w:tcPr>
            <w:tcW w:w="2391" w:type="dxa"/>
            <w:gridSpan w:val="2"/>
            <w:tcBorders>
              <w:top w:val="single" w:sz="4" w:space="0" w:color="auto"/>
              <w:left w:val="single" w:sz="24" w:space="0" w:color="FFFFFF"/>
              <w:bottom w:val="single" w:sz="4" w:space="0" w:color="auto"/>
            </w:tcBorders>
            <w:shd w:val="clear" w:color="auto" w:fill="auto"/>
            <w:vAlign w:val="bottom"/>
          </w:tcPr>
          <w:p w:rsidR="00FE79AB" w:rsidRPr="004D164D" w:rsidRDefault="00FE79AB" w:rsidP="00B84541">
            <w:pPr>
              <w:spacing w:before="80" w:after="80" w:line="200" w:lineRule="exact"/>
              <w:jc w:val="center"/>
              <w:rPr>
                <w:i/>
                <w:sz w:val="16"/>
              </w:rPr>
            </w:pPr>
            <w:r>
              <w:rPr>
                <w:i/>
                <w:sz w:val="16"/>
              </w:rPr>
              <w:t>2008</w:t>
            </w:r>
          </w:p>
        </w:tc>
      </w:tr>
      <w:tr w:rsidR="00FE79AB" w:rsidRPr="004D164D" w:rsidTr="00FE79AB">
        <w:trPr>
          <w:tblHeader/>
        </w:trPr>
        <w:tc>
          <w:tcPr>
            <w:tcW w:w="1474" w:type="dxa"/>
            <w:vMerge/>
            <w:tcBorders>
              <w:bottom w:val="single" w:sz="12" w:space="0" w:color="auto"/>
            </w:tcBorders>
            <w:shd w:val="clear" w:color="auto" w:fill="auto"/>
            <w:vAlign w:val="bottom"/>
          </w:tcPr>
          <w:p w:rsidR="00FE79AB" w:rsidRPr="004D164D" w:rsidRDefault="00FE79AB" w:rsidP="00B84541">
            <w:pPr>
              <w:spacing w:before="80" w:after="80" w:line="200" w:lineRule="exact"/>
              <w:rPr>
                <w:i/>
                <w:sz w:val="16"/>
              </w:rPr>
            </w:pPr>
          </w:p>
        </w:tc>
        <w:tc>
          <w:tcPr>
            <w:tcW w:w="1191" w:type="dxa"/>
            <w:vMerge/>
            <w:tcBorders>
              <w:bottom w:val="single" w:sz="12" w:space="0" w:color="auto"/>
            </w:tcBorders>
            <w:shd w:val="clear" w:color="auto" w:fill="auto"/>
            <w:vAlign w:val="bottom"/>
          </w:tcPr>
          <w:p w:rsidR="00FE79AB" w:rsidRPr="004D164D" w:rsidRDefault="00FE79AB" w:rsidP="00B84541">
            <w:pPr>
              <w:spacing w:before="80" w:after="80" w:line="200" w:lineRule="exact"/>
              <w:rPr>
                <w:i/>
                <w:sz w:val="16"/>
              </w:rPr>
            </w:pPr>
          </w:p>
        </w:tc>
        <w:tc>
          <w:tcPr>
            <w:tcW w:w="1588" w:type="dxa"/>
            <w:tcBorders>
              <w:top w:val="single" w:sz="4" w:space="0" w:color="auto"/>
              <w:bottom w:val="single" w:sz="12" w:space="0" w:color="auto"/>
            </w:tcBorders>
            <w:shd w:val="clear" w:color="auto" w:fill="auto"/>
            <w:vAlign w:val="bottom"/>
          </w:tcPr>
          <w:p w:rsidR="00FE79AB" w:rsidRPr="00084FA7" w:rsidRDefault="00FE79AB" w:rsidP="00B84541">
            <w:pPr>
              <w:spacing w:before="80" w:after="80" w:line="200" w:lineRule="exact"/>
              <w:jc w:val="right"/>
              <w:rPr>
                <w:i/>
                <w:sz w:val="16"/>
              </w:rPr>
            </w:pPr>
            <w:r>
              <w:rPr>
                <w:i/>
                <w:sz w:val="16"/>
              </w:rPr>
              <w:t>Montant</w:t>
            </w:r>
          </w:p>
        </w:tc>
        <w:tc>
          <w:tcPr>
            <w:tcW w:w="907" w:type="dxa"/>
            <w:tcBorders>
              <w:top w:val="single" w:sz="4" w:space="0" w:color="auto"/>
              <w:bottom w:val="single" w:sz="12" w:space="0" w:color="auto"/>
              <w:right w:val="single" w:sz="24" w:space="0" w:color="FFFFFF"/>
            </w:tcBorders>
            <w:shd w:val="clear" w:color="auto" w:fill="auto"/>
            <w:vAlign w:val="bottom"/>
          </w:tcPr>
          <w:p w:rsidR="00FE79AB" w:rsidRPr="00084FA7" w:rsidRDefault="00FE79AB" w:rsidP="00B84541">
            <w:pPr>
              <w:spacing w:before="80" w:after="80" w:line="200" w:lineRule="exact"/>
              <w:jc w:val="right"/>
              <w:rPr>
                <w:i/>
                <w:sz w:val="16"/>
              </w:rPr>
            </w:pPr>
            <w:r>
              <w:rPr>
                <w:i/>
                <w:sz w:val="16"/>
              </w:rPr>
              <w:t>%</w:t>
            </w:r>
          </w:p>
        </w:tc>
        <w:tc>
          <w:tcPr>
            <w:tcW w:w="1588" w:type="dxa"/>
            <w:tcBorders>
              <w:top w:val="single" w:sz="4" w:space="0" w:color="auto"/>
              <w:left w:val="single" w:sz="24" w:space="0" w:color="FFFFFF"/>
              <w:bottom w:val="single" w:sz="12" w:space="0" w:color="auto"/>
            </w:tcBorders>
            <w:shd w:val="clear" w:color="auto" w:fill="auto"/>
            <w:vAlign w:val="bottom"/>
          </w:tcPr>
          <w:p w:rsidR="00FE79AB" w:rsidRPr="00084FA7" w:rsidRDefault="00FE79AB" w:rsidP="00B84541">
            <w:pPr>
              <w:spacing w:before="80" w:after="80" w:line="200" w:lineRule="exact"/>
              <w:jc w:val="right"/>
              <w:rPr>
                <w:i/>
                <w:sz w:val="16"/>
              </w:rPr>
            </w:pPr>
            <w:r>
              <w:rPr>
                <w:i/>
                <w:sz w:val="16"/>
              </w:rPr>
              <w:t>Montant</w:t>
            </w:r>
          </w:p>
        </w:tc>
        <w:tc>
          <w:tcPr>
            <w:tcW w:w="907" w:type="dxa"/>
            <w:tcBorders>
              <w:top w:val="single" w:sz="4" w:space="0" w:color="auto"/>
              <w:bottom w:val="single" w:sz="12" w:space="0" w:color="auto"/>
            </w:tcBorders>
            <w:shd w:val="clear" w:color="auto" w:fill="auto"/>
            <w:vAlign w:val="bottom"/>
          </w:tcPr>
          <w:p w:rsidR="00FE79AB" w:rsidRPr="00084FA7" w:rsidRDefault="00FE79AB" w:rsidP="00B84541">
            <w:pPr>
              <w:spacing w:before="80" w:after="80" w:line="200" w:lineRule="exact"/>
              <w:jc w:val="right"/>
              <w:rPr>
                <w:i/>
                <w:sz w:val="16"/>
              </w:rPr>
            </w:pPr>
            <w:r>
              <w:rPr>
                <w:i/>
                <w:sz w:val="16"/>
              </w:rPr>
              <w:t>%</w:t>
            </w:r>
          </w:p>
        </w:tc>
      </w:tr>
      <w:tr w:rsidR="00FE79AB" w:rsidRPr="004D164D" w:rsidTr="00FE79AB">
        <w:tc>
          <w:tcPr>
            <w:tcW w:w="1474" w:type="dxa"/>
            <w:tcBorders>
              <w:top w:val="single" w:sz="12" w:space="0" w:color="auto"/>
            </w:tcBorders>
            <w:shd w:val="clear" w:color="auto" w:fill="auto"/>
            <w:vAlign w:val="bottom"/>
          </w:tcPr>
          <w:p w:rsidR="00FE79AB" w:rsidRPr="00084FA7" w:rsidRDefault="00FE79AB" w:rsidP="00B84541">
            <w:pPr>
              <w:spacing w:before="40" w:after="40" w:line="220" w:lineRule="exact"/>
              <w:rPr>
                <w:sz w:val="18"/>
              </w:rPr>
            </w:pPr>
          </w:p>
        </w:tc>
        <w:tc>
          <w:tcPr>
            <w:tcW w:w="1191" w:type="dxa"/>
            <w:tcBorders>
              <w:top w:val="single" w:sz="12" w:space="0" w:color="auto"/>
            </w:tcBorders>
            <w:shd w:val="clear" w:color="auto" w:fill="auto"/>
            <w:vAlign w:val="bottom"/>
          </w:tcPr>
          <w:p w:rsidR="00FE79AB" w:rsidRPr="00084FA7" w:rsidRDefault="00FE79AB" w:rsidP="00B84541">
            <w:pPr>
              <w:spacing w:before="40" w:after="40" w:line="220" w:lineRule="exact"/>
              <w:rPr>
                <w:sz w:val="18"/>
              </w:rPr>
            </w:pPr>
            <w:r>
              <w:rPr>
                <w:sz w:val="18"/>
              </w:rPr>
              <w:t>Budget fédéral</w:t>
            </w:r>
          </w:p>
        </w:tc>
        <w:tc>
          <w:tcPr>
            <w:tcW w:w="1588" w:type="dxa"/>
            <w:tcBorders>
              <w:top w:val="single" w:sz="12" w:space="0" w:color="auto"/>
            </w:tcBorders>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69 637 027 360</w:t>
            </w:r>
          </w:p>
        </w:tc>
        <w:tc>
          <w:tcPr>
            <w:tcW w:w="907" w:type="dxa"/>
            <w:tcBorders>
              <w:top w:val="single" w:sz="12" w:space="0" w:color="auto"/>
            </w:tcBorders>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100</w:t>
            </w:r>
          </w:p>
        </w:tc>
        <w:tc>
          <w:tcPr>
            <w:tcW w:w="1588" w:type="dxa"/>
            <w:tcBorders>
              <w:top w:val="single" w:sz="12" w:space="0" w:color="auto"/>
            </w:tcBorders>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200 620 366 399</w:t>
            </w:r>
          </w:p>
        </w:tc>
        <w:tc>
          <w:tcPr>
            <w:tcW w:w="907" w:type="dxa"/>
            <w:tcBorders>
              <w:top w:val="single" w:sz="12" w:space="0" w:color="auto"/>
            </w:tcBorders>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100</w:t>
            </w:r>
          </w:p>
        </w:tc>
      </w:tr>
      <w:tr w:rsidR="00FE79AB" w:rsidRPr="004D164D" w:rsidTr="00FE79AB">
        <w:tc>
          <w:tcPr>
            <w:tcW w:w="1474" w:type="dxa"/>
            <w:shd w:val="clear" w:color="auto" w:fill="auto"/>
            <w:vAlign w:val="bottom"/>
          </w:tcPr>
          <w:p w:rsidR="00FE79AB" w:rsidRPr="00084FA7" w:rsidRDefault="00FE79AB" w:rsidP="00B84541">
            <w:pPr>
              <w:spacing w:before="40" w:after="40" w:line="220" w:lineRule="exact"/>
              <w:rPr>
                <w:sz w:val="18"/>
              </w:rPr>
            </w:pPr>
            <w:r w:rsidRPr="002E38E8">
              <w:rPr>
                <w:sz w:val="18"/>
              </w:rPr>
              <w:t>Enseignement</w:t>
            </w:r>
          </w:p>
        </w:tc>
        <w:tc>
          <w:tcPr>
            <w:tcW w:w="1191" w:type="dxa"/>
            <w:shd w:val="clear" w:color="auto" w:fill="auto"/>
            <w:vAlign w:val="bottom"/>
          </w:tcPr>
          <w:p w:rsidR="00FE79AB" w:rsidRPr="00460C65" w:rsidRDefault="00FE79AB" w:rsidP="00B84541">
            <w:pPr>
              <w:spacing w:before="40" w:after="40" w:line="220" w:lineRule="exact"/>
              <w:rPr>
                <w:sz w:val="18"/>
              </w:rPr>
            </w:pPr>
            <w:r>
              <w:rPr>
                <w:sz w:val="18"/>
              </w:rPr>
              <w:t>P</w:t>
            </w:r>
            <w:r w:rsidRPr="00460C65">
              <w:rPr>
                <w:sz w:val="18"/>
              </w:rPr>
              <w:t>réscolaire</w:t>
            </w:r>
          </w:p>
        </w:tc>
        <w:tc>
          <w:tcPr>
            <w:tcW w:w="1588" w:type="dxa"/>
            <w:shd w:val="clear" w:color="auto" w:fill="auto"/>
            <w:vAlign w:val="bottom"/>
          </w:tcPr>
          <w:p w:rsidR="00FE79AB" w:rsidRPr="00084FA7" w:rsidRDefault="00FE79AB" w:rsidP="00B84541">
            <w:pPr>
              <w:spacing w:before="40" w:after="40" w:line="220" w:lineRule="exact"/>
              <w:jc w:val="right"/>
              <w:rPr>
                <w:sz w:val="18"/>
              </w:rPr>
            </w:pPr>
            <w:r>
              <w:rPr>
                <w:sz w:val="18"/>
              </w:rPr>
              <w:t>-</w:t>
            </w:r>
          </w:p>
        </w:tc>
        <w:tc>
          <w:tcPr>
            <w:tcW w:w="907" w:type="dxa"/>
            <w:shd w:val="clear" w:color="auto" w:fill="auto"/>
            <w:vAlign w:val="bottom"/>
          </w:tcPr>
          <w:p w:rsidR="00FE79AB" w:rsidRPr="00084FA7" w:rsidRDefault="00FE79AB" w:rsidP="00B84541">
            <w:pPr>
              <w:spacing w:before="40" w:after="40" w:line="220" w:lineRule="exact"/>
              <w:jc w:val="right"/>
              <w:rPr>
                <w:sz w:val="18"/>
              </w:rPr>
            </w:pPr>
            <w:r>
              <w:rPr>
                <w:sz w:val="18"/>
              </w:rPr>
              <w:t>-</w:t>
            </w:r>
          </w:p>
        </w:tc>
        <w:tc>
          <w:tcPr>
            <w:tcW w:w="1588" w:type="dxa"/>
            <w:shd w:val="clear" w:color="auto" w:fill="auto"/>
            <w:vAlign w:val="bottom"/>
          </w:tcPr>
          <w:p w:rsidR="00FE79AB" w:rsidRPr="00A02C60" w:rsidRDefault="00FE79AB" w:rsidP="00B84541">
            <w:pPr>
              <w:spacing w:before="40" w:after="40" w:line="220" w:lineRule="exact"/>
              <w:jc w:val="right"/>
              <w:rPr>
                <w:sz w:val="18"/>
              </w:rPr>
            </w:pPr>
            <w:r w:rsidRPr="00A02C60">
              <w:rPr>
                <w:sz w:val="18"/>
              </w:rPr>
              <w:t>51 031 062</w:t>
            </w:r>
          </w:p>
        </w:tc>
        <w:tc>
          <w:tcPr>
            <w:tcW w:w="907" w:type="dxa"/>
            <w:shd w:val="clear" w:color="auto" w:fill="auto"/>
            <w:vAlign w:val="bottom"/>
          </w:tcPr>
          <w:p w:rsidR="00FE79AB" w:rsidRPr="00183838" w:rsidRDefault="00FE79AB" w:rsidP="00B84541">
            <w:pPr>
              <w:spacing w:before="40" w:after="40" w:line="220" w:lineRule="exact"/>
              <w:jc w:val="right"/>
              <w:rPr>
                <w:sz w:val="18"/>
              </w:rPr>
            </w:pPr>
            <w:r>
              <w:rPr>
                <w:sz w:val="18"/>
              </w:rPr>
              <w:t>0,03</w:t>
            </w:r>
          </w:p>
        </w:tc>
      </w:tr>
      <w:tr w:rsidR="00FE79AB" w:rsidRPr="004D164D" w:rsidTr="00FE79AB">
        <w:tc>
          <w:tcPr>
            <w:tcW w:w="1474" w:type="dxa"/>
            <w:shd w:val="clear" w:color="auto" w:fill="auto"/>
            <w:vAlign w:val="bottom"/>
          </w:tcPr>
          <w:p w:rsidR="00FE79AB" w:rsidRPr="00084FA7" w:rsidRDefault="00FE79AB" w:rsidP="00B84541">
            <w:pPr>
              <w:spacing w:before="40" w:after="40" w:line="220" w:lineRule="exact"/>
              <w:rPr>
                <w:sz w:val="18"/>
              </w:rPr>
            </w:pPr>
          </w:p>
        </w:tc>
        <w:tc>
          <w:tcPr>
            <w:tcW w:w="1191" w:type="dxa"/>
            <w:shd w:val="clear" w:color="auto" w:fill="auto"/>
            <w:vAlign w:val="bottom"/>
          </w:tcPr>
          <w:p w:rsidR="00FE79AB" w:rsidRPr="00460C65" w:rsidRDefault="00FE79AB" w:rsidP="00B84541">
            <w:pPr>
              <w:spacing w:before="40" w:after="40" w:line="220" w:lineRule="exact"/>
              <w:rPr>
                <w:sz w:val="18"/>
              </w:rPr>
            </w:pPr>
            <w:r>
              <w:rPr>
                <w:sz w:val="18"/>
              </w:rPr>
              <w:t>P</w:t>
            </w:r>
            <w:r w:rsidRPr="00460C65">
              <w:rPr>
                <w:sz w:val="18"/>
              </w:rPr>
              <w:t>rimaire</w:t>
            </w:r>
          </w:p>
        </w:tc>
        <w:tc>
          <w:tcPr>
            <w:tcW w:w="1588" w:type="dxa"/>
            <w:shd w:val="clear" w:color="auto" w:fill="auto"/>
            <w:vAlign w:val="bottom"/>
          </w:tcPr>
          <w:p w:rsidR="00FE79AB" w:rsidRPr="00DB35CA" w:rsidRDefault="00FE79AB" w:rsidP="00B84541">
            <w:pPr>
              <w:spacing w:before="40" w:after="40" w:line="220" w:lineRule="exact"/>
              <w:jc w:val="right"/>
              <w:rPr>
                <w:sz w:val="18"/>
              </w:rPr>
            </w:pPr>
            <w:r w:rsidRPr="00DB35CA">
              <w:rPr>
                <w:sz w:val="18"/>
              </w:rPr>
              <w:t>3 265 346 418</w:t>
            </w:r>
          </w:p>
        </w:tc>
        <w:tc>
          <w:tcPr>
            <w:tcW w:w="907" w:type="dxa"/>
            <w:shd w:val="clear" w:color="auto" w:fill="auto"/>
            <w:vAlign w:val="bottom"/>
          </w:tcPr>
          <w:p w:rsidR="00FE79AB" w:rsidRPr="00125D89" w:rsidRDefault="00FE79AB" w:rsidP="00B84541">
            <w:pPr>
              <w:suppressAutoHyphens w:val="0"/>
              <w:spacing w:before="40" w:after="40" w:line="220" w:lineRule="exact"/>
              <w:jc w:val="right"/>
              <w:rPr>
                <w:sz w:val="18"/>
              </w:rPr>
            </w:pPr>
            <w:r w:rsidRPr="00125D89">
              <w:rPr>
                <w:sz w:val="18"/>
              </w:rPr>
              <w:t>4</w:t>
            </w:r>
            <w:r>
              <w:rPr>
                <w:sz w:val="18"/>
              </w:rPr>
              <w:t>,</w:t>
            </w:r>
            <w:r w:rsidRPr="00125D89">
              <w:rPr>
                <w:sz w:val="18"/>
              </w:rPr>
              <w:t>69</w:t>
            </w:r>
          </w:p>
        </w:tc>
        <w:tc>
          <w:tcPr>
            <w:tcW w:w="1588" w:type="dxa"/>
            <w:shd w:val="clear" w:color="auto" w:fill="auto"/>
            <w:vAlign w:val="bottom"/>
          </w:tcPr>
          <w:p w:rsidR="00FE79AB" w:rsidRPr="00A02C60" w:rsidRDefault="00FE79AB" w:rsidP="00B84541">
            <w:pPr>
              <w:spacing w:before="40" w:after="40" w:line="220" w:lineRule="exact"/>
              <w:jc w:val="right"/>
              <w:rPr>
                <w:sz w:val="18"/>
              </w:rPr>
            </w:pPr>
            <w:r w:rsidRPr="00A02C60">
              <w:rPr>
                <w:sz w:val="18"/>
              </w:rPr>
              <w:t>36 214 205 032</w:t>
            </w:r>
          </w:p>
        </w:tc>
        <w:tc>
          <w:tcPr>
            <w:tcW w:w="907" w:type="dxa"/>
            <w:shd w:val="clear" w:color="auto" w:fill="auto"/>
            <w:vAlign w:val="bottom"/>
          </w:tcPr>
          <w:p w:rsidR="00FE79AB" w:rsidRPr="00183838" w:rsidRDefault="00FE79AB" w:rsidP="00B84541">
            <w:pPr>
              <w:spacing w:before="40" w:after="40" w:line="220" w:lineRule="exact"/>
              <w:jc w:val="right"/>
              <w:rPr>
                <w:sz w:val="18"/>
              </w:rPr>
            </w:pPr>
            <w:r w:rsidRPr="00183838">
              <w:rPr>
                <w:sz w:val="18"/>
              </w:rPr>
              <w:t>18</w:t>
            </w:r>
            <w:r>
              <w:rPr>
                <w:sz w:val="18"/>
              </w:rPr>
              <w:t>,05</w:t>
            </w:r>
          </w:p>
        </w:tc>
      </w:tr>
      <w:tr w:rsidR="00FE79AB" w:rsidRPr="004D164D" w:rsidTr="00FE79AB">
        <w:tc>
          <w:tcPr>
            <w:tcW w:w="1474" w:type="dxa"/>
            <w:shd w:val="clear" w:color="auto" w:fill="auto"/>
            <w:vAlign w:val="bottom"/>
          </w:tcPr>
          <w:p w:rsidR="00FE79AB" w:rsidRPr="00084FA7" w:rsidRDefault="00FE79AB" w:rsidP="00B84541">
            <w:pPr>
              <w:spacing w:before="40" w:after="40" w:line="220" w:lineRule="exact"/>
              <w:rPr>
                <w:sz w:val="18"/>
              </w:rPr>
            </w:pPr>
          </w:p>
        </w:tc>
        <w:tc>
          <w:tcPr>
            <w:tcW w:w="1191" w:type="dxa"/>
            <w:shd w:val="clear" w:color="auto" w:fill="auto"/>
            <w:vAlign w:val="bottom"/>
          </w:tcPr>
          <w:p w:rsidR="00FE79AB" w:rsidRPr="00460C65" w:rsidRDefault="00FE79AB" w:rsidP="00B84541">
            <w:pPr>
              <w:spacing w:before="40" w:after="40" w:line="220" w:lineRule="exact"/>
              <w:rPr>
                <w:sz w:val="18"/>
              </w:rPr>
            </w:pPr>
            <w:r>
              <w:rPr>
                <w:sz w:val="18"/>
              </w:rPr>
              <w:t>S</w:t>
            </w:r>
            <w:r w:rsidRPr="00460C65">
              <w:rPr>
                <w:sz w:val="18"/>
              </w:rPr>
              <w:t>econdaire</w:t>
            </w:r>
          </w:p>
        </w:tc>
        <w:tc>
          <w:tcPr>
            <w:tcW w:w="1588" w:type="dxa"/>
            <w:shd w:val="clear" w:color="auto" w:fill="auto"/>
            <w:vAlign w:val="bottom"/>
          </w:tcPr>
          <w:p w:rsidR="00FE79AB" w:rsidRPr="00DB35CA" w:rsidRDefault="00FE79AB" w:rsidP="00B84541">
            <w:pPr>
              <w:spacing w:before="40" w:after="40" w:line="220" w:lineRule="exact"/>
              <w:jc w:val="right"/>
              <w:rPr>
                <w:sz w:val="18"/>
              </w:rPr>
            </w:pPr>
            <w:r w:rsidRPr="00DB35CA">
              <w:rPr>
                <w:sz w:val="18"/>
              </w:rPr>
              <w:t>2 771 420 202</w:t>
            </w:r>
          </w:p>
        </w:tc>
        <w:tc>
          <w:tcPr>
            <w:tcW w:w="907" w:type="dxa"/>
            <w:shd w:val="clear" w:color="auto" w:fill="auto"/>
            <w:vAlign w:val="bottom"/>
          </w:tcPr>
          <w:p w:rsidR="00FE79AB" w:rsidRPr="00125D89" w:rsidRDefault="00FE79AB" w:rsidP="00B84541">
            <w:pPr>
              <w:suppressAutoHyphens w:val="0"/>
              <w:spacing w:before="40" w:after="40" w:line="220" w:lineRule="exact"/>
              <w:jc w:val="right"/>
              <w:rPr>
                <w:sz w:val="18"/>
              </w:rPr>
            </w:pPr>
            <w:r w:rsidRPr="00125D89">
              <w:rPr>
                <w:sz w:val="18"/>
              </w:rPr>
              <w:t>3</w:t>
            </w:r>
            <w:r>
              <w:rPr>
                <w:sz w:val="18"/>
              </w:rPr>
              <w:t>,</w:t>
            </w:r>
            <w:r w:rsidRPr="00125D89">
              <w:rPr>
                <w:sz w:val="18"/>
              </w:rPr>
              <w:t>98</w:t>
            </w:r>
          </w:p>
        </w:tc>
        <w:tc>
          <w:tcPr>
            <w:tcW w:w="1588" w:type="dxa"/>
            <w:shd w:val="clear" w:color="auto" w:fill="auto"/>
            <w:vAlign w:val="bottom"/>
          </w:tcPr>
          <w:p w:rsidR="00FE79AB" w:rsidRPr="00A02C60" w:rsidRDefault="00FE79AB" w:rsidP="00B84541">
            <w:pPr>
              <w:spacing w:before="40" w:after="40" w:line="220" w:lineRule="exact"/>
              <w:jc w:val="right"/>
              <w:rPr>
                <w:sz w:val="18"/>
              </w:rPr>
            </w:pPr>
            <w:r w:rsidRPr="00A02C60">
              <w:rPr>
                <w:sz w:val="18"/>
              </w:rPr>
              <w:t>59 817 713 369</w:t>
            </w:r>
          </w:p>
        </w:tc>
        <w:tc>
          <w:tcPr>
            <w:tcW w:w="907" w:type="dxa"/>
            <w:shd w:val="clear" w:color="auto" w:fill="auto"/>
            <w:vAlign w:val="bottom"/>
          </w:tcPr>
          <w:p w:rsidR="00FE79AB" w:rsidRPr="00183838" w:rsidRDefault="00FE79AB" w:rsidP="00B84541">
            <w:pPr>
              <w:spacing w:before="40" w:after="40" w:line="220" w:lineRule="exact"/>
              <w:jc w:val="right"/>
              <w:rPr>
                <w:sz w:val="18"/>
              </w:rPr>
            </w:pPr>
            <w:r w:rsidRPr="00183838">
              <w:rPr>
                <w:sz w:val="18"/>
              </w:rPr>
              <w:t>29</w:t>
            </w:r>
            <w:r>
              <w:rPr>
                <w:sz w:val="18"/>
              </w:rPr>
              <w:t>,82</w:t>
            </w:r>
          </w:p>
        </w:tc>
      </w:tr>
      <w:tr w:rsidR="00FE79AB" w:rsidRPr="004D164D" w:rsidTr="00FE79AB">
        <w:tc>
          <w:tcPr>
            <w:tcW w:w="1474" w:type="dxa"/>
            <w:shd w:val="clear" w:color="auto" w:fill="auto"/>
            <w:vAlign w:val="bottom"/>
          </w:tcPr>
          <w:p w:rsidR="00FE79AB" w:rsidRPr="00084FA7" w:rsidRDefault="00FE79AB" w:rsidP="00B84541">
            <w:pPr>
              <w:spacing w:before="40" w:after="40" w:line="220" w:lineRule="exact"/>
              <w:rPr>
                <w:sz w:val="18"/>
              </w:rPr>
            </w:pPr>
          </w:p>
        </w:tc>
        <w:tc>
          <w:tcPr>
            <w:tcW w:w="1191" w:type="dxa"/>
            <w:shd w:val="clear" w:color="auto" w:fill="auto"/>
            <w:vAlign w:val="bottom"/>
          </w:tcPr>
          <w:p w:rsidR="00FE79AB" w:rsidRPr="00460C65" w:rsidRDefault="00FE79AB" w:rsidP="00B84541">
            <w:pPr>
              <w:spacing w:before="40" w:after="40" w:line="220" w:lineRule="exact"/>
              <w:rPr>
                <w:sz w:val="18"/>
              </w:rPr>
            </w:pPr>
            <w:r>
              <w:rPr>
                <w:sz w:val="18"/>
              </w:rPr>
              <w:t>T</w:t>
            </w:r>
            <w:r w:rsidRPr="00460C65">
              <w:rPr>
                <w:sz w:val="18"/>
              </w:rPr>
              <w:t>echnique</w:t>
            </w:r>
          </w:p>
        </w:tc>
        <w:tc>
          <w:tcPr>
            <w:tcW w:w="1588" w:type="dxa"/>
            <w:shd w:val="clear" w:color="auto" w:fill="auto"/>
            <w:vAlign w:val="bottom"/>
          </w:tcPr>
          <w:p w:rsidR="00FE79AB" w:rsidRPr="00DB35CA" w:rsidRDefault="00FE79AB" w:rsidP="00B84541">
            <w:pPr>
              <w:spacing w:before="40" w:after="40" w:line="220" w:lineRule="exact"/>
              <w:jc w:val="right"/>
              <w:rPr>
                <w:sz w:val="18"/>
              </w:rPr>
            </w:pPr>
            <w:r w:rsidRPr="00DB35CA">
              <w:rPr>
                <w:sz w:val="18"/>
              </w:rPr>
              <w:t>2 405 286 895</w:t>
            </w:r>
          </w:p>
        </w:tc>
        <w:tc>
          <w:tcPr>
            <w:tcW w:w="907" w:type="dxa"/>
            <w:shd w:val="clear" w:color="auto" w:fill="auto"/>
            <w:vAlign w:val="bottom"/>
          </w:tcPr>
          <w:p w:rsidR="00FE79AB" w:rsidRPr="00125D89" w:rsidRDefault="00FE79AB" w:rsidP="00B84541">
            <w:pPr>
              <w:suppressAutoHyphens w:val="0"/>
              <w:spacing w:before="40" w:after="40" w:line="220" w:lineRule="exact"/>
              <w:jc w:val="right"/>
              <w:rPr>
                <w:sz w:val="18"/>
              </w:rPr>
            </w:pPr>
            <w:r w:rsidRPr="00125D89">
              <w:rPr>
                <w:sz w:val="18"/>
              </w:rPr>
              <w:t>3</w:t>
            </w:r>
            <w:r>
              <w:rPr>
                <w:sz w:val="18"/>
              </w:rPr>
              <w:t>,</w:t>
            </w:r>
            <w:r w:rsidRPr="00125D89">
              <w:rPr>
                <w:sz w:val="18"/>
              </w:rPr>
              <w:t>45</w:t>
            </w:r>
          </w:p>
        </w:tc>
        <w:tc>
          <w:tcPr>
            <w:tcW w:w="1588" w:type="dxa"/>
            <w:shd w:val="clear" w:color="auto" w:fill="auto"/>
            <w:vAlign w:val="bottom"/>
          </w:tcPr>
          <w:p w:rsidR="00FE79AB" w:rsidRPr="00A02C60" w:rsidRDefault="00FE79AB" w:rsidP="00B84541">
            <w:pPr>
              <w:spacing w:before="40" w:after="40" w:line="220" w:lineRule="exact"/>
              <w:jc w:val="right"/>
              <w:rPr>
                <w:sz w:val="18"/>
              </w:rPr>
            </w:pPr>
            <w:r w:rsidRPr="00A02C60">
              <w:rPr>
                <w:sz w:val="18"/>
              </w:rPr>
              <w:t>570 398 007</w:t>
            </w:r>
          </w:p>
        </w:tc>
        <w:tc>
          <w:tcPr>
            <w:tcW w:w="907" w:type="dxa"/>
            <w:shd w:val="clear" w:color="auto" w:fill="auto"/>
            <w:vAlign w:val="bottom"/>
          </w:tcPr>
          <w:p w:rsidR="00FE79AB" w:rsidRPr="00183838" w:rsidRDefault="00FE79AB" w:rsidP="00B84541">
            <w:pPr>
              <w:spacing w:before="40" w:after="40" w:line="220" w:lineRule="exact"/>
              <w:jc w:val="right"/>
              <w:rPr>
                <w:sz w:val="18"/>
              </w:rPr>
            </w:pPr>
            <w:r w:rsidRPr="00183838">
              <w:rPr>
                <w:sz w:val="18"/>
              </w:rPr>
              <w:t>0</w:t>
            </w:r>
            <w:r>
              <w:rPr>
                <w:sz w:val="18"/>
              </w:rPr>
              <w:t>,28</w:t>
            </w:r>
          </w:p>
        </w:tc>
      </w:tr>
      <w:tr w:rsidR="00FE79AB" w:rsidRPr="004D164D" w:rsidTr="00FE79AB">
        <w:tc>
          <w:tcPr>
            <w:tcW w:w="1474" w:type="dxa"/>
            <w:shd w:val="clear" w:color="auto" w:fill="auto"/>
            <w:vAlign w:val="bottom"/>
          </w:tcPr>
          <w:p w:rsidR="00FE79AB" w:rsidRPr="00084FA7" w:rsidRDefault="00FE79AB" w:rsidP="00B84541">
            <w:pPr>
              <w:spacing w:before="40" w:after="40" w:line="220" w:lineRule="exact"/>
              <w:rPr>
                <w:sz w:val="18"/>
              </w:rPr>
            </w:pPr>
          </w:p>
        </w:tc>
        <w:tc>
          <w:tcPr>
            <w:tcW w:w="1191" w:type="dxa"/>
            <w:shd w:val="clear" w:color="auto" w:fill="auto"/>
            <w:vAlign w:val="bottom"/>
          </w:tcPr>
          <w:p w:rsidR="00FE79AB" w:rsidRDefault="00FE79AB" w:rsidP="00B84541">
            <w:pPr>
              <w:spacing w:before="40" w:after="40" w:line="220" w:lineRule="exact"/>
            </w:pPr>
            <w:r>
              <w:rPr>
                <w:sz w:val="18"/>
              </w:rPr>
              <w:t>S</w:t>
            </w:r>
            <w:r w:rsidRPr="00460C65">
              <w:rPr>
                <w:sz w:val="18"/>
              </w:rPr>
              <w:t>upérieur</w:t>
            </w:r>
          </w:p>
        </w:tc>
        <w:tc>
          <w:tcPr>
            <w:tcW w:w="1588" w:type="dxa"/>
            <w:shd w:val="clear" w:color="auto" w:fill="auto"/>
            <w:vAlign w:val="bottom"/>
          </w:tcPr>
          <w:p w:rsidR="00FE79AB" w:rsidRPr="00DB35CA" w:rsidRDefault="00FE79AB" w:rsidP="00B84541">
            <w:pPr>
              <w:spacing w:before="40" w:after="40" w:line="220" w:lineRule="exact"/>
              <w:jc w:val="right"/>
              <w:rPr>
                <w:sz w:val="18"/>
              </w:rPr>
            </w:pPr>
            <w:r w:rsidRPr="00DB35CA">
              <w:rPr>
                <w:sz w:val="18"/>
              </w:rPr>
              <w:t>4 524 661 497</w:t>
            </w:r>
          </w:p>
        </w:tc>
        <w:tc>
          <w:tcPr>
            <w:tcW w:w="907" w:type="dxa"/>
            <w:shd w:val="clear" w:color="auto" w:fill="auto"/>
            <w:vAlign w:val="bottom"/>
          </w:tcPr>
          <w:p w:rsidR="00FE79AB" w:rsidRPr="00125D89" w:rsidRDefault="00FE79AB" w:rsidP="00B84541">
            <w:pPr>
              <w:suppressAutoHyphens w:val="0"/>
              <w:spacing w:before="40" w:after="40" w:line="220" w:lineRule="exact"/>
              <w:jc w:val="right"/>
              <w:rPr>
                <w:sz w:val="18"/>
              </w:rPr>
            </w:pPr>
            <w:r w:rsidRPr="00125D89">
              <w:rPr>
                <w:sz w:val="18"/>
              </w:rPr>
              <w:t>6</w:t>
            </w:r>
            <w:r>
              <w:rPr>
                <w:sz w:val="18"/>
              </w:rPr>
              <w:t>,</w:t>
            </w:r>
            <w:r w:rsidRPr="00125D89">
              <w:rPr>
                <w:sz w:val="18"/>
              </w:rPr>
              <w:t>5</w:t>
            </w:r>
          </w:p>
        </w:tc>
        <w:tc>
          <w:tcPr>
            <w:tcW w:w="1588" w:type="dxa"/>
            <w:shd w:val="clear" w:color="auto" w:fill="auto"/>
            <w:vAlign w:val="bottom"/>
          </w:tcPr>
          <w:p w:rsidR="00FE79AB" w:rsidRPr="00A02C60" w:rsidRDefault="00FE79AB" w:rsidP="00B84541">
            <w:pPr>
              <w:spacing w:before="40" w:after="40" w:line="220" w:lineRule="exact"/>
              <w:jc w:val="right"/>
              <w:rPr>
                <w:sz w:val="18"/>
              </w:rPr>
            </w:pPr>
            <w:r w:rsidRPr="00A02C60">
              <w:rPr>
                <w:sz w:val="18"/>
              </w:rPr>
              <w:t>18 390 613 430</w:t>
            </w:r>
          </w:p>
        </w:tc>
        <w:tc>
          <w:tcPr>
            <w:tcW w:w="907" w:type="dxa"/>
            <w:shd w:val="clear" w:color="auto" w:fill="auto"/>
            <w:vAlign w:val="bottom"/>
          </w:tcPr>
          <w:p w:rsidR="00FE79AB" w:rsidRPr="00183838" w:rsidRDefault="00FE79AB" w:rsidP="00B84541">
            <w:pPr>
              <w:spacing w:before="40" w:after="40" w:line="220" w:lineRule="exact"/>
              <w:jc w:val="right"/>
              <w:rPr>
                <w:sz w:val="18"/>
              </w:rPr>
            </w:pPr>
            <w:r w:rsidRPr="00183838">
              <w:rPr>
                <w:sz w:val="18"/>
              </w:rPr>
              <w:t>9</w:t>
            </w:r>
            <w:r>
              <w:rPr>
                <w:sz w:val="18"/>
              </w:rPr>
              <w:t>,17</w:t>
            </w:r>
          </w:p>
        </w:tc>
      </w:tr>
      <w:tr w:rsidR="00FE79AB" w:rsidRPr="004D164D" w:rsidTr="00FE79AB">
        <w:tc>
          <w:tcPr>
            <w:tcW w:w="1474" w:type="dxa"/>
            <w:shd w:val="clear" w:color="auto" w:fill="auto"/>
            <w:vAlign w:val="bottom"/>
          </w:tcPr>
          <w:p w:rsidR="00FE79AB" w:rsidRPr="00084FA7" w:rsidRDefault="00FE79AB" w:rsidP="00B84541">
            <w:pPr>
              <w:spacing w:before="40" w:after="40" w:line="220" w:lineRule="exact"/>
              <w:rPr>
                <w:sz w:val="18"/>
              </w:rPr>
            </w:pPr>
            <w:r w:rsidRPr="002E38E8">
              <w:rPr>
                <w:sz w:val="18"/>
              </w:rPr>
              <w:t>Éducation</w:t>
            </w:r>
            <w:r>
              <w:rPr>
                <w:sz w:val="18"/>
              </w:rPr>
              <w:br/>
            </w:r>
            <w:r w:rsidRPr="002E38E8">
              <w:rPr>
                <w:sz w:val="18"/>
              </w:rPr>
              <w:t>des adultes</w:t>
            </w:r>
          </w:p>
        </w:tc>
        <w:tc>
          <w:tcPr>
            <w:tcW w:w="1191" w:type="dxa"/>
            <w:shd w:val="clear" w:color="auto" w:fill="auto"/>
            <w:vAlign w:val="bottom"/>
          </w:tcPr>
          <w:p w:rsidR="00FE79AB" w:rsidRPr="00084FA7" w:rsidRDefault="00FE79AB" w:rsidP="00B84541">
            <w:pPr>
              <w:spacing w:before="40" w:after="40" w:line="220" w:lineRule="exact"/>
              <w:rPr>
                <w:sz w:val="18"/>
              </w:rPr>
            </w:pPr>
          </w:p>
        </w:tc>
        <w:tc>
          <w:tcPr>
            <w:tcW w:w="1588" w:type="dxa"/>
            <w:shd w:val="clear" w:color="auto" w:fill="auto"/>
            <w:vAlign w:val="bottom"/>
          </w:tcPr>
          <w:p w:rsidR="00FE79AB" w:rsidRPr="00DB35CA" w:rsidRDefault="00FE79AB" w:rsidP="00B84541">
            <w:pPr>
              <w:spacing w:before="40" w:after="40" w:line="220" w:lineRule="exact"/>
              <w:jc w:val="right"/>
              <w:rPr>
                <w:sz w:val="18"/>
              </w:rPr>
            </w:pPr>
            <w:r w:rsidRPr="00DB35CA">
              <w:rPr>
                <w:sz w:val="18"/>
              </w:rPr>
              <w:t>7 626 434</w:t>
            </w:r>
          </w:p>
        </w:tc>
        <w:tc>
          <w:tcPr>
            <w:tcW w:w="907" w:type="dxa"/>
            <w:shd w:val="clear" w:color="auto" w:fill="auto"/>
            <w:vAlign w:val="bottom"/>
          </w:tcPr>
          <w:p w:rsidR="00FE79AB" w:rsidRPr="00125D89" w:rsidRDefault="00FE79AB" w:rsidP="00B84541">
            <w:pPr>
              <w:suppressAutoHyphens w:val="0"/>
              <w:spacing w:before="40" w:after="40" w:line="220" w:lineRule="exact"/>
              <w:jc w:val="right"/>
              <w:rPr>
                <w:sz w:val="18"/>
              </w:rPr>
            </w:pPr>
            <w:r w:rsidRPr="00125D89">
              <w:rPr>
                <w:sz w:val="18"/>
              </w:rPr>
              <w:t>0</w:t>
            </w:r>
            <w:r>
              <w:rPr>
                <w:sz w:val="18"/>
              </w:rPr>
              <w:t>,</w:t>
            </w:r>
            <w:r w:rsidRPr="00125D89">
              <w:rPr>
                <w:sz w:val="18"/>
              </w:rPr>
              <w:t>01</w:t>
            </w:r>
          </w:p>
        </w:tc>
        <w:tc>
          <w:tcPr>
            <w:tcW w:w="1588" w:type="dxa"/>
            <w:shd w:val="clear" w:color="auto" w:fill="auto"/>
            <w:vAlign w:val="bottom"/>
          </w:tcPr>
          <w:p w:rsidR="00FE79AB" w:rsidRPr="00A02C60" w:rsidRDefault="00FE79AB" w:rsidP="00B84541">
            <w:pPr>
              <w:spacing w:before="40" w:after="40" w:line="220" w:lineRule="exact"/>
              <w:jc w:val="right"/>
              <w:rPr>
                <w:sz w:val="18"/>
              </w:rPr>
            </w:pPr>
            <w:r w:rsidRPr="00A02C60">
              <w:rPr>
                <w:sz w:val="18"/>
              </w:rPr>
              <w:t xml:space="preserve">1 304 040 301                                                                                                                                                                                 </w:t>
            </w:r>
          </w:p>
        </w:tc>
        <w:tc>
          <w:tcPr>
            <w:tcW w:w="907" w:type="dxa"/>
            <w:shd w:val="clear" w:color="auto" w:fill="auto"/>
            <w:vAlign w:val="bottom"/>
          </w:tcPr>
          <w:p w:rsidR="00FE79AB" w:rsidRPr="00183838" w:rsidRDefault="00FE79AB" w:rsidP="00B84541">
            <w:pPr>
              <w:spacing w:before="40" w:after="40" w:line="220" w:lineRule="exact"/>
              <w:jc w:val="right"/>
              <w:rPr>
                <w:sz w:val="18"/>
              </w:rPr>
            </w:pPr>
            <w:r w:rsidRPr="00183838">
              <w:rPr>
                <w:sz w:val="18"/>
              </w:rPr>
              <w:t>0</w:t>
            </w:r>
            <w:r>
              <w:rPr>
                <w:sz w:val="18"/>
              </w:rPr>
              <w:t>,65</w:t>
            </w:r>
          </w:p>
        </w:tc>
      </w:tr>
      <w:tr w:rsidR="00FE79AB" w:rsidRPr="004D164D" w:rsidTr="00FE79AB">
        <w:tc>
          <w:tcPr>
            <w:tcW w:w="1474" w:type="dxa"/>
            <w:tcBorders>
              <w:bottom w:val="single" w:sz="12" w:space="0" w:color="auto"/>
            </w:tcBorders>
            <w:shd w:val="clear" w:color="auto" w:fill="auto"/>
            <w:vAlign w:val="bottom"/>
          </w:tcPr>
          <w:p w:rsidR="00FE79AB" w:rsidRPr="00084FA7" w:rsidRDefault="00FE79AB" w:rsidP="00B84541">
            <w:pPr>
              <w:spacing w:before="40" w:after="40" w:line="220" w:lineRule="exact"/>
              <w:rPr>
                <w:sz w:val="18"/>
              </w:rPr>
            </w:pPr>
            <w:r w:rsidRPr="002E38E8">
              <w:rPr>
                <w:sz w:val="18"/>
              </w:rPr>
              <w:t>Autres services</w:t>
            </w:r>
          </w:p>
        </w:tc>
        <w:tc>
          <w:tcPr>
            <w:tcW w:w="1191" w:type="dxa"/>
            <w:tcBorders>
              <w:bottom w:val="single" w:sz="12" w:space="0" w:color="auto"/>
            </w:tcBorders>
            <w:shd w:val="clear" w:color="auto" w:fill="auto"/>
            <w:vAlign w:val="bottom"/>
          </w:tcPr>
          <w:p w:rsidR="00FE79AB" w:rsidRPr="00084FA7" w:rsidRDefault="00FE79AB" w:rsidP="00B84541">
            <w:pPr>
              <w:spacing w:before="40" w:after="40" w:line="220" w:lineRule="exact"/>
              <w:rPr>
                <w:sz w:val="18"/>
              </w:rPr>
            </w:pPr>
          </w:p>
        </w:tc>
        <w:tc>
          <w:tcPr>
            <w:tcW w:w="1588" w:type="dxa"/>
            <w:tcBorders>
              <w:bottom w:val="single" w:sz="12" w:space="0" w:color="auto"/>
            </w:tcBorders>
            <w:shd w:val="clear" w:color="auto" w:fill="auto"/>
            <w:vAlign w:val="bottom"/>
          </w:tcPr>
          <w:p w:rsidR="00FE79AB" w:rsidRDefault="00FE79AB" w:rsidP="00B84541">
            <w:pPr>
              <w:spacing w:before="40" w:after="40" w:line="220" w:lineRule="exact"/>
              <w:jc w:val="right"/>
            </w:pPr>
            <w:r w:rsidRPr="00DB35CA">
              <w:rPr>
                <w:sz w:val="18"/>
              </w:rPr>
              <w:t>56 662 685 914</w:t>
            </w:r>
          </w:p>
        </w:tc>
        <w:tc>
          <w:tcPr>
            <w:tcW w:w="907" w:type="dxa"/>
            <w:tcBorders>
              <w:bottom w:val="single" w:sz="12" w:space="0" w:color="auto"/>
            </w:tcBorders>
            <w:shd w:val="clear" w:color="auto" w:fill="auto"/>
            <w:vAlign w:val="bottom"/>
          </w:tcPr>
          <w:p w:rsidR="00FE79AB" w:rsidRPr="00125D89" w:rsidRDefault="00FE79AB" w:rsidP="00B84541">
            <w:pPr>
              <w:suppressAutoHyphens w:val="0"/>
              <w:spacing w:before="40" w:after="40" w:line="220" w:lineRule="exact"/>
              <w:jc w:val="right"/>
              <w:rPr>
                <w:sz w:val="18"/>
              </w:rPr>
            </w:pPr>
            <w:r w:rsidRPr="00125D89">
              <w:rPr>
                <w:sz w:val="18"/>
              </w:rPr>
              <w:t>81</w:t>
            </w:r>
            <w:r>
              <w:rPr>
                <w:sz w:val="18"/>
              </w:rPr>
              <w:t>,</w:t>
            </w:r>
            <w:r w:rsidRPr="00125D89">
              <w:rPr>
                <w:sz w:val="18"/>
              </w:rPr>
              <w:t>37</w:t>
            </w:r>
          </w:p>
        </w:tc>
        <w:tc>
          <w:tcPr>
            <w:tcW w:w="1588" w:type="dxa"/>
            <w:tcBorders>
              <w:bottom w:val="single" w:sz="12" w:space="0" w:color="auto"/>
            </w:tcBorders>
            <w:shd w:val="clear" w:color="auto" w:fill="auto"/>
            <w:vAlign w:val="bottom"/>
          </w:tcPr>
          <w:p w:rsidR="00FE79AB" w:rsidRDefault="00FE79AB" w:rsidP="00B84541">
            <w:pPr>
              <w:spacing w:before="40" w:after="40" w:line="220" w:lineRule="exact"/>
              <w:jc w:val="right"/>
            </w:pPr>
            <w:r w:rsidRPr="00A02C60">
              <w:rPr>
                <w:sz w:val="18"/>
              </w:rPr>
              <w:t>84 272 365 198</w:t>
            </w:r>
          </w:p>
        </w:tc>
        <w:tc>
          <w:tcPr>
            <w:tcW w:w="907" w:type="dxa"/>
            <w:tcBorders>
              <w:bottom w:val="single" w:sz="12" w:space="0" w:color="auto"/>
            </w:tcBorders>
            <w:shd w:val="clear" w:color="auto" w:fill="auto"/>
            <w:vAlign w:val="bottom"/>
          </w:tcPr>
          <w:p w:rsidR="00FE79AB" w:rsidRPr="00183838" w:rsidRDefault="00FE79AB" w:rsidP="00B84541">
            <w:pPr>
              <w:spacing w:before="40" w:after="40" w:line="220" w:lineRule="exact"/>
              <w:jc w:val="right"/>
              <w:rPr>
                <w:sz w:val="18"/>
              </w:rPr>
            </w:pPr>
            <w:r w:rsidRPr="00183838">
              <w:rPr>
                <w:sz w:val="18"/>
              </w:rPr>
              <w:t>42</w:t>
            </w:r>
            <w:r>
              <w:rPr>
                <w:sz w:val="18"/>
              </w:rPr>
              <w:t>,01</w:t>
            </w:r>
          </w:p>
        </w:tc>
      </w:tr>
    </w:tbl>
    <w:p w:rsidR="00FE79AB" w:rsidRPr="002E38E8" w:rsidRDefault="00FE79AB" w:rsidP="00FE79AB">
      <w:pPr>
        <w:pStyle w:val="SingleTxtG"/>
        <w:spacing w:before="120"/>
        <w:ind w:firstLine="170"/>
        <w:rPr>
          <w:i/>
          <w:iCs/>
          <w:sz w:val="18"/>
          <w:szCs w:val="18"/>
        </w:rPr>
      </w:pPr>
      <w:r w:rsidRPr="002E38E8">
        <w:rPr>
          <w:i/>
          <w:iCs/>
          <w:sz w:val="18"/>
          <w:szCs w:val="18"/>
        </w:rPr>
        <w:t>Source</w:t>
      </w:r>
      <w:r w:rsidRPr="00B84306">
        <w:rPr>
          <w:iCs/>
          <w:sz w:val="18"/>
          <w:szCs w:val="18"/>
        </w:rPr>
        <w:t>:</w:t>
      </w:r>
      <w:r w:rsidRPr="002E38E8">
        <w:rPr>
          <w:i/>
          <w:iCs/>
          <w:sz w:val="18"/>
          <w:szCs w:val="18"/>
        </w:rPr>
        <w:t xml:space="preserve"> </w:t>
      </w:r>
      <w:r w:rsidRPr="002E38E8">
        <w:rPr>
          <w:iCs/>
          <w:sz w:val="18"/>
          <w:szCs w:val="18"/>
        </w:rPr>
        <w:t>MINFIN</w:t>
      </w:r>
      <w:r w:rsidRPr="002E38E8">
        <w:rPr>
          <w:i/>
          <w:iCs/>
          <w:sz w:val="18"/>
          <w:szCs w:val="18"/>
        </w:rPr>
        <w:t>.</w:t>
      </w:r>
    </w:p>
    <w:p w:rsidR="00FE79AB" w:rsidRPr="002E38E8" w:rsidRDefault="00FE79AB" w:rsidP="00FE79AB">
      <w:pPr>
        <w:pStyle w:val="H23G"/>
      </w:pPr>
      <w:r w:rsidRPr="002E38E8">
        <w:tab/>
        <w:t>4.</w:t>
      </w:r>
      <w:r w:rsidRPr="002E38E8">
        <w:tab/>
        <w:t>Élimination de l’analphabétisme chez les femmes</w:t>
      </w:r>
    </w:p>
    <w:p w:rsidR="00FE79AB" w:rsidRPr="002E38E8" w:rsidRDefault="00FE79AB" w:rsidP="00FE79AB">
      <w:pPr>
        <w:pStyle w:val="SingleTxtG"/>
      </w:pPr>
      <w:r w:rsidRPr="002E38E8">
        <w:t>78.</w:t>
      </w:r>
      <w:r w:rsidRPr="002E38E8">
        <w:tab/>
        <w:t xml:space="preserve">En dépit des efforts faits pour accroître les investissements dans l’éducation, en particulier le lancement en 1997 de la campagne nationale d’alphabétisation mise en œuvre par le Ministère de l’éducation et de la culture avec des organisations d’utilité publique, les taux d’analphabétisme dans la population adulte restent élevés. </w:t>
      </w:r>
    </w:p>
    <w:p w:rsidR="00FE79AB" w:rsidRPr="002E38E8" w:rsidRDefault="00FE79AB" w:rsidP="00FE79AB">
      <w:pPr>
        <w:pStyle w:val="SingleTxtG"/>
      </w:pPr>
      <w:r w:rsidRPr="002E38E8">
        <w:t>79.</w:t>
      </w:r>
      <w:r w:rsidRPr="002E38E8">
        <w:tab/>
        <w:t>Le taux d’analphabétisme parmi les femmes se situe entre 70 % et 79 %; il est de 50 % chez les hommes. Cela seulement démontre le travail qui reste à faire pour le Gouvernement et ses partenaires sociaux. Trois quarts des adultes âgés de plus de 19 ans − le taux étant plus élevé pour les femmes − n’ont jamais été à l’école ou n’y sont pas allés pendant suffisamment longtemps pour atteindre le niveau permettant de savoir lire et écrire.</w:t>
      </w:r>
    </w:p>
    <w:p w:rsidR="00FE79AB" w:rsidRPr="002E38E8" w:rsidRDefault="00FE79AB" w:rsidP="00FE79AB">
      <w:pPr>
        <w:pStyle w:val="SingleTxtG"/>
      </w:pPr>
      <w:r w:rsidRPr="002E38E8">
        <w:t>80.</w:t>
      </w:r>
      <w:r w:rsidRPr="002E38E8">
        <w:tab/>
        <w:t>Dans le cadre de la stratégie visant à accroître les niveaux d’alphabétisation et d’éducation parmi les adultes, le Ministère de l’éducation et de la culture accorde la priorité à l’alphabétisation et à la formation des femmes et des filles. Certains protocoles contraignants ont déjà été signés avec des partenaires sociaux, comme Caritas de l’Angola, l’Organisation des femmes angolaise</w:t>
      </w:r>
      <w:r>
        <w:t>s</w:t>
      </w:r>
      <w:r w:rsidRPr="002E38E8">
        <w:t>, la Fondation Eduardo dos Santos et l’Association Abundant. Aux termes de ces protocoles, le Ministère de l’éducation et de la culture a notamment pour responsabilités de former des formateurs, la certification des connaissances, la fourniture du matériel didactique de base et, en application d’un accord de partenariat privé-public, le versement d’une indemnité aux formateurs.</w:t>
      </w:r>
    </w:p>
    <w:p w:rsidR="00FE79AB" w:rsidRPr="002E38E8" w:rsidRDefault="00FE79AB" w:rsidP="00FE79AB">
      <w:pPr>
        <w:pStyle w:val="H23G"/>
      </w:pPr>
      <w:r w:rsidRPr="002E38E8">
        <w:tab/>
        <w:t>5.</w:t>
      </w:r>
      <w:r w:rsidRPr="002E38E8">
        <w:tab/>
        <w:t>Obstacles</w:t>
      </w:r>
    </w:p>
    <w:p w:rsidR="00FE79AB" w:rsidRPr="002E38E8" w:rsidRDefault="00FE79AB" w:rsidP="00FE79AB">
      <w:pPr>
        <w:pStyle w:val="SingleTxtG"/>
      </w:pPr>
      <w:r w:rsidRPr="002E38E8">
        <w:t>81.</w:t>
      </w:r>
      <w:r w:rsidRPr="002E38E8">
        <w:tab/>
        <w:t>Nonobstant le travail accompli par le Gouvernement et les services publics dans le domaine de la sensibilisation quant à certains comportements, attitudes et pratiques, les grossesses précoces continuent de se produire, ce qui contribue à accroître les abandons de l’école par les filles et à retarder la possibilité pour celles-ci de suivre un enseignement dans les délais normaux. Les faits suivants ne contribuent absolument pas à l’accroissement des taux de scolarisation des filles:</w:t>
      </w:r>
    </w:p>
    <w:p w:rsidR="00FE79AB" w:rsidRPr="002E38E8" w:rsidRDefault="00FE79AB" w:rsidP="00FE79AB">
      <w:pPr>
        <w:pStyle w:val="SingleTxtG"/>
        <w:ind w:firstLine="567"/>
        <w:rPr>
          <w:b/>
        </w:rPr>
      </w:pPr>
      <w:r w:rsidRPr="002E38E8">
        <w:t>a)</w:t>
      </w:r>
      <w:r w:rsidRPr="002E38E8">
        <w:tab/>
        <w:t>Le rôle traditionnellement dévolu aux femmes (travail domestique) empêche souvent une fille d’être scolarisée, parce qu’elle doit littéralement s’acquitter, d’abord et avant tout, des devoirs d’une mère;</w:t>
      </w:r>
    </w:p>
    <w:p w:rsidR="00FE79AB" w:rsidRPr="002E38E8" w:rsidRDefault="00FE79AB" w:rsidP="00FE79AB">
      <w:pPr>
        <w:pStyle w:val="SingleTxtG"/>
        <w:ind w:firstLine="567"/>
      </w:pPr>
      <w:r w:rsidRPr="002E38E8">
        <w:t>b)</w:t>
      </w:r>
      <w:r w:rsidRPr="002E38E8">
        <w:tab/>
        <w:t>Le niveau élevé d’analphabétisme chez les femmes demeure un obstacle à leur autonomisation.</w:t>
      </w:r>
    </w:p>
    <w:p w:rsidR="00FE79AB" w:rsidRPr="002E38E8" w:rsidRDefault="00FE79AB" w:rsidP="00FE79AB">
      <w:pPr>
        <w:pStyle w:val="H1G"/>
      </w:pPr>
      <w:r w:rsidRPr="002E38E8">
        <w:tab/>
      </w:r>
      <w:r w:rsidRPr="002E38E8">
        <w:tab/>
        <w:t>Article 11</w:t>
      </w:r>
      <w:r w:rsidRPr="002E38E8">
        <w:br/>
        <w:t>Mesures appropriées pour permettre aux femmes d’accéder à l’emploi et à une rémunération égale à celle des hommes et l’adoption de mesures pour protéger les femmes durant la grossesse et après l’accouchement ainsi que contre les licenciements</w:t>
      </w:r>
    </w:p>
    <w:p w:rsidR="00FE79AB" w:rsidRPr="002E38E8" w:rsidRDefault="00FE79AB" w:rsidP="00FE79AB">
      <w:pPr>
        <w:pStyle w:val="H23G"/>
      </w:pPr>
      <w:r w:rsidRPr="002E38E8">
        <w:tab/>
        <w:t>1.</w:t>
      </w:r>
      <w:r w:rsidRPr="002E38E8">
        <w:tab/>
        <w:t>Emplois</w:t>
      </w:r>
    </w:p>
    <w:p w:rsidR="00FE79AB" w:rsidRPr="002E38E8" w:rsidRDefault="00FE79AB" w:rsidP="00FE79AB">
      <w:pPr>
        <w:pStyle w:val="SingleTxtG"/>
      </w:pPr>
      <w:r w:rsidRPr="002E38E8">
        <w:t>82.</w:t>
      </w:r>
      <w:r w:rsidRPr="002E38E8">
        <w:tab/>
        <w:t>Le paragraphe 1 de l’article 76 de la Constitution angolaise dispose que le travail est un droit et un devoir de tous. Le paragraphe 2 du même article consacre le droit à la formation professionnelle, à une juste rémunération, au repos, aux congés, à la protection, à l’hygiène et à la sécurité dans le travail.</w:t>
      </w:r>
    </w:p>
    <w:p w:rsidR="00FE79AB" w:rsidRPr="002E38E8" w:rsidRDefault="00FE79AB" w:rsidP="00FE79AB">
      <w:pPr>
        <w:pStyle w:val="SingleTxtG"/>
      </w:pPr>
      <w:r w:rsidRPr="002E38E8">
        <w:t>83.</w:t>
      </w:r>
      <w:r w:rsidRPr="002E38E8">
        <w:tab/>
        <w:t>Bien qu’adoptée en 2000, la loi générale sur le travail contenait intégralement déjà les principes énoncés dans la Constitution adoptée en 2010, pour ce qui est du traitement égal dans le domaine du travail.</w:t>
      </w:r>
    </w:p>
    <w:p w:rsidR="00FE79AB" w:rsidRPr="002E38E8" w:rsidRDefault="00FE79AB" w:rsidP="00FE79AB">
      <w:pPr>
        <w:pStyle w:val="SingleTxtG"/>
      </w:pPr>
      <w:r w:rsidRPr="002E38E8">
        <w:t>84.</w:t>
      </w:r>
      <w:r w:rsidRPr="002E38E8">
        <w:tab/>
        <w:t>Pour ce qui est de la discrimination dans l’emploi, la législation angolaise n’est pas discriminatoire. Le paragraphe 1 de l’article 3 de la loi générale sur le travail est ainsi libellé: «Tous les citoyens ont le droit d’avoir un travail librement choisi, dans les conditions d’une égalité des chances et sans discrimination fondée sur la race, la couleur, le sexe, l’origine ethnique, l’état civil, la position sociale, les convictions religieuses ou politiques, l’affiliation à un syndicat ou la langue</w:t>
      </w:r>
      <w:r>
        <w:t>.</w:t>
      </w:r>
      <w:r w:rsidRPr="002E38E8">
        <w:t>».</w:t>
      </w:r>
    </w:p>
    <w:p w:rsidR="00FE79AB" w:rsidRPr="002E38E8" w:rsidRDefault="00FE79AB" w:rsidP="00FE79AB">
      <w:pPr>
        <w:pStyle w:val="SingleTxtG"/>
      </w:pPr>
      <w:r w:rsidRPr="002E38E8">
        <w:t>85.</w:t>
      </w:r>
      <w:r w:rsidRPr="002E38E8">
        <w:tab/>
        <w:t>Comme corollaires à l’interdiction de la discrimination, les paragraphes 1 et 3 de l’article 164 de la loi générale sur le travail énoncent ce qui suit:</w:t>
      </w:r>
    </w:p>
    <w:p w:rsidR="00FE79AB" w:rsidRPr="002E38E8" w:rsidRDefault="00FE79AB" w:rsidP="00FE79AB">
      <w:pPr>
        <w:pStyle w:val="SingleTxtG"/>
        <w:ind w:left="1701"/>
        <w:rPr>
          <w:bCs/>
          <w:iCs/>
        </w:rPr>
      </w:pPr>
      <w:r w:rsidRPr="002E38E8">
        <w:rPr>
          <w:bCs/>
        </w:rPr>
        <w:t>1.</w:t>
      </w:r>
      <w:r w:rsidRPr="002E38E8">
        <w:rPr>
          <w:bCs/>
        </w:rPr>
        <w:tab/>
        <w:t>«</w:t>
      </w:r>
      <w:r w:rsidRPr="002E38E8">
        <w:rPr>
          <w:color w:val="333333"/>
          <w:lang w:eastAsia="fr-FR"/>
        </w:rPr>
        <w:t>L’employeur a l’obligation d’assurer pour un même travail ou pour un travail de valeur équivalente, en fonction des conditions de la prestation, de la qualification et du rendement, l’égalité de la rémunération entre les travailleurs sans aucune discrimination, en conformité avec les dispositions de la présente loi</w:t>
      </w:r>
      <w:r>
        <w:rPr>
          <w:color w:val="333333"/>
          <w:lang w:eastAsia="fr-FR"/>
        </w:rPr>
        <w:t>.</w:t>
      </w:r>
      <w:r w:rsidRPr="002E38E8">
        <w:rPr>
          <w:color w:val="333333"/>
          <w:lang w:eastAsia="fr-FR"/>
        </w:rPr>
        <w:t>».</w:t>
      </w:r>
    </w:p>
    <w:p w:rsidR="00FE79AB" w:rsidRPr="002E38E8" w:rsidRDefault="00FE79AB" w:rsidP="00FE79AB">
      <w:pPr>
        <w:pStyle w:val="SingleTxtG"/>
        <w:ind w:left="1701"/>
        <w:rPr>
          <w:bCs/>
        </w:rPr>
      </w:pPr>
      <w:r w:rsidRPr="002E38E8">
        <w:rPr>
          <w:bCs/>
        </w:rPr>
        <w:t>3.</w:t>
      </w:r>
      <w:r w:rsidRPr="002E38E8">
        <w:rPr>
          <w:bCs/>
        </w:rPr>
        <w:tab/>
        <w:t>«</w:t>
      </w:r>
      <w:r w:rsidRPr="002E38E8">
        <w:rPr>
          <w:color w:val="333333"/>
          <w:lang w:eastAsia="fr-FR"/>
        </w:rPr>
        <w:t>Les catégories et les critères de classification et de promotion professionnelle ainsi que toutes les autres bases de calcul de la rémunération, notamment les critères d’évaluation des postes de travail, doivent être les mêmes pour les travailleurs des deux sexes</w:t>
      </w:r>
      <w:r>
        <w:rPr>
          <w:color w:val="333333"/>
          <w:lang w:eastAsia="fr-FR"/>
        </w:rPr>
        <w:t>.</w:t>
      </w:r>
      <w:r w:rsidRPr="002E38E8">
        <w:rPr>
          <w:color w:val="333333"/>
          <w:lang w:eastAsia="fr-FR"/>
        </w:rPr>
        <w:t>».</w:t>
      </w:r>
    </w:p>
    <w:p w:rsidR="00FE79AB" w:rsidRPr="002E38E8" w:rsidRDefault="00FE79AB" w:rsidP="00FE79AB">
      <w:pPr>
        <w:pStyle w:val="SingleTxtG"/>
      </w:pPr>
      <w:r w:rsidRPr="002E38E8">
        <w:t>86.</w:t>
      </w:r>
      <w:r w:rsidRPr="002E38E8">
        <w:tab/>
        <w:t>Toutefois, en raison des risques potentiels pour la fonction génétique, les travaux insalubres et dangereux sont interdits, tels que les travaux souterrains, sous réserve qu’ils soient exécutés dans des lieux ou places de travail disposant d’un équipement adéquat permettant de parer au risque.</w:t>
      </w:r>
    </w:p>
    <w:p w:rsidR="00FE79AB" w:rsidRPr="002E38E8" w:rsidRDefault="00FE79AB" w:rsidP="00FE79AB">
      <w:pPr>
        <w:pStyle w:val="SingleTxtG"/>
        <w:rPr>
          <w:bCs/>
        </w:rPr>
      </w:pPr>
      <w:r w:rsidRPr="002E38E8">
        <w:t>87.</w:t>
      </w:r>
      <w:r w:rsidRPr="002E38E8">
        <w:tab/>
      </w:r>
      <w:r w:rsidRPr="002E38E8">
        <w:rPr>
          <w:bCs/>
        </w:rPr>
        <w:t>La liste des emplois qui ne peuvent pas être occupés par les femmes est la suivante:</w:t>
      </w:r>
    </w:p>
    <w:p w:rsidR="00FE79AB" w:rsidRPr="002E38E8" w:rsidRDefault="00FE79AB" w:rsidP="00FE79AB">
      <w:pPr>
        <w:pStyle w:val="SingleTxtG"/>
        <w:ind w:firstLine="567"/>
        <w:rPr>
          <w:bCs/>
        </w:rPr>
      </w:pPr>
      <w:r w:rsidRPr="002E38E8">
        <w:rPr>
          <w:bCs/>
        </w:rPr>
        <w:t>a)</w:t>
      </w:r>
      <w:r w:rsidRPr="002E38E8">
        <w:rPr>
          <w:bCs/>
        </w:rPr>
        <w:tab/>
        <w:t>Les conditions auxquelles le travail des femmes est assujetti dans ces conditions (par. 4);</w:t>
      </w:r>
    </w:p>
    <w:p w:rsidR="00FE79AB" w:rsidRPr="002E38E8" w:rsidRDefault="00FE79AB" w:rsidP="00FE79AB">
      <w:pPr>
        <w:pStyle w:val="SingleTxtG"/>
        <w:ind w:firstLine="567"/>
        <w:rPr>
          <w:bCs/>
        </w:rPr>
      </w:pPr>
      <w:r w:rsidRPr="002E38E8">
        <w:rPr>
          <w:bCs/>
        </w:rPr>
        <w:t>b)</w:t>
      </w:r>
      <w:r w:rsidRPr="002E38E8">
        <w:rPr>
          <w:bCs/>
        </w:rPr>
        <w:tab/>
        <w:t>Examen périodique (par. 5); également en ce qui concerne la durée et l’organisation du travail (art. 271).</w:t>
      </w:r>
    </w:p>
    <w:p w:rsidR="00FE79AB" w:rsidRPr="002E38E8" w:rsidRDefault="00FE79AB" w:rsidP="00FE79AB">
      <w:pPr>
        <w:pStyle w:val="SingleTxtG"/>
        <w:rPr>
          <w:bCs/>
        </w:rPr>
      </w:pPr>
      <w:r w:rsidRPr="002E38E8">
        <w:rPr>
          <w:bCs/>
        </w:rPr>
        <w:t>88.</w:t>
      </w:r>
      <w:r w:rsidRPr="002E38E8">
        <w:rPr>
          <w:bCs/>
        </w:rPr>
        <w:tab/>
        <w:t xml:space="preserve">La durée de la pause entre une période de travail dans une journée donnée et la période de travail de la journée suivante est portée à douze heures; le paragraphe 6 de l’article 97 prévoit dix heures. </w:t>
      </w:r>
    </w:p>
    <w:p w:rsidR="00FE79AB" w:rsidRPr="002E38E8" w:rsidRDefault="00FE79AB" w:rsidP="00FE79AB">
      <w:pPr>
        <w:pStyle w:val="SingleTxtG"/>
      </w:pPr>
      <w:r w:rsidRPr="002E38E8">
        <w:t>89.</w:t>
      </w:r>
      <w:r w:rsidRPr="002E38E8">
        <w:tab/>
        <w:t xml:space="preserve">La loi prévoit également l’interdiction du travail de nuit sans autorisation de l’inspection générale du travail (al. </w:t>
      </w:r>
      <w:r w:rsidRPr="00B84306">
        <w:rPr>
          <w:i/>
        </w:rPr>
        <w:t>b</w:t>
      </w:r>
      <w:r w:rsidRPr="002E38E8">
        <w:t xml:space="preserve"> du paragraphe 1). L’inspection générale du travail doit répondre dans un délai de trois jours ouvrables; à défaut de quoi, l’autorisation est présumée accordée.</w:t>
      </w:r>
    </w:p>
    <w:p w:rsidR="00FE79AB" w:rsidRPr="002E38E8" w:rsidRDefault="00FE79AB" w:rsidP="00FE79AB">
      <w:pPr>
        <w:pStyle w:val="SingleTxtG"/>
      </w:pPr>
      <w:r w:rsidRPr="002E38E8">
        <w:t>90.</w:t>
      </w:r>
      <w:r w:rsidRPr="002E38E8">
        <w:tab/>
        <w:t>L’autorisation est accordée dans des cas exceptionnels (par. 2):</w:t>
      </w:r>
    </w:p>
    <w:p w:rsidR="00FE79AB" w:rsidRPr="002E38E8" w:rsidRDefault="00FE79AB" w:rsidP="00FE79AB">
      <w:pPr>
        <w:pStyle w:val="SingleTxtG"/>
        <w:ind w:firstLine="567"/>
        <w:rPr>
          <w:bCs/>
        </w:rPr>
      </w:pPr>
      <w:r w:rsidRPr="002E38E8">
        <w:rPr>
          <w:bCs/>
        </w:rPr>
        <w:t>a)</w:t>
      </w:r>
      <w:r w:rsidRPr="002E38E8">
        <w:rPr>
          <w:bCs/>
        </w:rPr>
        <w:tab/>
        <w:t>Force majeure, qui entraîne un changement anormal dans le fonctionnement du centre;</w:t>
      </w:r>
    </w:p>
    <w:p w:rsidR="00FE79AB" w:rsidRPr="002E38E8" w:rsidRDefault="00FE79AB" w:rsidP="00FE79AB">
      <w:pPr>
        <w:pStyle w:val="SingleTxtG"/>
        <w:ind w:firstLine="567"/>
        <w:rPr>
          <w:bCs/>
        </w:rPr>
      </w:pPr>
      <w:r w:rsidRPr="002E38E8">
        <w:rPr>
          <w:bCs/>
        </w:rPr>
        <w:t>b)</w:t>
      </w:r>
      <w:r w:rsidRPr="002E38E8">
        <w:rPr>
          <w:bCs/>
        </w:rPr>
        <w:tab/>
        <w:t>Lorsque les matières premières utilisées subissent une modification rapide et font courir le risque d’une inévitable perte si le travail n’est pas poursuivi;</w:t>
      </w:r>
    </w:p>
    <w:p w:rsidR="00FE79AB" w:rsidRPr="002E38E8" w:rsidRDefault="00FE79AB" w:rsidP="00FE79AB">
      <w:pPr>
        <w:pStyle w:val="SingleTxtG"/>
        <w:ind w:firstLine="567"/>
        <w:rPr>
          <w:bCs/>
        </w:rPr>
      </w:pPr>
      <w:r w:rsidRPr="002E38E8">
        <w:rPr>
          <w:bCs/>
        </w:rPr>
        <w:t>c)</w:t>
      </w:r>
      <w:r w:rsidRPr="002E38E8">
        <w:rPr>
          <w:bCs/>
        </w:rPr>
        <w:tab/>
        <w:t xml:space="preserve">Si le travailleur a donné son accord, dans le cas où le travail est organisé par périodes de travail. </w:t>
      </w:r>
    </w:p>
    <w:p w:rsidR="00FE79AB" w:rsidRPr="002E38E8" w:rsidRDefault="00FE79AB" w:rsidP="00FE79AB">
      <w:pPr>
        <w:pStyle w:val="SingleTxtG"/>
        <w:rPr>
          <w:bCs/>
        </w:rPr>
      </w:pPr>
      <w:r w:rsidRPr="002E38E8">
        <w:rPr>
          <w:bCs/>
        </w:rPr>
        <w:t>91.</w:t>
      </w:r>
      <w:r w:rsidRPr="002E38E8">
        <w:rPr>
          <w:bCs/>
        </w:rPr>
        <w:tab/>
        <w:t>Exceptions à l’interdiction du travail de nuit (par. 4):</w:t>
      </w:r>
    </w:p>
    <w:p w:rsidR="00FE79AB" w:rsidRPr="002E38E8" w:rsidRDefault="00FE79AB" w:rsidP="00FE79AB">
      <w:pPr>
        <w:pStyle w:val="SingleTxtG"/>
        <w:ind w:firstLine="567"/>
        <w:rPr>
          <w:bCs/>
        </w:rPr>
      </w:pPr>
      <w:r w:rsidRPr="002E38E8">
        <w:rPr>
          <w:bCs/>
        </w:rPr>
        <w:t>a)</w:t>
      </w:r>
      <w:r w:rsidRPr="002E38E8">
        <w:rPr>
          <w:bCs/>
        </w:rPr>
        <w:tab/>
        <w:t>Les travailleurs qui assument des fonctions de gestion ou des fonctions techniques impliquant une responsabilité;</w:t>
      </w:r>
    </w:p>
    <w:p w:rsidR="00FE79AB" w:rsidRPr="002E38E8" w:rsidRDefault="00FE79AB" w:rsidP="00FE79AB">
      <w:pPr>
        <w:pStyle w:val="SingleTxtG"/>
        <w:ind w:firstLine="567"/>
        <w:rPr>
          <w:bCs/>
        </w:rPr>
      </w:pPr>
      <w:r w:rsidRPr="002E38E8">
        <w:rPr>
          <w:bCs/>
        </w:rPr>
        <w:t>b)</w:t>
      </w:r>
      <w:r w:rsidRPr="002E38E8">
        <w:rPr>
          <w:bCs/>
        </w:rPr>
        <w:tab/>
        <w:t>Les travailleurs qui travaillent dans des services de la santé et du bien-être, sous réserve qu’ils n’exercent pas de façon régulière des tâches manuelles.</w:t>
      </w:r>
    </w:p>
    <w:p w:rsidR="00FE79AB" w:rsidRPr="002E38E8" w:rsidRDefault="00FE79AB" w:rsidP="00FE79AB">
      <w:pPr>
        <w:pStyle w:val="SingleTxtG"/>
        <w:rPr>
          <w:bCs/>
        </w:rPr>
      </w:pPr>
      <w:r w:rsidRPr="002E38E8">
        <w:rPr>
          <w:bCs/>
        </w:rPr>
        <w:t>92.</w:t>
      </w:r>
      <w:r w:rsidRPr="002E38E8">
        <w:rPr>
          <w:bCs/>
        </w:rPr>
        <w:tab/>
        <w:t>Les travailleurs assujettis au travail de nuit pour les raisons susvisées, et qui ont en charge des enfants âgés de moins de 10 ans, doivent bénéficier d’une permission s’ils la demandent en fournissant des motifs convaincants (par. 5), par renvoi au paragraphe 4 de l’article 104.</w:t>
      </w:r>
    </w:p>
    <w:p w:rsidR="00FE79AB" w:rsidRPr="002E38E8" w:rsidRDefault="00FE79AB" w:rsidP="00FE79AB">
      <w:pPr>
        <w:pStyle w:val="H23G"/>
      </w:pPr>
      <w:r w:rsidRPr="002E38E8">
        <w:tab/>
        <w:t>2.</w:t>
      </w:r>
      <w:r w:rsidRPr="002E38E8">
        <w:tab/>
        <w:t>Protection des mères</w:t>
      </w:r>
    </w:p>
    <w:p w:rsidR="00FE79AB" w:rsidRPr="002E38E8" w:rsidRDefault="00FE79AB" w:rsidP="00FE79AB">
      <w:pPr>
        <w:pStyle w:val="SingleTxtG"/>
      </w:pPr>
      <w:r w:rsidRPr="002E38E8">
        <w:t>93.</w:t>
      </w:r>
      <w:r w:rsidRPr="002E38E8">
        <w:tab/>
        <w:t>L’exercice des droits spéciaux sous réserve de la fourniture à l’employeur de la preuve de la grossesse, en présentant un document établi par un service de santé, à moins que l’état de la personne concernée soit manifeste; en pareil cas, les femmes ont le droit:</w:t>
      </w:r>
    </w:p>
    <w:p w:rsidR="00FE79AB" w:rsidRPr="002E38E8" w:rsidRDefault="00FE79AB" w:rsidP="00FE79AB">
      <w:pPr>
        <w:pStyle w:val="SingleTxtG"/>
        <w:ind w:firstLine="567"/>
        <w:rPr>
          <w:bCs/>
        </w:rPr>
      </w:pPr>
      <w:r w:rsidRPr="002E38E8">
        <w:rPr>
          <w:bCs/>
        </w:rPr>
        <w:t>a)</w:t>
      </w:r>
      <w:r w:rsidRPr="002E38E8">
        <w:rPr>
          <w:bCs/>
        </w:rPr>
        <w:tab/>
        <w:t>De ne pas assumer de tâches non conseillées compte tenu de leur état, l’employeur devant donner l’assurance que le travail qu’elles font est adapté à leur état (al. </w:t>
      </w:r>
      <w:r w:rsidRPr="002E38E8">
        <w:rPr>
          <w:bCs/>
          <w:i/>
        </w:rPr>
        <w:t>a</w:t>
      </w:r>
      <w:r w:rsidRPr="002E38E8">
        <w:rPr>
          <w:bCs/>
        </w:rPr>
        <w:t>);</w:t>
      </w:r>
    </w:p>
    <w:p w:rsidR="00FE79AB" w:rsidRPr="002E38E8" w:rsidRDefault="00FE79AB" w:rsidP="00FE79AB">
      <w:pPr>
        <w:pStyle w:val="SingleTxtG"/>
        <w:ind w:firstLine="566"/>
        <w:rPr>
          <w:bCs/>
        </w:rPr>
      </w:pPr>
      <w:r w:rsidRPr="002E38E8">
        <w:rPr>
          <w:bCs/>
        </w:rPr>
        <w:t>b)</w:t>
      </w:r>
      <w:r w:rsidRPr="002E38E8">
        <w:rPr>
          <w:bCs/>
        </w:rPr>
        <w:tab/>
        <w:t>De ne pas accomplir de travaux extraordinaires ou de ne pas être mutés sur un poste de travaux extraordinaires (al. </w:t>
      </w:r>
      <w:r w:rsidRPr="002E38E8">
        <w:rPr>
          <w:bCs/>
          <w:i/>
        </w:rPr>
        <w:t>b</w:t>
      </w:r>
      <w:r w:rsidRPr="002E38E8">
        <w:rPr>
          <w:bCs/>
        </w:rPr>
        <w:t>);</w:t>
      </w:r>
    </w:p>
    <w:p w:rsidR="00FE79AB" w:rsidRPr="002E38E8" w:rsidRDefault="00FE79AB" w:rsidP="00FE79AB">
      <w:pPr>
        <w:pStyle w:val="SingleTxtG"/>
        <w:ind w:firstLine="566"/>
        <w:rPr>
          <w:bCs/>
        </w:rPr>
      </w:pPr>
      <w:r w:rsidRPr="002E38E8">
        <w:rPr>
          <w:bCs/>
        </w:rPr>
        <w:t>c)</w:t>
      </w:r>
      <w:r w:rsidRPr="002E38E8">
        <w:rPr>
          <w:bCs/>
        </w:rPr>
        <w:tab/>
        <w:t>De ne pas être autorisées par l’</w:t>
      </w:r>
      <w:r w:rsidR="00706995" w:rsidRPr="002E38E8">
        <w:rPr>
          <w:bCs/>
        </w:rPr>
        <w:t>I</w:t>
      </w:r>
      <w:r w:rsidRPr="002E38E8">
        <w:rPr>
          <w:bCs/>
        </w:rPr>
        <w:t>nspection générale du travail à travailler la nuit (al. </w:t>
      </w:r>
      <w:r w:rsidRPr="002E38E8">
        <w:rPr>
          <w:bCs/>
          <w:i/>
        </w:rPr>
        <w:t>c</w:t>
      </w:r>
      <w:r w:rsidRPr="002E38E8">
        <w:rPr>
          <w:bCs/>
        </w:rPr>
        <w:t xml:space="preserve">). </w:t>
      </w:r>
    </w:p>
    <w:p w:rsidR="00FE79AB" w:rsidRPr="002E38E8" w:rsidRDefault="00FE79AB" w:rsidP="00FE79AB">
      <w:pPr>
        <w:pStyle w:val="SingleTxtG"/>
        <w:rPr>
          <w:bCs/>
        </w:rPr>
      </w:pPr>
      <w:r w:rsidRPr="002E38E8">
        <w:t>94.</w:t>
      </w:r>
      <w:r w:rsidRPr="002E38E8">
        <w:tab/>
        <w:t>La dernière interdiction est applicable trois (3) mois après l’accouchement, et peut être prorogée si le document médical indique que la nécessité de procéder à pareille prorogation se justifie (par. 3). Pendant une année après l’accouchement (par. 4), il est interdit de licencier</w:t>
      </w:r>
      <w:r w:rsidRPr="002E38E8">
        <w:rPr>
          <w:bCs/>
        </w:rPr>
        <w:t xml:space="preserve"> une femme, sauf en cas de faute disciplinaire lourde (al. </w:t>
      </w:r>
      <w:r w:rsidRPr="002E38E8">
        <w:rPr>
          <w:bCs/>
          <w:i/>
        </w:rPr>
        <w:t>d</w:t>
      </w:r>
      <w:r w:rsidRPr="002E38E8">
        <w:rPr>
          <w:bCs/>
        </w:rPr>
        <w:t>).</w:t>
      </w:r>
    </w:p>
    <w:p w:rsidR="00FE79AB" w:rsidRPr="002E38E8" w:rsidRDefault="00FE79AB" w:rsidP="00FE79AB">
      <w:pPr>
        <w:pStyle w:val="H23G"/>
      </w:pPr>
      <w:r w:rsidRPr="002E38E8">
        <w:tab/>
        <w:t>3.</w:t>
      </w:r>
      <w:r w:rsidRPr="002E38E8">
        <w:tab/>
        <w:t xml:space="preserve">Congé de maternité </w:t>
      </w:r>
    </w:p>
    <w:p w:rsidR="00FE79AB" w:rsidRPr="002E38E8" w:rsidRDefault="00FE79AB" w:rsidP="00FE79AB">
      <w:pPr>
        <w:pStyle w:val="SingleTxtG"/>
      </w:pPr>
      <w:r w:rsidRPr="002E38E8">
        <w:t>95.</w:t>
      </w:r>
      <w:r w:rsidRPr="002E38E8">
        <w:tab/>
        <w:t>Le congé de maternité de trois mois commence quatre semaines avant la date prévue pour l’accouchement.</w:t>
      </w:r>
    </w:p>
    <w:p w:rsidR="00FE79AB" w:rsidRPr="002E38E8" w:rsidRDefault="00FE79AB" w:rsidP="00FE79AB">
      <w:pPr>
        <w:pStyle w:val="SingleTxtG"/>
      </w:pPr>
      <w:r w:rsidRPr="002E38E8">
        <w:t>96.</w:t>
      </w:r>
      <w:r w:rsidRPr="002E38E8">
        <w:tab/>
        <w:t>Les exceptions sont les suivantes:</w:t>
      </w:r>
    </w:p>
    <w:p w:rsidR="00FE79AB" w:rsidRPr="002E38E8" w:rsidRDefault="00FE79AB" w:rsidP="00FE79AB">
      <w:pPr>
        <w:pStyle w:val="SingleTxtG"/>
        <w:ind w:firstLine="567"/>
        <w:rPr>
          <w:bCs/>
        </w:rPr>
      </w:pPr>
      <w:r w:rsidRPr="002E38E8">
        <w:rPr>
          <w:bCs/>
        </w:rPr>
        <w:t>a)</w:t>
      </w:r>
      <w:r w:rsidRPr="002E38E8">
        <w:rPr>
          <w:bCs/>
        </w:rPr>
        <w:tab/>
        <w:t>Extension de la durée du congé: quatre semaines dans le cas de naissances multiples (art. 3);</w:t>
      </w:r>
    </w:p>
    <w:p w:rsidR="00FE79AB" w:rsidRPr="002E38E8" w:rsidRDefault="00FE79AB" w:rsidP="00FE79AB">
      <w:pPr>
        <w:pStyle w:val="SingleTxtG"/>
        <w:ind w:firstLine="567"/>
        <w:rPr>
          <w:bCs/>
        </w:rPr>
      </w:pPr>
      <w:r w:rsidRPr="002E38E8">
        <w:rPr>
          <w:bCs/>
        </w:rPr>
        <w:t>b)</w:t>
      </w:r>
      <w:r w:rsidRPr="002E38E8">
        <w:rPr>
          <w:bCs/>
        </w:rPr>
        <w:tab/>
        <w:t>Extension de la période nécessaire pour atteindre les neuf semaines, si l’accouchement a lieu après la date prévue au début du congé (par. 4);</w:t>
      </w:r>
    </w:p>
    <w:p w:rsidR="00FE79AB" w:rsidRPr="002E38E8" w:rsidRDefault="00FE79AB" w:rsidP="00FE79AB">
      <w:pPr>
        <w:pStyle w:val="SingleTxtG"/>
        <w:ind w:firstLine="567"/>
        <w:rPr>
          <w:bCs/>
        </w:rPr>
      </w:pPr>
      <w:r w:rsidRPr="002E38E8">
        <w:rPr>
          <w:bCs/>
        </w:rPr>
        <w:t>c)</w:t>
      </w:r>
      <w:r w:rsidRPr="002E38E8">
        <w:rPr>
          <w:bCs/>
        </w:rPr>
        <w:tab/>
        <w:t xml:space="preserve">Interdiction de reprendre le travail, si la travailleuse n’a pas six semaines de repos après l’accouchement (par. 5); </w:t>
      </w:r>
    </w:p>
    <w:p w:rsidR="00FE79AB" w:rsidRPr="002E38E8" w:rsidRDefault="00FE79AB" w:rsidP="00FE79AB">
      <w:pPr>
        <w:pStyle w:val="SingleTxtG"/>
        <w:ind w:firstLine="567"/>
        <w:rPr>
          <w:bCs/>
        </w:rPr>
      </w:pPr>
      <w:r w:rsidRPr="002E38E8">
        <w:rPr>
          <w:bCs/>
        </w:rPr>
        <w:t>d)</w:t>
      </w:r>
      <w:r w:rsidRPr="002E38E8">
        <w:rPr>
          <w:bCs/>
        </w:rPr>
        <w:tab/>
        <w:t>Avance de la prime de maternité, remboursée par la sécurité sociale (par. 6);</w:t>
      </w:r>
    </w:p>
    <w:p w:rsidR="00FE79AB" w:rsidRPr="002E38E8" w:rsidRDefault="00FE79AB" w:rsidP="00FE79AB">
      <w:pPr>
        <w:pStyle w:val="SingleTxtG"/>
        <w:ind w:firstLine="567"/>
        <w:rPr>
          <w:bCs/>
        </w:rPr>
      </w:pPr>
      <w:r w:rsidRPr="002E38E8">
        <w:rPr>
          <w:bCs/>
        </w:rPr>
        <w:t>e)</w:t>
      </w:r>
      <w:r w:rsidRPr="002E38E8">
        <w:rPr>
          <w:bCs/>
        </w:rPr>
        <w:tab/>
        <w:t>Le congé est fonction de la durée de la période de travail (par. 7);</w:t>
      </w:r>
    </w:p>
    <w:p w:rsidR="00FE79AB" w:rsidRPr="002E38E8" w:rsidRDefault="00FE79AB" w:rsidP="00FE79AB">
      <w:pPr>
        <w:pStyle w:val="SingleTxtG"/>
        <w:ind w:firstLine="567"/>
        <w:rPr>
          <w:bCs/>
        </w:rPr>
      </w:pPr>
      <w:r w:rsidRPr="002E38E8">
        <w:rPr>
          <w:bCs/>
        </w:rPr>
        <w:t>f)</w:t>
      </w:r>
      <w:r w:rsidRPr="002E38E8">
        <w:rPr>
          <w:bCs/>
        </w:rPr>
        <w:tab/>
        <w:t>Congé de maternité dans des situations inhabituelles (art. 274);</w:t>
      </w:r>
    </w:p>
    <w:p w:rsidR="00FE79AB" w:rsidRPr="002E38E8" w:rsidRDefault="00FE79AB" w:rsidP="00FE79AB">
      <w:pPr>
        <w:pStyle w:val="SingleTxtG"/>
        <w:ind w:firstLine="567"/>
        <w:rPr>
          <w:bCs/>
        </w:rPr>
      </w:pPr>
      <w:r w:rsidRPr="002E38E8">
        <w:t>g)</w:t>
      </w:r>
      <w:r w:rsidRPr="002E38E8">
        <w:tab/>
        <w:t xml:space="preserve">Avortement et mise au </w:t>
      </w:r>
      <w:r w:rsidRPr="002E38E8">
        <w:rPr>
          <w:bCs/>
        </w:rPr>
        <w:t>monde d’un enfant mort-né: congé obligatoire de six semaines à compter de la date d’un avortement ou de la mise au monde d’un enfant mort-né (par. 1);</w:t>
      </w:r>
    </w:p>
    <w:p w:rsidR="00FE79AB" w:rsidRPr="002E38E8" w:rsidRDefault="00FE79AB" w:rsidP="00FE79AB">
      <w:pPr>
        <w:pStyle w:val="SingleTxtG"/>
        <w:ind w:firstLine="567"/>
        <w:rPr>
          <w:bCs/>
        </w:rPr>
      </w:pPr>
      <w:r>
        <w:rPr>
          <w:bCs/>
        </w:rPr>
        <w:t>h</w:t>
      </w:r>
      <w:r w:rsidRPr="002E38E8">
        <w:rPr>
          <w:bCs/>
        </w:rPr>
        <w:t>)</w:t>
      </w:r>
      <w:r w:rsidRPr="002E38E8">
        <w:rPr>
          <w:bCs/>
        </w:rPr>
        <w:tab/>
        <w:t>Décès de l’enfant avant le congé (par</w:t>
      </w:r>
      <w:r>
        <w:rPr>
          <w:bCs/>
        </w:rPr>
        <w:t>. 2);</w:t>
      </w:r>
    </w:p>
    <w:p w:rsidR="00FE79AB" w:rsidRPr="002E38E8" w:rsidRDefault="00FE79AB" w:rsidP="00FE79AB">
      <w:pPr>
        <w:pStyle w:val="SingleTxtG"/>
        <w:ind w:firstLine="567"/>
        <w:rPr>
          <w:bCs/>
        </w:rPr>
      </w:pPr>
      <w:r>
        <w:rPr>
          <w:bCs/>
        </w:rPr>
        <w:t>i</w:t>
      </w:r>
      <w:r w:rsidRPr="002E38E8">
        <w:rPr>
          <w:bCs/>
        </w:rPr>
        <w:t>)</w:t>
      </w:r>
      <w:r w:rsidRPr="002E38E8">
        <w:rPr>
          <w:bCs/>
        </w:rPr>
        <w:tab/>
        <w:t>Le congé prend fin sous réserve que six semaines se soient écoulées depuis l’accouchement;</w:t>
      </w:r>
    </w:p>
    <w:p w:rsidR="00FE79AB" w:rsidRPr="002E38E8" w:rsidRDefault="00FE79AB" w:rsidP="00FE79AB">
      <w:pPr>
        <w:pStyle w:val="SingleTxtG"/>
        <w:ind w:firstLine="567"/>
      </w:pPr>
      <w:r>
        <w:rPr>
          <w:bCs/>
        </w:rPr>
        <w:t>j</w:t>
      </w:r>
      <w:r w:rsidRPr="002E38E8">
        <w:rPr>
          <w:bCs/>
        </w:rPr>
        <w:t>)</w:t>
      </w:r>
      <w:r w:rsidRPr="002E38E8">
        <w:rPr>
          <w:bCs/>
        </w:rPr>
        <w:tab/>
        <w:t>La travailleuse reprend le travail</w:t>
      </w:r>
      <w:r w:rsidRPr="002E38E8">
        <w:t xml:space="preserve"> une semaine après le décès.</w:t>
      </w:r>
    </w:p>
    <w:p w:rsidR="00FE79AB" w:rsidRPr="00D668FB" w:rsidRDefault="00FE79AB" w:rsidP="00FE79AB">
      <w:pPr>
        <w:pStyle w:val="SingleTxtG"/>
      </w:pPr>
      <w:r w:rsidRPr="00D668FB">
        <w:t>97.</w:t>
      </w:r>
      <w:r w:rsidRPr="00D668FB">
        <w:tab/>
        <w:t>Un congé supplémentaire (art. 275) peut être pris après la fin de la période de congés. Aucun préavis n’est à donner à l’employeur et il ne s’agit pas d’un congé payé (par. 2).</w:t>
      </w:r>
    </w:p>
    <w:p w:rsidR="00FE79AB" w:rsidRPr="002E38E8" w:rsidRDefault="00FE79AB" w:rsidP="00FE79AB">
      <w:pPr>
        <w:pStyle w:val="SingleTxtG"/>
      </w:pPr>
      <w:r w:rsidRPr="002E38E8">
        <w:t>98.</w:t>
      </w:r>
      <w:r w:rsidRPr="002E38E8">
        <w:tab/>
        <w:t xml:space="preserve">Quant aux absences en cours de grossesse (art. 276), pendant la grossesse et jusqu’à quinze mois après l’accouchement, les travailleuses ont le droit de s’absenter un jour par mois, sans perte de salaire, pour des soins médicaux et pour s’occuper de leur enfant. </w:t>
      </w:r>
    </w:p>
    <w:p w:rsidR="00FE79AB" w:rsidRPr="002E38E8" w:rsidRDefault="00FE79AB" w:rsidP="00FE79AB">
      <w:pPr>
        <w:pStyle w:val="SingleTxtG"/>
      </w:pPr>
      <w:r w:rsidRPr="002E38E8">
        <w:t>99.</w:t>
      </w:r>
      <w:r w:rsidRPr="002E38E8">
        <w:tab/>
        <w:t xml:space="preserve">Une exception consiste au fait que le droit n’est pas accordé au cours de la période faisant suite à l’accouchement, si la travailleuse est employée à temps partiel (par renvoi à l’article 270). </w:t>
      </w:r>
    </w:p>
    <w:p w:rsidR="00FE79AB" w:rsidRPr="002E38E8" w:rsidRDefault="00FE79AB" w:rsidP="00FE79AB">
      <w:pPr>
        <w:pStyle w:val="SingleTxtG"/>
      </w:pPr>
      <w:r w:rsidRPr="002E38E8">
        <w:t>100.</w:t>
      </w:r>
      <w:r w:rsidRPr="002E38E8">
        <w:tab/>
        <w:t>Pour la résiliation du contrat à l’initiative de la travailleuse (art. 277), le contrat peut être résilié durant la grossesse et jusqu’à quinze mois après l’accouchement, sans obligation d’indemnisation, par un préavis d’une semaine.</w:t>
      </w:r>
    </w:p>
    <w:p w:rsidR="00FE79AB" w:rsidRPr="002E38E8" w:rsidRDefault="00FE79AB" w:rsidP="00FE79AB">
      <w:pPr>
        <w:pStyle w:val="SingleTxtG"/>
      </w:pPr>
      <w:r w:rsidRPr="002E38E8">
        <w:t>101.</w:t>
      </w:r>
      <w:r w:rsidRPr="002E38E8">
        <w:tab/>
        <w:t xml:space="preserve">S’agissant de la protection contre le licenciement (art. 278), durant la grossesse et jusqu’à douze mois après l’accouchement, les femmes jouissent de la protection spéciale de règles et règlements contre le licenciement individuel. </w:t>
      </w:r>
    </w:p>
    <w:p w:rsidR="00FE79AB" w:rsidRPr="002E38E8" w:rsidRDefault="00FE79AB" w:rsidP="00FE79AB">
      <w:pPr>
        <w:pStyle w:val="SingleTxtG"/>
      </w:pPr>
      <w:r w:rsidRPr="002E38E8">
        <w:t>102.</w:t>
      </w:r>
      <w:r w:rsidRPr="002E38E8">
        <w:tab/>
        <w:t>Quant au congé additionnel (art. 279), la période de congé est prolongée de un jour par enfant âgé de 14</w:t>
      </w:r>
      <w:r>
        <w:t> </w:t>
      </w:r>
      <w:r w:rsidRPr="002E38E8">
        <w:t>ans au plus.</w:t>
      </w:r>
    </w:p>
    <w:p w:rsidR="00FE79AB" w:rsidRPr="002E38E8" w:rsidRDefault="00FE79AB" w:rsidP="00FE79AB">
      <w:pPr>
        <w:pStyle w:val="H23G"/>
      </w:pPr>
      <w:r w:rsidRPr="002E38E8">
        <w:tab/>
        <w:t>4.</w:t>
      </w:r>
      <w:r w:rsidRPr="002E38E8">
        <w:tab/>
        <w:t>Les femmes et le Gouvernement</w:t>
      </w:r>
    </w:p>
    <w:p w:rsidR="00FE79AB" w:rsidRPr="002E38E8" w:rsidRDefault="00FE79AB" w:rsidP="00FE79AB">
      <w:pPr>
        <w:pStyle w:val="SingleTxtG"/>
        <w:rPr>
          <w:bCs/>
          <w:i/>
        </w:rPr>
      </w:pPr>
      <w:r w:rsidRPr="002E38E8">
        <w:t>103.</w:t>
      </w:r>
      <w:r w:rsidRPr="002E38E8">
        <w:tab/>
        <w:t>Le nombre total d’agents publics s’élève aujourd’hui à 310 683 personnes; 34 175 de ces personnes sont des agents publics fédéraux et 276 507 dans les administrations locales. Ces chiffres n’incluent pas les femmes</w:t>
      </w:r>
      <w:r w:rsidRPr="002E38E8">
        <w:rPr>
          <w:bCs/>
        </w:rPr>
        <w:t xml:space="preserve"> travaillant aux Ministères de la défense et de l’intérieur, ni les députées. Les femmes représentent 33 % du </w:t>
      </w:r>
      <w:r w:rsidRPr="002E38E8">
        <w:t>total</w:t>
      </w:r>
      <w:r w:rsidRPr="002E38E8">
        <w:rPr>
          <w:bCs/>
        </w:rPr>
        <w:t xml:space="preserve"> (102 525). Le secteur de l’éducation compte la plus forte concentration de femmes, 67 % en 2008 et 55 % en 2009, suivi de la santé, avec approximativement 21 % au cours de chacune de ces deux années.</w:t>
      </w:r>
    </w:p>
    <w:p w:rsidR="00FE79AB" w:rsidRPr="002E38E8" w:rsidRDefault="00FE79AB" w:rsidP="00FE79AB">
      <w:pPr>
        <w:pStyle w:val="H23G"/>
      </w:pPr>
      <w:r w:rsidRPr="002E38E8">
        <w:tab/>
        <w:t>a)</w:t>
      </w:r>
      <w:r w:rsidRPr="002E38E8">
        <w:tab/>
        <w:t>Obstacles</w:t>
      </w:r>
    </w:p>
    <w:p w:rsidR="00FE79AB" w:rsidRPr="002E38E8" w:rsidRDefault="00FE79AB" w:rsidP="00FE79AB">
      <w:pPr>
        <w:pStyle w:val="SingleTxtG"/>
        <w:rPr>
          <w:i/>
        </w:rPr>
      </w:pPr>
      <w:r w:rsidRPr="002E38E8">
        <w:t>104.</w:t>
      </w:r>
      <w:r w:rsidRPr="002E38E8">
        <w:tab/>
        <w:t>Discrimination à l’égard des femmes en matière d’emploi:</w:t>
      </w:r>
    </w:p>
    <w:p w:rsidR="00FE79AB" w:rsidRPr="002E38E8" w:rsidRDefault="00FE79AB" w:rsidP="00FE79AB">
      <w:pPr>
        <w:pStyle w:val="SingleTxtG"/>
        <w:ind w:firstLine="567"/>
        <w:rPr>
          <w:bCs/>
        </w:rPr>
      </w:pPr>
      <w:r w:rsidRPr="002E38E8">
        <w:rPr>
          <w:bCs/>
        </w:rPr>
        <w:t>a)</w:t>
      </w:r>
      <w:r w:rsidRPr="002E38E8">
        <w:rPr>
          <w:bCs/>
        </w:rPr>
        <w:tab/>
        <w:t>La discrimination existe toujours, en matière de droit au travail, à l’encontre des personnes séropositives et des personnes handicapées;</w:t>
      </w:r>
    </w:p>
    <w:p w:rsidR="00FE79AB" w:rsidRPr="002E38E8" w:rsidRDefault="00FE79AB" w:rsidP="00FE79AB">
      <w:pPr>
        <w:pStyle w:val="SingleTxtG"/>
        <w:ind w:firstLine="567"/>
        <w:rPr>
          <w:bCs/>
        </w:rPr>
      </w:pPr>
      <w:r w:rsidRPr="002E38E8">
        <w:rPr>
          <w:bCs/>
        </w:rPr>
        <w:t>b)</w:t>
      </w:r>
      <w:r w:rsidRPr="002E38E8">
        <w:rPr>
          <w:bCs/>
        </w:rPr>
        <w:tab/>
        <w:t>Certains écarts existent toujours dans le domaine des possibilités d’emploi pour les femmes dans le secteur privé;</w:t>
      </w:r>
    </w:p>
    <w:p w:rsidR="00FE79AB" w:rsidRPr="002E38E8" w:rsidRDefault="00FE79AB" w:rsidP="00FE79AB">
      <w:pPr>
        <w:pStyle w:val="SingleTxtG"/>
        <w:ind w:firstLine="567"/>
        <w:rPr>
          <w:bCs/>
        </w:rPr>
      </w:pPr>
      <w:r w:rsidRPr="002E38E8">
        <w:rPr>
          <w:bCs/>
        </w:rPr>
        <w:t>c)</w:t>
      </w:r>
      <w:r w:rsidRPr="002E38E8">
        <w:rPr>
          <w:bCs/>
        </w:rPr>
        <w:tab/>
        <w:t>Concernant le droit du choix libre de la profession, l’emploi, la promotion, etc., les procédures de l’inspection générale publique doivent être renforcées, afin de mieux faire respecter les politiques adoptées dans ce domaine;</w:t>
      </w:r>
    </w:p>
    <w:p w:rsidR="00FE79AB" w:rsidRPr="002E38E8" w:rsidRDefault="00FE79AB" w:rsidP="00FE79AB">
      <w:pPr>
        <w:pStyle w:val="SingleTxtG"/>
        <w:ind w:firstLine="567"/>
        <w:rPr>
          <w:bCs/>
        </w:rPr>
      </w:pPr>
      <w:r w:rsidRPr="002E38E8">
        <w:rPr>
          <w:bCs/>
        </w:rPr>
        <w:t>d)</w:t>
      </w:r>
      <w:r w:rsidRPr="002E38E8">
        <w:rPr>
          <w:bCs/>
        </w:rPr>
        <w:tab/>
        <w:t xml:space="preserve">La sécurité sociale existe pour les femmes qui travaillent dans le secteur formel, en particulier dans les cas de réforme, de chômage, de maladie, d’incapacité de travail, de vieillesse et toute autre cause d’incapacité de travailler. Il existe des lois et décrets qui définissent les conditions préalables à l’exercice de ce droit. </w:t>
      </w:r>
    </w:p>
    <w:p w:rsidR="00FE79AB" w:rsidRPr="002E38E8" w:rsidRDefault="00FE79AB" w:rsidP="00FE79AB">
      <w:pPr>
        <w:pStyle w:val="SingleTxtG"/>
      </w:pPr>
      <w:r w:rsidRPr="002E38E8">
        <w:t>105.</w:t>
      </w:r>
      <w:r w:rsidRPr="002E38E8">
        <w:tab/>
        <w:t xml:space="preserve">Dans l’étude portant sur le secteur informel à Luanda (Mário Adauta), le taux brut de chômage est estimé à 32,3 %, et celui des femmes à 35,6 %, soit 7 % de plus que le taux pour les hommes. </w:t>
      </w:r>
    </w:p>
    <w:p w:rsidR="00FE79AB" w:rsidRPr="002E38E8" w:rsidRDefault="00FE79AB" w:rsidP="00FE79AB">
      <w:pPr>
        <w:pStyle w:val="SingleTxtG"/>
      </w:pPr>
      <w:r w:rsidRPr="002E38E8">
        <w:t>106.</w:t>
      </w:r>
      <w:r w:rsidRPr="002E38E8">
        <w:tab/>
        <w:t xml:space="preserve">Le taux de chômage varie considérablement selon les groupes de population considérés. Il varie dans une large mesure selon les groupes d’âge, le taux étant élevé dans le groupe d’âge des 19 ans. Ces chiffres témoignent du taux élevé d’abandon de l’école dans la capitale, qui, ajouté à la pauvreté des familles, pousse ce segment de la population jeune dans l’inactivité. </w:t>
      </w:r>
    </w:p>
    <w:p w:rsidR="00FE79AB" w:rsidRPr="002E38E8" w:rsidRDefault="00FE79AB" w:rsidP="00FE79AB">
      <w:pPr>
        <w:pStyle w:val="SingleTxtG"/>
      </w:pPr>
      <w:r w:rsidRPr="002E38E8">
        <w:t>107.</w:t>
      </w:r>
      <w:r w:rsidRPr="002E38E8">
        <w:tab/>
        <w:t>Il n’existe pas de statistiques précises concernant le taux réel du chômage en Angola. Les estimations fourni</w:t>
      </w:r>
      <w:r>
        <w:t>e</w:t>
      </w:r>
      <w:r w:rsidRPr="002E38E8">
        <w:t>s dans le rapport sur le développement humain en Angola (PNUD, septembre 1997) indiquent que le chômage urbain s’élève à 30-35 % de la population âgée de plus de 10</w:t>
      </w:r>
      <w:r>
        <w:t> </w:t>
      </w:r>
      <w:r w:rsidRPr="002E38E8">
        <w:t>ans (ce chiffre monte à 45</w:t>
      </w:r>
      <w:r>
        <w:t> </w:t>
      </w:r>
      <w:r w:rsidRPr="002E38E8">
        <w:t>%, si la tranche d’âge choisie est 7 ans ou plus).</w:t>
      </w:r>
    </w:p>
    <w:p w:rsidR="00FE79AB" w:rsidRDefault="00FE79AB" w:rsidP="00FE79AB">
      <w:pPr>
        <w:pStyle w:val="SingleTxtG"/>
      </w:pPr>
      <w:r w:rsidRPr="002E38E8">
        <w:t>108.</w:t>
      </w:r>
      <w:r w:rsidRPr="002E38E8">
        <w:tab/>
        <w:t>Il convient de noter que la formation professionnelle joue un rôle très important dans la politique de l’emploi. Entre 2003 et 2006, il y a eu une augmentation significative du nombre d’instituts, de sociétés et de personnes ayant reçu un agrément pour s’engager dans la formation et la réadaptation professionnelles. En 2009, 421 centres de formation professionnelle, publics comme privés, ont été enregistrés. Il y a eu augmentation par rapport aux années précédentes, comme le montrent les données ci-après: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9"/>
        <w:gridCol w:w="1134"/>
        <w:gridCol w:w="1134"/>
        <w:gridCol w:w="1134"/>
      </w:tblGrid>
      <w:tr w:rsidR="00FE79AB" w:rsidRPr="008B18AD" w:rsidTr="00B84541">
        <w:trPr>
          <w:tblHeader/>
        </w:trPr>
        <w:tc>
          <w:tcPr>
            <w:tcW w:w="3969"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rPr>
                <w:i/>
                <w:sz w:val="16"/>
              </w:rPr>
            </w:pPr>
            <w:r w:rsidRPr="002E38E8">
              <w:rPr>
                <w:i/>
                <w:sz w:val="16"/>
              </w:rPr>
              <w:t>Formation professionnelle</w:t>
            </w:r>
          </w:p>
        </w:tc>
        <w:tc>
          <w:tcPr>
            <w:tcW w:w="1134"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ind w:left="113"/>
              <w:jc w:val="right"/>
              <w:rPr>
                <w:i/>
                <w:sz w:val="16"/>
              </w:rPr>
            </w:pPr>
            <w:r w:rsidRPr="002E38E8">
              <w:rPr>
                <w:i/>
                <w:sz w:val="16"/>
              </w:rPr>
              <w:t>2007</w:t>
            </w:r>
          </w:p>
        </w:tc>
        <w:tc>
          <w:tcPr>
            <w:tcW w:w="1134"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ind w:left="113"/>
              <w:jc w:val="right"/>
              <w:rPr>
                <w:i/>
                <w:sz w:val="16"/>
              </w:rPr>
            </w:pPr>
            <w:r w:rsidRPr="002E38E8">
              <w:rPr>
                <w:i/>
                <w:sz w:val="16"/>
              </w:rPr>
              <w:t>2008</w:t>
            </w:r>
          </w:p>
        </w:tc>
        <w:tc>
          <w:tcPr>
            <w:tcW w:w="1134"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ind w:left="113"/>
              <w:jc w:val="right"/>
              <w:rPr>
                <w:i/>
                <w:sz w:val="16"/>
              </w:rPr>
            </w:pPr>
            <w:r w:rsidRPr="002E38E8">
              <w:rPr>
                <w:i/>
                <w:sz w:val="16"/>
              </w:rPr>
              <w:t>2009</w:t>
            </w:r>
          </w:p>
        </w:tc>
      </w:tr>
      <w:tr w:rsidR="00FE79AB" w:rsidTr="00B84541">
        <w:tc>
          <w:tcPr>
            <w:tcW w:w="3969" w:type="dxa"/>
            <w:tcBorders>
              <w:top w:val="single" w:sz="12" w:space="0" w:color="auto"/>
            </w:tcBorders>
            <w:shd w:val="clear" w:color="auto" w:fill="auto"/>
          </w:tcPr>
          <w:p w:rsidR="00FE79AB" w:rsidRPr="002E38E8" w:rsidRDefault="00FE79AB" w:rsidP="00B84541">
            <w:pPr>
              <w:suppressAutoHyphens w:val="0"/>
              <w:spacing w:before="40" w:after="40" w:line="220" w:lineRule="exact"/>
              <w:rPr>
                <w:sz w:val="18"/>
              </w:rPr>
            </w:pPr>
            <w:r w:rsidRPr="002E38E8">
              <w:rPr>
                <w:sz w:val="18"/>
              </w:rPr>
              <w:t>Compétences en matière de formation</w:t>
            </w:r>
          </w:p>
        </w:tc>
        <w:tc>
          <w:tcPr>
            <w:tcW w:w="1134" w:type="dxa"/>
            <w:tcBorders>
              <w:top w:val="single" w:sz="12" w:space="0" w:color="auto"/>
            </w:tcBorders>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27 809</w:t>
            </w:r>
          </w:p>
        </w:tc>
        <w:tc>
          <w:tcPr>
            <w:tcW w:w="1134" w:type="dxa"/>
            <w:tcBorders>
              <w:top w:val="single" w:sz="12" w:space="0" w:color="auto"/>
            </w:tcBorders>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60 516</w:t>
            </w:r>
          </w:p>
        </w:tc>
        <w:tc>
          <w:tcPr>
            <w:tcW w:w="1134" w:type="dxa"/>
            <w:tcBorders>
              <w:top w:val="single" w:sz="12" w:space="0" w:color="auto"/>
            </w:tcBorders>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62 685</w:t>
            </w:r>
          </w:p>
        </w:tc>
      </w:tr>
      <w:tr w:rsidR="00FE79AB" w:rsidTr="00B84541">
        <w:tc>
          <w:tcPr>
            <w:tcW w:w="3969" w:type="dxa"/>
            <w:shd w:val="clear" w:color="auto" w:fill="auto"/>
          </w:tcPr>
          <w:p w:rsidR="00FE79AB" w:rsidRPr="002E38E8" w:rsidRDefault="00FE79AB" w:rsidP="00B84541">
            <w:pPr>
              <w:suppressAutoHyphens w:val="0"/>
              <w:spacing w:before="40" w:after="40" w:line="220" w:lineRule="exact"/>
              <w:rPr>
                <w:sz w:val="18"/>
              </w:rPr>
            </w:pPr>
            <w:r w:rsidRPr="002E38E8">
              <w:rPr>
                <w:sz w:val="18"/>
              </w:rPr>
              <w:t>Centre</w:t>
            </w:r>
            <w:r>
              <w:rPr>
                <w:sz w:val="18"/>
              </w:rPr>
              <w:t>s</w:t>
            </w:r>
            <w:r w:rsidRPr="002E38E8">
              <w:rPr>
                <w:sz w:val="18"/>
              </w:rPr>
              <w:t xml:space="preserve"> de formation professionnelle</w:t>
            </w:r>
          </w:p>
        </w:tc>
        <w:tc>
          <w:tcPr>
            <w:tcW w:w="1134" w:type="dxa"/>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341</w:t>
            </w:r>
          </w:p>
        </w:tc>
        <w:tc>
          <w:tcPr>
            <w:tcW w:w="1134" w:type="dxa"/>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401</w:t>
            </w:r>
          </w:p>
        </w:tc>
        <w:tc>
          <w:tcPr>
            <w:tcW w:w="1134" w:type="dxa"/>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421</w:t>
            </w:r>
          </w:p>
        </w:tc>
      </w:tr>
      <w:tr w:rsidR="00FE79AB" w:rsidTr="00B84541">
        <w:tc>
          <w:tcPr>
            <w:tcW w:w="3969" w:type="dxa"/>
            <w:shd w:val="clear" w:color="auto" w:fill="auto"/>
          </w:tcPr>
          <w:p w:rsidR="00FE79AB" w:rsidRPr="002E38E8" w:rsidRDefault="00FE79AB" w:rsidP="00B84541">
            <w:pPr>
              <w:suppressAutoHyphens w:val="0"/>
              <w:spacing w:before="40" w:after="40" w:line="220" w:lineRule="exact"/>
              <w:rPr>
                <w:sz w:val="18"/>
              </w:rPr>
            </w:pPr>
            <w:r w:rsidRPr="002E38E8">
              <w:rPr>
                <w:sz w:val="18"/>
              </w:rPr>
              <w:t>Formation des fonctionnaires (ENAD)</w:t>
            </w:r>
          </w:p>
        </w:tc>
        <w:tc>
          <w:tcPr>
            <w:tcW w:w="1134" w:type="dxa"/>
            <w:shd w:val="clear" w:color="auto" w:fill="auto"/>
            <w:vAlign w:val="bottom"/>
          </w:tcPr>
          <w:p w:rsidR="00FE79AB" w:rsidRPr="002E38E8" w:rsidRDefault="00FE79AB" w:rsidP="00B84541">
            <w:pPr>
              <w:suppressAutoHyphens w:val="0"/>
              <w:spacing w:before="40" w:after="40" w:line="220" w:lineRule="exact"/>
              <w:ind w:left="113"/>
              <w:jc w:val="right"/>
              <w:rPr>
                <w:sz w:val="18"/>
              </w:rPr>
            </w:pPr>
          </w:p>
        </w:tc>
        <w:tc>
          <w:tcPr>
            <w:tcW w:w="1134" w:type="dxa"/>
            <w:shd w:val="clear" w:color="auto" w:fill="auto"/>
            <w:vAlign w:val="bottom"/>
          </w:tcPr>
          <w:p w:rsidR="00FE79AB" w:rsidRPr="002E38E8" w:rsidRDefault="00FE79AB" w:rsidP="00B84541">
            <w:pPr>
              <w:suppressAutoHyphens w:val="0"/>
              <w:spacing w:before="40" w:after="40" w:line="220" w:lineRule="exact"/>
              <w:ind w:left="113"/>
              <w:jc w:val="right"/>
              <w:rPr>
                <w:sz w:val="18"/>
              </w:rPr>
            </w:pPr>
          </w:p>
        </w:tc>
        <w:tc>
          <w:tcPr>
            <w:tcW w:w="1134" w:type="dxa"/>
            <w:shd w:val="clear" w:color="auto" w:fill="auto"/>
            <w:vAlign w:val="bottom"/>
          </w:tcPr>
          <w:p w:rsidR="00FE79AB" w:rsidRPr="002E38E8" w:rsidRDefault="00FE79AB" w:rsidP="00B84541">
            <w:pPr>
              <w:suppressAutoHyphens w:val="0"/>
              <w:spacing w:before="40" w:after="40" w:line="220" w:lineRule="exact"/>
              <w:ind w:left="113"/>
              <w:jc w:val="right"/>
              <w:rPr>
                <w:sz w:val="18"/>
              </w:rPr>
            </w:pPr>
          </w:p>
        </w:tc>
      </w:tr>
      <w:tr w:rsidR="00FE79AB" w:rsidTr="00B84541">
        <w:tc>
          <w:tcPr>
            <w:tcW w:w="3969" w:type="dxa"/>
            <w:shd w:val="clear" w:color="auto" w:fill="auto"/>
          </w:tcPr>
          <w:p w:rsidR="00FE79AB" w:rsidRPr="002E38E8" w:rsidRDefault="00FE79AB" w:rsidP="00B84541">
            <w:pPr>
              <w:suppressAutoHyphens w:val="0"/>
              <w:spacing w:before="40" w:after="40" w:line="220" w:lineRule="exact"/>
              <w:rPr>
                <w:sz w:val="18"/>
              </w:rPr>
            </w:pPr>
            <w:r w:rsidRPr="002E38E8">
              <w:rPr>
                <w:sz w:val="18"/>
              </w:rPr>
              <w:t>Formation dispensée</w:t>
            </w:r>
          </w:p>
        </w:tc>
        <w:tc>
          <w:tcPr>
            <w:tcW w:w="1134" w:type="dxa"/>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134</w:t>
            </w:r>
          </w:p>
        </w:tc>
        <w:tc>
          <w:tcPr>
            <w:tcW w:w="1134" w:type="dxa"/>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70</w:t>
            </w:r>
          </w:p>
        </w:tc>
        <w:tc>
          <w:tcPr>
            <w:tcW w:w="1134" w:type="dxa"/>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52</w:t>
            </w:r>
          </w:p>
        </w:tc>
      </w:tr>
      <w:tr w:rsidR="00FE79AB" w:rsidTr="00B84541">
        <w:tc>
          <w:tcPr>
            <w:tcW w:w="3969" w:type="dxa"/>
            <w:tcBorders>
              <w:bottom w:val="single" w:sz="12" w:space="0" w:color="auto"/>
            </w:tcBorders>
            <w:shd w:val="clear" w:color="auto" w:fill="auto"/>
          </w:tcPr>
          <w:p w:rsidR="00FE79AB" w:rsidRPr="002E38E8" w:rsidRDefault="00FE79AB" w:rsidP="00B84541">
            <w:pPr>
              <w:suppressAutoHyphens w:val="0"/>
              <w:spacing w:before="40" w:after="40" w:line="220" w:lineRule="exact"/>
              <w:rPr>
                <w:sz w:val="18"/>
              </w:rPr>
            </w:pPr>
            <w:r w:rsidRPr="002E38E8">
              <w:rPr>
                <w:sz w:val="18"/>
              </w:rPr>
              <w:t>Participants à la formation</w:t>
            </w:r>
          </w:p>
        </w:tc>
        <w:tc>
          <w:tcPr>
            <w:tcW w:w="1134" w:type="dxa"/>
            <w:tcBorders>
              <w:bottom w:val="single" w:sz="12" w:space="0" w:color="auto"/>
            </w:tcBorders>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3 467</w:t>
            </w:r>
          </w:p>
        </w:tc>
        <w:tc>
          <w:tcPr>
            <w:tcW w:w="1134" w:type="dxa"/>
            <w:tcBorders>
              <w:bottom w:val="single" w:sz="12" w:space="0" w:color="auto"/>
            </w:tcBorders>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2 098</w:t>
            </w:r>
          </w:p>
        </w:tc>
        <w:tc>
          <w:tcPr>
            <w:tcW w:w="1134" w:type="dxa"/>
            <w:tcBorders>
              <w:bottom w:val="single" w:sz="12" w:space="0" w:color="auto"/>
            </w:tcBorders>
            <w:shd w:val="clear" w:color="auto" w:fill="auto"/>
            <w:vAlign w:val="bottom"/>
          </w:tcPr>
          <w:p w:rsidR="00FE79AB" w:rsidRPr="002E38E8" w:rsidRDefault="00FE79AB" w:rsidP="00B84541">
            <w:pPr>
              <w:suppressAutoHyphens w:val="0"/>
              <w:spacing w:before="40" w:after="40" w:line="220" w:lineRule="exact"/>
              <w:ind w:left="113"/>
              <w:jc w:val="right"/>
              <w:rPr>
                <w:sz w:val="18"/>
              </w:rPr>
            </w:pPr>
            <w:r w:rsidRPr="002E38E8">
              <w:rPr>
                <w:sz w:val="18"/>
              </w:rPr>
              <w:t>2 434</w:t>
            </w:r>
          </w:p>
        </w:tc>
      </w:tr>
    </w:tbl>
    <w:p w:rsidR="00FE79AB" w:rsidRPr="002E38E8" w:rsidRDefault="00FE79AB" w:rsidP="00977C73">
      <w:pPr>
        <w:pStyle w:val="SingleTxtG"/>
        <w:spacing w:before="240"/>
      </w:pPr>
      <w:r w:rsidRPr="002E38E8">
        <w:t>109.</w:t>
      </w:r>
      <w:r w:rsidRPr="002E38E8">
        <w:tab/>
        <w:t xml:space="preserve">Le processus de la formation professionnelle constitue une priorité dans le cadre de la promotion des conditions de valorisation des ressources humaines. De ce fait, depuis 2004, des infrastructures ont été créées qui rendent possibles la fourniture de davantage de ressources au système national de formation professionnelle, le développement des activités de formation initiale et de formation continue, et des ajustements des profils professionnels au marché de l’emploi. </w:t>
      </w:r>
    </w:p>
    <w:p w:rsidR="00FE79AB" w:rsidRPr="002E38E8" w:rsidRDefault="00FE79AB" w:rsidP="00FE79AB">
      <w:pPr>
        <w:pStyle w:val="SingleTxtG"/>
      </w:pPr>
      <w:r w:rsidRPr="002E38E8">
        <w:t>110.</w:t>
      </w:r>
      <w:r w:rsidRPr="002E38E8">
        <w:tab/>
        <w:t xml:space="preserve">Si l’on ventile la formation par activité professionnelle, on s’aperçoit que le secteur du bâtiment, suivi de − et comprenant − l’électricité et l’informatique, fournit plus de 60 % des emplois. Ces indicateurs montrent clairement que l’intérêt des personnes en formation coïncide avec les besoins du marché du travail et, par conséquent, avec les offres d’emplois. </w:t>
      </w:r>
    </w:p>
    <w:p w:rsidR="00FE79AB" w:rsidRPr="002E38E8" w:rsidRDefault="00FE79AB" w:rsidP="00FE79AB">
      <w:pPr>
        <w:pStyle w:val="SingleTxtG"/>
      </w:pPr>
      <w:r w:rsidRPr="002E38E8">
        <w:t>111.</w:t>
      </w:r>
      <w:r w:rsidRPr="002E38E8">
        <w:tab/>
        <w:t xml:space="preserve">Le marché de l’emploi a directement absorbé 44 % des personnes formées. Le reste des 56 % a opté pour des solutions du travail en se mettant à son propre compte ou en indépendant. </w:t>
      </w:r>
    </w:p>
    <w:p w:rsidR="00FE79AB" w:rsidRPr="002E38E8" w:rsidRDefault="00FE79AB" w:rsidP="00FE79AB">
      <w:pPr>
        <w:pStyle w:val="H23G"/>
      </w:pPr>
      <w:r w:rsidRPr="002E38E8">
        <w:tab/>
        <w:t>5.</w:t>
      </w:r>
      <w:r w:rsidRPr="002E38E8">
        <w:tab/>
        <w:t>Protection sociale</w:t>
      </w:r>
    </w:p>
    <w:p w:rsidR="00FE79AB" w:rsidRPr="002E38E8" w:rsidRDefault="00FE79AB" w:rsidP="00FE79AB">
      <w:pPr>
        <w:pStyle w:val="SingleTxtG"/>
      </w:pPr>
      <w:r w:rsidRPr="002E38E8">
        <w:t>112.</w:t>
      </w:r>
      <w:r w:rsidRPr="002E38E8">
        <w:tab/>
        <w:t>Nous estimons que près de 4 % de la population de l’Angola ont plus de 60</w:t>
      </w:r>
      <w:r>
        <w:t> </w:t>
      </w:r>
      <w:r w:rsidRPr="002E38E8">
        <w:t>ans, ce qui donne, en chiffres absolus, près de 605 000 personnes âgées, qui vivent tou</w:t>
      </w:r>
      <w:r>
        <w:t>te</w:t>
      </w:r>
      <w:r w:rsidRPr="002E38E8">
        <w:t>s dans une extrême pauvreté</w:t>
      </w:r>
      <w:r>
        <w:rPr>
          <w:rStyle w:val="FootnoteReference"/>
        </w:rPr>
        <w:footnoteReference w:id="4"/>
      </w:r>
      <w:r w:rsidRPr="002E38E8">
        <w:t>.</w:t>
      </w:r>
    </w:p>
    <w:p w:rsidR="00FE79AB" w:rsidRPr="002E38E8" w:rsidRDefault="00FE79AB" w:rsidP="00FE79AB">
      <w:pPr>
        <w:pStyle w:val="SingleTxtG"/>
      </w:pPr>
      <w:r w:rsidRPr="002E38E8">
        <w:t>113.</w:t>
      </w:r>
      <w:r w:rsidRPr="002E38E8">
        <w:tab/>
        <w:t>La loi n</w:t>
      </w:r>
      <w:r w:rsidRPr="00CC2745">
        <w:rPr>
          <w:vertAlign w:val="superscript"/>
        </w:rPr>
        <w:t>o</w:t>
      </w:r>
      <w:r w:rsidRPr="002E38E8">
        <w:t> 7/04 sur les fondements de la protection sociale, portant abrogation de la loi n</w:t>
      </w:r>
      <w:r w:rsidRPr="00CC2745">
        <w:rPr>
          <w:vertAlign w:val="superscript"/>
        </w:rPr>
        <w:t>o</w:t>
      </w:r>
      <w:r w:rsidRPr="002E38E8">
        <w:t> 18 du 27 octobre 1990, a pour objet: la solidarité nationale reflétée dans l</w:t>
      </w:r>
      <w:r>
        <w:t>a</w:t>
      </w:r>
      <w:r w:rsidRPr="002E38E8">
        <w:t xml:space="preserve"> redistribution du financement par des ressources tirées des taxes; le bien-être de la population, des familles et de la communauté, réalisé à travers la promotion sociale et le développement régional pour réduire graduellement les inégalités sociales et les asymétries régionales; la prévention des situations de misère, de dysfonctionnement et de marginalisation grâce à la mise en œuvre, en collaboration avec les personnes auxquelles les activités sont destinées, d’activités spéciales de protection pour les groupes les plus vulnérables; la fourniture de moyens de subsistance minima aux personnes et familles se trouvant dans des situations particulièrement graves, que ce soit du fait de l’imprévisibilité ou de l’ampleur de ces situations, ou du fait de l’incapacité totale dans laquelle se trouvent les bénéficiaires de se rétablir ou de participer financièrement.</w:t>
      </w:r>
    </w:p>
    <w:p w:rsidR="00FE79AB" w:rsidRPr="002E38E8" w:rsidRDefault="00FE79AB" w:rsidP="00FE79AB">
      <w:pPr>
        <w:pStyle w:val="SingleTxtG"/>
      </w:pPr>
      <w:r w:rsidRPr="002E38E8">
        <w:t>114.</w:t>
      </w:r>
      <w:r w:rsidRPr="002E38E8">
        <w:tab/>
        <w:t>Au nombre des personnes auxquelles cette loi s’applique en particulier figurent: les personnes et familles vivant dans une extrême pauvreté; les femmes se trouvant dans des situations de précarité; les enfants et adolescents ayant des besoins spéciaux ou étant exposés à des risques; les personnes âgées dépendantes physiquement ou financièrement et/ou isolées; les personnes handicapées se trouvant dans des situations comportant un risque ou une possibilité d’exclusion sociale; les personnes sans emploi courant un risque de marginalisation (voir tableau ci-après).</w:t>
      </w: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3969"/>
        <w:gridCol w:w="1134"/>
        <w:gridCol w:w="1134"/>
        <w:gridCol w:w="1134"/>
      </w:tblGrid>
      <w:tr w:rsidR="00FE79AB" w:rsidRPr="002E38E8" w:rsidTr="00B84541">
        <w:trPr>
          <w:trHeight w:val="240"/>
          <w:tblHeader/>
        </w:trPr>
        <w:tc>
          <w:tcPr>
            <w:tcW w:w="3969"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rPr>
                <w:i/>
                <w:sz w:val="16"/>
              </w:rPr>
            </w:pPr>
            <w:r w:rsidRPr="002E38E8">
              <w:rPr>
                <w:i/>
                <w:sz w:val="16"/>
              </w:rPr>
              <w:t>Protection sociale obligatoire</w:t>
            </w:r>
          </w:p>
        </w:tc>
        <w:tc>
          <w:tcPr>
            <w:tcW w:w="1134"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ind w:left="113"/>
              <w:jc w:val="right"/>
              <w:rPr>
                <w:i/>
                <w:sz w:val="16"/>
              </w:rPr>
            </w:pPr>
            <w:r w:rsidRPr="002E38E8">
              <w:rPr>
                <w:i/>
                <w:sz w:val="16"/>
              </w:rPr>
              <w:t>2007</w:t>
            </w:r>
          </w:p>
        </w:tc>
        <w:tc>
          <w:tcPr>
            <w:tcW w:w="1134"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ind w:left="113"/>
              <w:jc w:val="right"/>
              <w:rPr>
                <w:i/>
                <w:sz w:val="16"/>
              </w:rPr>
            </w:pPr>
            <w:r w:rsidRPr="002E38E8">
              <w:rPr>
                <w:i/>
                <w:sz w:val="16"/>
              </w:rPr>
              <w:t>2008</w:t>
            </w:r>
          </w:p>
        </w:tc>
        <w:tc>
          <w:tcPr>
            <w:tcW w:w="1134"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ind w:left="113"/>
              <w:jc w:val="right"/>
              <w:rPr>
                <w:i/>
                <w:sz w:val="16"/>
              </w:rPr>
            </w:pPr>
            <w:r w:rsidRPr="002E38E8">
              <w:rPr>
                <w:i/>
                <w:sz w:val="16"/>
              </w:rPr>
              <w:t>2009</w:t>
            </w:r>
          </w:p>
        </w:tc>
      </w:tr>
      <w:tr w:rsidR="00FE79AB" w:rsidRPr="002E38E8" w:rsidTr="00B84541">
        <w:trPr>
          <w:trHeight w:val="240"/>
        </w:trPr>
        <w:tc>
          <w:tcPr>
            <w:tcW w:w="3969" w:type="dxa"/>
            <w:tcBorders>
              <w:top w:val="single" w:sz="12" w:space="0" w:color="auto"/>
            </w:tcBorders>
            <w:shd w:val="clear" w:color="auto" w:fill="auto"/>
          </w:tcPr>
          <w:p w:rsidR="00FE79AB" w:rsidRPr="002E38E8" w:rsidRDefault="00FE79AB" w:rsidP="00B84541">
            <w:pPr>
              <w:suppressAutoHyphens w:val="0"/>
              <w:spacing w:before="40" w:after="40" w:line="220" w:lineRule="exact"/>
              <w:rPr>
                <w:sz w:val="18"/>
              </w:rPr>
            </w:pPr>
            <w:r w:rsidRPr="002E38E8">
              <w:rPr>
                <w:sz w:val="18"/>
              </w:rPr>
              <w:t>Montant moyen de la pension de retraite</w:t>
            </w:r>
          </w:p>
        </w:tc>
        <w:tc>
          <w:tcPr>
            <w:tcW w:w="1134" w:type="dxa"/>
            <w:tcBorders>
              <w:top w:val="single" w:sz="12" w:space="0" w:color="auto"/>
            </w:tcBorders>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19 700</w:t>
            </w:r>
          </w:p>
        </w:tc>
        <w:tc>
          <w:tcPr>
            <w:tcW w:w="1134" w:type="dxa"/>
            <w:tcBorders>
              <w:top w:val="single" w:sz="12" w:space="0" w:color="auto"/>
            </w:tcBorders>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22 644</w:t>
            </w:r>
          </w:p>
        </w:tc>
        <w:tc>
          <w:tcPr>
            <w:tcW w:w="1134" w:type="dxa"/>
            <w:tcBorders>
              <w:top w:val="single" w:sz="12" w:space="0" w:color="auto"/>
            </w:tcBorders>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25 495,27</w:t>
            </w:r>
          </w:p>
        </w:tc>
      </w:tr>
      <w:tr w:rsidR="00FE79AB" w:rsidRPr="002E38E8" w:rsidTr="00B84541">
        <w:trPr>
          <w:trHeight w:val="240"/>
        </w:trPr>
        <w:tc>
          <w:tcPr>
            <w:tcW w:w="3969" w:type="dxa"/>
            <w:shd w:val="clear" w:color="auto" w:fill="auto"/>
          </w:tcPr>
          <w:p w:rsidR="00FE79AB" w:rsidRPr="002E38E8" w:rsidRDefault="00FE79AB" w:rsidP="00B84541">
            <w:pPr>
              <w:suppressAutoHyphens w:val="0"/>
              <w:spacing w:before="40" w:after="40" w:line="220" w:lineRule="exact"/>
              <w:rPr>
                <w:sz w:val="18"/>
              </w:rPr>
            </w:pPr>
            <w:r w:rsidRPr="002E38E8">
              <w:rPr>
                <w:sz w:val="18"/>
              </w:rPr>
              <w:t>Personnes qui contribuent</w:t>
            </w:r>
          </w:p>
        </w:tc>
        <w:tc>
          <w:tcPr>
            <w:tcW w:w="1134" w:type="dxa"/>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16 355</w:t>
            </w:r>
          </w:p>
        </w:tc>
        <w:tc>
          <w:tcPr>
            <w:tcW w:w="1134" w:type="dxa"/>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21 367</w:t>
            </w:r>
          </w:p>
        </w:tc>
        <w:tc>
          <w:tcPr>
            <w:tcW w:w="1134" w:type="dxa"/>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26 466</w:t>
            </w:r>
          </w:p>
        </w:tc>
      </w:tr>
      <w:tr w:rsidR="00FE79AB" w:rsidRPr="002E38E8" w:rsidTr="00B84541">
        <w:trPr>
          <w:trHeight w:val="240"/>
        </w:trPr>
        <w:tc>
          <w:tcPr>
            <w:tcW w:w="3969" w:type="dxa"/>
            <w:shd w:val="clear" w:color="auto" w:fill="auto"/>
          </w:tcPr>
          <w:p w:rsidR="00FE79AB" w:rsidRPr="002E38E8" w:rsidRDefault="00FE79AB" w:rsidP="00B84541">
            <w:pPr>
              <w:suppressAutoHyphens w:val="0"/>
              <w:spacing w:before="40" w:after="40" w:line="220" w:lineRule="exact"/>
              <w:rPr>
                <w:sz w:val="18"/>
              </w:rPr>
            </w:pPr>
            <w:r w:rsidRPr="002E38E8">
              <w:rPr>
                <w:sz w:val="18"/>
              </w:rPr>
              <w:t>Personnes assurées</w:t>
            </w:r>
          </w:p>
        </w:tc>
        <w:tc>
          <w:tcPr>
            <w:tcW w:w="1134" w:type="dxa"/>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524 736</w:t>
            </w:r>
          </w:p>
        </w:tc>
        <w:tc>
          <w:tcPr>
            <w:tcW w:w="1134" w:type="dxa"/>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625 342</w:t>
            </w:r>
          </w:p>
        </w:tc>
        <w:tc>
          <w:tcPr>
            <w:tcW w:w="1134" w:type="dxa"/>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757 910</w:t>
            </w:r>
          </w:p>
        </w:tc>
      </w:tr>
      <w:tr w:rsidR="00FE79AB" w:rsidRPr="002E38E8" w:rsidTr="00B84541">
        <w:trPr>
          <w:trHeight w:val="240"/>
        </w:trPr>
        <w:tc>
          <w:tcPr>
            <w:tcW w:w="3969" w:type="dxa"/>
            <w:shd w:val="clear" w:color="auto" w:fill="auto"/>
          </w:tcPr>
          <w:p w:rsidR="00FE79AB" w:rsidRPr="002E38E8" w:rsidRDefault="00FE79AB" w:rsidP="00B84541">
            <w:pPr>
              <w:suppressAutoHyphens w:val="0"/>
              <w:spacing w:before="40" w:after="40" w:line="220" w:lineRule="exact"/>
              <w:rPr>
                <w:sz w:val="18"/>
              </w:rPr>
            </w:pPr>
            <w:r w:rsidRPr="002E38E8">
              <w:rPr>
                <w:sz w:val="18"/>
              </w:rPr>
              <w:t xml:space="preserve">Retraités </w:t>
            </w:r>
          </w:p>
        </w:tc>
        <w:tc>
          <w:tcPr>
            <w:tcW w:w="1134" w:type="dxa"/>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66 598</w:t>
            </w:r>
          </w:p>
        </w:tc>
        <w:tc>
          <w:tcPr>
            <w:tcW w:w="1134" w:type="dxa"/>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71 318</w:t>
            </w:r>
          </w:p>
        </w:tc>
        <w:tc>
          <w:tcPr>
            <w:tcW w:w="1134" w:type="dxa"/>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59 951</w:t>
            </w:r>
          </w:p>
        </w:tc>
      </w:tr>
      <w:tr w:rsidR="00FE79AB" w:rsidRPr="002E38E8" w:rsidTr="00B84541">
        <w:trPr>
          <w:trHeight w:val="240"/>
        </w:trPr>
        <w:tc>
          <w:tcPr>
            <w:tcW w:w="3969" w:type="dxa"/>
            <w:tcBorders>
              <w:bottom w:val="single" w:sz="12" w:space="0" w:color="auto"/>
            </w:tcBorders>
            <w:shd w:val="clear" w:color="auto" w:fill="auto"/>
          </w:tcPr>
          <w:p w:rsidR="00FE79AB" w:rsidRPr="002E38E8" w:rsidRDefault="00FE79AB" w:rsidP="00B84541">
            <w:pPr>
              <w:suppressAutoHyphens w:val="0"/>
              <w:spacing w:before="40" w:after="40" w:line="220" w:lineRule="exact"/>
              <w:rPr>
                <w:sz w:val="18"/>
              </w:rPr>
            </w:pPr>
            <w:r w:rsidRPr="002E38E8">
              <w:rPr>
                <w:sz w:val="18"/>
              </w:rPr>
              <w:t xml:space="preserve">Taux de dépendance </w:t>
            </w:r>
          </w:p>
        </w:tc>
        <w:tc>
          <w:tcPr>
            <w:tcW w:w="1134" w:type="dxa"/>
            <w:tcBorders>
              <w:bottom w:val="single" w:sz="12" w:space="0" w:color="auto"/>
            </w:tcBorders>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7/1</w:t>
            </w:r>
          </w:p>
        </w:tc>
        <w:tc>
          <w:tcPr>
            <w:tcW w:w="1134" w:type="dxa"/>
            <w:tcBorders>
              <w:bottom w:val="single" w:sz="12" w:space="0" w:color="auto"/>
            </w:tcBorders>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8/1</w:t>
            </w:r>
          </w:p>
        </w:tc>
        <w:tc>
          <w:tcPr>
            <w:tcW w:w="1134" w:type="dxa"/>
            <w:tcBorders>
              <w:bottom w:val="single" w:sz="12" w:space="0" w:color="auto"/>
            </w:tcBorders>
            <w:shd w:val="clear" w:color="auto" w:fill="auto"/>
            <w:vAlign w:val="bottom"/>
          </w:tcPr>
          <w:p w:rsidR="00FE79AB" w:rsidRPr="002E38E8" w:rsidRDefault="00FE79AB" w:rsidP="00B84541">
            <w:pPr>
              <w:suppressAutoHyphens w:val="0"/>
              <w:spacing w:before="40" w:after="40" w:line="220" w:lineRule="exact"/>
              <w:jc w:val="right"/>
              <w:rPr>
                <w:sz w:val="18"/>
              </w:rPr>
            </w:pPr>
            <w:r w:rsidRPr="002E38E8">
              <w:rPr>
                <w:sz w:val="18"/>
              </w:rPr>
              <w:t>8/1</w:t>
            </w:r>
          </w:p>
        </w:tc>
      </w:tr>
    </w:tbl>
    <w:p w:rsidR="00FE79AB" w:rsidRPr="002E38E8" w:rsidRDefault="00FE79AB" w:rsidP="00FE79AB">
      <w:pPr>
        <w:pStyle w:val="H1G"/>
      </w:pPr>
      <w:r w:rsidRPr="002E38E8">
        <w:tab/>
      </w:r>
      <w:r w:rsidRPr="002E38E8">
        <w:tab/>
        <w:t>Article 12</w:t>
      </w:r>
      <w:r w:rsidRPr="002E38E8">
        <w:br/>
        <w:t>Mesures visant à donner aux femmes le même accès que les hommes à la santé et aux services de planification de la famille, et à leur fournir des services appropriés pendant la grossesse, pendant l’accouchement et pendant la période prénatale</w:t>
      </w:r>
    </w:p>
    <w:p w:rsidR="00FE79AB" w:rsidRPr="002E38E8" w:rsidRDefault="00FE79AB" w:rsidP="00FE79AB">
      <w:pPr>
        <w:pStyle w:val="H23G"/>
      </w:pPr>
      <w:r w:rsidRPr="002E38E8">
        <w:tab/>
        <w:t>1.</w:t>
      </w:r>
      <w:r w:rsidRPr="002E38E8">
        <w:tab/>
        <w:t xml:space="preserve">Santé </w:t>
      </w:r>
    </w:p>
    <w:p w:rsidR="00FE79AB" w:rsidRPr="002E38E8" w:rsidRDefault="00FE79AB" w:rsidP="00FE79AB">
      <w:pPr>
        <w:pStyle w:val="SingleTxtG"/>
        <w:spacing w:before="120"/>
        <w:rPr>
          <w:bCs/>
        </w:rPr>
      </w:pPr>
      <w:r w:rsidRPr="002E38E8">
        <w:t>115.</w:t>
      </w:r>
      <w:r w:rsidRPr="002E38E8">
        <w:tab/>
        <w:t>Les questions relatives à l’assistance médicale et sanitaire aux enfants, aux mères et aux personnes handicapées</w:t>
      </w:r>
      <w:r w:rsidRPr="002E38E8">
        <w:rPr>
          <w:bCs/>
        </w:rPr>
        <w:t xml:space="preserve">, aux personnes vivant avec le sida, aux personnes âgées, etc. sont aujourd’hui prises en compte dans la Constitution, comme l’énonce le paragraphe 2 de l’article 77: </w:t>
      </w:r>
      <w:r>
        <w:rPr>
          <w:bCs/>
        </w:rPr>
        <w:t>p</w:t>
      </w:r>
      <w:r w:rsidRPr="002E38E8">
        <w:rPr>
          <w:bCs/>
        </w:rPr>
        <w:t>our garantir le droit à l’assistance médicale et sanitaire, le Gouvernement est chargé:</w:t>
      </w:r>
    </w:p>
    <w:p w:rsidR="00FE79AB" w:rsidRPr="002E38E8" w:rsidRDefault="00FE79AB" w:rsidP="00FE79AB">
      <w:pPr>
        <w:pStyle w:val="SingleTxtG"/>
        <w:ind w:firstLine="567"/>
      </w:pPr>
      <w:r w:rsidRPr="002E38E8">
        <w:t>a)</w:t>
      </w:r>
      <w:r w:rsidRPr="002E38E8">
        <w:tab/>
        <w:t>De développer et assurer la mise en œuvre d’un service de santé sur tout le territoire national;</w:t>
      </w:r>
    </w:p>
    <w:p w:rsidR="00FE79AB" w:rsidRPr="002E38E8" w:rsidRDefault="00FE79AB" w:rsidP="00FE79AB">
      <w:pPr>
        <w:pStyle w:val="SingleTxtG"/>
        <w:ind w:firstLine="567"/>
        <w:rPr>
          <w:bCs/>
        </w:rPr>
      </w:pPr>
      <w:r w:rsidRPr="002E38E8">
        <w:rPr>
          <w:bCs/>
        </w:rPr>
        <w:t>b)</w:t>
      </w:r>
      <w:r w:rsidRPr="002E38E8">
        <w:rPr>
          <w:bCs/>
        </w:rPr>
        <w:tab/>
        <w:t xml:space="preserve">De réglementer la </w:t>
      </w:r>
      <w:r w:rsidRPr="002E38E8">
        <w:t>production</w:t>
      </w:r>
      <w:r w:rsidRPr="002E38E8">
        <w:rPr>
          <w:bCs/>
        </w:rPr>
        <w:t>, la distribution, le commerce et la consommation de produits chimiques, pharmaceutiques et autres moyens de traitement et de diagnostic;</w:t>
      </w:r>
    </w:p>
    <w:p w:rsidR="00FE79AB" w:rsidRPr="002E38E8" w:rsidRDefault="00FE79AB" w:rsidP="00FE79AB">
      <w:pPr>
        <w:pStyle w:val="SingleTxtG"/>
        <w:ind w:firstLine="567"/>
        <w:rPr>
          <w:bCs/>
        </w:rPr>
      </w:pPr>
      <w:r w:rsidRPr="002E38E8">
        <w:rPr>
          <w:bCs/>
        </w:rPr>
        <w:t>c)</w:t>
      </w:r>
      <w:r w:rsidRPr="002E38E8">
        <w:rPr>
          <w:bCs/>
        </w:rPr>
        <w:tab/>
        <w:t>D’encourager le développement de l’enseignement médico-chirurgical et de la recherche médicale et sanitaire.</w:t>
      </w:r>
    </w:p>
    <w:p w:rsidR="00FE79AB" w:rsidRPr="002E38E8" w:rsidRDefault="00FE79AB" w:rsidP="00FE79AB">
      <w:pPr>
        <w:pStyle w:val="SingleTxtG"/>
      </w:pPr>
      <w:r w:rsidRPr="002E38E8">
        <w:t>116.</w:t>
      </w:r>
      <w:r w:rsidRPr="002E38E8">
        <w:tab/>
        <w:t>Le Gouvernement va concrètement mettre en œuvre des programmes visant à appliquer les alinéas </w:t>
      </w:r>
      <w:r w:rsidRPr="00CC2745">
        <w:rPr>
          <w:i/>
        </w:rPr>
        <w:t>a</w:t>
      </w:r>
      <w:r w:rsidRPr="002E38E8">
        <w:t xml:space="preserve">, </w:t>
      </w:r>
      <w:r w:rsidRPr="00CC2745">
        <w:rPr>
          <w:i/>
        </w:rPr>
        <w:t>b</w:t>
      </w:r>
      <w:r w:rsidRPr="002E38E8">
        <w:t xml:space="preserve"> et </w:t>
      </w:r>
      <w:r w:rsidRPr="00CC2745">
        <w:rPr>
          <w:i/>
        </w:rPr>
        <w:t>c</w:t>
      </w:r>
      <w:r w:rsidRPr="002E38E8">
        <w:t xml:space="preserve"> du paragraphe 2 ainsi que le paragraphe 3 du même article, qui est ainsi libellé: «L’initiative privée et coopérative dans les domaines de la santé, de l’assistance et de la sécurité sociale est surveillée par l’État et exercée dans les conditions prévues par la loi</w:t>
      </w:r>
      <w:r>
        <w:t>.</w:t>
      </w:r>
      <w:r w:rsidRPr="002E38E8">
        <w:t>».</w:t>
      </w:r>
    </w:p>
    <w:p w:rsidR="00FE79AB" w:rsidRPr="002E38E8" w:rsidRDefault="00FE79AB" w:rsidP="00FE79AB">
      <w:pPr>
        <w:pStyle w:val="SingleTxtG"/>
      </w:pPr>
      <w:r w:rsidRPr="002E38E8">
        <w:t>117.</w:t>
      </w:r>
      <w:r w:rsidRPr="002E38E8">
        <w:tab/>
        <w:t xml:space="preserve">Le processus de normalisation politique, administrative, économique et sociale a créé les conditions de la mise en œuvre d’un vaste programme national de reconstruction dans lequel le secteur de la santé représente une des premières priorités. </w:t>
      </w:r>
    </w:p>
    <w:p w:rsidR="00FE79AB" w:rsidRPr="002E38E8" w:rsidRDefault="00FE79AB" w:rsidP="00FE79AB">
      <w:pPr>
        <w:pStyle w:val="SingleTxtG"/>
      </w:pPr>
      <w:r w:rsidRPr="002E38E8">
        <w:t>118.</w:t>
      </w:r>
      <w:r w:rsidRPr="002E38E8">
        <w:tab/>
        <w:t>Dans le Plan d’action 2009, le Ministère de la santé a commenc</w:t>
      </w:r>
      <w:r>
        <w:t>é</w:t>
      </w:r>
      <w:r w:rsidRPr="002E38E8">
        <w:t xml:space="preserve"> à mettre en œuvre les directives continues dans le Plan d’action de l’Angola relative</w:t>
      </w:r>
      <w:r>
        <w:t>s</w:t>
      </w:r>
      <w:r w:rsidRPr="002E38E8">
        <w:t xml:space="preserve"> à l’amélioration de l’accès à la santé par un renforcement des soins de santé primaires. </w:t>
      </w:r>
    </w:p>
    <w:p w:rsidR="00FE79AB" w:rsidRPr="002E38E8" w:rsidRDefault="00FE79AB" w:rsidP="00FE79AB">
      <w:pPr>
        <w:pStyle w:val="SingleTxtG"/>
      </w:pPr>
      <w:r w:rsidRPr="002E38E8">
        <w:t>119.</w:t>
      </w:r>
      <w:r w:rsidRPr="002E38E8">
        <w:tab/>
        <w:t>Dans le présent document, nous présenterons les indicateurs des interventions à fort impact concernant la survie de l’enfant et la santé maternelle qui proviennent des enquêtes nationales les plus récentes menées par le Ministère de la santé, de même que des données publiques existantes.</w:t>
      </w:r>
    </w:p>
    <w:p w:rsidR="00FE79AB" w:rsidRPr="002E38E8" w:rsidRDefault="00FE79AB" w:rsidP="00FE79AB">
      <w:pPr>
        <w:pStyle w:val="SingleTxtG"/>
        <w:tabs>
          <w:tab w:val="right" w:leader="dot" w:pos="7938"/>
          <w:tab w:val="right" w:leader="dot" w:pos="8505"/>
        </w:tabs>
        <w:ind w:left="1701"/>
        <w:jc w:val="left"/>
      </w:pPr>
      <w:r w:rsidRPr="002E38E8">
        <w:t>Population (millions)</w:t>
      </w:r>
      <w:r w:rsidRPr="002E38E8">
        <w:tab/>
      </w:r>
      <w:r w:rsidRPr="002E38E8">
        <w:tab/>
        <w:t>16,557</w:t>
      </w:r>
    </w:p>
    <w:p w:rsidR="00FE79AB" w:rsidRPr="002E38E8" w:rsidRDefault="00FE79AB" w:rsidP="00FE79AB">
      <w:pPr>
        <w:pStyle w:val="SingleTxtG"/>
        <w:tabs>
          <w:tab w:val="right" w:leader="dot" w:pos="8505"/>
        </w:tabs>
        <w:ind w:left="1701"/>
        <w:jc w:val="left"/>
      </w:pPr>
      <w:r w:rsidRPr="002E38E8">
        <w:t>Taux de croissance annuelle</w:t>
      </w:r>
      <w:r w:rsidRPr="002E38E8">
        <w:tab/>
        <w:t>3,3 %</w:t>
      </w:r>
    </w:p>
    <w:p w:rsidR="00FE79AB" w:rsidRPr="002E38E8" w:rsidRDefault="00FE79AB" w:rsidP="00FE79AB">
      <w:pPr>
        <w:pStyle w:val="SingleTxtG"/>
        <w:tabs>
          <w:tab w:val="right" w:leader="dot" w:pos="8505"/>
        </w:tabs>
        <w:ind w:left="1701"/>
        <w:jc w:val="left"/>
      </w:pPr>
      <w:r w:rsidRPr="002E38E8">
        <w:t>Population urbaine</w:t>
      </w:r>
      <w:r w:rsidRPr="002E38E8">
        <w:tab/>
        <w:t>66 %</w:t>
      </w:r>
    </w:p>
    <w:p w:rsidR="00FE79AB" w:rsidRPr="002E38E8" w:rsidRDefault="00FE79AB" w:rsidP="00FE79AB">
      <w:pPr>
        <w:pStyle w:val="SingleTxtG"/>
        <w:tabs>
          <w:tab w:val="right" w:leader="dot" w:pos="8505"/>
        </w:tabs>
        <w:ind w:left="1701"/>
        <w:jc w:val="left"/>
      </w:pPr>
      <w:r w:rsidRPr="002E38E8">
        <w:t>Population rurale</w:t>
      </w:r>
      <w:r w:rsidRPr="002E38E8">
        <w:tab/>
        <w:t>34 %</w:t>
      </w:r>
    </w:p>
    <w:p w:rsidR="00FE79AB" w:rsidRPr="002E38E8" w:rsidRDefault="00FE79AB" w:rsidP="00FE79AB">
      <w:pPr>
        <w:pStyle w:val="SingleTxtG"/>
        <w:tabs>
          <w:tab w:val="right" w:leader="dot" w:pos="8505"/>
        </w:tabs>
        <w:ind w:left="1701"/>
        <w:jc w:val="left"/>
      </w:pPr>
      <w:r w:rsidRPr="002E38E8">
        <w:t>Population âgée de moins de 15 ans</w:t>
      </w:r>
      <w:r w:rsidRPr="002E38E8">
        <w:tab/>
        <w:t>47 à 50 %</w:t>
      </w:r>
    </w:p>
    <w:p w:rsidR="00FE79AB" w:rsidRPr="002E38E8" w:rsidRDefault="00FE79AB" w:rsidP="00FE79AB">
      <w:pPr>
        <w:pStyle w:val="SingleTxtG"/>
        <w:tabs>
          <w:tab w:val="right" w:leader="dot" w:pos="8505"/>
        </w:tabs>
        <w:ind w:left="1701"/>
        <w:jc w:val="left"/>
      </w:pPr>
      <w:r w:rsidRPr="002E38E8">
        <w:t>Population âgée de plus de 18 ans</w:t>
      </w:r>
      <w:r w:rsidRPr="002E38E8">
        <w:tab/>
        <w:t>60 %</w:t>
      </w:r>
    </w:p>
    <w:p w:rsidR="00FE79AB" w:rsidRPr="002E38E8" w:rsidRDefault="00FE79AB" w:rsidP="00FE79AB">
      <w:pPr>
        <w:pStyle w:val="SingleTxtG"/>
        <w:tabs>
          <w:tab w:val="right" w:leader="dot" w:pos="8505"/>
        </w:tabs>
        <w:ind w:left="1701"/>
        <w:jc w:val="left"/>
      </w:pPr>
      <w:r w:rsidRPr="002E38E8">
        <w:t>Espérance de vie à la naissance</w:t>
      </w:r>
      <w:r w:rsidRPr="002E38E8">
        <w:tab/>
        <w:t>40/43 ans</w:t>
      </w:r>
    </w:p>
    <w:p w:rsidR="00FE79AB" w:rsidRPr="002E38E8" w:rsidRDefault="00FE79AB" w:rsidP="00FE79AB">
      <w:pPr>
        <w:pStyle w:val="SingleTxtG"/>
        <w:tabs>
          <w:tab w:val="right" w:leader="dot" w:pos="8505"/>
        </w:tabs>
        <w:ind w:left="1701"/>
        <w:jc w:val="left"/>
      </w:pPr>
      <w:r w:rsidRPr="002E38E8">
        <w:t>Taux de fécondité</w:t>
      </w:r>
      <w:r w:rsidRPr="002E38E8">
        <w:tab/>
        <w:t>6,9 enfants par femme</w:t>
      </w:r>
    </w:p>
    <w:p w:rsidR="00FE79AB" w:rsidRPr="002E38E8" w:rsidRDefault="00FE79AB" w:rsidP="00FE79AB">
      <w:pPr>
        <w:pStyle w:val="SingleTxtG"/>
        <w:tabs>
          <w:tab w:val="right" w:leader="dot" w:pos="8505"/>
        </w:tabs>
        <w:ind w:left="1701"/>
        <w:jc w:val="left"/>
      </w:pPr>
      <w:r w:rsidRPr="002E38E8">
        <w:t>Accès aux soins de santé de base</w:t>
      </w:r>
      <w:r w:rsidRPr="002E38E8">
        <w:tab/>
        <w:t>30 %</w:t>
      </w:r>
    </w:p>
    <w:p w:rsidR="00FE79AB" w:rsidRPr="002E38E8" w:rsidRDefault="00FE79AB" w:rsidP="00FE79AB">
      <w:pPr>
        <w:pStyle w:val="SingleTxtG"/>
        <w:tabs>
          <w:tab w:val="right" w:leader="dot" w:pos="8505"/>
        </w:tabs>
        <w:ind w:left="1701"/>
      </w:pPr>
      <w:r w:rsidRPr="002E38E8">
        <w:t>Nombre de médecins par nombre d’habitants</w:t>
      </w:r>
      <w:r w:rsidRPr="002E38E8">
        <w:tab/>
        <w:t>1/15 109</w:t>
      </w:r>
    </w:p>
    <w:p w:rsidR="00FE79AB" w:rsidRPr="002E38E8" w:rsidRDefault="00FE79AB" w:rsidP="00FE79AB">
      <w:pPr>
        <w:pStyle w:val="H23G"/>
      </w:pPr>
      <w:r w:rsidRPr="002E38E8">
        <w:tab/>
        <w:t>2.</w:t>
      </w:r>
      <w:r w:rsidRPr="002E38E8">
        <w:tab/>
        <w:t>Santé et développement</w:t>
      </w:r>
    </w:p>
    <w:p w:rsidR="00FE79AB" w:rsidRPr="002E38E8" w:rsidRDefault="00FE79AB" w:rsidP="00FE79AB">
      <w:pPr>
        <w:pStyle w:val="SingleTxtG"/>
      </w:pPr>
      <w:r w:rsidRPr="002E38E8">
        <w:t>120.</w:t>
      </w:r>
      <w:r w:rsidRPr="002E38E8">
        <w:tab/>
        <w:t xml:space="preserve">Les indicateurs les plus importants de la santé et </w:t>
      </w:r>
      <w:r>
        <w:t xml:space="preserve">du </w:t>
      </w:r>
      <w:r w:rsidRPr="002E38E8">
        <w:t>développement sont les suivants:</w:t>
      </w:r>
    </w:p>
    <w:p w:rsidR="00FE79AB" w:rsidRPr="002E38E8" w:rsidRDefault="00FE79AB" w:rsidP="00FE79AB">
      <w:pPr>
        <w:pStyle w:val="SingleTxtG"/>
        <w:tabs>
          <w:tab w:val="right" w:leader="dot" w:pos="8505"/>
        </w:tabs>
        <w:ind w:left="1701"/>
        <w:jc w:val="left"/>
      </w:pPr>
      <w:r w:rsidRPr="002E38E8">
        <w:rPr>
          <w:bCs/>
        </w:rPr>
        <w:t>Pourcentage des utilisateurs de contraceptifs</w:t>
      </w:r>
      <w:r w:rsidRPr="002E38E8">
        <w:rPr>
          <w:bCs/>
        </w:rPr>
        <w:tab/>
        <w:t>6,6 %</w:t>
      </w:r>
    </w:p>
    <w:p w:rsidR="00FE79AB" w:rsidRPr="002E38E8" w:rsidRDefault="00FE79AB" w:rsidP="00FE79AB">
      <w:pPr>
        <w:pStyle w:val="SingleTxtG"/>
        <w:tabs>
          <w:tab w:val="right" w:leader="dot" w:pos="8505"/>
        </w:tabs>
        <w:ind w:left="1701"/>
        <w:jc w:val="left"/>
      </w:pPr>
      <w:r w:rsidRPr="002E38E8">
        <w:t>Couverture en soins prénataux</w:t>
      </w:r>
      <w:r w:rsidRPr="002E38E8">
        <w:tab/>
        <w:t>60 %</w:t>
      </w:r>
    </w:p>
    <w:p w:rsidR="00FE79AB" w:rsidRPr="002E38E8" w:rsidRDefault="00FE79AB" w:rsidP="00FE79AB">
      <w:pPr>
        <w:pStyle w:val="SingleTxtG"/>
        <w:tabs>
          <w:tab w:val="right" w:leader="dot" w:pos="7938"/>
          <w:tab w:val="right" w:leader="dot" w:pos="8505"/>
        </w:tabs>
        <w:ind w:left="1701"/>
        <w:jc w:val="left"/>
      </w:pPr>
      <w:r w:rsidRPr="002E38E8">
        <w:t>Soins obstétriques indispensables de longue durée</w:t>
      </w:r>
      <w:r w:rsidRPr="002E38E8">
        <w:tab/>
      </w:r>
      <w:r w:rsidRPr="002E38E8">
        <w:tab/>
        <w:t>19,2 %</w:t>
      </w:r>
    </w:p>
    <w:p w:rsidR="00FE79AB" w:rsidRPr="002E38E8" w:rsidRDefault="00FE79AB" w:rsidP="00FE79AB">
      <w:pPr>
        <w:pStyle w:val="SingleTxtG"/>
        <w:tabs>
          <w:tab w:val="right" w:leader="dot" w:pos="8505"/>
        </w:tabs>
        <w:ind w:left="1701"/>
        <w:jc w:val="left"/>
      </w:pPr>
      <w:r w:rsidRPr="002E38E8">
        <w:t>Naissances en présence de personnes qualifiées</w:t>
      </w:r>
      <w:r w:rsidRPr="002E38E8">
        <w:tab/>
        <w:t>47 %</w:t>
      </w:r>
    </w:p>
    <w:p w:rsidR="00FE79AB" w:rsidRPr="002E38E8" w:rsidRDefault="00FE79AB" w:rsidP="00FE79AB">
      <w:pPr>
        <w:pStyle w:val="SingleTxtG"/>
        <w:tabs>
          <w:tab w:val="right" w:leader="dot" w:pos="8505"/>
        </w:tabs>
        <w:ind w:left="1701"/>
        <w:jc w:val="left"/>
      </w:pPr>
      <w:r w:rsidRPr="002E38E8">
        <w:t>Enfants de faible poids à la naissance</w:t>
      </w:r>
      <w:r w:rsidRPr="002E38E8">
        <w:tab/>
        <w:t>23,3%</w:t>
      </w:r>
    </w:p>
    <w:p w:rsidR="00FE79AB" w:rsidRPr="002E38E8" w:rsidRDefault="00FE79AB" w:rsidP="00FE79AB">
      <w:pPr>
        <w:pStyle w:val="SingleTxtG"/>
        <w:tabs>
          <w:tab w:val="right" w:leader="dot" w:pos="8505"/>
        </w:tabs>
        <w:ind w:left="1701"/>
        <w:jc w:val="left"/>
      </w:pPr>
      <w:r w:rsidRPr="002E38E8">
        <w:t>Taux de mortalité maternelle</w:t>
      </w:r>
      <w:r w:rsidRPr="002E38E8">
        <w:tab/>
        <w:t>1 500/100 000 naissances vivantes</w:t>
      </w:r>
    </w:p>
    <w:p w:rsidR="00FE79AB" w:rsidRPr="002E38E8" w:rsidRDefault="00FE79AB" w:rsidP="00FE79AB">
      <w:pPr>
        <w:pStyle w:val="SingleTxtG"/>
        <w:tabs>
          <w:tab w:val="right" w:leader="dot" w:pos="8505"/>
        </w:tabs>
        <w:ind w:left="1701"/>
        <w:jc w:val="left"/>
      </w:pPr>
      <w:r w:rsidRPr="002E38E8">
        <w:t>Mortalité parmi les enfants de moins de 5 ans</w:t>
      </w:r>
      <w:r w:rsidRPr="002E38E8">
        <w:tab/>
        <w:t>250/1 000 naissances vivantes</w:t>
      </w:r>
    </w:p>
    <w:p w:rsidR="00FE79AB" w:rsidRPr="002E38E8" w:rsidRDefault="00FE79AB" w:rsidP="00FE79AB">
      <w:pPr>
        <w:pStyle w:val="SingleTxtG"/>
        <w:tabs>
          <w:tab w:val="right" w:leader="dot" w:pos="8505"/>
        </w:tabs>
        <w:ind w:left="1701"/>
        <w:jc w:val="left"/>
      </w:pPr>
      <w:r w:rsidRPr="002E38E8">
        <w:t xml:space="preserve">Dépenses publiques </w:t>
      </w:r>
      <w:r w:rsidRPr="00CC138B">
        <w:rPr>
          <w:i/>
        </w:rPr>
        <w:t>per capita</w:t>
      </w:r>
      <w:r w:rsidRPr="002E38E8">
        <w:tab/>
        <w:t>61</w:t>
      </w:r>
    </w:p>
    <w:p w:rsidR="00FE79AB" w:rsidRPr="002E38E8" w:rsidRDefault="00FE79AB" w:rsidP="00FE79AB">
      <w:pPr>
        <w:pStyle w:val="SingleTxtG"/>
        <w:tabs>
          <w:tab w:val="right" w:leader="dot" w:pos="8505"/>
        </w:tabs>
        <w:ind w:left="1701"/>
        <w:jc w:val="left"/>
      </w:pPr>
      <w:r w:rsidRPr="002E38E8">
        <w:t xml:space="preserve">Dépenses de santé </w:t>
      </w:r>
      <w:r w:rsidRPr="00CC138B">
        <w:rPr>
          <w:i/>
        </w:rPr>
        <w:t>per capita</w:t>
      </w:r>
      <w:r w:rsidRPr="002E38E8">
        <w:tab/>
        <w:t>1,8</w:t>
      </w:r>
    </w:p>
    <w:p w:rsidR="00FE79AB" w:rsidRPr="002E38E8" w:rsidRDefault="00FE79AB" w:rsidP="00FE79AB">
      <w:pPr>
        <w:pStyle w:val="SingleTxtG"/>
        <w:tabs>
          <w:tab w:val="right" w:leader="dot" w:pos="8505"/>
        </w:tabs>
        <w:ind w:left="1701"/>
        <w:jc w:val="left"/>
      </w:pPr>
      <w:r w:rsidRPr="002E38E8">
        <w:t>Dépenses de santé (% du budget national)</w:t>
      </w:r>
      <w:r w:rsidRPr="002E38E8">
        <w:tab/>
        <w:t>6,68</w:t>
      </w:r>
    </w:p>
    <w:p w:rsidR="00FE79AB" w:rsidRPr="002E38E8" w:rsidRDefault="00FE79AB" w:rsidP="00FE79AB">
      <w:pPr>
        <w:pStyle w:val="SingleTxtG"/>
        <w:tabs>
          <w:tab w:val="right" w:leader="dot" w:pos="8505"/>
        </w:tabs>
        <w:ind w:left="1701"/>
        <w:jc w:val="left"/>
      </w:pPr>
      <w:r w:rsidRPr="002E38E8">
        <w:t>Indicateur du développement humain.</w:t>
      </w:r>
      <w:r>
        <w:tab/>
      </w:r>
      <w:r w:rsidRPr="002E38E8">
        <w:t>.0,484 (157)</w:t>
      </w:r>
    </w:p>
    <w:p w:rsidR="00FE79AB" w:rsidRPr="002E38E8" w:rsidRDefault="00FE79AB" w:rsidP="00FE79AB">
      <w:pPr>
        <w:pStyle w:val="H23G"/>
      </w:pPr>
      <w:r w:rsidRPr="002E38E8">
        <w:tab/>
        <w:t>3.</w:t>
      </w:r>
      <w:r w:rsidRPr="002E38E8">
        <w:tab/>
        <w:t>Fécondité</w:t>
      </w:r>
    </w:p>
    <w:p w:rsidR="00FE79AB" w:rsidRPr="002E38E8" w:rsidRDefault="00FE79AB" w:rsidP="00FE79AB">
      <w:pPr>
        <w:pStyle w:val="SingleTxtG"/>
        <w:rPr>
          <w:bCs/>
        </w:rPr>
      </w:pPr>
      <w:r w:rsidRPr="002E38E8">
        <w:t>121.</w:t>
      </w:r>
      <w:r w:rsidRPr="002E38E8">
        <w:tab/>
        <w:t>Le taux de fécondité est estimé à 6,9 enfants par femme, comparativement à l’utilisation d’un contraceptif par seulement 6,6</w:t>
      </w:r>
      <w:r>
        <w:t> </w:t>
      </w:r>
      <w:r w:rsidRPr="002E38E8">
        <w:t>% de femmes, un des taux les plus faibles en</w:t>
      </w:r>
      <w:r w:rsidRPr="002E38E8">
        <w:rPr>
          <w:bCs/>
        </w:rPr>
        <w:t xml:space="preserve"> Afrique. </w:t>
      </w:r>
    </w:p>
    <w:p w:rsidR="00FE79AB" w:rsidRPr="002E38E8" w:rsidRDefault="00FE79AB" w:rsidP="00FE79AB">
      <w:pPr>
        <w:pStyle w:val="H23G"/>
      </w:pPr>
      <w:r w:rsidRPr="002E38E8">
        <w:tab/>
        <w:t>4.</w:t>
      </w:r>
      <w:r w:rsidRPr="002E38E8">
        <w:tab/>
        <w:t xml:space="preserve">Services de santé reproductive </w:t>
      </w:r>
    </w:p>
    <w:p w:rsidR="00FE79AB" w:rsidRPr="002E38E8" w:rsidRDefault="00FE79AB" w:rsidP="00FE79AB">
      <w:pPr>
        <w:pStyle w:val="H23G"/>
      </w:pPr>
      <w:r w:rsidRPr="002E38E8">
        <w:tab/>
        <w:t>a)</w:t>
      </w:r>
      <w:r w:rsidRPr="002E38E8">
        <w:tab/>
        <w:t>Santé maternelle</w:t>
      </w:r>
    </w:p>
    <w:p w:rsidR="00FE79AB" w:rsidRPr="002E38E8" w:rsidRDefault="00FE79AB" w:rsidP="00FE79AB">
      <w:pPr>
        <w:pStyle w:val="SingleTxtG"/>
      </w:pPr>
      <w:r w:rsidRPr="002E38E8">
        <w:t>122.</w:t>
      </w:r>
      <w:r w:rsidRPr="002E38E8">
        <w:tab/>
        <w:t>La situation de la santé reproductive en Angola n’est pas très différente de celle qui prévaut dans les autres pays du continent africain. L’Angola est l’un des pays ayant les indicateurs qui posent le plus problème (taux élevé de fécondité, morbidité et mortalité maternelles et infantiles, faible utilisation de contraceptifs).</w:t>
      </w:r>
    </w:p>
    <w:p w:rsidR="00FE79AB" w:rsidRPr="002E38E8" w:rsidRDefault="00FE79AB" w:rsidP="00FE79AB">
      <w:pPr>
        <w:pStyle w:val="SingleTxtG"/>
      </w:pPr>
      <w:r w:rsidRPr="002E38E8">
        <w:t>123.</w:t>
      </w:r>
      <w:r w:rsidRPr="002E38E8">
        <w:tab/>
        <w:t>Le taux de mortalité maternelle était estimé en 2001 à 1 500 pour 100 000 naissances vivantes (enquête en grappes à indicateurs multiples de 2001). Depuis 2007, il y a eu une faible baisse du taux institutionnel de la mortalité maternelle, qui est passé de 417/100 000 en 2007 à 359/100 000 naissances vivantes en 2008. Parmi les causes directes de la mortalité maternelle figurent la grossesse, l’accouchement et les complications postpartum, qui se produisent dans 15 % de l’ensemble des grossesses. La cause la plus répandue est l’hémorragie (25 %), suivie de l’hypertension induite par la grossesse (20 %), les infections et les ruptures utérines. Selon l’analyse de la situation de la santé reproductive effectuée en novembre 2004, seuls 19,2 % des services fournissent des soins obstétriques essentiels de longue durée.</w:t>
      </w:r>
    </w:p>
    <w:p w:rsidR="00FE79AB" w:rsidRPr="002E38E8" w:rsidRDefault="00FE79AB" w:rsidP="00FE79AB">
      <w:pPr>
        <w:pStyle w:val="SingleTxtG"/>
      </w:pPr>
      <w:r w:rsidRPr="002E38E8">
        <w:t>124.</w:t>
      </w:r>
      <w:r w:rsidRPr="002E38E8">
        <w:tab/>
        <w:t>Les soins prénataux ont été améliorés, le nombre de femmes bénéficiaires passant de 251 114 (52 %) en 2007 à 316 751 (60 %) en 2008. Cinquante pour cent des accouchements continuent de se dérouler hors des institutions de soins de santé, ce qui est certainement dû à l’absence de services dans les lieux les plus reculés, à la non-utilisation des services et au manque de ressources.</w:t>
      </w:r>
    </w:p>
    <w:p w:rsidR="00FE79AB" w:rsidRPr="002E38E8" w:rsidRDefault="00FE79AB" w:rsidP="00FE79AB">
      <w:pPr>
        <w:pStyle w:val="SingleTxtG"/>
      </w:pPr>
      <w:r w:rsidRPr="002E38E8">
        <w:t>125.</w:t>
      </w:r>
      <w:r w:rsidRPr="002E38E8">
        <w:tab/>
        <w:t>Il y a eu une augmentation de 98 % des consultations prénatales dans le cadre du traitement intermittent du paludisme, par rapport aux années 2007 et 2008. Le nombre de moustiquaires imprégnées distribuées aux femmes enceintes est passé de 258 987 (26 %) en 2007 à 391 472 (39</w:t>
      </w:r>
      <w:r>
        <w:t> </w:t>
      </w:r>
      <w:r w:rsidRPr="002E38E8">
        <w:t>%) en 2008.</w:t>
      </w:r>
    </w:p>
    <w:p w:rsidR="00FE79AB" w:rsidRPr="002E38E8" w:rsidRDefault="00FE79AB" w:rsidP="00FE79AB">
      <w:pPr>
        <w:pStyle w:val="SingleTxtG"/>
      </w:pPr>
      <w:r w:rsidRPr="002E38E8">
        <w:t>126.</w:t>
      </w:r>
      <w:r w:rsidRPr="002E38E8">
        <w:tab/>
        <w:t xml:space="preserve">Les grands défis que l’Angola doit relever dans le domaine de la santé reproductive sont l’amélioration de la couverture universelle au niveau municipal en matière de fourniture de routine de l’ensemble des soins et services de soins maternels et infantiles, et la fourniture de soins obstétriques et de soins néonataux de base complets aux femmes. </w:t>
      </w:r>
    </w:p>
    <w:p w:rsidR="00FE79AB" w:rsidRPr="002E38E8" w:rsidRDefault="00FE79AB" w:rsidP="00FE79AB">
      <w:pPr>
        <w:pStyle w:val="SingleTxtG"/>
      </w:pPr>
      <w:r w:rsidRPr="002E38E8">
        <w:t>127.</w:t>
      </w:r>
      <w:r w:rsidRPr="002E38E8">
        <w:tab/>
        <w:t xml:space="preserve">Le système de santé doit améliorer le niveau des soins et services de santé concernant d’autres maladies, comme le cancer du col de l’utérus, du sein et de la prostate, qui entraînent des changements dans l’ordre économique et social avec des effets importants sur la santé. </w:t>
      </w:r>
    </w:p>
    <w:p w:rsidR="00FE79AB" w:rsidRDefault="00FE79AB" w:rsidP="00FE79AB">
      <w:pPr>
        <w:pStyle w:val="H23G"/>
      </w:pPr>
      <w:r w:rsidRPr="002E38E8">
        <w:tab/>
      </w:r>
      <w:r w:rsidRPr="002E38E8">
        <w:tab/>
        <w:t>Causes directes et indirectes de la mortalité maternelle par maladie (2005</w:t>
      </w:r>
      <w:r>
        <w:t>-</w:t>
      </w:r>
      <w:r w:rsidRPr="002E38E8">
        <w:t>2008)</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1134"/>
        <w:gridCol w:w="1134"/>
        <w:gridCol w:w="1134"/>
        <w:gridCol w:w="1134"/>
      </w:tblGrid>
      <w:tr w:rsidR="00FE79AB" w:rsidRPr="006125CA" w:rsidTr="00B84541">
        <w:trPr>
          <w:tblHeader/>
        </w:trPr>
        <w:tc>
          <w:tcPr>
            <w:tcW w:w="2835" w:type="dxa"/>
            <w:tcBorders>
              <w:top w:val="single" w:sz="4" w:space="0" w:color="auto"/>
              <w:bottom w:val="single" w:sz="12" w:space="0" w:color="auto"/>
            </w:tcBorders>
            <w:shd w:val="clear" w:color="auto" w:fill="auto"/>
            <w:vAlign w:val="bottom"/>
          </w:tcPr>
          <w:p w:rsidR="00FE79AB" w:rsidRPr="006125CA" w:rsidRDefault="00FE79AB" w:rsidP="00B84541">
            <w:pPr>
              <w:spacing w:before="80" w:after="80" w:line="200" w:lineRule="exact"/>
              <w:jc w:val="right"/>
              <w:rPr>
                <w:i/>
                <w:sz w:val="16"/>
              </w:rPr>
            </w:pPr>
          </w:p>
        </w:tc>
        <w:tc>
          <w:tcPr>
            <w:tcW w:w="1134"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ind w:left="113"/>
              <w:jc w:val="right"/>
              <w:rPr>
                <w:i/>
                <w:sz w:val="16"/>
              </w:rPr>
            </w:pPr>
            <w:r w:rsidRPr="002E38E8">
              <w:rPr>
                <w:i/>
                <w:sz w:val="16"/>
              </w:rPr>
              <w:t>2005</w:t>
            </w:r>
          </w:p>
        </w:tc>
        <w:tc>
          <w:tcPr>
            <w:tcW w:w="1134"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ind w:left="113"/>
              <w:jc w:val="right"/>
              <w:rPr>
                <w:i/>
                <w:sz w:val="16"/>
              </w:rPr>
            </w:pPr>
            <w:r w:rsidRPr="002E38E8">
              <w:rPr>
                <w:i/>
                <w:sz w:val="16"/>
              </w:rPr>
              <w:t>2006</w:t>
            </w:r>
          </w:p>
        </w:tc>
        <w:tc>
          <w:tcPr>
            <w:tcW w:w="1134"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ind w:left="113"/>
              <w:jc w:val="right"/>
              <w:rPr>
                <w:i/>
                <w:sz w:val="16"/>
              </w:rPr>
            </w:pPr>
            <w:r w:rsidRPr="002E38E8">
              <w:rPr>
                <w:i/>
                <w:sz w:val="16"/>
              </w:rPr>
              <w:t>2007</w:t>
            </w:r>
          </w:p>
        </w:tc>
        <w:tc>
          <w:tcPr>
            <w:tcW w:w="1134" w:type="dxa"/>
            <w:tcBorders>
              <w:top w:val="single" w:sz="4" w:space="0" w:color="auto"/>
              <w:bottom w:val="single" w:sz="12" w:space="0" w:color="auto"/>
            </w:tcBorders>
            <w:shd w:val="clear" w:color="auto" w:fill="auto"/>
            <w:vAlign w:val="bottom"/>
          </w:tcPr>
          <w:p w:rsidR="00FE79AB" w:rsidRPr="002E38E8" w:rsidRDefault="00FE79AB" w:rsidP="00B84541">
            <w:pPr>
              <w:suppressAutoHyphens w:val="0"/>
              <w:spacing w:before="80" w:after="80" w:line="200" w:lineRule="exact"/>
              <w:ind w:left="113"/>
              <w:jc w:val="right"/>
              <w:rPr>
                <w:i/>
                <w:sz w:val="16"/>
              </w:rPr>
            </w:pPr>
            <w:r w:rsidRPr="002E38E8">
              <w:rPr>
                <w:i/>
                <w:sz w:val="16"/>
              </w:rPr>
              <w:t>2008</w:t>
            </w:r>
          </w:p>
        </w:tc>
      </w:tr>
      <w:tr w:rsidR="00FE79AB" w:rsidRPr="006125CA" w:rsidTr="00B84541">
        <w:tc>
          <w:tcPr>
            <w:tcW w:w="2835" w:type="dxa"/>
            <w:tcBorders>
              <w:top w:val="single" w:sz="12" w:space="0" w:color="auto"/>
            </w:tcBorders>
            <w:shd w:val="clear" w:color="auto" w:fill="auto"/>
          </w:tcPr>
          <w:p w:rsidR="00FE79AB" w:rsidRPr="00A547B7" w:rsidRDefault="00FE79AB" w:rsidP="00B84541">
            <w:pPr>
              <w:spacing w:before="40" w:after="40" w:line="220" w:lineRule="exact"/>
              <w:rPr>
                <w:sz w:val="18"/>
              </w:rPr>
            </w:pPr>
            <w:r w:rsidRPr="00A547B7">
              <w:rPr>
                <w:sz w:val="18"/>
              </w:rPr>
              <w:t>Hémorragie</w:t>
            </w:r>
          </w:p>
        </w:tc>
        <w:tc>
          <w:tcPr>
            <w:tcW w:w="1134" w:type="dxa"/>
            <w:tcBorders>
              <w:top w:val="single" w:sz="12" w:space="0" w:color="auto"/>
            </w:tcBorders>
            <w:shd w:val="clear" w:color="auto" w:fill="auto"/>
            <w:vAlign w:val="bottom"/>
          </w:tcPr>
          <w:p w:rsidR="00FE79AB" w:rsidRPr="00131572" w:rsidRDefault="00FE79AB" w:rsidP="00B84541">
            <w:pPr>
              <w:spacing w:before="40" w:after="40" w:line="220" w:lineRule="exact"/>
              <w:jc w:val="right"/>
              <w:rPr>
                <w:sz w:val="18"/>
              </w:rPr>
            </w:pPr>
            <w:r w:rsidRPr="00131572">
              <w:rPr>
                <w:sz w:val="18"/>
              </w:rPr>
              <w:t>133</w:t>
            </w:r>
          </w:p>
        </w:tc>
        <w:tc>
          <w:tcPr>
            <w:tcW w:w="1134" w:type="dxa"/>
            <w:tcBorders>
              <w:top w:val="single" w:sz="12" w:space="0" w:color="auto"/>
            </w:tcBorders>
            <w:shd w:val="clear" w:color="auto" w:fill="auto"/>
            <w:vAlign w:val="bottom"/>
          </w:tcPr>
          <w:p w:rsidR="00FE79AB" w:rsidRPr="00410A10" w:rsidRDefault="00FE79AB" w:rsidP="00B84541">
            <w:pPr>
              <w:spacing w:before="40" w:after="40" w:line="220" w:lineRule="exact"/>
              <w:jc w:val="right"/>
              <w:rPr>
                <w:sz w:val="18"/>
              </w:rPr>
            </w:pPr>
            <w:r w:rsidRPr="00410A10">
              <w:rPr>
                <w:sz w:val="18"/>
              </w:rPr>
              <w:t>109</w:t>
            </w:r>
          </w:p>
        </w:tc>
        <w:tc>
          <w:tcPr>
            <w:tcW w:w="1134" w:type="dxa"/>
            <w:tcBorders>
              <w:top w:val="single" w:sz="12" w:space="0" w:color="auto"/>
            </w:tcBorders>
            <w:shd w:val="clear" w:color="auto" w:fill="auto"/>
            <w:vAlign w:val="bottom"/>
          </w:tcPr>
          <w:p w:rsidR="00FE79AB" w:rsidRPr="007D35DA" w:rsidRDefault="00FE79AB" w:rsidP="00B84541">
            <w:pPr>
              <w:spacing w:before="40" w:after="40" w:line="220" w:lineRule="exact"/>
              <w:jc w:val="right"/>
              <w:rPr>
                <w:sz w:val="18"/>
              </w:rPr>
            </w:pPr>
            <w:r w:rsidRPr="007D35DA">
              <w:rPr>
                <w:sz w:val="18"/>
              </w:rPr>
              <w:t>194</w:t>
            </w:r>
          </w:p>
        </w:tc>
        <w:tc>
          <w:tcPr>
            <w:tcW w:w="1134" w:type="dxa"/>
            <w:tcBorders>
              <w:top w:val="single" w:sz="12" w:space="0" w:color="auto"/>
            </w:tcBorders>
            <w:shd w:val="clear" w:color="auto" w:fill="auto"/>
            <w:vAlign w:val="bottom"/>
          </w:tcPr>
          <w:p w:rsidR="00FE79AB" w:rsidRPr="003C155E" w:rsidRDefault="00FE79AB" w:rsidP="00B84541">
            <w:pPr>
              <w:spacing w:before="40" w:after="40" w:line="220" w:lineRule="exact"/>
              <w:jc w:val="right"/>
              <w:rPr>
                <w:sz w:val="18"/>
              </w:rPr>
            </w:pPr>
            <w:r w:rsidRPr="003C155E">
              <w:rPr>
                <w:sz w:val="18"/>
              </w:rPr>
              <w:t>119</w:t>
            </w:r>
          </w:p>
        </w:tc>
      </w:tr>
      <w:tr w:rsidR="00FE79AB" w:rsidRPr="006125CA" w:rsidTr="00B84541">
        <w:tc>
          <w:tcPr>
            <w:tcW w:w="2835" w:type="dxa"/>
            <w:shd w:val="clear" w:color="auto" w:fill="auto"/>
          </w:tcPr>
          <w:p w:rsidR="00FE79AB" w:rsidRPr="00A547B7" w:rsidRDefault="00FE79AB" w:rsidP="00B84541">
            <w:pPr>
              <w:spacing w:before="40" w:after="40" w:line="220" w:lineRule="exact"/>
              <w:rPr>
                <w:sz w:val="18"/>
              </w:rPr>
            </w:pPr>
            <w:r w:rsidRPr="00A547B7">
              <w:rPr>
                <w:sz w:val="18"/>
              </w:rPr>
              <w:t>Toxémie</w:t>
            </w:r>
          </w:p>
        </w:tc>
        <w:tc>
          <w:tcPr>
            <w:tcW w:w="1134" w:type="dxa"/>
            <w:shd w:val="clear" w:color="auto" w:fill="auto"/>
            <w:vAlign w:val="bottom"/>
          </w:tcPr>
          <w:p w:rsidR="00FE79AB" w:rsidRPr="00131572" w:rsidRDefault="00FE79AB" w:rsidP="00B84541">
            <w:pPr>
              <w:spacing w:before="40" w:after="40" w:line="220" w:lineRule="exact"/>
              <w:jc w:val="right"/>
              <w:rPr>
                <w:sz w:val="18"/>
              </w:rPr>
            </w:pPr>
            <w:r w:rsidRPr="00131572">
              <w:rPr>
                <w:sz w:val="18"/>
              </w:rPr>
              <w:t>123</w:t>
            </w:r>
          </w:p>
        </w:tc>
        <w:tc>
          <w:tcPr>
            <w:tcW w:w="1134" w:type="dxa"/>
            <w:shd w:val="clear" w:color="auto" w:fill="auto"/>
            <w:vAlign w:val="bottom"/>
          </w:tcPr>
          <w:p w:rsidR="00FE79AB" w:rsidRPr="00410A10" w:rsidRDefault="00FE79AB" w:rsidP="00B84541">
            <w:pPr>
              <w:spacing w:before="40" w:after="40" w:line="220" w:lineRule="exact"/>
              <w:jc w:val="right"/>
              <w:rPr>
                <w:sz w:val="18"/>
              </w:rPr>
            </w:pPr>
            <w:r w:rsidRPr="00410A10">
              <w:rPr>
                <w:sz w:val="18"/>
              </w:rPr>
              <w:t>90</w:t>
            </w:r>
          </w:p>
        </w:tc>
        <w:tc>
          <w:tcPr>
            <w:tcW w:w="1134" w:type="dxa"/>
            <w:shd w:val="clear" w:color="auto" w:fill="auto"/>
            <w:vAlign w:val="bottom"/>
          </w:tcPr>
          <w:p w:rsidR="00FE79AB" w:rsidRPr="007D35DA" w:rsidRDefault="00FE79AB" w:rsidP="00B84541">
            <w:pPr>
              <w:spacing w:before="40" w:after="40" w:line="220" w:lineRule="exact"/>
              <w:jc w:val="right"/>
              <w:rPr>
                <w:sz w:val="18"/>
              </w:rPr>
            </w:pPr>
            <w:r w:rsidRPr="007D35DA">
              <w:rPr>
                <w:sz w:val="18"/>
              </w:rPr>
              <w:t>130</w:t>
            </w:r>
          </w:p>
        </w:tc>
        <w:tc>
          <w:tcPr>
            <w:tcW w:w="1134" w:type="dxa"/>
            <w:shd w:val="clear" w:color="auto" w:fill="auto"/>
            <w:vAlign w:val="bottom"/>
          </w:tcPr>
          <w:p w:rsidR="00FE79AB" w:rsidRPr="003C155E" w:rsidRDefault="00FE79AB" w:rsidP="00B84541">
            <w:pPr>
              <w:spacing w:before="40" w:after="40" w:line="220" w:lineRule="exact"/>
              <w:jc w:val="right"/>
              <w:rPr>
                <w:sz w:val="18"/>
              </w:rPr>
            </w:pPr>
            <w:r w:rsidRPr="003C155E">
              <w:rPr>
                <w:sz w:val="18"/>
              </w:rPr>
              <w:t>51</w:t>
            </w:r>
          </w:p>
        </w:tc>
      </w:tr>
      <w:tr w:rsidR="00FE79AB" w:rsidRPr="006125CA" w:rsidTr="00B84541">
        <w:tc>
          <w:tcPr>
            <w:tcW w:w="2835" w:type="dxa"/>
            <w:shd w:val="clear" w:color="auto" w:fill="auto"/>
          </w:tcPr>
          <w:p w:rsidR="00FE79AB" w:rsidRPr="00A547B7" w:rsidRDefault="00FE79AB" w:rsidP="00B84541">
            <w:pPr>
              <w:spacing w:before="40" w:after="40" w:line="220" w:lineRule="exact"/>
            </w:pPr>
            <w:r w:rsidRPr="00CC138B">
              <w:rPr>
                <w:sz w:val="18"/>
              </w:rPr>
              <w:t>Infection puerpérale</w:t>
            </w:r>
          </w:p>
        </w:tc>
        <w:tc>
          <w:tcPr>
            <w:tcW w:w="1134" w:type="dxa"/>
            <w:shd w:val="clear" w:color="auto" w:fill="auto"/>
            <w:vAlign w:val="bottom"/>
          </w:tcPr>
          <w:p w:rsidR="00FE79AB" w:rsidRPr="00131572" w:rsidRDefault="00FE79AB" w:rsidP="00B84541">
            <w:pPr>
              <w:spacing w:before="40" w:after="40" w:line="220" w:lineRule="exact"/>
              <w:jc w:val="right"/>
              <w:rPr>
                <w:sz w:val="18"/>
              </w:rPr>
            </w:pPr>
            <w:r w:rsidRPr="00131572">
              <w:rPr>
                <w:sz w:val="18"/>
              </w:rPr>
              <w:t>70</w:t>
            </w:r>
          </w:p>
        </w:tc>
        <w:tc>
          <w:tcPr>
            <w:tcW w:w="1134" w:type="dxa"/>
            <w:shd w:val="clear" w:color="auto" w:fill="auto"/>
            <w:vAlign w:val="bottom"/>
          </w:tcPr>
          <w:p w:rsidR="00FE79AB" w:rsidRPr="00410A10" w:rsidRDefault="00FE79AB" w:rsidP="00B84541">
            <w:pPr>
              <w:spacing w:before="40" w:after="40" w:line="220" w:lineRule="exact"/>
              <w:jc w:val="right"/>
              <w:rPr>
                <w:sz w:val="18"/>
              </w:rPr>
            </w:pPr>
            <w:r w:rsidRPr="00410A10">
              <w:rPr>
                <w:sz w:val="18"/>
              </w:rPr>
              <w:t>43</w:t>
            </w:r>
          </w:p>
        </w:tc>
        <w:tc>
          <w:tcPr>
            <w:tcW w:w="1134" w:type="dxa"/>
            <w:shd w:val="clear" w:color="auto" w:fill="auto"/>
            <w:vAlign w:val="bottom"/>
          </w:tcPr>
          <w:p w:rsidR="00FE79AB" w:rsidRPr="007D35DA" w:rsidRDefault="00FE79AB" w:rsidP="00B84541">
            <w:pPr>
              <w:spacing w:before="40" w:after="40" w:line="220" w:lineRule="exact"/>
              <w:jc w:val="right"/>
              <w:rPr>
                <w:sz w:val="18"/>
              </w:rPr>
            </w:pPr>
            <w:r w:rsidRPr="007D35DA">
              <w:rPr>
                <w:sz w:val="18"/>
              </w:rPr>
              <w:t>67</w:t>
            </w:r>
          </w:p>
        </w:tc>
        <w:tc>
          <w:tcPr>
            <w:tcW w:w="1134" w:type="dxa"/>
            <w:shd w:val="clear" w:color="auto" w:fill="auto"/>
            <w:vAlign w:val="bottom"/>
          </w:tcPr>
          <w:p w:rsidR="00FE79AB" w:rsidRPr="003C155E" w:rsidRDefault="00FE79AB" w:rsidP="00B84541">
            <w:pPr>
              <w:spacing w:before="40" w:after="40" w:line="220" w:lineRule="exact"/>
              <w:jc w:val="right"/>
              <w:rPr>
                <w:sz w:val="18"/>
              </w:rPr>
            </w:pPr>
            <w:r w:rsidRPr="003C155E">
              <w:rPr>
                <w:sz w:val="18"/>
              </w:rPr>
              <w:t>42</w:t>
            </w:r>
          </w:p>
        </w:tc>
      </w:tr>
      <w:tr w:rsidR="00FE79AB" w:rsidRPr="006125CA" w:rsidTr="00B84541">
        <w:tc>
          <w:tcPr>
            <w:tcW w:w="2835" w:type="dxa"/>
            <w:shd w:val="clear" w:color="auto" w:fill="auto"/>
          </w:tcPr>
          <w:p w:rsidR="00FE79AB" w:rsidRPr="00A547B7" w:rsidRDefault="00FE79AB" w:rsidP="00B84541">
            <w:pPr>
              <w:spacing w:before="40" w:after="40" w:line="220" w:lineRule="exact"/>
              <w:rPr>
                <w:sz w:val="18"/>
              </w:rPr>
            </w:pPr>
            <w:r w:rsidRPr="00A547B7">
              <w:rPr>
                <w:sz w:val="18"/>
              </w:rPr>
              <w:t>Rupture utérine</w:t>
            </w:r>
          </w:p>
        </w:tc>
        <w:tc>
          <w:tcPr>
            <w:tcW w:w="1134" w:type="dxa"/>
            <w:shd w:val="clear" w:color="auto" w:fill="auto"/>
            <w:vAlign w:val="bottom"/>
          </w:tcPr>
          <w:p w:rsidR="00FE79AB" w:rsidRPr="00131572" w:rsidRDefault="00FE79AB" w:rsidP="00B84541">
            <w:pPr>
              <w:spacing w:before="40" w:after="40" w:line="220" w:lineRule="exact"/>
              <w:jc w:val="right"/>
              <w:rPr>
                <w:sz w:val="18"/>
              </w:rPr>
            </w:pPr>
            <w:r w:rsidRPr="00131572">
              <w:rPr>
                <w:sz w:val="18"/>
              </w:rPr>
              <w:t>58</w:t>
            </w:r>
          </w:p>
        </w:tc>
        <w:tc>
          <w:tcPr>
            <w:tcW w:w="1134" w:type="dxa"/>
            <w:shd w:val="clear" w:color="auto" w:fill="auto"/>
            <w:vAlign w:val="bottom"/>
          </w:tcPr>
          <w:p w:rsidR="00FE79AB" w:rsidRPr="00410A10" w:rsidRDefault="00FE79AB" w:rsidP="00B84541">
            <w:pPr>
              <w:spacing w:before="40" w:after="40" w:line="220" w:lineRule="exact"/>
              <w:jc w:val="right"/>
              <w:rPr>
                <w:sz w:val="18"/>
              </w:rPr>
            </w:pPr>
            <w:r w:rsidRPr="00410A10">
              <w:rPr>
                <w:sz w:val="18"/>
              </w:rPr>
              <w:t>46</w:t>
            </w:r>
          </w:p>
        </w:tc>
        <w:tc>
          <w:tcPr>
            <w:tcW w:w="1134" w:type="dxa"/>
            <w:shd w:val="clear" w:color="auto" w:fill="auto"/>
            <w:vAlign w:val="bottom"/>
          </w:tcPr>
          <w:p w:rsidR="00FE79AB" w:rsidRPr="007D35DA" w:rsidRDefault="00FE79AB" w:rsidP="00B84541">
            <w:pPr>
              <w:spacing w:before="40" w:after="40" w:line="220" w:lineRule="exact"/>
              <w:jc w:val="right"/>
              <w:rPr>
                <w:sz w:val="18"/>
              </w:rPr>
            </w:pPr>
            <w:r w:rsidRPr="007D35DA">
              <w:rPr>
                <w:sz w:val="18"/>
              </w:rPr>
              <w:t>47</w:t>
            </w:r>
          </w:p>
        </w:tc>
        <w:tc>
          <w:tcPr>
            <w:tcW w:w="1134" w:type="dxa"/>
            <w:shd w:val="clear" w:color="auto" w:fill="auto"/>
            <w:vAlign w:val="bottom"/>
          </w:tcPr>
          <w:p w:rsidR="00FE79AB" w:rsidRPr="003C155E" w:rsidRDefault="00FE79AB" w:rsidP="00B84541">
            <w:pPr>
              <w:spacing w:before="40" w:after="40" w:line="220" w:lineRule="exact"/>
              <w:jc w:val="right"/>
              <w:rPr>
                <w:sz w:val="18"/>
              </w:rPr>
            </w:pPr>
            <w:r w:rsidRPr="003C155E">
              <w:rPr>
                <w:sz w:val="18"/>
              </w:rPr>
              <w:t>40</w:t>
            </w:r>
          </w:p>
        </w:tc>
      </w:tr>
      <w:tr w:rsidR="00FE79AB" w:rsidRPr="006125CA" w:rsidTr="00B84541">
        <w:tc>
          <w:tcPr>
            <w:tcW w:w="2835" w:type="dxa"/>
            <w:shd w:val="clear" w:color="auto" w:fill="auto"/>
          </w:tcPr>
          <w:p w:rsidR="00FE79AB" w:rsidRPr="00A547B7" w:rsidRDefault="00FE79AB" w:rsidP="00B84541">
            <w:pPr>
              <w:spacing w:before="40" w:after="40" w:line="220" w:lineRule="exact"/>
              <w:rPr>
                <w:sz w:val="18"/>
              </w:rPr>
            </w:pPr>
            <w:r w:rsidRPr="00A547B7">
              <w:rPr>
                <w:sz w:val="18"/>
              </w:rPr>
              <w:t>Avortement</w:t>
            </w:r>
          </w:p>
        </w:tc>
        <w:tc>
          <w:tcPr>
            <w:tcW w:w="1134" w:type="dxa"/>
            <w:shd w:val="clear" w:color="auto" w:fill="auto"/>
            <w:vAlign w:val="bottom"/>
          </w:tcPr>
          <w:p w:rsidR="00FE79AB" w:rsidRPr="00131572" w:rsidRDefault="00FE79AB" w:rsidP="00B84541">
            <w:pPr>
              <w:spacing w:before="40" w:after="40" w:line="220" w:lineRule="exact"/>
              <w:jc w:val="right"/>
              <w:rPr>
                <w:sz w:val="18"/>
              </w:rPr>
            </w:pPr>
            <w:r w:rsidRPr="00131572">
              <w:rPr>
                <w:sz w:val="18"/>
              </w:rPr>
              <w:t>63</w:t>
            </w:r>
          </w:p>
        </w:tc>
        <w:tc>
          <w:tcPr>
            <w:tcW w:w="1134" w:type="dxa"/>
            <w:shd w:val="clear" w:color="auto" w:fill="auto"/>
            <w:vAlign w:val="bottom"/>
          </w:tcPr>
          <w:p w:rsidR="00FE79AB" w:rsidRPr="00410A10" w:rsidRDefault="00FE79AB" w:rsidP="00B84541">
            <w:pPr>
              <w:spacing w:before="40" w:after="40" w:line="220" w:lineRule="exact"/>
              <w:jc w:val="right"/>
              <w:rPr>
                <w:sz w:val="18"/>
              </w:rPr>
            </w:pPr>
            <w:r w:rsidRPr="00410A10">
              <w:rPr>
                <w:sz w:val="18"/>
              </w:rPr>
              <w:t>31</w:t>
            </w:r>
          </w:p>
        </w:tc>
        <w:tc>
          <w:tcPr>
            <w:tcW w:w="1134" w:type="dxa"/>
            <w:shd w:val="clear" w:color="auto" w:fill="auto"/>
            <w:vAlign w:val="bottom"/>
          </w:tcPr>
          <w:p w:rsidR="00FE79AB" w:rsidRPr="007D35DA" w:rsidRDefault="00FE79AB" w:rsidP="00B84541">
            <w:pPr>
              <w:spacing w:before="40" w:after="40" w:line="220" w:lineRule="exact"/>
              <w:jc w:val="right"/>
              <w:rPr>
                <w:sz w:val="18"/>
              </w:rPr>
            </w:pPr>
            <w:r w:rsidRPr="007D35DA">
              <w:rPr>
                <w:sz w:val="18"/>
              </w:rPr>
              <w:t>61</w:t>
            </w:r>
          </w:p>
        </w:tc>
        <w:tc>
          <w:tcPr>
            <w:tcW w:w="1134" w:type="dxa"/>
            <w:shd w:val="clear" w:color="auto" w:fill="auto"/>
            <w:vAlign w:val="bottom"/>
          </w:tcPr>
          <w:p w:rsidR="00FE79AB" w:rsidRPr="003C155E" w:rsidRDefault="00FE79AB" w:rsidP="00B84541">
            <w:pPr>
              <w:spacing w:before="40" w:after="40" w:line="220" w:lineRule="exact"/>
              <w:jc w:val="right"/>
              <w:rPr>
                <w:sz w:val="18"/>
              </w:rPr>
            </w:pPr>
            <w:r w:rsidRPr="003C155E">
              <w:rPr>
                <w:sz w:val="18"/>
              </w:rPr>
              <w:t>35</w:t>
            </w:r>
          </w:p>
        </w:tc>
      </w:tr>
      <w:tr w:rsidR="00FE79AB" w:rsidRPr="006125CA" w:rsidTr="00B84541">
        <w:tc>
          <w:tcPr>
            <w:tcW w:w="2835" w:type="dxa"/>
            <w:shd w:val="clear" w:color="auto" w:fill="auto"/>
          </w:tcPr>
          <w:p w:rsidR="00FE79AB" w:rsidRPr="00A547B7" w:rsidRDefault="00FE79AB" w:rsidP="00B84541">
            <w:pPr>
              <w:spacing w:before="40" w:after="40" w:line="220" w:lineRule="exact"/>
              <w:rPr>
                <w:sz w:val="18"/>
              </w:rPr>
            </w:pPr>
            <w:r w:rsidRPr="00A547B7">
              <w:rPr>
                <w:sz w:val="18"/>
              </w:rPr>
              <w:t>Autres causes directes</w:t>
            </w:r>
          </w:p>
        </w:tc>
        <w:tc>
          <w:tcPr>
            <w:tcW w:w="1134" w:type="dxa"/>
            <w:shd w:val="clear" w:color="auto" w:fill="auto"/>
            <w:vAlign w:val="bottom"/>
          </w:tcPr>
          <w:p w:rsidR="00FE79AB" w:rsidRPr="00131572" w:rsidRDefault="00FE79AB" w:rsidP="00B84541">
            <w:pPr>
              <w:spacing w:before="40" w:after="40" w:line="220" w:lineRule="exact"/>
              <w:jc w:val="right"/>
              <w:rPr>
                <w:sz w:val="18"/>
              </w:rPr>
            </w:pPr>
            <w:r w:rsidRPr="00131572">
              <w:rPr>
                <w:sz w:val="18"/>
              </w:rPr>
              <w:t>103</w:t>
            </w:r>
          </w:p>
        </w:tc>
        <w:tc>
          <w:tcPr>
            <w:tcW w:w="1134" w:type="dxa"/>
            <w:shd w:val="clear" w:color="auto" w:fill="auto"/>
            <w:vAlign w:val="bottom"/>
          </w:tcPr>
          <w:p w:rsidR="00FE79AB" w:rsidRPr="00410A10" w:rsidRDefault="00FE79AB" w:rsidP="00B84541">
            <w:pPr>
              <w:spacing w:before="40" w:after="40" w:line="220" w:lineRule="exact"/>
              <w:jc w:val="right"/>
              <w:rPr>
                <w:sz w:val="18"/>
              </w:rPr>
            </w:pPr>
            <w:r w:rsidRPr="00410A10">
              <w:rPr>
                <w:sz w:val="18"/>
              </w:rPr>
              <w:t>236</w:t>
            </w:r>
          </w:p>
        </w:tc>
        <w:tc>
          <w:tcPr>
            <w:tcW w:w="1134" w:type="dxa"/>
            <w:shd w:val="clear" w:color="auto" w:fill="auto"/>
            <w:vAlign w:val="bottom"/>
          </w:tcPr>
          <w:p w:rsidR="00FE79AB" w:rsidRPr="007D35DA" w:rsidRDefault="00FE79AB" w:rsidP="00B84541">
            <w:pPr>
              <w:spacing w:before="40" w:after="40" w:line="220" w:lineRule="exact"/>
              <w:jc w:val="right"/>
              <w:rPr>
                <w:sz w:val="18"/>
              </w:rPr>
            </w:pPr>
            <w:r w:rsidRPr="007D35DA">
              <w:rPr>
                <w:sz w:val="18"/>
              </w:rPr>
              <w:t>101</w:t>
            </w:r>
          </w:p>
        </w:tc>
        <w:tc>
          <w:tcPr>
            <w:tcW w:w="1134" w:type="dxa"/>
            <w:shd w:val="clear" w:color="auto" w:fill="auto"/>
            <w:vAlign w:val="bottom"/>
          </w:tcPr>
          <w:p w:rsidR="00FE79AB" w:rsidRPr="003C155E" w:rsidRDefault="00FE79AB" w:rsidP="00B84541">
            <w:pPr>
              <w:spacing w:before="40" w:after="40" w:line="220" w:lineRule="exact"/>
              <w:jc w:val="right"/>
              <w:rPr>
                <w:sz w:val="18"/>
              </w:rPr>
            </w:pPr>
            <w:r w:rsidRPr="003C155E">
              <w:rPr>
                <w:sz w:val="18"/>
              </w:rPr>
              <w:t>76</w:t>
            </w:r>
          </w:p>
        </w:tc>
      </w:tr>
      <w:tr w:rsidR="00FE79AB" w:rsidRPr="006125CA" w:rsidTr="00B84541">
        <w:tc>
          <w:tcPr>
            <w:tcW w:w="2835" w:type="dxa"/>
            <w:shd w:val="clear" w:color="auto" w:fill="auto"/>
          </w:tcPr>
          <w:p w:rsidR="00FE79AB" w:rsidRPr="00A547B7" w:rsidRDefault="00FE79AB" w:rsidP="00B84541">
            <w:pPr>
              <w:spacing w:before="40" w:after="40" w:line="220" w:lineRule="exact"/>
              <w:rPr>
                <w:sz w:val="18"/>
              </w:rPr>
            </w:pPr>
            <w:r w:rsidRPr="00A547B7">
              <w:rPr>
                <w:sz w:val="18"/>
              </w:rPr>
              <w:t>Paludisme</w:t>
            </w:r>
          </w:p>
        </w:tc>
        <w:tc>
          <w:tcPr>
            <w:tcW w:w="1134" w:type="dxa"/>
            <w:shd w:val="clear" w:color="auto" w:fill="auto"/>
            <w:vAlign w:val="bottom"/>
          </w:tcPr>
          <w:p w:rsidR="00FE79AB" w:rsidRPr="00131572" w:rsidRDefault="00FE79AB" w:rsidP="00B84541">
            <w:pPr>
              <w:spacing w:before="40" w:after="40" w:line="220" w:lineRule="exact"/>
              <w:jc w:val="right"/>
              <w:rPr>
                <w:sz w:val="18"/>
              </w:rPr>
            </w:pPr>
            <w:r w:rsidRPr="00131572">
              <w:rPr>
                <w:sz w:val="18"/>
              </w:rPr>
              <w:t>217</w:t>
            </w:r>
          </w:p>
        </w:tc>
        <w:tc>
          <w:tcPr>
            <w:tcW w:w="1134" w:type="dxa"/>
            <w:shd w:val="clear" w:color="auto" w:fill="auto"/>
            <w:vAlign w:val="bottom"/>
          </w:tcPr>
          <w:p w:rsidR="00FE79AB" w:rsidRPr="00410A10" w:rsidRDefault="00FE79AB" w:rsidP="00B84541">
            <w:pPr>
              <w:spacing w:before="40" w:after="40" w:line="220" w:lineRule="exact"/>
              <w:jc w:val="right"/>
              <w:rPr>
                <w:sz w:val="18"/>
              </w:rPr>
            </w:pPr>
            <w:r w:rsidRPr="00410A10">
              <w:rPr>
                <w:sz w:val="18"/>
              </w:rPr>
              <w:t>164</w:t>
            </w:r>
          </w:p>
        </w:tc>
        <w:tc>
          <w:tcPr>
            <w:tcW w:w="1134" w:type="dxa"/>
            <w:shd w:val="clear" w:color="auto" w:fill="auto"/>
            <w:vAlign w:val="bottom"/>
          </w:tcPr>
          <w:p w:rsidR="00FE79AB" w:rsidRPr="007D35DA" w:rsidRDefault="00FE79AB" w:rsidP="00B84541">
            <w:pPr>
              <w:spacing w:before="40" w:after="40" w:line="220" w:lineRule="exact"/>
              <w:jc w:val="right"/>
              <w:rPr>
                <w:sz w:val="18"/>
              </w:rPr>
            </w:pPr>
            <w:r w:rsidRPr="007D35DA">
              <w:rPr>
                <w:sz w:val="18"/>
              </w:rPr>
              <w:t>181</w:t>
            </w:r>
          </w:p>
        </w:tc>
        <w:tc>
          <w:tcPr>
            <w:tcW w:w="1134" w:type="dxa"/>
            <w:shd w:val="clear" w:color="auto" w:fill="auto"/>
            <w:vAlign w:val="bottom"/>
          </w:tcPr>
          <w:p w:rsidR="00FE79AB" w:rsidRPr="003C155E" w:rsidRDefault="00FE79AB" w:rsidP="00B84541">
            <w:pPr>
              <w:spacing w:before="40" w:after="40" w:line="220" w:lineRule="exact"/>
              <w:jc w:val="right"/>
              <w:rPr>
                <w:sz w:val="18"/>
              </w:rPr>
            </w:pPr>
            <w:r w:rsidRPr="003C155E">
              <w:rPr>
                <w:sz w:val="18"/>
              </w:rPr>
              <w:t>147</w:t>
            </w:r>
          </w:p>
        </w:tc>
      </w:tr>
      <w:tr w:rsidR="00FE79AB" w:rsidRPr="006125CA" w:rsidTr="00B84541">
        <w:tc>
          <w:tcPr>
            <w:tcW w:w="2835" w:type="dxa"/>
            <w:shd w:val="clear" w:color="auto" w:fill="auto"/>
          </w:tcPr>
          <w:p w:rsidR="00FE79AB" w:rsidRPr="00A547B7" w:rsidRDefault="00FE79AB" w:rsidP="00B84541">
            <w:pPr>
              <w:spacing w:before="40" w:after="40" w:line="220" w:lineRule="exact"/>
              <w:rPr>
                <w:sz w:val="18"/>
              </w:rPr>
            </w:pPr>
            <w:r w:rsidRPr="00A547B7">
              <w:rPr>
                <w:sz w:val="18"/>
              </w:rPr>
              <w:t>Hépatite</w:t>
            </w:r>
          </w:p>
        </w:tc>
        <w:tc>
          <w:tcPr>
            <w:tcW w:w="1134" w:type="dxa"/>
            <w:shd w:val="clear" w:color="auto" w:fill="auto"/>
            <w:vAlign w:val="bottom"/>
          </w:tcPr>
          <w:p w:rsidR="00FE79AB" w:rsidRPr="00131572" w:rsidRDefault="00FE79AB" w:rsidP="00B84541">
            <w:pPr>
              <w:spacing w:before="40" w:after="40" w:line="220" w:lineRule="exact"/>
              <w:jc w:val="right"/>
              <w:rPr>
                <w:sz w:val="18"/>
              </w:rPr>
            </w:pPr>
            <w:r w:rsidRPr="00131572">
              <w:rPr>
                <w:sz w:val="18"/>
              </w:rPr>
              <w:t>65</w:t>
            </w:r>
          </w:p>
        </w:tc>
        <w:tc>
          <w:tcPr>
            <w:tcW w:w="1134" w:type="dxa"/>
            <w:shd w:val="clear" w:color="auto" w:fill="auto"/>
            <w:vAlign w:val="bottom"/>
          </w:tcPr>
          <w:p w:rsidR="00FE79AB" w:rsidRPr="00410A10" w:rsidRDefault="00FE79AB" w:rsidP="00B84541">
            <w:pPr>
              <w:spacing w:before="40" w:after="40" w:line="220" w:lineRule="exact"/>
              <w:jc w:val="right"/>
              <w:rPr>
                <w:sz w:val="18"/>
              </w:rPr>
            </w:pPr>
            <w:r w:rsidRPr="00410A10">
              <w:rPr>
                <w:sz w:val="18"/>
              </w:rPr>
              <w:t>33</w:t>
            </w:r>
          </w:p>
        </w:tc>
        <w:tc>
          <w:tcPr>
            <w:tcW w:w="1134" w:type="dxa"/>
            <w:shd w:val="clear" w:color="auto" w:fill="auto"/>
            <w:vAlign w:val="bottom"/>
          </w:tcPr>
          <w:p w:rsidR="00FE79AB" w:rsidRPr="007D35DA" w:rsidRDefault="00FE79AB" w:rsidP="00B84541">
            <w:pPr>
              <w:spacing w:before="40" w:after="40" w:line="220" w:lineRule="exact"/>
              <w:jc w:val="right"/>
              <w:rPr>
                <w:sz w:val="18"/>
              </w:rPr>
            </w:pPr>
            <w:r w:rsidRPr="007D35DA">
              <w:rPr>
                <w:sz w:val="18"/>
              </w:rPr>
              <w:t>37</w:t>
            </w:r>
          </w:p>
        </w:tc>
        <w:tc>
          <w:tcPr>
            <w:tcW w:w="1134" w:type="dxa"/>
            <w:shd w:val="clear" w:color="auto" w:fill="auto"/>
            <w:vAlign w:val="bottom"/>
          </w:tcPr>
          <w:p w:rsidR="00FE79AB" w:rsidRPr="003C155E" w:rsidRDefault="00FE79AB" w:rsidP="00B84541">
            <w:pPr>
              <w:spacing w:before="40" w:after="40" w:line="220" w:lineRule="exact"/>
              <w:jc w:val="right"/>
              <w:rPr>
                <w:sz w:val="18"/>
              </w:rPr>
            </w:pPr>
            <w:r w:rsidRPr="003C155E">
              <w:rPr>
                <w:sz w:val="18"/>
              </w:rPr>
              <w:t>37</w:t>
            </w:r>
          </w:p>
        </w:tc>
      </w:tr>
      <w:tr w:rsidR="00FE79AB" w:rsidRPr="006125CA" w:rsidTr="00B84541">
        <w:tc>
          <w:tcPr>
            <w:tcW w:w="2835" w:type="dxa"/>
            <w:tcBorders>
              <w:bottom w:val="single" w:sz="12" w:space="0" w:color="auto"/>
            </w:tcBorders>
            <w:shd w:val="clear" w:color="auto" w:fill="auto"/>
          </w:tcPr>
          <w:p w:rsidR="00FE79AB" w:rsidRDefault="00FE79AB" w:rsidP="00B84541">
            <w:pPr>
              <w:spacing w:before="40" w:after="40" w:line="220" w:lineRule="exact"/>
            </w:pPr>
            <w:r w:rsidRPr="00A547B7">
              <w:rPr>
                <w:sz w:val="18"/>
              </w:rPr>
              <w:t>Autres causes indirectes</w:t>
            </w:r>
          </w:p>
        </w:tc>
        <w:tc>
          <w:tcPr>
            <w:tcW w:w="1134" w:type="dxa"/>
            <w:tcBorders>
              <w:bottom w:val="single" w:sz="12" w:space="0" w:color="auto"/>
            </w:tcBorders>
            <w:shd w:val="clear" w:color="auto" w:fill="auto"/>
            <w:vAlign w:val="bottom"/>
          </w:tcPr>
          <w:p w:rsidR="00FE79AB" w:rsidRDefault="00FE79AB" w:rsidP="00B84541">
            <w:pPr>
              <w:spacing w:before="40" w:after="40" w:line="220" w:lineRule="exact"/>
              <w:jc w:val="right"/>
            </w:pPr>
            <w:r w:rsidRPr="00131572">
              <w:rPr>
                <w:sz w:val="18"/>
              </w:rPr>
              <w:t>88</w:t>
            </w:r>
          </w:p>
        </w:tc>
        <w:tc>
          <w:tcPr>
            <w:tcW w:w="1134" w:type="dxa"/>
            <w:tcBorders>
              <w:bottom w:val="single" w:sz="12" w:space="0" w:color="auto"/>
            </w:tcBorders>
            <w:shd w:val="clear" w:color="auto" w:fill="auto"/>
            <w:vAlign w:val="bottom"/>
          </w:tcPr>
          <w:p w:rsidR="00FE79AB" w:rsidRDefault="00FE79AB" w:rsidP="00B84541">
            <w:pPr>
              <w:spacing w:before="40" w:after="40" w:line="220" w:lineRule="exact"/>
              <w:jc w:val="right"/>
            </w:pPr>
            <w:r w:rsidRPr="00410A10">
              <w:rPr>
                <w:sz w:val="18"/>
              </w:rPr>
              <w:t>210</w:t>
            </w:r>
          </w:p>
        </w:tc>
        <w:tc>
          <w:tcPr>
            <w:tcW w:w="1134" w:type="dxa"/>
            <w:tcBorders>
              <w:bottom w:val="single" w:sz="12" w:space="0" w:color="auto"/>
            </w:tcBorders>
            <w:shd w:val="clear" w:color="auto" w:fill="auto"/>
            <w:vAlign w:val="bottom"/>
          </w:tcPr>
          <w:p w:rsidR="00FE79AB" w:rsidRDefault="00FE79AB" w:rsidP="00B84541">
            <w:pPr>
              <w:spacing w:before="40" w:after="40" w:line="220" w:lineRule="exact"/>
              <w:jc w:val="right"/>
            </w:pPr>
            <w:r w:rsidRPr="007D35DA">
              <w:rPr>
                <w:sz w:val="18"/>
              </w:rPr>
              <w:t>211</w:t>
            </w:r>
          </w:p>
        </w:tc>
        <w:tc>
          <w:tcPr>
            <w:tcW w:w="1134" w:type="dxa"/>
            <w:tcBorders>
              <w:bottom w:val="single" w:sz="12" w:space="0" w:color="auto"/>
            </w:tcBorders>
            <w:shd w:val="clear" w:color="auto" w:fill="auto"/>
            <w:vAlign w:val="bottom"/>
          </w:tcPr>
          <w:p w:rsidR="00FE79AB" w:rsidRDefault="00FE79AB" w:rsidP="00B84541">
            <w:pPr>
              <w:spacing w:before="40" w:after="40" w:line="220" w:lineRule="exact"/>
              <w:jc w:val="right"/>
            </w:pPr>
            <w:r w:rsidRPr="003C155E">
              <w:rPr>
                <w:sz w:val="18"/>
              </w:rPr>
              <w:t>118</w:t>
            </w:r>
          </w:p>
        </w:tc>
      </w:tr>
    </w:tbl>
    <w:p w:rsidR="00FE79AB" w:rsidRPr="002E38E8" w:rsidRDefault="00FE79AB" w:rsidP="00FE79AB">
      <w:pPr>
        <w:pStyle w:val="H23G"/>
      </w:pPr>
      <w:r w:rsidRPr="002E38E8">
        <w:tab/>
        <w:t>b)</w:t>
      </w:r>
      <w:r w:rsidRPr="002E38E8">
        <w:tab/>
        <w:t>Santé infantile</w:t>
      </w:r>
    </w:p>
    <w:p w:rsidR="00FE79AB" w:rsidRPr="002E38E8" w:rsidRDefault="00FE79AB" w:rsidP="00FE79AB">
      <w:pPr>
        <w:pStyle w:val="SingleTxtG"/>
      </w:pPr>
      <w:r w:rsidRPr="002E38E8">
        <w:t>128.</w:t>
      </w:r>
      <w:r w:rsidRPr="002E38E8">
        <w:tab/>
        <w:t xml:space="preserve">Le Ministère de la santé a mené trois enquêtes à l’échelle nationale sur les indicateurs relatives à la survie de l’enfant, qui montrent une amélioration de ces indicateurs. Le pourcentage d’enfants nourris uniquement au sein à </w:t>
      </w:r>
      <w:r>
        <w:t>6 </w:t>
      </w:r>
      <w:r w:rsidRPr="002E38E8">
        <w:t>mois est passé de 14 % en 2001 à 31 % en 2007. Les conseils et tests volontaires concernant le VIH chez les femmes enceintes se sont accrus pour passer de 2 % en 2001 à 45 % en 2007. La couverture en termes de vaccins pentavalent et de vaccins contre la rougeole a connu une hausse pour atteindre près de 80 %, et l’utilisation effective de sels de réhydratation orale chez les enfants atteints de maladies diarrhéiques aiguës, la couverture en vitamine A des enfants de 6 à 59 mois et l’augmentation du nombre d’enfants de moins de 5 ans dormant sous des moustiquaires imprégnées constituent des indicateurs de l’amélioration qui a eu lieu.</w:t>
      </w:r>
    </w:p>
    <w:p w:rsidR="00FE79AB" w:rsidRPr="002E38E8" w:rsidRDefault="00FE79AB" w:rsidP="00FE79AB">
      <w:pPr>
        <w:pStyle w:val="SingleTxtG"/>
      </w:pPr>
      <w:r w:rsidRPr="002E38E8">
        <w:t>129.</w:t>
      </w:r>
      <w:r w:rsidRPr="002E38E8">
        <w:tab/>
        <w:t>Les activités de nutrition ont visé principalement l’amélioration de la couverture en apports supplémentaires de micronutriments (vitamine A pour les enfants et les femmes qui viennent d’accoucher, fer pour les femmes enceintes ou qui viennent d’accoucher, sel iodé pour la population en général), le déparasitage périodique des enfants, l’amélioration des soins pour des infections comme la diarrhée, le paludisme, les infections respiratoires aiguës et autres infections nuisibles sur le plan nutritionnel, et le renforcement des capacités techniques aux niveaux central et municipal, afin d’améliorer les soins nutritionnels fournis aux enfants de moins de 5 ans et aux femmes enceintes ou qui viennent d’accoucher.</w:t>
      </w:r>
    </w:p>
    <w:p w:rsidR="00FE79AB" w:rsidRPr="002E38E8" w:rsidRDefault="00FE79AB" w:rsidP="00FE79AB">
      <w:pPr>
        <w:pStyle w:val="SingleTxtG"/>
      </w:pPr>
      <w:r w:rsidRPr="002E38E8">
        <w:t>130.</w:t>
      </w:r>
      <w:r w:rsidRPr="002E38E8">
        <w:tab/>
        <w:t>Le taux de malnutrition chronique (indicateur poids/taille) chez les enfants âgés de 12 à 59 mois a baissé de 45 % (enquête en grappes à indicateurs multiples de 2001) à 29,2 % en 2007, et l’indicateur du faible poids à la naissance, qui démontre la qualité des soins prénataux, a lui aussi chuté de près de 50 %.</w:t>
      </w:r>
    </w:p>
    <w:p w:rsidR="00FE79AB" w:rsidRPr="002E38E8" w:rsidRDefault="00FE79AB" w:rsidP="00FE79AB">
      <w:pPr>
        <w:pStyle w:val="SingleTxtG"/>
      </w:pPr>
      <w:r w:rsidRPr="002E38E8">
        <w:t>131.</w:t>
      </w:r>
      <w:r w:rsidRPr="002E38E8">
        <w:tab/>
        <w:t>Les activités relatives au traitement et aux soins en matière de malnutrition aiguë ont été centrées sur la prise en charge de cas graves dans 26 centres de thérapie nutritionnelle situés dans 10 provinces.</w:t>
      </w:r>
    </w:p>
    <w:p w:rsidR="00FE79AB" w:rsidRPr="002E38E8" w:rsidRDefault="00FE79AB" w:rsidP="00FE79AB">
      <w:pPr>
        <w:pStyle w:val="SingleTxtG"/>
      </w:pPr>
      <w:r w:rsidRPr="002E38E8">
        <w:t>132.</w:t>
      </w:r>
      <w:r w:rsidRPr="002E38E8">
        <w:tab/>
        <w:t>En 2008, 5 487 enfants atteints de malnutrition aiguë ont été hospitalisés dans des centres de thérapie nutritionnelle. Sur ce nombre, 3 920 (71,4 %) ont été guéris.</w:t>
      </w:r>
    </w:p>
    <w:p w:rsidR="00FE79AB" w:rsidRPr="002E38E8" w:rsidRDefault="00FE79AB" w:rsidP="00FE79AB">
      <w:pPr>
        <w:pStyle w:val="SingleTxtG"/>
      </w:pPr>
      <w:r w:rsidRPr="002E38E8">
        <w:t>133.</w:t>
      </w:r>
      <w:r w:rsidRPr="002E38E8">
        <w:tab/>
        <w:t xml:space="preserve">En 2006 et 2007, 1 793 techniciens venant de 12 provinces ont suivi une formation de mise à niveau portant sur la manière de s’occuper de la nutrition, afin d’améliorer la qualité du traitement fourni. </w:t>
      </w:r>
    </w:p>
    <w:p w:rsidR="00FE79AB" w:rsidRPr="002E38E8" w:rsidRDefault="00FE79AB" w:rsidP="00FE79AB">
      <w:pPr>
        <w:pStyle w:val="SingleTxtG"/>
      </w:pPr>
      <w:r w:rsidRPr="002E38E8">
        <w:t>134.</w:t>
      </w:r>
      <w:r w:rsidRPr="002E38E8">
        <w:tab/>
        <w:t>À partir de 2007, le Ministère de la santé a graduellement commencé à acheter du lait thérapeutique, en particulier le F75 et le F100, qui sont spécifiquement destinés au traitement d’enfants atteints de malnutrition aiguë.</w:t>
      </w:r>
    </w:p>
    <w:p w:rsidR="00FE79AB" w:rsidRPr="002E38E8" w:rsidRDefault="00FE79AB" w:rsidP="00FE79AB">
      <w:pPr>
        <w:pStyle w:val="SingleTxtG"/>
      </w:pPr>
      <w:r w:rsidRPr="002E38E8">
        <w:t>135.</w:t>
      </w:r>
      <w:r w:rsidRPr="002E38E8">
        <w:tab/>
        <w:t>La supplémentation en iode est faite à travers la consommation de sel iodé dans les familles, et le taux de consommation de sel, sous forme de sel dûment iodé, est passé de 35,5 % en 2001 à 44,7 % en 2007.</w:t>
      </w:r>
    </w:p>
    <w:p w:rsidR="00FE79AB" w:rsidRPr="002E38E8" w:rsidRDefault="00FE79AB" w:rsidP="00FE79AB">
      <w:pPr>
        <w:pStyle w:val="H23G"/>
      </w:pPr>
      <w:r w:rsidRPr="002E38E8">
        <w:tab/>
        <w:t>c)</w:t>
      </w:r>
      <w:r w:rsidRPr="002E38E8">
        <w:tab/>
        <w:t>Lutte contre le VIH et programme de lut</w:t>
      </w:r>
      <w:r>
        <w:t>t</w:t>
      </w:r>
      <w:r w:rsidRPr="002E38E8">
        <w:t>e contre le sida</w:t>
      </w:r>
    </w:p>
    <w:p w:rsidR="00FE79AB" w:rsidRPr="002E38E8" w:rsidRDefault="00FE79AB" w:rsidP="00FE79AB">
      <w:pPr>
        <w:pStyle w:val="SingleTxtG"/>
      </w:pPr>
      <w:r w:rsidRPr="002E38E8">
        <w:t>136.</w:t>
      </w:r>
      <w:r w:rsidRPr="002E38E8">
        <w:tab/>
        <w:t>Selon des études portant sur des femmes enceintes (2007-2008), 2,1 % de la population générale est séropositive. Nous estimons que, jusqu’en 2008, 33 886 cas de VIH et de sida avaient été signalés, principalement chez des femmes, dont 3,1 % étaient atteintes.</w:t>
      </w:r>
    </w:p>
    <w:p w:rsidR="00FE79AB" w:rsidRPr="002E38E8" w:rsidRDefault="00FE79AB" w:rsidP="00FE79AB">
      <w:pPr>
        <w:pStyle w:val="SingleTxtG"/>
      </w:pPr>
      <w:r w:rsidRPr="002E38E8">
        <w:t>137.</w:t>
      </w:r>
      <w:r w:rsidRPr="002E38E8">
        <w:tab/>
        <w:t>Il convient de noter que l’Angola est passé de 2 085 patients sous traitement en 2004 à 17 079 en 2008, et que 39 437 personnes font l’objet d’un suivi.</w:t>
      </w:r>
    </w:p>
    <w:p w:rsidR="007A79C8" w:rsidRDefault="00FE79AB" w:rsidP="00FE79AB">
      <w:pPr>
        <w:pStyle w:val="SingleTxtG"/>
      </w:pPr>
      <w:r w:rsidRPr="002E38E8">
        <w:t>138.</w:t>
      </w:r>
      <w:r w:rsidRPr="002E38E8">
        <w:tab/>
        <w:t>La séropositivité a été maintenue à près de 2,1 %, ce qui constitue un taux beaucoup plus faible que celui des pays voisins de l’Angola. Il y a 104,3 femmes porteuses du virus et 58 510 orphelins de parents morts du sida.</w:t>
      </w:r>
    </w:p>
    <w:p w:rsidR="00F74F46" w:rsidRPr="00B72953" w:rsidRDefault="00F74F46" w:rsidP="00F74F46">
      <w:pPr>
        <w:pStyle w:val="SingleTxtG"/>
      </w:pPr>
      <w:r w:rsidRPr="00B72953">
        <w:t>139.</w:t>
      </w:r>
      <w:r w:rsidRPr="00B72953">
        <w:tab/>
        <w:t>La séroprévalence chez les femmes enceintes est estimée à 3,1 %. Afin d’améliorer la santé reproductive, le réseau des salles d’accouchement a été étendu à l’ensemble du territoire et une formation a été dispensée aux partenaires.</w:t>
      </w:r>
    </w:p>
    <w:p w:rsidR="00F74F46" w:rsidRPr="00B72953" w:rsidRDefault="00F74F46" w:rsidP="00F74F46">
      <w:pPr>
        <w:pStyle w:val="SingleTxtG"/>
      </w:pPr>
      <w:r w:rsidRPr="00B72953">
        <w:t>140.</w:t>
      </w:r>
      <w:r w:rsidRPr="00B72953">
        <w:tab/>
        <w:t xml:space="preserve">Des programmes de réduction de la transmission verticale seront mis en œuvre dans 29 endroits, dans des hôpitaux et des centres de santé, avec une extension du réseau de conseils et de tests, qui est passé de 11 services en 2004 à 211 en 2008. Sur ce nombre, 114 fournissent des conseils aux femmes enceintes. </w:t>
      </w:r>
    </w:p>
    <w:p w:rsidR="00F74F46" w:rsidRPr="00B72953" w:rsidRDefault="00F74F46" w:rsidP="00F74F46">
      <w:pPr>
        <w:pStyle w:val="SingleTxtG"/>
      </w:pPr>
      <w:r w:rsidRPr="00B72953">
        <w:t>141.</w:t>
      </w:r>
      <w:r w:rsidRPr="00B72953">
        <w:tab/>
        <w:t xml:space="preserve">Le plan des secteurs stratégiques a été conçu pour aider à lutter contre le VIH et le sida. Des activités seront menées à cet égard en vue de sensibiliser les travailleurs et leur famille au VIH et au sida. </w:t>
      </w:r>
    </w:p>
    <w:p w:rsidR="00F74F46" w:rsidRPr="00B72953" w:rsidRDefault="00F74F46" w:rsidP="00F74F46">
      <w:pPr>
        <w:pStyle w:val="SingleTxtG"/>
      </w:pPr>
      <w:r w:rsidRPr="00B72953">
        <w:t>142.</w:t>
      </w:r>
      <w:r w:rsidRPr="00B72953">
        <w:tab/>
        <w:t>Dans le même temps, diverses activités sont menées dans le domaine de la prévention du VIH et du sida.</w:t>
      </w:r>
    </w:p>
    <w:p w:rsidR="00F74F46" w:rsidRPr="00B72953" w:rsidRDefault="00F74F46" w:rsidP="00F74F46">
      <w:pPr>
        <w:pStyle w:val="H23G"/>
      </w:pPr>
      <w:r w:rsidRPr="00B72953">
        <w:tab/>
        <w:t>d)</w:t>
      </w:r>
      <w:r w:rsidRPr="00B72953">
        <w:tab/>
        <w:t>Obstacles</w:t>
      </w:r>
    </w:p>
    <w:p w:rsidR="00F74F46" w:rsidRPr="00B72953" w:rsidRDefault="00F74F46" w:rsidP="00F74F46">
      <w:pPr>
        <w:pStyle w:val="SingleTxtG"/>
      </w:pPr>
      <w:r w:rsidRPr="00B72953">
        <w:t>143.</w:t>
      </w:r>
      <w:r w:rsidRPr="00B72953">
        <w:tab/>
        <w:t>Accroître et améliorer l’accès aux soins de santé primaires, en particulier aux soins d</w:t>
      </w:r>
      <w:r>
        <w:t>e santé maternelle et infantile:</w:t>
      </w:r>
    </w:p>
    <w:p w:rsidR="00F74F46" w:rsidRPr="00B72953" w:rsidRDefault="00F74F46" w:rsidP="00F74F46">
      <w:pPr>
        <w:pStyle w:val="SingleTxtG"/>
        <w:ind w:firstLine="567"/>
      </w:pPr>
      <w:r w:rsidRPr="00B72953">
        <w:t>a)</w:t>
      </w:r>
      <w:r w:rsidRPr="00B72953">
        <w:tab/>
        <w:t>Contrôler la propagation des MST, du VIH et du sida, en mettant l’accent sur la transmission verticale;</w:t>
      </w:r>
    </w:p>
    <w:p w:rsidR="00F74F46" w:rsidRPr="00B72953" w:rsidRDefault="00F74F46" w:rsidP="00F74F46">
      <w:pPr>
        <w:pStyle w:val="SingleTxtG"/>
        <w:ind w:firstLine="567"/>
      </w:pPr>
      <w:r w:rsidRPr="00B72953">
        <w:t>b)</w:t>
      </w:r>
      <w:r w:rsidRPr="00B72953">
        <w:tab/>
        <w:t>Réduire la mortalité maternelle;</w:t>
      </w:r>
    </w:p>
    <w:p w:rsidR="00F74F46" w:rsidRPr="00B72953" w:rsidRDefault="00F74F46" w:rsidP="00F74F46">
      <w:pPr>
        <w:pStyle w:val="SingleTxtG"/>
        <w:ind w:firstLine="567"/>
      </w:pPr>
      <w:r w:rsidRPr="00B72953">
        <w:t>c)</w:t>
      </w:r>
      <w:r w:rsidRPr="00B72953">
        <w:tab/>
        <w:t>Sensibiliser la population à la planification familiale;</w:t>
      </w:r>
    </w:p>
    <w:p w:rsidR="00F74F46" w:rsidRPr="00B72953" w:rsidRDefault="00F74F46" w:rsidP="00F74F46">
      <w:pPr>
        <w:pStyle w:val="SingleTxtG"/>
        <w:ind w:firstLine="567"/>
      </w:pPr>
      <w:r w:rsidRPr="00B72953">
        <w:t>d)</w:t>
      </w:r>
      <w:r w:rsidRPr="00B72953">
        <w:tab/>
        <w:t>Réduire le nombre de naissances chez de jeunes mères.</w:t>
      </w:r>
    </w:p>
    <w:p w:rsidR="00F74F46" w:rsidRPr="00B72953" w:rsidRDefault="00F74F46" w:rsidP="00F74F46">
      <w:pPr>
        <w:pStyle w:val="H1G"/>
      </w:pPr>
      <w:r w:rsidRPr="00B72953">
        <w:tab/>
      </w:r>
      <w:r w:rsidRPr="00B72953">
        <w:tab/>
        <w:t>Article 13</w:t>
      </w:r>
      <w:r w:rsidRPr="00B72953">
        <w:br/>
        <w:t>Mesures appropriées pour permettre aux femmes d’accéder au droit à des prêts bancaires et à des financements, et au droit à participer à tous les aspects de la vie culturelle</w:t>
      </w:r>
    </w:p>
    <w:p w:rsidR="00F74F46" w:rsidRPr="00B72953" w:rsidRDefault="00F74F46" w:rsidP="00F74F46">
      <w:pPr>
        <w:pStyle w:val="SingleTxtG"/>
      </w:pPr>
      <w:r w:rsidRPr="00B72953">
        <w:t>144.</w:t>
      </w:r>
      <w:r w:rsidRPr="00B72953">
        <w:tab/>
        <w:t>La législation angolaise contient des dispositions dans le domaine économique concernant les crédits bancaires, qui sont fondées sur l’égalité entre les hommes et les femmes.</w:t>
      </w:r>
    </w:p>
    <w:p w:rsidR="00F74F46" w:rsidRPr="00B72953" w:rsidRDefault="00F74F46" w:rsidP="00F74F46">
      <w:pPr>
        <w:pStyle w:val="H23G"/>
      </w:pPr>
      <w:r w:rsidRPr="00B72953">
        <w:tab/>
        <w:t>1.</w:t>
      </w:r>
      <w:r w:rsidRPr="00B72953">
        <w:tab/>
        <w:t>Accès aux ressources financières, aux sports et à la culture</w:t>
      </w:r>
    </w:p>
    <w:p w:rsidR="00F74F46" w:rsidRPr="00B72953" w:rsidRDefault="00F74F46" w:rsidP="00F74F46">
      <w:pPr>
        <w:pStyle w:val="SingleTxtG"/>
      </w:pPr>
      <w:r w:rsidRPr="00B72953">
        <w:t>145.</w:t>
      </w:r>
      <w:r w:rsidRPr="00B72953">
        <w:tab/>
        <w:t>Sur le plan juridique, il n’existe aucune discrimination fondée sur le sexe pour l’accès au crédit. Toutefois, les conditions imposées par les institutions financières réduisent l’accès au crédit pour les femmes, celles-ci ne disposant pas de biens pouvant servir de garantie. Par conséquent, elles ne s’adressent pas aux institutions financières pour le financement de leurs activités, sauf dans de rares cas de femmes possédant déjà de petites ou moyennes entreprises officiellement enregistrées.</w:t>
      </w:r>
    </w:p>
    <w:p w:rsidR="00F74F46" w:rsidRPr="00B72953" w:rsidRDefault="00F74F46" w:rsidP="00F74F46">
      <w:pPr>
        <w:pStyle w:val="SingleTxtG"/>
      </w:pPr>
      <w:r w:rsidRPr="00B72953">
        <w:t>146.</w:t>
      </w:r>
      <w:r w:rsidRPr="00B72953">
        <w:tab/>
        <w:t xml:space="preserve">Dans la plupart des cas, les femmes qui se lancent dans une petite affaire s’adressent à leur famille et/ou à leur communauté. Parmi les moyens d’obtenir un crédit figure le «kixikila» ou «dikelemba», constitué de fonds tournant entre des personnes qui ont une entière confiance les unes dans les autres, avec des règles établies pour le fonctionnement du groupe, et le «kilape», qui consiste à acheter une marchandise à crédit. </w:t>
      </w:r>
    </w:p>
    <w:p w:rsidR="00F74F46" w:rsidRPr="00B72953" w:rsidRDefault="00F74F46" w:rsidP="00F74F46">
      <w:pPr>
        <w:pStyle w:val="H23G"/>
      </w:pPr>
      <w:r w:rsidRPr="00B72953">
        <w:tab/>
        <w:t>2.</w:t>
      </w:r>
      <w:r w:rsidRPr="00B72953">
        <w:tab/>
        <w:t>Femmes et tourisme</w:t>
      </w:r>
    </w:p>
    <w:p w:rsidR="00F74F46" w:rsidRPr="00B72953" w:rsidRDefault="00F74F46" w:rsidP="00F74F46">
      <w:pPr>
        <w:pStyle w:val="SingleTxtG"/>
      </w:pPr>
      <w:r>
        <w:t>147.</w:t>
      </w:r>
      <w:r>
        <w:tab/>
        <w:t>En 2007, le thème de la J</w:t>
      </w:r>
      <w:r w:rsidRPr="00B72953">
        <w:t xml:space="preserve">ournée mondiale du tourisme était «Le tourisme ouvre ses portes aux femmes», en reconnaissance de la place importante qu’occupent les femmes dans le tourisme et du fait que ce secteur est l’activité économique qui connaît la plus forte croissance partout dans le monde. Il a aujourd’hui un rôle décisif à jouer dans l’intégration des femmes et la réduction des inégalités sociales. </w:t>
      </w:r>
    </w:p>
    <w:p w:rsidR="00F74F46" w:rsidRPr="00B72953" w:rsidRDefault="00F74F46" w:rsidP="00F74F46">
      <w:pPr>
        <w:pStyle w:val="SingleTxtG"/>
      </w:pPr>
      <w:r w:rsidRPr="00B72953">
        <w:t>148.</w:t>
      </w:r>
      <w:r w:rsidRPr="00B72953">
        <w:tab/>
        <w:t>Du fait de son extrême importance dans les activités économiques, sociales et environnementales, le tourisme a largement contribué et de façon significative à la réalisation des objectifs du Millénaire, en créant des emplois pour de nombreuses femmes.</w:t>
      </w:r>
    </w:p>
    <w:p w:rsidR="00F74F46" w:rsidRPr="00B72953" w:rsidRDefault="00F74F46" w:rsidP="00F74F46">
      <w:pPr>
        <w:pStyle w:val="SingleTxtG"/>
      </w:pPr>
      <w:r w:rsidRPr="00B72953">
        <w:t>149.</w:t>
      </w:r>
      <w:r w:rsidRPr="00B72953">
        <w:tab/>
        <w:t>En 2008 en Angola, 45 100 femmes travaillaient dans des hôtels et des établissements touristiques; sur ce nombre, 21 700 travaillaient dans des restaurants et établissements similaires, 13 000 dans des maisons d’hôtes, 7 800 dans des hôtels et 2 500 dans des agences de voyage</w:t>
      </w:r>
      <w:r>
        <w:t>s</w:t>
      </w:r>
      <w:r w:rsidRPr="00B72953">
        <w:t xml:space="preserve"> et de tourisme. </w:t>
      </w:r>
    </w:p>
    <w:p w:rsidR="00F74F46" w:rsidRPr="00B72953" w:rsidRDefault="00F74F46" w:rsidP="00F74F46">
      <w:pPr>
        <w:pStyle w:val="SingleTxtG"/>
      </w:pPr>
      <w:r w:rsidRPr="00B72953">
        <w:t>150.</w:t>
      </w:r>
      <w:r w:rsidRPr="00B72953">
        <w:tab/>
        <w:t>Le secteur public (organes fédéraux et locaux) emploie 303 femmes. Les femmes représentent plus de 40 %</w:t>
      </w:r>
      <w:r>
        <w:t xml:space="preserve"> de l’ensemble de la main-</w:t>
      </w:r>
      <w:r w:rsidRPr="00B72953">
        <w:t xml:space="preserve">d’œuvre de l’industrie hôtelière et touristique. </w:t>
      </w:r>
    </w:p>
    <w:p w:rsidR="00F74F46" w:rsidRPr="00B72953" w:rsidRDefault="00F74F46" w:rsidP="00F74F46">
      <w:pPr>
        <w:pStyle w:val="SingleTxtG"/>
      </w:pPr>
      <w:r w:rsidRPr="00B72953">
        <w:t>151.</w:t>
      </w:r>
      <w:r w:rsidRPr="00B72953">
        <w:tab/>
        <w:t xml:space="preserve">Actuellement, de nombreux hôtels et entreprises touristiques sont sur le point d’être construits en Angola, ce qui pourrait augmenter le nombre de femmes travaillant dans le secteur touristique et fournir plus d’emplois aux femmes angolaises. </w:t>
      </w:r>
    </w:p>
    <w:p w:rsidR="00F74F46" w:rsidRPr="00B72953" w:rsidRDefault="00F74F46" w:rsidP="00F74F46">
      <w:pPr>
        <w:pStyle w:val="H23G"/>
      </w:pPr>
      <w:r w:rsidRPr="00B72953">
        <w:tab/>
        <w:t>3.</w:t>
      </w:r>
      <w:r w:rsidRPr="00B72953">
        <w:tab/>
        <w:t>Obstacles</w:t>
      </w:r>
    </w:p>
    <w:p w:rsidR="00F74F46" w:rsidRPr="00B72953" w:rsidRDefault="00F74F46" w:rsidP="00F74F46">
      <w:pPr>
        <w:pStyle w:val="SingleTxtG"/>
      </w:pPr>
      <w:r w:rsidRPr="00B72953">
        <w:t>152.</w:t>
      </w:r>
      <w:r w:rsidRPr="00B72953">
        <w:tab/>
        <w:t xml:space="preserve">L’obstacle le plus important à la participation des femmes à ce secteur réside dans leur niveau d’études. La situation est sur le point de changer, avec l’existence de plus en plus de possibilités d’emploi pour les femmes et la volonté que manifestent celles-ci d’acquérir une formation. Si un nombre plus important de femmes acquièrent une qualification professionnelle plus élevée, cela devrait déboucher sur un nombre plus important d’emplois pour elles et un meilleur accès à des emplois. </w:t>
      </w:r>
    </w:p>
    <w:p w:rsidR="00F74F46" w:rsidRPr="00B72953" w:rsidRDefault="00F74F46" w:rsidP="00F74F46">
      <w:pPr>
        <w:pStyle w:val="SingleTxtG"/>
      </w:pPr>
      <w:r w:rsidRPr="00B72953">
        <w:t>153.</w:t>
      </w:r>
      <w:r w:rsidRPr="00B72953">
        <w:tab/>
        <w:t>En conclusion, on peut dire que le tourisme offre aux femmes une grande possibilité d’obtenir un emploi sûr et de longue durée. Il s’agit d’un moyen qui peut leur permettre d’accroître leur pouvoir économique ainsi que leur indépendance économique et sociale.</w:t>
      </w:r>
    </w:p>
    <w:p w:rsidR="00F74F46" w:rsidRPr="00B72953" w:rsidRDefault="00F74F46" w:rsidP="00F74F46">
      <w:pPr>
        <w:pStyle w:val="H1G"/>
      </w:pPr>
      <w:r w:rsidRPr="00B72953">
        <w:tab/>
      </w:r>
      <w:r w:rsidRPr="00B72953">
        <w:tab/>
        <w:t>Article 14</w:t>
      </w:r>
      <w:r w:rsidRPr="00B72953">
        <w:br/>
        <w:t>Mesures appropriées pour assurer aux femmes rurales la capacité de participer au développement rural, à l’élaboration</w:t>
      </w:r>
      <w:r>
        <w:t xml:space="preserve"> </w:t>
      </w:r>
      <w:r w:rsidRPr="00B72953">
        <w:t xml:space="preserve">et à l’application de plans de développement, et la possibilité de bénéficier des mêmes avantages que les hommes </w:t>
      </w:r>
    </w:p>
    <w:p w:rsidR="00F74F46" w:rsidRPr="00B72953" w:rsidRDefault="00F74F46" w:rsidP="00F74F46">
      <w:pPr>
        <w:pStyle w:val="SingleTxtG"/>
      </w:pPr>
      <w:r w:rsidRPr="00B72953">
        <w:t>154.</w:t>
      </w:r>
      <w:r w:rsidRPr="00B72953">
        <w:tab/>
        <w:t xml:space="preserve">Le Gouvernement angolais s’occupe des femmes rurales. Beaucoup de celles-ci bénéficient du microcrédit; l’objectif est de réduire au minimum le problème des femmes paysannes. </w:t>
      </w:r>
    </w:p>
    <w:p w:rsidR="00F74F46" w:rsidRPr="00B72953" w:rsidRDefault="00F74F46" w:rsidP="00F74F46">
      <w:pPr>
        <w:pStyle w:val="SingleTxtG"/>
      </w:pPr>
      <w:r w:rsidRPr="00B72953">
        <w:t>155.</w:t>
      </w:r>
      <w:r w:rsidRPr="00B72953">
        <w:tab/>
        <w:t xml:space="preserve">La participation des femmes dans les organes de décision est en train d’évoluer et l’on peut déjà voir, dans l’élaboration et la planification des programmes de développement de l’Angola, qu’une attention a été accordée aux questions d’égalité des sexes. </w:t>
      </w:r>
    </w:p>
    <w:p w:rsidR="00F74F46" w:rsidRPr="00B72953" w:rsidRDefault="00F74F46" w:rsidP="00F74F46">
      <w:pPr>
        <w:pStyle w:val="SingleTxtG"/>
      </w:pPr>
      <w:r w:rsidRPr="00B72953">
        <w:t>156.</w:t>
      </w:r>
      <w:r w:rsidRPr="00B72953">
        <w:tab/>
        <w:t xml:space="preserve">Pour ce qui est du droit de bénéficier directement des programmes de sécurité sociale, les organes de décision qui doivent se charger de cette question sont en passe de commencer leur activité. </w:t>
      </w:r>
    </w:p>
    <w:p w:rsidR="00F74F46" w:rsidRPr="00B72953" w:rsidRDefault="00F74F46" w:rsidP="00F74F46">
      <w:pPr>
        <w:pStyle w:val="SingleTxtG"/>
      </w:pPr>
      <w:r w:rsidRPr="00B72953">
        <w:t>157.</w:t>
      </w:r>
      <w:r w:rsidRPr="00B72953">
        <w:tab/>
        <w:t xml:space="preserve">L’Angola a mis en place des mécanismes relatifs à la formation et à l’éducation formelles et informelles dans le domaine de l’alphabétisation. </w:t>
      </w:r>
    </w:p>
    <w:p w:rsidR="00F74F46" w:rsidRPr="00B72953" w:rsidRDefault="00F74F46" w:rsidP="00F74F46">
      <w:pPr>
        <w:pStyle w:val="SingleTxtG"/>
      </w:pPr>
      <w:r w:rsidRPr="00B72953">
        <w:t>158.</w:t>
      </w:r>
      <w:r w:rsidRPr="00B72953">
        <w:tab/>
        <w:t>Les groupes d’assistance mutuelle et des coopératives existent déjà, mais en nombre limité en raison de facteurs culturels qui continuent d’empêcher la participation des femmes.</w:t>
      </w:r>
    </w:p>
    <w:p w:rsidR="00F74F46" w:rsidRPr="00B72953" w:rsidRDefault="00F74F46" w:rsidP="00F74F46">
      <w:pPr>
        <w:pStyle w:val="SingleTxtG"/>
      </w:pPr>
      <w:r w:rsidRPr="00B72953">
        <w:t>159.</w:t>
      </w:r>
      <w:r w:rsidRPr="00B72953">
        <w:tab/>
        <w:t>Il existe des activités communautaires, mais elles se heurtent à des facteurs culturels défavorables qui continuent d’empêcher certaines femmes d’y prendre part. Beaucoup de ces femmes préfèrent aller ramasser leurs produits plutôt que de participer à de telles activités.</w:t>
      </w:r>
    </w:p>
    <w:p w:rsidR="00F74F46" w:rsidRPr="00B72953" w:rsidRDefault="00F74F46" w:rsidP="00F74F46">
      <w:pPr>
        <w:pStyle w:val="SingleTxtG"/>
      </w:pPr>
      <w:r w:rsidRPr="00B72953">
        <w:t>160.</w:t>
      </w:r>
      <w:r w:rsidRPr="00B72953">
        <w:tab/>
        <w:t xml:space="preserve">Des efforts sont déjà en cours pour ce qui concerne l’accès aux prêts agricoles et le Ministère de l’agriculture est l’un des ministères qui fournissent un appui dans ce domaine. Aujourd’hui, les femmes qui ont bénéficié de prêts agricoles se déplacent d’une province à l’autre pour vendre leurs produits. </w:t>
      </w:r>
    </w:p>
    <w:p w:rsidR="00F74F46" w:rsidRPr="00B72953" w:rsidRDefault="00F74F46" w:rsidP="00F74F46">
      <w:pPr>
        <w:pStyle w:val="SingleTxtG"/>
      </w:pPr>
      <w:r w:rsidRPr="00B72953">
        <w:t>161.</w:t>
      </w:r>
      <w:r w:rsidRPr="00B72953">
        <w:tab/>
        <w:t xml:space="preserve">S’agissant des logements, le Ministère de l’agriculture et celui de la jeunesse et des sports ont déjà élaboré des projets au profit de la population, principalement des jeunes. L’énergie, l’eau, l’électricité et les transports sont en train de parvenir dans les zones rurales. </w:t>
      </w:r>
    </w:p>
    <w:p w:rsidR="00F74F46" w:rsidRPr="00B72953" w:rsidRDefault="00F74F46" w:rsidP="00F74F46">
      <w:pPr>
        <w:pStyle w:val="SingleTxtG"/>
      </w:pPr>
      <w:r w:rsidRPr="00B72953">
        <w:t>162.</w:t>
      </w:r>
      <w:r w:rsidRPr="00B72953">
        <w:tab/>
        <w:t xml:space="preserve">Le secteur agricole en Angola (agriculture, foresterie et pêche) constitue le deuxième secteur le plus important du pays, immédiatement après le pétrole. Bien que la contribution du secteur rural au produit intérieur brut (PIB) ait diminué au fil des ans, conséquence directe et immédiate de la guerre, l’importance du secteur est évidente, vu le nombre de personnes qui en dépendent (probablement entre 60 % et 70 % de la population). Les femmes sont les principales productrices de denrées alimentaires dont dépend la survie de leur famille. Cette population comprend des groupes à risque, tels que les personnes déplacées et une large proportion de la population pauvre du pays. Par conséquent, le secteur rural joue un rôle central dans les politiques et stratégies publiques. Avec l’adoption de la loi </w:t>
      </w:r>
      <w:r>
        <w:rPr>
          <w:rFonts w:eastAsia="MS Mincho"/>
        </w:rPr>
        <w:t>n</w:t>
      </w:r>
      <w:r>
        <w:rPr>
          <w:rFonts w:eastAsia="MS Mincho"/>
          <w:vertAlign w:val="superscript"/>
        </w:rPr>
        <w:t>o</w:t>
      </w:r>
      <w:r>
        <w:t xml:space="preserve"> </w:t>
      </w:r>
      <w:r w:rsidRPr="00B72953">
        <w:t xml:space="preserve">14/91 (loi sur les associations), les femmes rurales ont commencé à prendre part aux activités communautaires, même si c’est timidement, principalement à tous les projets des organisations non gouvernementales, nationales et internationales. </w:t>
      </w:r>
    </w:p>
    <w:p w:rsidR="00F74F46" w:rsidRPr="00B72953" w:rsidRDefault="00F74F46" w:rsidP="00F74F46">
      <w:pPr>
        <w:pStyle w:val="SingleTxtG"/>
      </w:pPr>
      <w:r w:rsidRPr="00B72953">
        <w:t>163.</w:t>
      </w:r>
      <w:r w:rsidRPr="00B72953">
        <w:tab/>
        <w:t>Le Ministère de l’agriculture et du développement rural a élaboré un programme de développement agricole en 1996, qui n’a jamais été mis en œuvre en raison de l’instabilité due à la situation militaire qui a prévalu à partir de 1991. Les domaines les plus importants et qui sont considérés comme prioritaires dans cette stratégie sont les suivants:</w:t>
      </w:r>
    </w:p>
    <w:p w:rsidR="00F74F46" w:rsidRPr="00B72953" w:rsidRDefault="00F74F46" w:rsidP="00F74F46">
      <w:pPr>
        <w:pStyle w:val="SingleTxtG"/>
        <w:ind w:firstLine="567"/>
      </w:pPr>
      <w:r w:rsidRPr="00B72953">
        <w:t>a)</w:t>
      </w:r>
      <w:r w:rsidRPr="00B72953">
        <w:tab/>
        <w:t>Gestion macroéconom</w:t>
      </w:r>
      <w:r>
        <w:t>i</w:t>
      </w:r>
      <w:r w:rsidRPr="00B72953">
        <w:t>que;</w:t>
      </w:r>
    </w:p>
    <w:p w:rsidR="00F74F46" w:rsidRPr="00B72953" w:rsidRDefault="00F74F46" w:rsidP="00F74F46">
      <w:pPr>
        <w:pStyle w:val="SingleTxtG"/>
        <w:ind w:firstLine="567"/>
      </w:pPr>
      <w:r w:rsidRPr="00B72953">
        <w:t>b)</w:t>
      </w:r>
      <w:r w:rsidRPr="00B72953">
        <w:tab/>
        <w:t>Sécurité alimentaire nationale;</w:t>
      </w:r>
    </w:p>
    <w:p w:rsidR="00F74F46" w:rsidRPr="00B72953" w:rsidRDefault="00F74F46" w:rsidP="00F74F46">
      <w:pPr>
        <w:pStyle w:val="SingleTxtG"/>
        <w:ind w:firstLine="567"/>
      </w:pPr>
      <w:r w:rsidRPr="00B72953">
        <w:t>c)</w:t>
      </w:r>
      <w:r w:rsidRPr="00B72953">
        <w:tab/>
        <w:t>Relance de l’économie rurale;</w:t>
      </w:r>
    </w:p>
    <w:p w:rsidR="00F74F46" w:rsidRPr="00B72953" w:rsidRDefault="00F74F46" w:rsidP="00F74F46">
      <w:pPr>
        <w:pStyle w:val="SingleTxtG"/>
        <w:ind w:firstLine="567"/>
      </w:pPr>
      <w:r w:rsidRPr="00B72953">
        <w:t>d)</w:t>
      </w:r>
      <w:r w:rsidRPr="00B72953">
        <w:tab/>
        <w:t>Réforme juridique et institutionnelle, et formation de personnel;</w:t>
      </w:r>
    </w:p>
    <w:p w:rsidR="00F74F46" w:rsidRPr="00B72953" w:rsidRDefault="00F74F46" w:rsidP="00F74F46">
      <w:pPr>
        <w:pStyle w:val="SingleTxtG"/>
        <w:ind w:firstLine="567"/>
      </w:pPr>
      <w:r w:rsidRPr="00B72953">
        <w:t>e)</w:t>
      </w:r>
      <w:r w:rsidRPr="00B72953">
        <w:tab/>
        <w:t>Gestion de l’environnement, des ressources naturelles et des ressources forestières.</w:t>
      </w:r>
    </w:p>
    <w:p w:rsidR="00F74F46" w:rsidRPr="00B72953" w:rsidRDefault="00F74F46" w:rsidP="00F74F46">
      <w:pPr>
        <w:pStyle w:val="SingleTxtG"/>
      </w:pPr>
      <w:r w:rsidRPr="00B72953">
        <w:t>164.</w:t>
      </w:r>
      <w:r w:rsidRPr="00B72953">
        <w:tab/>
        <w:t>Il n’existe pas de politique de l’égalité des sexes. L’on estime que les activités se déroulent au niveau de la famille. Le Ministère met l’accent sur l’égalité des sexes dans le département des ressources humaines de l’Institut de développement agricole.</w:t>
      </w:r>
    </w:p>
    <w:p w:rsidR="00F74F46" w:rsidRPr="00B72953" w:rsidRDefault="00F74F46" w:rsidP="00F74F46">
      <w:pPr>
        <w:pStyle w:val="H23G"/>
      </w:pPr>
      <w:r w:rsidRPr="00B72953">
        <w:tab/>
        <w:t>1.</w:t>
      </w:r>
      <w:r w:rsidRPr="00B72953">
        <w:tab/>
        <w:t xml:space="preserve">Programme d’alphabétisation </w:t>
      </w:r>
    </w:p>
    <w:p w:rsidR="00F74F46" w:rsidRPr="00B72953" w:rsidRDefault="00F74F46" w:rsidP="00F74F46">
      <w:pPr>
        <w:pStyle w:val="SingleTxtG"/>
      </w:pPr>
      <w:r w:rsidRPr="00B72953">
        <w:t>165.</w:t>
      </w:r>
      <w:r w:rsidRPr="00B72953">
        <w:tab/>
        <w:t xml:space="preserve">Les femmes rurales constituent un des groupes marginalisés par le système scolaire. Près de 59,5 % des femmes sont analphabètes. De nombreuses communautés ne disposent pas d’écoles, et il existe des femmes qui ne parlent toujours pas le portugais. En 2000, le Ministère de l’éducation et de la culture a lancé une campagne d’alphabétisation dans les langues nationales au profit des femmes rurales. </w:t>
      </w:r>
    </w:p>
    <w:p w:rsidR="00F74F46" w:rsidRPr="00B72953" w:rsidRDefault="00F74F46" w:rsidP="00F74F46">
      <w:pPr>
        <w:pStyle w:val="H23G"/>
      </w:pPr>
      <w:r w:rsidRPr="00B72953">
        <w:tab/>
        <w:t>2.</w:t>
      </w:r>
      <w:r w:rsidRPr="00B72953">
        <w:tab/>
        <w:t>Santé dans les zones rurales</w:t>
      </w:r>
    </w:p>
    <w:p w:rsidR="00F74F46" w:rsidRPr="00B72953" w:rsidRDefault="00F74F46" w:rsidP="00F74F46">
      <w:pPr>
        <w:pStyle w:val="SingleTxtG"/>
      </w:pPr>
      <w:r w:rsidRPr="00B72953">
        <w:t>166.</w:t>
      </w:r>
      <w:r w:rsidRPr="00B72953">
        <w:tab/>
        <w:t xml:space="preserve">En Angola, l’accès aux soins de santé est gratuit pour l’ensemble de la population. Toutefois, le Gouvernement est en train d’élaborer des politiques qui exigeront de la population une participation aux coûts des soins de santé. La principale difficulté dans les zones rurales réside dans le manque d’infrastructures et de personnel de santé, ces deux domaines ayant subi les contrecoups du conflit armé. En raison des longues distances à parcourir pour parvenir aux maternités dans les zones rurales, les ONG, avec l’aide du Ministère de la santé et après un processus de sélection communautaire, ont assuré une formation à des partenaires traditionnels dont le travail consiste à sensibiliser les femmes enceintes à la nécessité de recourir à des soins prénataux et d’accoucher dans des conditions hygiéniques. Le programme comprend notamment l’échange des données d’expérience entre les maternités provinciales afin que les sages-femmes puissent reconnaître les situations de risque. </w:t>
      </w:r>
    </w:p>
    <w:p w:rsidR="00F74F46" w:rsidRPr="00B72953" w:rsidRDefault="00F74F46" w:rsidP="00F74F46">
      <w:pPr>
        <w:pStyle w:val="H23G"/>
      </w:pPr>
      <w:r w:rsidRPr="00B72953">
        <w:tab/>
        <w:t>3.</w:t>
      </w:r>
      <w:r w:rsidRPr="00B72953">
        <w:tab/>
        <w:t>Programme de microcrédit au profit des femmes rurales et urbaines</w:t>
      </w:r>
    </w:p>
    <w:p w:rsidR="00F74F46" w:rsidRPr="00B72953" w:rsidRDefault="00F74F46" w:rsidP="00F74F46">
      <w:pPr>
        <w:pStyle w:val="SingleTxtG"/>
      </w:pPr>
      <w:r w:rsidRPr="00B72953">
        <w:t>167.</w:t>
      </w:r>
      <w:r w:rsidRPr="00B72953">
        <w:tab/>
        <w:t>Pour favoriser l’autonomisation des femmes rurales, depuis 1999 le Gouvernement met en œuvre, par l’intermédiaire du Ministère de la protection de la famille et de la femme, un programme national de microcrédit dans sept provinces (Luanda, Bengo, Cabinda, Kwanza-Sul, Benguela, Huambo et Namibe), et près de 5 000 familles rurales en bénéficient. La réduction de la pauvreté constitue un des objectifs du programme. Celui-ci porte notamment sur les points suivants:</w:t>
      </w:r>
    </w:p>
    <w:p w:rsidR="00F74F46" w:rsidRPr="00B72953" w:rsidRDefault="00F74F46" w:rsidP="00F74F46">
      <w:pPr>
        <w:pStyle w:val="SingleTxtG"/>
        <w:ind w:firstLine="567"/>
      </w:pPr>
      <w:r w:rsidRPr="00B72953">
        <w:t>a)</w:t>
      </w:r>
      <w:r w:rsidRPr="00B72953">
        <w:tab/>
        <w:t>Identification et formation de groupes cibles sur la nature et l’importance des possibilités d’emploi et des avantages qui peuvent être tirés du microcrédit;</w:t>
      </w:r>
    </w:p>
    <w:p w:rsidR="00F74F46" w:rsidRPr="00B72953" w:rsidRDefault="00F74F46" w:rsidP="00F74F46">
      <w:pPr>
        <w:pStyle w:val="SingleTxtG"/>
        <w:ind w:firstLine="567"/>
      </w:pPr>
      <w:r w:rsidRPr="00B72953">
        <w:t>b)</w:t>
      </w:r>
      <w:r w:rsidRPr="00B72953">
        <w:tab/>
        <w:t xml:space="preserve">Inventaire et classification sur une base régulière des petites entreprises aux niveaux provincial et local, dans le cadre du programme, pour que la population, notamment les femmes, ait accès à des prêts de faible montant; </w:t>
      </w:r>
    </w:p>
    <w:p w:rsidR="00F74F46" w:rsidRPr="00B72953" w:rsidRDefault="00F74F46" w:rsidP="00F74F46">
      <w:pPr>
        <w:pStyle w:val="SingleTxtG"/>
        <w:ind w:firstLine="567"/>
      </w:pPr>
      <w:r w:rsidRPr="00B72953">
        <w:t>c)</w:t>
      </w:r>
      <w:r w:rsidRPr="00B72953">
        <w:tab/>
        <w:t>Encouragement au travail en se mettant à son propre compte grâce à l’introduction d’activités productives et de fourniture de services pouvant générer des revenus sur une base régulière, afin d’améliorer le niveau de vie des personnes ayant bénéficié du microcrédit et le porter à celui de toute la population.</w:t>
      </w:r>
    </w:p>
    <w:p w:rsidR="00F74F46" w:rsidRPr="00B72953" w:rsidRDefault="00F74F46" w:rsidP="00F74F46">
      <w:pPr>
        <w:pStyle w:val="SingleTxtG"/>
      </w:pPr>
      <w:r w:rsidRPr="00B72953">
        <w:t>168.</w:t>
      </w:r>
      <w:r w:rsidRPr="00B72953">
        <w:tab/>
        <w:t xml:space="preserve">Le nombre de femmes engagées dans des activités génératrices de revenus augmente régulièrement. </w:t>
      </w:r>
    </w:p>
    <w:p w:rsidR="00F74F46" w:rsidRPr="00B72953" w:rsidRDefault="00F74F46" w:rsidP="00F74F46">
      <w:pPr>
        <w:pStyle w:val="SingleTxtG"/>
      </w:pPr>
      <w:r w:rsidRPr="00B72953">
        <w:t>169.</w:t>
      </w:r>
      <w:r w:rsidRPr="00B72953">
        <w:tab/>
        <w:t xml:space="preserve">Le microcrédit, qui est un des services de la microfinance, constitue un outil important de réduction de la pauvreté, dont l’ampleur est plus grande parmi les femmes. D’où l’expression «féminisation de la pauvreté». </w:t>
      </w:r>
    </w:p>
    <w:p w:rsidR="00F74F46" w:rsidRPr="00B72953" w:rsidRDefault="00F74F46" w:rsidP="00F74F46">
      <w:pPr>
        <w:pStyle w:val="SingleTxtG"/>
      </w:pPr>
      <w:r w:rsidRPr="00B72953">
        <w:t>170.</w:t>
      </w:r>
      <w:r w:rsidRPr="00B72953">
        <w:tab/>
        <w:t xml:space="preserve">Il existe actuellement un certain nombre d’institutions qui offrent le microcrédit: </w:t>
      </w:r>
    </w:p>
    <w:p w:rsidR="00F74F46" w:rsidRPr="00B72953" w:rsidRDefault="00F74F46" w:rsidP="00F74F46">
      <w:pPr>
        <w:pStyle w:val="SingleTxtG"/>
        <w:ind w:firstLine="567"/>
      </w:pPr>
      <w:r w:rsidRPr="00B72953">
        <w:t>a)</w:t>
      </w:r>
      <w:r w:rsidRPr="00B72953">
        <w:tab/>
        <w:t>Banco Sol;</w:t>
      </w:r>
    </w:p>
    <w:p w:rsidR="00F74F46" w:rsidRPr="00B72953" w:rsidRDefault="00F74F46" w:rsidP="00F74F46">
      <w:pPr>
        <w:pStyle w:val="SingleTxtG"/>
        <w:ind w:firstLine="567"/>
      </w:pPr>
      <w:r w:rsidRPr="00B72953">
        <w:t>b)</w:t>
      </w:r>
      <w:r w:rsidRPr="00B72953">
        <w:tab/>
        <w:t>Novo Banco;</w:t>
      </w:r>
    </w:p>
    <w:p w:rsidR="00F74F46" w:rsidRPr="00B72953" w:rsidRDefault="00F74F46" w:rsidP="00F74F46">
      <w:pPr>
        <w:pStyle w:val="SingleTxtG"/>
        <w:ind w:firstLine="567"/>
      </w:pPr>
      <w:r w:rsidRPr="00B72953">
        <w:t>c)</w:t>
      </w:r>
      <w:r w:rsidRPr="00B72953">
        <w:tab/>
        <w:t>BCI;</w:t>
      </w:r>
    </w:p>
    <w:p w:rsidR="00F74F46" w:rsidRPr="00B72953" w:rsidRDefault="00F74F46" w:rsidP="00F74F46">
      <w:pPr>
        <w:pStyle w:val="SingleTxtG"/>
        <w:ind w:firstLine="567"/>
      </w:pPr>
      <w:r w:rsidRPr="00B72953">
        <w:t>d)</w:t>
      </w:r>
      <w:r w:rsidRPr="00B72953">
        <w:tab/>
        <w:t>Banco Keve;</w:t>
      </w:r>
    </w:p>
    <w:p w:rsidR="00F74F46" w:rsidRPr="00B72953" w:rsidRDefault="00F74F46" w:rsidP="00F74F46">
      <w:pPr>
        <w:pStyle w:val="SingleTxtG"/>
        <w:ind w:firstLine="567"/>
      </w:pPr>
      <w:r w:rsidRPr="00B72953">
        <w:t>e)</w:t>
      </w:r>
      <w:r w:rsidRPr="00B72953">
        <w:tab/>
        <w:t>MIFIBAC;</w:t>
      </w:r>
    </w:p>
    <w:p w:rsidR="00F74F46" w:rsidRPr="00B72953" w:rsidRDefault="00F74F46" w:rsidP="00F74F46">
      <w:pPr>
        <w:pStyle w:val="SingleTxtG"/>
        <w:ind w:firstLine="567"/>
      </w:pPr>
      <w:r w:rsidRPr="00B72953">
        <w:t>f)</w:t>
      </w:r>
      <w:r w:rsidRPr="00B72953">
        <w:tab/>
        <w:t>Kixi-crédito;</w:t>
      </w:r>
    </w:p>
    <w:p w:rsidR="00F74F46" w:rsidRPr="00B72953" w:rsidRDefault="00F74F46" w:rsidP="00F74F46">
      <w:pPr>
        <w:pStyle w:val="SingleTxtG"/>
        <w:ind w:firstLine="567"/>
      </w:pPr>
      <w:r w:rsidRPr="00B72953">
        <w:t>g)</w:t>
      </w:r>
      <w:r w:rsidRPr="00B72953">
        <w:tab/>
      </w:r>
      <w:r>
        <w:t>COMUR/FUNDO LWINI;</w:t>
      </w:r>
    </w:p>
    <w:p w:rsidR="00F74F46" w:rsidRPr="00B72953" w:rsidRDefault="00F74F46" w:rsidP="00F74F46">
      <w:pPr>
        <w:pStyle w:val="SingleTxtG"/>
        <w:ind w:firstLine="567"/>
      </w:pPr>
      <w:r w:rsidRPr="00B72953">
        <w:t>h)</w:t>
      </w:r>
      <w:r w:rsidRPr="00B72953">
        <w:tab/>
        <w:t>Des produi</w:t>
      </w:r>
      <w:r>
        <w:t>ts tels que:</w:t>
      </w:r>
    </w:p>
    <w:p w:rsidR="00F74F46" w:rsidRPr="00B72953" w:rsidRDefault="00F74F46" w:rsidP="00F74F46">
      <w:pPr>
        <w:pStyle w:val="SingleTxtG"/>
        <w:ind w:firstLine="567"/>
      </w:pPr>
      <w:r w:rsidRPr="00B72953">
        <w:t>i)</w:t>
      </w:r>
      <w:r w:rsidRPr="00B72953">
        <w:tab/>
        <w:t>Programme du Gouvernement pour les paysans;</w:t>
      </w:r>
    </w:p>
    <w:p w:rsidR="00F74F46" w:rsidRPr="00B72953" w:rsidRDefault="00F74F46" w:rsidP="00F74F46">
      <w:pPr>
        <w:pStyle w:val="SingleTxtG"/>
        <w:ind w:firstLine="567"/>
      </w:pPr>
      <w:r w:rsidRPr="00B72953">
        <w:t>j)</w:t>
      </w:r>
      <w:r w:rsidRPr="00B72953">
        <w:tab/>
        <w:t>Microcrédit pour la consommation;</w:t>
      </w:r>
    </w:p>
    <w:p w:rsidR="00F74F46" w:rsidRPr="00B72953" w:rsidRDefault="00F74F46" w:rsidP="00F74F46">
      <w:pPr>
        <w:pStyle w:val="SingleTxtG"/>
        <w:ind w:firstLine="567"/>
      </w:pPr>
      <w:r w:rsidRPr="00B72953">
        <w:t>k)</w:t>
      </w:r>
      <w:r w:rsidRPr="00B72953">
        <w:tab/>
        <w:t>Crédit pour les jeunes;</w:t>
      </w:r>
    </w:p>
    <w:p w:rsidR="00F74F46" w:rsidRPr="00B72953" w:rsidRDefault="00F74F46" w:rsidP="00F74F46">
      <w:pPr>
        <w:pStyle w:val="SingleTxtG"/>
        <w:ind w:firstLine="567"/>
      </w:pPr>
      <w:r>
        <w:t>l)</w:t>
      </w:r>
      <w:r>
        <w:tab/>
        <w:t>Microcrédit de BPC; enfin</w:t>
      </w:r>
    </w:p>
    <w:p w:rsidR="00F74F46" w:rsidRPr="00B72953" w:rsidRDefault="00F74F46" w:rsidP="00F74F46">
      <w:pPr>
        <w:pStyle w:val="SingleTxtG"/>
        <w:ind w:firstLine="567"/>
      </w:pPr>
      <w:r w:rsidRPr="00B72953">
        <w:t>m)</w:t>
      </w:r>
      <w:r w:rsidRPr="00B72953">
        <w:tab/>
        <w:t>Programme de World Vision.</w:t>
      </w:r>
    </w:p>
    <w:p w:rsidR="00F74F46" w:rsidRPr="00B72953" w:rsidRDefault="00F74F46" w:rsidP="00F74F46">
      <w:pPr>
        <w:pStyle w:val="SingleTxtG"/>
      </w:pPr>
      <w:r w:rsidRPr="00B72953">
        <w:t>171.</w:t>
      </w:r>
      <w:r w:rsidRPr="00B72953">
        <w:tab/>
        <w:t>Le nombre total de bénéficiaires directs du microcrédit s’élève à 115 863, dont 70 % de femmes; 579 315 familles en ont bénéficié indirectement.</w:t>
      </w:r>
    </w:p>
    <w:p w:rsidR="00F74F46" w:rsidRPr="00B72953" w:rsidRDefault="00F74F46" w:rsidP="00F74F46">
      <w:pPr>
        <w:pStyle w:val="SingleTxtG"/>
      </w:pPr>
      <w:r w:rsidRPr="00B72953">
        <w:t>172.</w:t>
      </w:r>
      <w:r w:rsidRPr="00B72953">
        <w:tab/>
        <w:t>Le nombre de femmes dans les affaires augmente régulièrement, favorisant l’autonomisation des intéressées sur le plan économique et la création d’emplois.</w:t>
      </w:r>
    </w:p>
    <w:p w:rsidR="00F74F46" w:rsidRPr="00B72953" w:rsidRDefault="00F74F46" w:rsidP="00F74F46">
      <w:pPr>
        <w:pStyle w:val="SingleTxtG"/>
      </w:pPr>
      <w:r w:rsidRPr="00B72953">
        <w:t>173.</w:t>
      </w:r>
      <w:r w:rsidRPr="00B72953">
        <w:tab/>
        <w:t>Outre ce qui précède</w:t>
      </w:r>
      <w:r>
        <w:t>, tous les deux ans depuis 2004</w:t>
      </w:r>
      <w:r w:rsidRPr="00B72953">
        <w:t xml:space="preserve"> se tient un forum national de la microfinance consacré à la discussion, à l’analyse et à l’évaluation de la situation de la microfinance en Angola. Une attention particulière a été accordée aux effets de la pauvreté sur la vie des femmes. </w:t>
      </w:r>
    </w:p>
    <w:p w:rsidR="00F74F46" w:rsidRPr="00B72953" w:rsidRDefault="00F74F46" w:rsidP="00F74F46">
      <w:pPr>
        <w:pStyle w:val="SingleTxtG"/>
      </w:pPr>
      <w:r>
        <w:t>174.</w:t>
      </w:r>
      <w:r>
        <w:tab/>
        <w:t>Quarante-</w:t>
      </w:r>
      <w:r w:rsidRPr="00B72953">
        <w:t>cinq mille familles bénéficieront d’un microfinancement dans chaque province, à l’exception de Luanda, où le nombre est de 50 000 en raison de la densité démographique (plus de 4</w:t>
      </w:r>
      <w:r>
        <w:t xml:space="preserve"> millions</w:t>
      </w:r>
      <w:r w:rsidRPr="00B72953">
        <w:t xml:space="preserve"> d’habitants). Un nombre total de 815 000 familles bénéficieront d’un microfinancement. </w:t>
      </w:r>
    </w:p>
    <w:p w:rsidR="00F74F46" w:rsidRPr="00B72953" w:rsidRDefault="00F74F46" w:rsidP="00F74F46">
      <w:pPr>
        <w:pStyle w:val="SingleTxtG"/>
      </w:pPr>
      <w:r w:rsidRPr="00B72953">
        <w:t>175.</w:t>
      </w:r>
      <w:r w:rsidRPr="00B72953">
        <w:tab/>
        <w:t>Dans ce cadre, les résultats escomptés consistent principalement à former des animateurs communautaires et à améliorer les compétences des membres de la famille.</w:t>
      </w:r>
    </w:p>
    <w:p w:rsidR="00F74F46" w:rsidRPr="00B72953" w:rsidRDefault="00F74F46" w:rsidP="00F74F46">
      <w:pPr>
        <w:pStyle w:val="Heading1"/>
        <w:spacing w:after="120"/>
        <w:rPr>
          <w:b/>
        </w:rPr>
      </w:pPr>
      <w:r w:rsidRPr="00B72953">
        <w:rPr>
          <w:b/>
        </w:rPr>
        <w:t>Récapitulatif des principaux indicateurs concernant les femmes rurales</w:t>
      </w:r>
    </w:p>
    <w:tbl>
      <w:tblPr>
        <w:tblW w:w="7370" w:type="dxa"/>
        <w:tblInd w:w="1134" w:type="dxa"/>
        <w:tblLayout w:type="fixed"/>
        <w:tblCellMar>
          <w:left w:w="0" w:type="dxa"/>
          <w:right w:w="0" w:type="dxa"/>
        </w:tblCellMar>
        <w:tblLook w:val="0000" w:firstRow="0" w:lastRow="0" w:firstColumn="0" w:lastColumn="0" w:noHBand="0" w:noVBand="0"/>
      </w:tblPr>
      <w:tblGrid>
        <w:gridCol w:w="5706"/>
        <w:gridCol w:w="1664"/>
      </w:tblGrid>
      <w:tr w:rsidR="00F74F46" w:rsidRPr="00B72953" w:rsidTr="00B84541">
        <w:trPr>
          <w:tblHeader/>
        </w:trPr>
        <w:tc>
          <w:tcPr>
            <w:tcW w:w="5706" w:type="dxa"/>
            <w:tcBorders>
              <w:top w:val="single" w:sz="4" w:space="0" w:color="auto"/>
              <w:bottom w:val="single" w:sz="12" w:space="0" w:color="auto"/>
            </w:tcBorders>
            <w:shd w:val="clear" w:color="auto" w:fill="auto"/>
            <w:vAlign w:val="bottom"/>
          </w:tcPr>
          <w:p w:rsidR="00F74F46" w:rsidRPr="00B72953" w:rsidRDefault="00F74F46" w:rsidP="00B84541">
            <w:pPr>
              <w:suppressAutoHyphens w:val="0"/>
              <w:spacing w:before="80" w:after="80" w:line="200" w:lineRule="exact"/>
              <w:rPr>
                <w:i/>
                <w:sz w:val="16"/>
              </w:rPr>
            </w:pPr>
            <w:r w:rsidRPr="00B72953">
              <w:rPr>
                <w:i/>
                <w:sz w:val="16"/>
              </w:rPr>
              <w:t>Principaux indicateurs concernant les femmes rurales</w:t>
            </w:r>
          </w:p>
        </w:tc>
        <w:tc>
          <w:tcPr>
            <w:tcW w:w="1664" w:type="dxa"/>
            <w:tcBorders>
              <w:top w:val="single" w:sz="4" w:space="0" w:color="auto"/>
              <w:bottom w:val="single" w:sz="12" w:space="0" w:color="auto"/>
            </w:tcBorders>
            <w:shd w:val="clear" w:color="auto" w:fill="auto"/>
            <w:vAlign w:val="bottom"/>
          </w:tcPr>
          <w:p w:rsidR="00F74F46" w:rsidRPr="00B72953" w:rsidRDefault="00F74F46" w:rsidP="00B84541">
            <w:pPr>
              <w:suppressAutoHyphens w:val="0"/>
              <w:spacing w:before="80" w:after="80" w:line="200" w:lineRule="exact"/>
              <w:jc w:val="right"/>
              <w:rPr>
                <w:i/>
                <w:sz w:val="16"/>
              </w:rPr>
            </w:pPr>
            <w:r w:rsidRPr="00B72953">
              <w:rPr>
                <w:i/>
                <w:sz w:val="16"/>
              </w:rPr>
              <w:t xml:space="preserve">Estimations </w:t>
            </w:r>
          </w:p>
        </w:tc>
      </w:tr>
      <w:tr w:rsidR="00F74F46" w:rsidRPr="00B72953" w:rsidTr="00B84541">
        <w:tc>
          <w:tcPr>
            <w:tcW w:w="5706" w:type="dxa"/>
            <w:tcBorders>
              <w:top w:val="single" w:sz="12" w:space="0" w:color="auto"/>
            </w:tcBorders>
            <w:shd w:val="clear" w:color="auto" w:fill="auto"/>
          </w:tcPr>
          <w:p w:rsidR="00F74F46" w:rsidRPr="00B72953" w:rsidRDefault="00F74F46" w:rsidP="00B84541">
            <w:pPr>
              <w:suppressAutoHyphens w:val="0"/>
              <w:spacing w:before="40" w:after="40" w:line="220" w:lineRule="exact"/>
              <w:rPr>
                <w:sz w:val="18"/>
              </w:rPr>
            </w:pPr>
            <w:r>
              <w:rPr>
                <w:sz w:val="18"/>
              </w:rPr>
              <w:t>Pourcentage</w:t>
            </w:r>
            <w:r w:rsidRPr="00B72953">
              <w:rPr>
                <w:sz w:val="18"/>
              </w:rPr>
              <w:t xml:space="preserve"> de femmes dans la population rurale</w:t>
            </w:r>
          </w:p>
        </w:tc>
        <w:tc>
          <w:tcPr>
            <w:tcW w:w="1664" w:type="dxa"/>
            <w:tcBorders>
              <w:top w:val="single" w:sz="12" w:space="0" w:color="auto"/>
            </w:tcBorders>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53,5</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Pr>
                <w:sz w:val="18"/>
              </w:rPr>
              <w:t>Pourcentage</w:t>
            </w:r>
            <w:r w:rsidRPr="00B72953">
              <w:rPr>
                <w:sz w:val="18"/>
              </w:rPr>
              <w:t xml:space="preserve"> de filles et de jeunes femmes (âgées de 5 à 18 ans)</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35</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Pr>
                <w:sz w:val="18"/>
              </w:rPr>
              <w:t>Pourcentage</w:t>
            </w:r>
            <w:r w:rsidRPr="00B72953">
              <w:rPr>
                <w:sz w:val="18"/>
              </w:rPr>
              <w:t xml:space="preserve"> de filles de moins de 1 an</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4,5</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Pr>
                <w:sz w:val="18"/>
              </w:rPr>
              <w:t>Pourcentage</w:t>
            </w:r>
            <w:r w:rsidRPr="00B72953">
              <w:rPr>
                <w:sz w:val="18"/>
              </w:rPr>
              <w:t xml:space="preserve"> de filles âgées de 5 ans ou moins</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22</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Pr>
                <w:sz w:val="18"/>
              </w:rPr>
              <w:t>Pourcentage</w:t>
            </w:r>
            <w:r w:rsidRPr="00B72953">
              <w:rPr>
                <w:sz w:val="18"/>
              </w:rPr>
              <w:t xml:space="preserve"> de femmes en âge de procréer (14 à 49</w:t>
            </w:r>
            <w:r>
              <w:rPr>
                <w:sz w:val="18"/>
              </w:rPr>
              <w:t xml:space="preserve"> ans</w:t>
            </w:r>
            <w:r w:rsidRPr="00B72953">
              <w:rPr>
                <w:sz w:val="18"/>
              </w:rPr>
              <w:t>)</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45</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sidRPr="00B72953">
              <w:rPr>
                <w:sz w:val="18"/>
              </w:rPr>
              <w:t>Âge moyen</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 xml:space="preserve">21 </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sidRPr="00B72953">
              <w:rPr>
                <w:sz w:val="18"/>
              </w:rPr>
              <w:t>Âge médian</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 xml:space="preserve">16 </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sidRPr="00B72953">
              <w:rPr>
                <w:sz w:val="18"/>
              </w:rPr>
              <w:t>Taux de fécondité chez les femmes urbaines</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7</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Pr>
                <w:sz w:val="18"/>
              </w:rPr>
              <w:t>Pourcentage</w:t>
            </w:r>
            <w:r w:rsidRPr="00B72953">
              <w:rPr>
                <w:sz w:val="18"/>
              </w:rPr>
              <w:t xml:space="preserve"> de femmes pratiquant la contraception</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4</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Pr>
                <w:sz w:val="18"/>
              </w:rPr>
              <w:t>Pourcentage</w:t>
            </w:r>
            <w:r w:rsidRPr="00B72953">
              <w:rPr>
                <w:sz w:val="18"/>
              </w:rPr>
              <w:t xml:space="preserve"> recevant des soins prénataux</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51</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Pr>
                <w:sz w:val="18"/>
              </w:rPr>
              <w:t>Pourcentage</w:t>
            </w:r>
            <w:r w:rsidRPr="00B72953">
              <w:rPr>
                <w:sz w:val="18"/>
              </w:rPr>
              <w:t xml:space="preserve"> d’accouchements à domicile </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90,5</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sidRPr="00B72953">
              <w:rPr>
                <w:sz w:val="18"/>
              </w:rPr>
              <w:t>Nombre moyen d’années d’études</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0,9</w:t>
            </w:r>
          </w:p>
        </w:tc>
      </w:tr>
      <w:tr w:rsidR="00F74F46" w:rsidRPr="00B72953" w:rsidTr="00B84541">
        <w:tc>
          <w:tcPr>
            <w:tcW w:w="5706" w:type="dxa"/>
            <w:shd w:val="clear" w:color="auto" w:fill="auto"/>
          </w:tcPr>
          <w:p w:rsidR="00F74F46" w:rsidRPr="00B72953" w:rsidRDefault="00F74F46" w:rsidP="00B84541">
            <w:pPr>
              <w:suppressAutoHyphens w:val="0"/>
              <w:spacing w:before="40" w:after="40" w:line="220" w:lineRule="exact"/>
              <w:rPr>
                <w:sz w:val="18"/>
              </w:rPr>
            </w:pPr>
            <w:r>
              <w:rPr>
                <w:sz w:val="18"/>
              </w:rPr>
              <w:t>Pourcentage</w:t>
            </w:r>
            <w:r w:rsidRPr="00B72953">
              <w:rPr>
                <w:sz w:val="18"/>
              </w:rPr>
              <w:t xml:space="preserve"> de femmes qui n’ont achevé aucun niveau d’études (potentiellement analphabètes)</w:t>
            </w:r>
          </w:p>
        </w:tc>
        <w:tc>
          <w:tcPr>
            <w:tcW w:w="1664" w:type="dxa"/>
            <w:shd w:val="clear" w:color="auto" w:fill="auto"/>
            <w:vAlign w:val="bottom"/>
          </w:tcPr>
          <w:p w:rsidR="00F74F46" w:rsidRPr="00B72953" w:rsidRDefault="00F74F46" w:rsidP="00B84541">
            <w:pPr>
              <w:suppressAutoHyphens w:val="0"/>
              <w:spacing w:before="40" w:after="40" w:line="220" w:lineRule="exact"/>
              <w:jc w:val="right"/>
              <w:rPr>
                <w:sz w:val="18"/>
              </w:rPr>
            </w:pPr>
          </w:p>
          <w:p w:rsidR="00F74F46" w:rsidRPr="00B72953" w:rsidRDefault="00F74F46" w:rsidP="00B84541">
            <w:pPr>
              <w:suppressAutoHyphens w:val="0"/>
              <w:spacing w:before="40" w:after="40" w:line="220" w:lineRule="exact"/>
              <w:jc w:val="right"/>
              <w:rPr>
                <w:sz w:val="18"/>
              </w:rPr>
            </w:pPr>
            <w:r w:rsidRPr="00B72953">
              <w:rPr>
                <w:sz w:val="18"/>
              </w:rPr>
              <w:t>59</w:t>
            </w:r>
          </w:p>
        </w:tc>
      </w:tr>
      <w:tr w:rsidR="00F74F46" w:rsidRPr="00B72953" w:rsidTr="00B84541">
        <w:tc>
          <w:tcPr>
            <w:tcW w:w="5706" w:type="dxa"/>
            <w:tcBorders>
              <w:bottom w:val="single" w:sz="12" w:space="0" w:color="auto"/>
            </w:tcBorders>
            <w:shd w:val="clear" w:color="auto" w:fill="auto"/>
          </w:tcPr>
          <w:p w:rsidR="00F74F46" w:rsidRPr="00B72953" w:rsidRDefault="00F74F46" w:rsidP="00B84541">
            <w:pPr>
              <w:suppressAutoHyphens w:val="0"/>
              <w:spacing w:before="40" w:after="40" w:line="220" w:lineRule="exact"/>
              <w:rPr>
                <w:sz w:val="18"/>
              </w:rPr>
            </w:pPr>
            <w:r>
              <w:rPr>
                <w:sz w:val="18"/>
              </w:rPr>
              <w:t>Pourcentage</w:t>
            </w:r>
            <w:r w:rsidRPr="00B72953">
              <w:rPr>
                <w:sz w:val="18"/>
              </w:rPr>
              <w:t xml:space="preserve"> de femmes en âge de travailler (10 à 60 ans)</w:t>
            </w:r>
          </w:p>
        </w:tc>
        <w:tc>
          <w:tcPr>
            <w:tcW w:w="1664" w:type="dxa"/>
            <w:tcBorders>
              <w:bottom w:val="single" w:sz="12" w:space="0" w:color="auto"/>
            </w:tcBorders>
            <w:shd w:val="clear" w:color="auto" w:fill="auto"/>
            <w:vAlign w:val="bottom"/>
          </w:tcPr>
          <w:p w:rsidR="00F74F46" w:rsidRPr="00B72953" w:rsidRDefault="00F74F46" w:rsidP="00B84541">
            <w:pPr>
              <w:suppressAutoHyphens w:val="0"/>
              <w:spacing w:before="40" w:after="40" w:line="220" w:lineRule="exact"/>
              <w:jc w:val="right"/>
              <w:rPr>
                <w:sz w:val="18"/>
              </w:rPr>
            </w:pPr>
            <w:r w:rsidRPr="00B72953">
              <w:rPr>
                <w:sz w:val="18"/>
              </w:rPr>
              <w:t>62</w:t>
            </w:r>
          </w:p>
        </w:tc>
      </w:tr>
    </w:tbl>
    <w:p w:rsidR="00F74F46" w:rsidRPr="00B72953" w:rsidRDefault="00F74F46" w:rsidP="00F74F46">
      <w:pPr>
        <w:pStyle w:val="SingleTxtG"/>
        <w:spacing w:before="120" w:after="240"/>
        <w:ind w:firstLine="113"/>
        <w:rPr>
          <w:iCs/>
          <w:sz w:val="18"/>
          <w:szCs w:val="18"/>
        </w:rPr>
      </w:pPr>
      <w:r w:rsidRPr="00B72953">
        <w:rPr>
          <w:i/>
          <w:iCs/>
          <w:sz w:val="18"/>
          <w:szCs w:val="18"/>
        </w:rPr>
        <w:t>Source</w:t>
      </w:r>
      <w:r w:rsidRPr="00B72953">
        <w:rPr>
          <w:iCs/>
          <w:sz w:val="18"/>
          <w:szCs w:val="18"/>
        </w:rPr>
        <w:t>: E</w:t>
      </w:r>
      <w:r w:rsidRPr="00B72953">
        <w:t xml:space="preserve">nquête en grappes à indicateurs multiples </w:t>
      </w:r>
      <w:r w:rsidRPr="00B72953">
        <w:rPr>
          <w:iCs/>
          <w:sz w:val="18"/>
          <w:szCs w:val="18"/>
        </w:rPr>
        <w:t>(MICS), INE-GMVP, 1996.</w:t>
      </w:r>
    </w:p>
    <w:p w:rsidR="00F74F46" w:rsidRPr="00B72953" w:rsidRDefault="00F74F46" w:rsidP="00F74F46">
      <w:pPr>
        <w:pStyle w:val="H23G"/>
      </w:pPr>
      <w:r w:rsidRPr="00B72953">
        <w:tab/>
        <w:t>4.</w:t>
      </w:r>
      <w:r w:rsidRPr="00B72953">
        <w:tab/>
        <w:t>Organisations non gouvernementales</w:t>
      </w:r>
    </w:p>
    <w:p w:rsidR="00F74F46" w:rsidRPr="00B72953" w:rsidRDefault="00F74F46" w:rsidP="00F74F46">
      <w:pPr>
        <w:pStyle w:val="SingleTxtG"/>
        <w:rPr>
          <w:bCs/>
        </w:rPr>
      </w:pPr>
      <w:r w:rsidRPr="00B72953">
        <w:rPr>
          <w:bCs/>
        </w:rPr>
        <w:t>176.</w:t>
      </w:r>
      <w:r w:rsidRPr="00B72953">
        <w:rPr>
          <w:bCs/>
        </w:rPr>
        <w:tab/>
        <w:t xml:space="preserve">Les ONG travaillant dans les zones rurales concentrent leurs efforts sur le développement de l’agriculture, la santé et l’éducation. </w:t>
      </w:r>
    </w:p>
    <w:p w:rsidR="00F74F46" w:rsidRPr="00B72953" w:rsidRDefault="00F74F46" w:rsidP="00F74F46">
      <w:pPr>
        <w:pStyle w:val="H23G"/>
      </w:pPr>
      <w:r w:rsidRPr="00B72953">
        <w:tab/>
        <w:t>5.</w:t>
      </w:r>
      <w:r w:rsidRPr="00B72953">
        <w:tab/>
        <w:t xml:space="preserve">UNACA </w:t>
      </w:r>
    </w:p>
    <w:p w:rsidR="00F74F46" w:rsidRPr="00B72953" w:rsidRDefault="00F74F46" w:rsidP="00F74F46">
      <w:pPr>
        <w:pStyle w:val="SingleTxtG"/>
        <w:rPr>
          <w:bCs/>
        </w:rPr>
      </w:pPr>
      <w:r w:rsidRPr="00B72953">
        <w:rPr>
          <w:bCs/>
        </w:rPr>
        <w:t>177.</w:t>
      </w:r>
      <w:r w:rsidRPr="00B72953">
        <w:rPr>
          <w:bCs/>
        </w:rPr>
        <w:tab/>
        <w:t>La Confédération nationale des associations paysannes (UNACA) est la principale organisation opérant dans les zones rurales, avec à la fois des hommes et des femmes comme membres.</w:t>
      </w:r>
    </w:p>
    <w:p w:rsidR="00F74F46" w:rsidRPr="00B72953" w:rsidRDefault="00F74F46" w:rsidP="00F74F46">
      <w:pPr>
        <w:pStyle w:val="SingleTxtG"/>
        <w:rPr>
          <w:bCs/>
        </w:rPr>
      </w:pPr>
      <w:r>
        <w:rPr>
          <w:bCs/>
        </w:rPr>
        <w:t>178.</w:t>
      </w:r>
      <w:r>
        <w:rPr>
          <w:bCs/>
        </w:rPr>
        <w:tab/>
        <w:t>Le COMUR (</w:t>
      </w:r>
      <w:r w:rsidRPr="00B72953">
        <w:rPr>
          <w:bCs/>
        </w:rPr>
        <w:t>Comité pour le soutien aux femmes rurales</w:t>
      </w:r>
      <w:r>
        <w:rPr>
          <w:bCs/>
        </w:rPr>
        <w:t>)</w:t>
      </w:r>
      <w:r w:rsidRPr="00B72953">
        <w:rPr>
          <w:bCs/>
        </w:rPr>
        <w:t>, une ONG créée en 1992, après la Déclaration de Genève sur la promotion économique des femmes rurales, est présidé par la Première Dame d</w:t>
      </w:r>
      <w:r>
        <w:rPr>
          <w:bCs/>
        </w:rPr>
        <w:t>e la République</w:t>
      </w:r>
      <w:r w:rsidRPr="00B72953">
        <w:rPr>
          <w:bCs/>
        </w:rPr>
        <w:t xml:space="preserve"> et, dans le cadre du mandat du Comité directeur international (CDI), est aussi impliqué dans les activités de plaidoyer et de sensibilisation</w:t>
      </w:r>
      <w:r>
        <w:rPr>
          <w:bCs/>
        </w:rPr>
        <w:t xml:space="preserve"> dans la sous-région de la SADC</w:t>
      </w:r>
      <w:r w:rsidRPr="00B72953">
        <w:rPr>
          <w:bCs/>
        </w:rPr>
        <w:t xml:space="preserve"> et bénéficie du soutien de la FAO. Il met également en œuvre un projet pilote de développement dans deux communautés. Ses activités portent principalement sur: la sécurité alimentaire, l’octroi de microcrédit, </w:t>
      </w:r>
      <w:r>
        <w:rPr>
          <w:bCs/>
        </w:rPr>
        <w:t xml:space="preserve">le </w:t>
      </w:r>
      <w:r w:rsidRPr="00B72953">
        <w:rPr>
          <w:bCs/>
        </w:rPr>
        <w:t xml:space="preserve">commerce rural, la santé et l’alphabétisation, la formation professionnelle en couture, le soutien des associations en leur fournissant un kit de base pour l’agriculture et en créant des crèches et des terrains de jeux. </w:t>
      </w:r>
    </w:p>
    <w:p w:rsidR="00F74F46" w:rsidRPr="00B72953" w:rsidRDefault="00F74F46" w:rsidP="00F74F46">
      <w:pPr>
        <w:pStyle w:val="SingleTxtG"/>
      </w:pPr>
      <w:r w:rsidRPr="00B72953">
        <w:t>179.</w:t>
      </w:r>
      <w:r w:rsidRPr="00B72953">
        <w:tab/>
      </w:r>
      <w:r w:rsidRPr="00B72953">
        <w:rPr>
          <w:bCs/>
        </w:rPr>
        <w:t>En 2001, le réseau des femmes a créé un prix d’une valeur de 500 dollars pour récompenser la créativité au sein des femmes rurales, sur le modèle du prix mondial. Le prix (un total de cinq prix annuels d’un montant de 500 dollars chacun) sera décerné à des femmes ou organisations ayant fait montre d’une grande créativité dans leurs efforts tendant à améliorer la qualité de la vie dans les zones rurales. Le but poursuivi à travers le prix est d’attirer l’attention de la communauté nationale sur la contribution des récipiendaires au développement durable, à la sécurité alimentaire et à la paix, ce qui donne plus de visibilité et suscite plus de soutien à leurs projets. Les noms des gagnant</w:t>
      </w:r>
      <w:r>
        <w:rPr>
          <w:bCs/>
        </w:rPr>
        <w:t>e</w:t>
      </w:r>
      <w:r w:rsidRPr="00B72953">
        <w:rPr>
          <w:bCs/>
        </w:rPr>
        <w:t>s seront annoncés le 31 juillet et les prix remis le 15 octobre de chaque année.</w:t>
      </w:r>
      <w:r w:rsidRPr="00B72953">
        <w:t xml:space="preserve"> </w:t>
      </w:r>
    </w:p>
    <w:p w:rsidR="00F74F46" w:rsidRPr="00B72953" w:rsidRDefault="00F74F46" w:rsidP="00F74F46">
      <w:pPr>
        <w:pStyle w:val="H23G"/>
      </w:pPr>
      <w:r w:rsidRPr="00B72953">
        <w:tab/>
        <w:t>6.</w:t>
      </w:r>
      <w:r w:rsidRPr="00B72953">
        <w:tab/>
        <w:t xml:space="preserve">Familles ayant à leur tête une femme </w:t>
      </w:r>
    </w:p>
    <w:p w:rsidR="00F74F46" w:rsidRPr="00B72953" w:rsidRDefault="00F74F46" w:rsidP="00F74F46">
      <w:pPr>
        <w:pStyle w:val="SingleTxtG"/>
        <w:rPr>
          <w:bCs/>
        </w:rPr>
      </w:pPr>
      <w:r w:rsidRPr="00B72953">
        <w:rPr>
          <w:bCs/>
        </w:rPr>
        <w:t>180.</w:t>
      </w:r>
      <w:r w:rsidRPr="00B72953">
        <w:rPr>
          <w:bCs/>
        </w:rPr>
        <w:tab/>
        <w:t xml:space="preserve">Le fait que la guerre a eu lieu surtout dans les zones rurales avait eu comme conséquence immédiate la migration des femmes vers les centres urbains à la recherche de conditions de sécurité. Par ailleurs, le nombre de familles ayant à leur tête une femme dans les zones rurales a augmenté de façon significative, parce que les </w:t>
      </w:r>
      <w:r w:rsidRPr="00B72953">
        <w:t xml:space="preserve">hommes </w:t>
      </w:r>
      <w:r w:rsidRPr="00B72953">
        <w:rPr>
          <w:bCs/>
        </w:rPr>
        <w:t>avaient été enrôlés dans l’armée. Ces femmes, qui</w:t>
      </w:r>
      <w:r>
        <w:rPr>
          <w:bCs/>
        </w:rPr>
        <w:t xml:space="preserve"> généralement n’ont pas de mari</w:t>
      </w:r>
      <w:r w:rsidRPr="00B72953">
        <w:rPr>
          <w:bCs/>
        </w:rPr>
        <w:t xml:space="preserve">, sont parmi les plus pauvres du fait qu’elles n’ont </w:t>
      </w:r>
      <w:r>
        <w:rPr>
          <w:bCs/>
        </w:rPr>
        <w:t xml:space="preserve">pas </w:t>
      </w:r>
      <w:r w:rsidRPr="00B72953">
        <w:rPr>
          <w:bCs/>
        </w:rPr>
        <w:t xml:space="preserve">d’hommes travaillant pour la famille. </w:t>
      </w:r>
    </w:p>
    <w:p w:rsidR="00F74F46" w:rsidRPr="00B72953" w:rsidRDefault="00F74F46" w:rsidP="00F74F46">
      <w:pPr>
        <w:pStyle w:val="H23G"/>
      </w:pPr>
      <w:r w:rsidRPr="00B72953">
        <w:tab/>
        <w:t>7.</w:t>
      </w:r>
      <w:r w:rsidRPr="00B72953">
        <w:tab/>
        <w:t>VIH et sida</w:t>
      </w:r>
    </w:p>
    <w:p w:rsidR="00F74F46" w:rsidRPr="00B72953" w:rsidRDefault="00F74F46" w:rsidP="00F74F46">
      <w:pPr>
        <w:pStyle w:val="SingleTxtG"/>
        <w:rPr>
          <w:bCs/>
        </w:rPr>
      </w:pPr>
      <w:r w:rsidRPr="00B72953">
        <w:rPr>
          <w:bCs/>
        </w:rPr>
        <w:t>181.</w:t>
      </w:r>
      <w:r w:rsidRPr="00B72953">
        <w:rPr>
          <w:bCs/>
        </w:rPr>
        <w:tab/>
        <w:t>Il n’existe pas d’accès à l’information sur le VIH et le sida dans les zones rurales. Le VIH constitue un grave problème en raison de considérations culturelles dans une société éminemment patriarcale et qui se caractérise par de fortes inégalités entre les sexes. La polygamie est acceptée dans les communautés rurales et la plupart des hommes ont plus d’une épouse. La mobilité de ces hommes les amène à se rendre dans les villes et villages proches, aggravant ainsi le risque de contagion et de propagation du VIH et du sida.</w:t>
      </w:r>
    </w:p>
    <w:p w:rsidR="00F74F46" w:rsidRPr="00B72953" w:rsidRDefault="00F74F46" w:rsidP="00F74F46">
      <w:pPr>
        <w:pStyle w:val="H1G"/>
      </w:pPr>
      <w:r w:rsidRPr="00B72953">
        <w:tab/>
      </w:r>
      <w:r w:rsidRPr="00B72953">
        <w:tab/>
        <w:t>Article 1</w:t>
      </w:r>
      <w:r>
        <w:t>5</w:t>
      </w:r>
      <w:r w:rsidRPr="00B72953">
        <w:br/>
        <w:t>Droits égaux en ce qui concerne la conclusion de contrats et l’administration de biens</w:t>
      </w:r>
    </w:p>
    <w:p w:rsidR="00F74F46" w:rsidRPr="00B72953" w:rsidRDefault="00F74F46" w:rsidP="00F74F46">
      <w:pPr>
        <w:pStyle w:val="SingleTxtG"/>
        <w:rPr>
          <w:bCs/>
        </w:rPr>
      </w:pPr>
      <w:r w:rsidRPr="00B72953">
        <w:rPr>
          <w:bCs/>
        </w:rPr>
        <w:t>182.</w:t>
      </w:r>
      <w:r w:rsidRPr="00B72953">
        <w:rPr>
          <w:bCs/>
        </w:rPr>
        <w:tab/>
        <w:t>Il n’existe pas en Angola de discrimination à l’égard des femmes pour ce qui est de la conclusion de contrats et de l’administration de biens.</w:t>
      </w:r>
    </w:p>
    <w:p w:rsidR="00F74F46" w:rsidRPr="00B72953" w:rsidRDefault="00F74F46" w:rsidP="00F74F46">
      <w:pPr>
        <w:pStyle w:val="SingleTxtG"/>
        <w:rPr>
          <w:bCs/>
        </w:rPr>
      </w:pPr>
      <w:r w:rsidRPr="00B72953">
        <w:rPr>
          <w:bCs/>
        </w:rPr>
        <w:t>183.</w:t>
      </w:r>
      <w:r w:rsidRPr="00B72953">
        <w:rPr>
          <w:bCs/>
        </w:rPr>
        <w:tab/>
        <w:t>Dans le cadre du mariage, les épouses sont libres de gérer leurs propres biens (par</w:t>
      </w:r>
      <w:r>
        <w:rPr>
          <w:bCs/>
        </w:rPr>
        <w:t>. </w:t>
      </w:r>
      <w:r w:rsidRPr="00B72953">
        <w:rPr>
          <w:bCs/>
        </w:rPr>
        <w:t>1 et al</w:t>
      </w:r>
      <w:r>
        <w:rPr>
          <w:bCs/>
        </w:rPr>
        <w:t>.</w:t>
      </w:r>
      <w:r w:rsidRPr="00B72953">
        <w:rPr>
          <w:bCs/>
        </w:rPr>
        <w:t xml:space="preserve"> </w:t>
      </w:r>
      <w:r w:rsidRPr="00B72953">
        <w:rPr>
          <w:bCs/>
          <w:i/>
        </w:rPr>
        <w:t>a</w:t>
      </w:r>
      <w:r w:rsidRPr="00B72953">
        <w:rPr>
          <w:bCs/>
        </w:rPr>
        <w:t xml:space="preserve"> et </w:t>
      </w:r>
      <w:r w:rsidRPr="00B72953">
        <w:rPr>
          <w:bCs/>
          <w:i/>
        </w:rPr>
        <w:t>b</w:t>
      </w:r>
      <w:r w:rsidRPr="00B72953">
        <w:rPr>
          <w:bCs/>
        </w:rPr>
        <w:t xml:space="preserve"> du paragraphe 2 de l’article 54 du Code de la famille). </w:t>
      </w:r>
    </w:p>
    <w:p w:rsidR="00F74F46" w:rsidRPr="00B72953" w:rsidRDefault="00F74F46" w:rsidP="00F74F46">
      <w:pPr>
        <w:pStyle w:val="SingleTxtG"/>
        <w:rPr>
          <w:bCs/>
        </w:rPr>
      </w:pPr>
      <w:r w:rsidRPr="00B72953">
        <w:rPr>
          <w:bCs/>
        </w:rPr>
        <w:t>184.</w:t>
      </w:r>
      <w:r w:rsidRPr="00B72953">
        <w:rPr>
          <w:bCs/>
        </w:rPr>
        <w:tab/>
        <w:t>Dans le domaine professionnel, les femmes sont libres de choisir leur propre activité (a</w:t>
      </w:r>
      <w:r>
        <w:rPr>
          <w:bCs/>
        </w:rPr>
        <w:t>rt.</w:t>
      </w:r>
      <w:r w:rsidRPr="00B72953">
        <w:rPr>
          <w:bCs/>
        </w:rPr>
        <w:t xml:space="preserve"> 47 du Code de la famille). </w:t>
      </w:r>
    </w:p>
    <w:p w:rsidR="00F74F46" w:rsidRPr="00B72953" w:rsidRDefault="00F74F46" w:rsidP="00F74F46">
      <w:pPr>
        <w:pStyle w:val="SingleTxtG"/>
        <w:rPr>
          <w:bCs/>
        </w:rPr>
      </w:pPr>
      <w:r w:rsidRPr="00B72953">
        <w:rPr>
          <w:bCs/>
        </w:rPr>
        <w:t>185.</w:t>
      </w:r>
      <w:r w:rsidRPr="00B72953">
        <w:rPr>
          <w:bCs/>
        </w:rPr>
        <w:tab/>
        <w:t xml:space="preserve">Le Code de la famille contient aussi des restrictions applicables aux deux conjoints (indépendamment du régime matrimonial choisi) concernant la vente </w:t>
      </w:r>
      <w:r>
        <w:rPr>
          <w:bCs/>
        </w:rPr>
        <w:t xml:space="preserve">ou </w:t>
      </w:r>
      <w:r w:rsidRPr="00B72953">
        <w:rPr>
          <w:bCs/>
        </w:rPr>
        <w:t>l’hypothèque des biens:</w:t>
      </w:r>
    </w:p>
    <w:p w:rsidR="00F74F46" w:rsidRPr="00B72953" w:rsidRDefault="00F74F46" w:rsidP="00F74F46">
      <w:pPr>
        <w:pStyle w:val="SingleTxtG"/>
        <w:ind w:firstLine="567"/>
        <w:rPr>
          <w:bCs/>
        </w:rPr>
      </w:pPr>
      <w:r w:rsidRPr="00B72953">
        <w:rPr>
          <w:bCs/>
        </w:rPr>
        <w:t>a)</w:t>
      </w:r>
      <w:r w:rsidRPr="00B72953">
        <w:rPr>
          <w:bCs/>
        </w:rPr>
        <w:tab/>
        <w:t>Les biens d’un conjoint utilisés par l’autre conjoint dans le cadre de son travail;</w:t>
      </w:r>
    </w:p>
    <w:p w:rsidR="00F74F46" w:rsidRPr="00B72953" w:rsidRDefault="00F74F46" w:rsidP="00F74F46">
      <w:pPr>
        <w:pStyle w:val="SingleTxtG"/>
        <w:ind w:firstLine="567"/>
        <w:rPr>
          <w:bCs/>
        </w:rPr>
      </w:pPr>
      <w:r w:rsidRPr="00B72953">
        <w:rPr>
          <w:bCs/>
        </w:rPr>
        <w:t>b)</w:t>
      </w:r>
      <w:r w:rsidRPr="00B72953">
        <w:rPr>
          <w:bCs/>
        </w:rPr>
        <w:tab/>
        <w:t>Les biens d’un conjoint ou des biens communs utilisés par les deux conjoints à domicile ou pour le travail</w:t>
      </w:r>
      <w:r>
        <w:rPr>
          <w:bCs/>
        </w:rPr>
        <w:t>.</w:t>
      </w:r>
    </w:p>
    <w:p w:rsidR="00F74F46" w:rsidRPr="00B72953" w:rsidRDefault="00F74F46" w:rsidP="00F74F46">
      <w:pPr>
        <w:pStyle w:val="SingleTxtG"/>
        <w:rPr>
          <w:bCs/>
        </w:rPr>
      </w:pPr>
      <w:r w:rsidRPr="00B72953">
        <w:rPr>
          <w:bCs/>
        </w:rPr>
        <w:t>186.</w:t>
      </w:r>
      <w:r w:rsidRPr="00B72953">
        <w:rPr>
          <w:bCs/>
        </w:rPr>
        <w:tab/>
        <w:t>L’accord entre les conjoints est requis</w:t>
      </w:r>
      <w:r>
        <w:rPr>
          <w:bCs/>
        </w:rPr>
        <w:t xml:space="preserve"> pour la vente ou l’hypothèque d</w:t>
      </w:r>
      <w:r w:rsidRPr="00B72953">
        <w:rPr>
          <w:bCs/>
        </w:rPr>
        <w:t>es biens susvisés (art</w:t>
      </w:r>
      <w:r>
        <w:rPr>
          <w:bCs/>
        </w:rPr>
        <w:t>.</w:t>
      </w:r>
      <w:r w:rsidRPr="00B72953">
        <w:rPr>
          <w:bCs/>
        </w:rPr>
        <w:t xml:space="preserve"> 56). </w:t>
      </w:r>
    </w:p>
    <w:p w:rsidR="00F74F46" w:rsidRPr="00B72953" w:rsidRDefault="00F74F46" w:rsidP="00F74F46">
      <w:pPr>
        <w:pStyle w:val="SingleTxtG"/>
        <w:rPr>
          <w:bCs/>
        </w:rPr>
      </w:pPr>
      <w:r w:rsidRPr="00B72953">
        <w:rPr>
          <w:bCs/>
        </w:rPr>
        <w:t>187.</w:t>
      </w:r>
      <w:r w:rsidRPr="00B72953">
        <w:rPr>
          <w:bCs/>
        </w:rPr>
        <w:tab/>
        <w:t>Une femme peut engager toutes formes de poursuites judiciaires sans le consentement de son époux, et même contre celui-ci. Il n’existe aucune restriction juridique qui empêche une femme d’engager des poursuites judiciaires du simple fait qu’elle est mariée.</w:t>
      </w:r>
    </w:p>
    <w:p w:rsidR="00F74F46" w:rsidRPr="00B72953" w:rsidRDefault="00F74F46" w:rsidP="00F74F46">
      <w:pPr>
        <w:pStyle w:val="SingleTxtG"/>
        <w:rPr>
          <w:bCs/>
        </w:rPr>
      </w:pPr>
      <w:r w:rsidRPr="00B72953">
        <w:rPr>
          <w:bCs/>
        </w:rPr>
        <w:t>188.</w:t>
      </w:r>
      <w:r w:rsidRPr="00B72953">
        <w:rPr>
          <w:bCs/>
        </w:rPr>
        <w:tab/>
        <w:t>Les femmes angolaises ont le droit de détenir leurs propres documents person</w:t>
      </w:r>
      <w:r>
        <w:rPr>
          <w:bCs/>
        </w:rPr>
        <w:t>nels, sans autorisation de leur</w:t>
      </w:r>
      <w:r w:rsidRPr="00B72953">
        <w:rPr>
          <w:bCs/>
        </w:rPr>
        <w:t xml:space="preserve"> époux, d’avoir leur propre passeport et de se rendre partout en Angola ou hors d’Angola, sans restriction ni subordination aucune, même lorsqu’elles sont mariées, de la même manière que peuvent le faire les hommes.</w:t>
      </w:r>
    </w:p>
    <w:p w:rsidR="00F74F46" w:rsidRPr="00B72953" w:rsidRDefault="00F74F46" w:rsidP="00F74F46">
      <w:pPr>
        <w:pStyle w:val="SingleTxtG"/>
        <w:rPr>
          <w:bCs/>
        </w:rPr>
      </w:pPr>
      <w:r w:rsidRPr="00B72953">
        <w:rPr>
          <w:bCs/>
        </w:rPr>
        <w:t>189.</w:t>
      </w:r>
      <w:r w:rsidRPr="00B72953">
        <w:rPr>
          <w:bCs/>
        </w:rPr>
        <w:tab/>
        <w:t>La loi impose que lorsqu’un couple marié choisit son lieu de résidence, les deux conjoints (mari et épouse) conviennent mutue</w:t>
      </w:r>
      <w:r>
        <w:rPr>
          <w:bCs/>
        </w:rPr>
        <w:t>llement d’une résidence commune</w:t>
      </w:r>
      <w:r w:rsidRPr="00B72953">
        <w:rPr>
          <w:bCs/>
        </w:rPr>
        <w:t xml:space="preserve"> où ils vivront, en tenant compte des exigences de leur vie professionnelle et des intérêts de leurs enfants (art</w:t>
      </w:r>
      <w:r>
        <w:rPr>
          <w:bCs/>
        </w:rPr>
        <w:t>.</w:t>
      </w:r>
      <w:r w:rsidRPr="00B72953">
        <w:rPr>
          <w:bCs/>
        </w:rPr>
        <w:t xml:space="preserve"> 44 du Code de la famille).</w:t>
      </w:r>
    </w:p>
    <w:p w:rsidR="00F74F46" w:rsidRPr="00B72953" w:rsidRDefault="00F74F46" w:rsidP="00F74F46">
      <w:pPr>
        <w:pStyle w:val="H1G"/>
      </w:pPr>
      <w:r w:rsidRPr="00B72953">
        <w:tab/>
      </w:r>
      <w:r w:rsidRPr="00B72953">
        <w:tab/>
        <w:t>Article 1</w:t>
      </w:r>
      <w:r>
        <w:t>6</w:t>
      </w:r>
      <w:r w:rsidRPr="00B72953">
        <w:br/>
        <w:t>Droits égaux entre les hommes et les femmes dans les questions</w:t>
      </w:r>
      <w:r w:rsidRPr="00B72953">
        <w:br/>
        <w:t xml:space="preserve">relatives au mariage et à la famille </w:t>
      </w:r>
    </w:p>
    <w:p w:rsidR="00F74F46" w:rsidRPr="00B72953" w:rsidRDefault="00F74F46" w:rsidP="00F74F46">
      <w:pPr>
        <w:pStyle w:val="SingleTxtG"/>
        <w:rPr>
          <w:bCs/>
        </w:rPr>
      </w:pPr>
      <w:r w:rsidRPr="00B72953">
        <w:rPr>
          <w:bCs/>
        </w:rPr>
        <w:t>190.</w:t>
      </w:r>
      <w:r w:rsidRPr="00B72953">
        <w:rPr>
          <w:bCs/>
        </w:rPr>
        <w:tab/>
        <w:t>C’est par la</w:t>
      </w:r>
      <w:r>
        <w:rPr>
          <w:bCs/>
        </w:rPr>
        <w:t xml:space="preserve"> loi </w:t>
      </w:r>
      <w:r w:rsidRPr="00B72953">
        <w:rPr>
          <w:rFonts w:eastAsia="MS Mincho"/>
          <w:bCs/>
        </w:rPr>
        <w:t>n</w:t>
      </w:r>
      <w:r w:rsidRPr="00B72953">
        <w:rPr>
          <w:rFonts w:eastAsia="MS Mincho"/>
          <w:bCs/>
          <w:vertAlign w:val="superscript"/>
        </w:rPr>
        <w:t>o</w:t>
      </w:r>
      <w:r w:rsidRPr="00B72953">
        <w:rPr>
          <w:bCs/>
        </w:rPr>
        <w:t xml:space="preserve"> 1 du 20 février 1988 qu’a été promulgué le Code de la famille, qui est en parfaite harmonie avec la Constitution et les principes politiques qui régissent l’Angola. Elle fonde l’égalité des droits et des devoirs entre les hommes et les femmes, pour toutes les questions relatives à la vie familiale, qu’il s’agisse de relations personnelles au sein du couple, de l’éducation des enfants </w:t>
      </w:r>
      <w:r>
        <w:rPr>
          <w:bCs/>
        </w:rPr>
        <w:t xml:space="preserve">ou de </w:t>
      </w:r>
      <w:r w:rsidRPr="00B72953">
        <w:rPr>
          <w:bCs/>
        </w:rPr>
        <w:t xml:space="preserve">questions se rapportant aux biens. </w:t>
      </w:r>
    </w:p>
    <w:p w:rsidR="00F74F46" w:rsidRPr="00B72953" w:rsidRDefault="00F74F46" w:rsidP="00F74F46">
      <w:pPr>
        <w:pStyle w:val="SingleTxtG"/>
        <w:rPr>
          <w:bCs/>
        </w:rPr>
      </w:pPr>
      <w:r w:rsidRPr="00B72953">
        <w:rPr>
          <w:bCs/>
        </w:rPr>
        <w:t>191.</w:t>
      </w:r>
      <w:r w:rsidRPr="00B72953">
        <w:rPr>
          <w:bCs/>
        </w:rPr>
        <w:tab/>
        <w:t>Le paragraphe 1 de l’article 3 du Code de la famille est ainsi conçu: «Le mari et l’épouse sont égaux au sein de la famille; ils ont les mêmes droits et devoirs».</w:t>
      </w:r>
    </w:p>
    <w:p w:rsidR="00F74F46" w:rsidRPr="00B72953" w:rsidRDefault="00F74F46" w:rsidP="00F74F46">
      <w:pPr>
        <w:pStyle w:val="SingleTxtG"/>
        <w:rPr>
          <w:bCs/>
        </w:rPr>
      </w:pPr>
      <w:r w:rsidRPr="00B72953">
        <w:rPr>
          <w:bCs/>
        </w:rPr>
        <w:t>192.</w:t>
      </w:r>
      <w:r w:rsidRPr="00B72953">
        <w:rPr>
          <w:bCs/>
        </w:rPr>
        <w:tab/>
        <w:t>L’article 21 du même Code est libellé comme suit: «Le mariage est fondé sur l’égalité et la réciprocité des droits et des devoirs des conjoints</w:t>
      </w:r>
      <w:r>
        <w:rPr>
          <w:bCs/>
        </w:rPr>
        <w:t>.</w:t>
      </w:r>
      <w:r w:rsidRPr="00B72953">
        <w:rPr>
          <w:bCs/>
        </w:rPr>
        <w:t>».</w:t>
      </w:r>
    </w:p>
    <w:p w:rsidR="00F74F46" w:rsidRPr="00B72953" w:rsidRDefault="00F74F46" w:rsidP="00F74F46">
      <w:pPr>
        <w:pStyle w:val="SingleTxtG"/>
        <w:rPr>
          <w:bCs/>
        </w:rPr>
      </w:pPr>
      <w:r w:rsidRPr="00B72953">
        <w:rPr>
          <w:bCs/>
        </w:rPr>
        <w:t>193.</w:t>
      </w:r>
      <w:r w:rsidRPr="00B72953">
        <w:rPr>
          <w:bCs/>
        </w:rPr>
        <w:tab/>
        <w:t>L’article 20 du Code de la famille énonce ce qui suit: «Le mariage est l’union volontaire entre un homme et une femme, officialisée par la loi, dont le but est de fonder une vie pleinement commune</w:t>
      </w:r>
      <w:r>
        <w:rPr>
          <w:bCs/>
        </w:rPr>
        <w:t>.</w:t>
      </w:r>
      <w:r w:rsidRPr="00B72953">
        <w:rPr>
          <w:bCs/>
        </w:rPr>
        <w:t>».</w:t>
      </w:r>
    </w:p>
    <w:p w:rsidR="00F74F46" w:rsidRPr="00B72953" w:rsidRDefault="00F74F46" w:rsidP="00F74F46">
      <w:pPr>
        <w:pStyle w:val="SingleTxtG"/>
        <w:rPr>
          <w:bCs/>
        </w:rPr>
      </w:pPr>
      <w:r w:rsidRPr="00B72953">
        <w:rPr>
          <w:bCs/>
        </w:rPr>
        <w:t>194.</w:t>
      </w:r>
      <w:r w:rsidRPr="00B72953">
        <w:rPr>
          <w:bCs/>
        </w:rPr>
        <w:tab/>
        <w:t>Le paragraphe 1 de l’article 35 du même Code souligne ce qui suit: «Pour qu’un mariage soit valide, il est essentiel que chaque partie exprime expressément son désir de contracter un mariage avec l’autre partie</w:t>
      </w:r>
      <w:r>
        <w:rPr>
          <w:bCs/>
        </w:rPr>
        <w:t>.</w:t>
      </w:r>
      <w:r w:rsidRPr="00B72953">
        <w:rPr>
          <w:bCs/>
        </w:rPr>
        <w:t>».</w:t>
      </w:r>
    </w:p>
    <w:p w:rsidR="00F74F46" w:rsidRDefault="00F74F46" w:rsidP="00F74F46">
      <w:pPr>
        <w:pStyle w:val="SingleTxtG"/>
        <w:rPr>
          <w:bCs/>
        </w:rPr>
      </w:pPr>
      <w:r w:rsidRPr="00B72953">
        <w:rPr>
          <w:bCs/>
        </w:rPr>
        <w:t>195.</w:t>
      </w:r>
      <w:r w:rsidRPr="00B72953">
        <w:rPr>
          <w:bCs/>
        </w:rPr>
        <w:tab/>
        <w:t>Le Code énonce aussi ce qui suit:</w:t>
      </w:r>
    </w:p>
    <w:p w:rsidR="00F74F46" w:rsidRPr="00B72953" w:rsidRDefault="00F74F46" w:rsidP="00F74F46">
      <w:pPr>
        <w:pStyle w:val="SingleTxtG"/>
        <w:rPr>
          <w:bCs/>
        </w:rPr>
      </w:pPr>
      <w:r w:rsidRPr="00B72953">
        <w:rPr>
          <w:bCs/>
        </w:rPr>
        <w:t>L’article 21 dispose: «Le mariage est fondé sur l’égalité et la réciprocité des droits et des devoirs des conjoints</w:t>
      </w:r>
      <w:r>
        <w:rPr>
          <w:bCs/>
        </w:rPr>
        <w:t>.</w:t>
      </w:r>
      <w:r w:rsidRPr="00B72953">
        <w:rPr>
          <w:bCs/>
        </w:rPr>
        <w:t>».</w:t>
      </w:r>
    </w:p>
    <w:p w:rsidR="00F74F46" w:rsidRPr="00B72953" w:rsidRDefault="00F74F46" w:rsidP="00F74F46">
      <w:pPr>
        <w:pStyle w:val="SingleTxtG"/>
        <w:rPr>
          <w:bCs/>
        </w:rPr>
      </w:pPr>
      <w:r w:rsidRPr="00B72953">
        <w:rPr>
          <w:bCs/>
        </w:rPr>
        <w:t>196.</w:t>
      </w:r>
      <w:r w:rsidRPr="00B72953">
        <w:rPr>
          <w:bCs/>
        </w:rPr>
        <w:tab/>
        <w:t>L’article 43 réaffirme ce qui suit: «Les conjoints sont mutuellement tenus de se respecter l’un l’autre, d’être fidèle</w:t>
      </w:r>
      <w:r>
        <w:rPr>
          <w:bCs/>
        </w:rPr>
        <w:t>s</w:t>
      </w:r>
      <w:r w:rsidRPr="00B72953">
        <w:rPr>
          <w:bCs/>
        </w:rPr>
        <w:t xml:space="preserve"> l’un à l’autre, de cohabiter, de coopérer et de se porter assistance</w:t>
      </w:r>
      <w:r>
        <w:rPr>
          <w:bCs/>
        </w:rPr>
        <w:t>.</w:t>
      </w:r>
      <w:r w:rsidRPr="00B72953">
        <w:rPr>
          <w:bCs/>
        </w:rPr>
        <w:t>».</w:t>
      </w:r>
    </w:p>
    <w:p w:rsidR="00F74F46" w:rsidRPr="00B72953" w:rsidRDefault="00F74F46" w:rsidP="00F74F46">
      <w:pPr>
        <w:pStyle w:val="SingleTxtG"/>
        <w:rPr>
          <w:bCs/>
        </w:rPr>
      </w:pPr>
      <w:r w:rsidRPr="00B72953">
        <w:rPr>
          <w:bCs/>
        </w:rPr>
        <w:t>197.</w:t>
      </w:r>
      <w:r w:rsidRPr="00B72953">
        <w:rPr>
          <w:bCs/>
        </w:rPr>
        <w:tab/>
        <w:t xml:space="preserve">L’article 74 est libellé comme suit: «Le mariage est dissous par: </w:t>
      </w:r>
    </w:p>
    <w:p w:rsidR="00F74F46" w:rsidRPr="00B72953" w:rsidRDefault="00F74F46" w:rsidP="00F74F46">
      <w:pPr>
        <w:pStyle w:val="Bullet1G"/>
      </w:pPr>
      <w:r w:rsidRPr="00B72953">
        <w:t>Le décès de l’un des conjoints;</w:t>
      </w:r>
    </w:p>
    <w:p w:rsidR="00F74F46" w:rsidRPr="00B72953" w:rsidRDefault="00F74F46" w:rsidP="00F74F46">
      <w:pPr>
        <w:pStyle w:val="Bullet1G"/>
      </w:pPr>
      <w:r w:rsidRPr="00B72953">
        <w:t>Une décision de justice selon laquelle l’un des conjoints est présumé décédé;</w:t>
      </w:r>
    </w:p>
    <w:p w:rsidR="00F74F46" w:rsidRPr="00B72953" w:rsidRDefault="00F74F46" w:rsidP="00F74F46">
      <w:pPr>
        <w:pStyle w:val="Bullet1G"/>
      </w:pPr>
      <w:r w:rsidRPr="00B72953">
        <w:t>Le divorce.».</w:t>
      </w:r>
    </w:p>
    <w:p w:rsidR="00F74F46" w:rsidRPr="00B72953" w:rsidRDefault="00F74F46" w:rsidP="00F74F46">
      <w:pPr>
        <w:pStyle w:val="SingleTxtG"/>
        <w:rPr>
          <w:bCs/>
        </w:rPr>
      </w:pPr>
      <w:r w:rsidRPr="00B72953">
        <w:rPr>
          <w:bCs/>
        </w:rPr>
        <w:t>198.</w:t>
      </w:r>
      <w:r w:rsidRPr="00B72953">
        <w:rPr>
          <w:bCs/>
        </w:rPr>
        <w:tab/>
        <w:t>Le paragraphe 1 de l’article 75 est ainsi conçu: «Lorsque le mariage est dissous par le décès d’un des conjoints, le conjoint survivant conserve les droits et avantages acquis par le mariage et les biens communs sont répartis entre le conjoint survivant et les héritiers du conjoint décédé</w:t>
      </w:r>
      <w:r>
        <w:rPr>
          <w:bCs/>
        </w:rPr>
        <w:t>.</w:t>
      </w:r>
      <w:r w:rsidRPr="00B72953">
        <w:rPr>
          <w:bCs/>
        </w:rPr>
        <w:t>».</w:t>
      </w:r>
    </w:p>
    <w:p w:rsidR="00F74F46" w:rsidRPr="00B72953" w:rsidRDefault="00F74F46" w:rsidP="00F74F46">
      <w:pPr>
        <w:pStyle w:val="SingleTxtG"/>
        <w:rPr>
          <w:bCs/>
        </w:rPr>
      </w:pPr>
      <w:r w:rsidRPr="00B72953">
        <w:rPr>
          <w:bCs/>
        </w:rPr>
        <w:t>199.</w:t>
      </w:r>
      <w:r w:rsidRPr="00B72953">
        <w:rPr>
          <w:bCs/>
        </w:rPr>
        <w:tab/>
        <w:t>Le paragraphe 2 de l’article est ainsi conçu: «Lors de la division des biens, le conjoint survivant peut, sur la base de la préférence, choisir la part qui lui revient du fait du mariage dans les biens communs qui ont été utilisés au cours de la vie au foyer ou comme outil de travail individuel ou commun</w:t>
      </w:r>
      <w:r>
        <w:rPr>
          <w:bCs/>
        </w:rPr>
        <w:t>.</w:t>
      </w:r>
      <w:r w:rsidRPr="00B72953">
        <w:rPr>
          <w:bCs/>
        </w:rPr>
        <w:t>».</w:t>
      </w:r>
    </w:p>
    <w:p w:rsidR="00F74F46" w:rsidRPr="00B72953" w:rsidRDefault="00F74F46" w:rsidP="00F74F46">
      <w:pPr>
        <w:pStyle w:val="SingleTxtG"/>
        <w:rPr>
          <w:bCs/>
        </w:rPr>
      </w:pPr>
      <w:r w:rsidRPr="00B72953">
        <w:rPr>
          <w:bCs/>
        </w:rPr>
        <w:t>200.</w:t>
      </w:r>
      <w:r w:rsidRPr="00B72953">
        <w:rPr>
          <w:bCs/>
        </w:rPr>
        <w:tab/>
        <w:t>Le paragraphe 3 de l’article est ainsi libellé: «Les dettes contractées auprès de tierces parties ou entre conjoints seront réglé</w:t>
      </w:r>
      <w:r>
        <w:rPr>
          <w:bCs/>
        </w:rPr>
        <w:t>e</w:t>
      </w:r>
      <w:r w:rsidRPr="00B72953">
        <w:rPr>
          <w:bCs/>
        </w:rPr>
        <w:t>s par la suite par la part qui revient à l’emprunteur dans les biens qui sont communs du fait du mariage et par les biens appartenant à titre individuel à l’emprunteur</w:t>
      </w:r>
      <w:r>
        <w:rPr>
          <w:bCs/>
        </w:rPr>
        <w:t>.».</w:t>
      </w:r>
    </w:p>
    <w:p w:rsidR="00F74F46" w:rsidRPr="00B72953" w:rsidRDefault="00F74F46" w:rsidP="00F74F46">
      <w:pPr>
        <w:pStyle w:val="SingleTxtG"/>
        <w:rPr>
          <w:bCs/>
        </w:rPr>
      </w:pPr>
      <w:r w:rsidRPr="00B72953">
        <w:rPr>
          <w:bCs/>
        </w:rPr>
        <w:t>201.</w:t>
      </w:r>
      <w:r w:rsidRPr="00B72953">
        <w:rPr>
          <w:bCs/>
        </w:rPr>
        <w:tab/>
        <w:t>Le paragraphe 4 de l’article est conçu comme suit: «La dissolution d’un mariage par le décès d’un des conjoints a pour conséquence, conformément à la loi, le transfert au conjoint survivant des droits au bail</w:t>
      </w:r>
      <w:r>
        <w:rPr>
          <w:bCs/>
        </w:rPr>
        <w:t>.</w:t>
      </w:r>
      <w:r w:rsidRPr="00B72953">
        <w:rPr>
          <w:bCs/>
        </w:rPr>
        <w:t xml:space="preserve">». </w:t>
      </w:r>
    </w:p>
    <w:p w:rsidR="00F74F46" w:rsidRPr="00B72953" w:rsidRDefault="00F74F46" w:rsidP="00F74F46">
      <w:pPr>
        <w:pStyle w:val="SingleTxtG"/>
        <w:rPr>
          <w:bCs/>
        </w:rPr>
      </w:pPr>
      <w:r w:rsidRPr="00B72953">
        <w:rPr>
          <w:bCs/>
        </w:rPr>
        <w:t>202.</w:t>
      </w:r>
      <w:r w:rsidRPr="00B72953">
        <w:rPr>
          <w:bCs/>
        </w:rPr>
        <w:tab/>
        <w:t>L’article 76 dispose c</w:t>
      </w:r>
      <w:r>
        <w:rPr>
          <w:bCs/>
        </w:rPr>
        <w:t>e qui</w:t>
      </w:r>
      <w:r w:rsidRPr="00B72953">
        <w:rPr>
          <w:bCs/>
        </w:rPr>
        <w:t xml:space="preserve"> suit: «L’un ou l’autre des conjoints peut demander à un tribunal de prononcer le dé</w:t>
      </w:r>
      <w:r>
        <w:rPr>
          <w:bCs/>
        </w:rPr>
        <w:t>cès présumé de l’autre conjoint</w:t>
      </w:r>
      <w:r w:rsidRPr="00B72953">
        <w:rPr>
          <w:bCs/>
        </w:rPr>
        <w:t xml:space="preserve"> si trois années se sont écoulées depuis la dernière fois que celui-ci a donné de ses nouvelles, et sous réserve de fortes indications qu’il y a eu décès</w:t>
      </w:r>
      <w:r>
        <w:rPr>
          <w:bCs/>
        </w:rPr>
        <w:t>.</w:t>
      </w:r>
      <w:r w:rsidRPr="00B72953">
        <w:rPr>
          <w:bCs/>
        </w:rPr>
        <w:t>».</w:t>
      </w:r>
    </w:p>
    <w:p w:rsidR="00F74F46" w:rsidRPr="00B72953" w:rsidRDefault="00F74F46" w:rsidP="00F74F46">
      <w:pPr>
        <w:pStyle w:val="SingleTxtG"/>
        <w:rPr>
          <w:bCs/>
        </w:rPr>
      </w:pPr>
      <w:r w:rsidRPr="00B72953">
        <w:rPr>
          <w:bCs/>
        </w:rPr>
        <w:t>203.</w:t>
      </w:r>
      <w:r w:rsidRPr="00B72953">
        <w:rPr>
          <w:bCs/>
        </w:rPr>
        <w:tab/>
        <w:t>L’article 78 énonce ce qui suit: «Les conjoints peuvent demander le divorce dans le cas d’une détérioration totale et irrémédiable des principes sur lesquels reposait leur union, lorsque le mariage a perdu son sens pour les époux, les enfants et la société</w:t>
      </w:r>
      <w:r>
        <w:rPr>
          <w:bCs/>
        </w:rPr>
        <w:t>.</w:t>
      </w:r>
      <w:r w:rsidRPr="00B72953">
        <w:rPr>
          <w:bCs/>
        </w:rPr>
        <w:t>».</w:t>
      </w:r>
    </w:p>
    <w:p w:rsidR="00F74F46" w:rsidRPr="00B72953" w:rsidRDefault="00F74F46" w:rsidP="00F74F46">
      <w:pPr>
        <w:pStyle w:val="SingleTxtG"/>
        <w:rPr>
          <w:bCs/>
        </w:rPr>
      </w:pPr>
      <w:r w:rsidRPr="00B72953">
        <w:rPr>
          <w:bCs/>
        </w:rPr>
        <w:t>204.</w:t>
      </w:r>
      <w:r w:rsidRPr="00B72953">
        <w:rPr>
          <w:bCs/>
        </w:rPr>
        <w:tab/>
        <w:t>Le paragraphe 1 de l’article 127 dispose c</w:t>
      </w:r>
      <w:r>
        <w:rPr>
          <w:bCs/>
        </w:rPr>
        <w:t xml:space="preserve">e qui </w:t>
      </w:r>
      <w:r w:rsidRPr="00B72953">
        <w:rPr>
          <w:bCs/>
        </w:rPr>
        <w:t>suit: «Le père et la mère ont, à l’égard de leurs enfants, les mêmes devoirs et les mêmes droits</w:t>
      </w:r>
      <w:r>
        <w:rPr>
          <w:bCs/>
        </w:rPr>
        <w:t>.</w:t>
      </w:r>
      <w:r w:rsidRPr="00B72953">
        <w:rPr>
          <w:bCs/>
        </w:rPr>
        <w:t>».</w:t>
      </w:r>
    </w:p>
    <w:p w:rsidR="00F74F46" w:rsidRPr="00B72953" w:rsidRDefault="00F74F46" w:rsidP="00F74F46">
      <w:pPr>
        <w:pStyle w:val="SingleTxtG"/>
        <w:rPr>
          <w:bCs/>
        </w:rPr>
      </w:pPr>
      <w:r w:rsidRPr="00B72953">
        <w:rPr>
          <w:bCs/>
        </w:rPr>
        <w:t>205.</w:t>
      </w:r>
      <w:r w:rsidRPr="00B72953">
        <w:rPr>
          <w:bCs/>
        </w:rPr>
        <w:tab/>
        <w:t>Le paragraphe 2 du même article renforce la disposition comme suit: «Les devoirs et droits parentaux doivent être accomplis et exercés dans l’intérêt et au profit des enfants et de la société</w:t>
      </w:r>
      <w:r>
        <w:rPr>
          <w:bCs/>
        </w:rPr>
        <w:t>.</w:t>
      </w:r>
      <w:r w:rsidRPr="00B72953">
        <w:rPr>
          <w:bCs/>
        </w:rPr>
        <w:t>».</w:t>
      </w:r>
    </w:p>
    <w:p w:rsidR="00F74F46" w:rsidRPr="00B72953" w:rsidRDefault="00F74F46" w:rsidP="00F74F46">
      <w:pPr>
        <w:pStyle w:val="SingleTxtG"/>
        <w:rPr>
          <w:bCs/>
        </w:rPr>
      </w:pPr>
      <w:r w:rsidRPr="00B72953">
        <w:rPr>
          <w:bCs/>
        </w:rPr>
        <w:t>206.</w:t>
      </w:r>
      <w:r w:rsidRPr="00B72953">
        <w:rPr>
          <w:bCs/>
        </w:rPr>
        <w:tab/>
        <w:t>Ce principe de l’égalité des droits et des devoirs entre les hommes et les femmes dans les relations familiales est démontré dans le domaine des relations entre parents et enfants, le père et la mère, qu’ils soient eux-mêmes unis ou non par les liens du mariage, ayant des droits et devoirs égaux à l’égard de leurs enfants.</w:t>
      </w:r>
    </w:p>
    <w:p w:rsidR="00F74F46" w:rsidRPr="00B72953" w:rsidRDefault="00F74F46" w:rsidP="00F74F46">
      <w:pPr>
        <w:pStyle w:val="SingleTxtG"/>
        <w:rPr>
          <w:bCs/>
        </w:rPr>
      </w:pPr>
      <w:r w:rsidRPr="00B72953">
        <w:rPr>
          <w:bCs/>
        </w:rPr>
        <w:t>207.</w:t>
      </w:r>
      <w:r w:rsidRPr="00B72953">
        <w:rPr>
          <w:bCs/>
        </w:rPr>
        <w:tab/>
        <w:t>L’article 131 du Code de la famille est ainsi libellé: «Le père et la mère doivent coopérer pour prendre soin de leurs enfants, les protéger et les aider, dans le cadre de l’exercice de leurs droits et de l’accomplissement de leurs devoirs, avec une responsabilité égale, et doivent contribuer, par le bon exemple qu’ils donnent, à l’éducation de leurs enfants</w:t>
      </w:r>
      <w:r>
        <w:rPr>
          <w:bCs/>
        </w:rPr>
        <w:t>.</w:t>
      </w:r>
      <w:r w:rsidRPr="00B72953">
        <w:rPr>
          <w:bCs/>
        </w:rPr>
        <w:t>».</w:t>
      </w:r>
    </w:p>
    <w:p w:rsidR="00F74F46" w:rsidRPr="00B72953" w:rsidRDefault="00F74F46" w:rsidP="00F74F46">
      <w:pPr>
        <w:pStyle w:val="SingleTxtG"/>
        <w:rPr>
          <w:bCs/>
        </w:rPr>
      </w:pPr>
      <w:r w:rsidRPr="00B72953">
        <w:rPr>
          <w:bCs/>
        </w:rPr>
        <w:t>208.</w:t>
      </w:r>
      <w:r w:rsidRPr="00B72953">
        <w:rPr>
          <w:bCs/>
        </w:rPr>
        <w:tab/>
        <w:t xml:space="preserve">La réciprocité des droits entre parents et enfants ne consiste pas en une relation d’égalité, étant donné que les deux parents ont, à l’égard des enfants, des devoirs plus importants. Cela est énoncé </w:t>
      </w:r>
      <w:r>
        <w:rPr>
          <w:bCs/>
        </w:rPr>
        <w:t xml:space="preserve">non </w:t>
      </w:r>
      <w:r w:rsidRPr="00B72953">
        <w:rPr>
          <w:bCs/>
        </w:rPr>
        <w:t>seulement à l’article 131, mais aussi dans tous les autres articles du Code, à l’exception du cas limité de l’article 132, qui traite des devoirs des enfants à l’égard de leurs parents.</w:t>
      </w:r>
    </w:p>
    <w:p w:rsidR="00F74F46" w:rsidRPr="00B72953" w:rsidRDefault="00F74F46" w:rsidP="00F74F46">
      <w:pPr>
        <w:pStyle w:val="SingleTxtG"/>
        <w:rPr>
          <w:bCs/>
        </w:rPr>
      </w:pPr>
      <w:r w:rsidRPr="00B72953">
        <w:rPr>
          <w:bCs/>
        </w:rPr>
        <w:t>209.</w:t>
      </w:r>
      <w:r w:rsidRPr="00B72953">
        <w:rPr>
          <w:bCs/>
        </w:rPr>
        <w:tab/>
        <w:t>L’article 4 du Code de la famille est libellé comme suit: «Les enfants doivent bénéficier d’une attention spéciale au sein de la famille, qui a la responsabilité, avec l’État, de leur assurer la plus grande protection possible et l’égalité la plus absolue possible, afin qu’ils puissent se développer pleinement sur les plans physique et psychologique, et renforcer leur éducation ainsi que les liens entre la famille et la société</w:t>
      </w:r>
      <w:r>
        <w:rPr>
          <w:bCs/>
        </w:rPr>
        <w:t>.</w:t>
      </w:r>
      <w:r w:rsidRPr="00B72953">
        <w:rPr>
          <w:bCs/>
        </w:rPr>
        <w:t>».</w:t>
      </w:r>
    </w:p>
    <w:p w:rsidR="00F74F46" w:rsidRPr="00B72953" w:rsidRDefault="00F74F46" w:rsidP="00F74F46">
      <w:pPr>
        <w:pStyle w:val="SingleTxtG"/>
        <w:rPr>
          <w:bCs/>
        </w:rPr>
      </w:pPr>
      <w:r w:rsidRPr="00B72953">
        <w:rPr>
          <w:bCs/>
        </w:rPr>
        <w:t>210.</w:t>
      </w:r>
      <w:r w:rsidRPr="00B72953">
        <w:rPr>
          <w:bCs/>
        </w:rPr>
        <w:tab/>
        <w:t>Le concept de la tutelle apparaît dans la législation comme suit:</w:t>
      </w:r>
    </w:p>
    <w:p w:rsidR="00F74F46" w:rsidRPr="00B72953" w:rsidRDefault="00F74F46" w:rsidP="00F74F46">
      <w:pPr>
        <w:pStyle w:val="SingleTxtG"/>
        <w:rPr>
          <w:bCs/>
        </w:rPr>
      </w:pPr>
      <w:r w:rsidRPr="00B72953">
        <w:rPr>
          <w:bCs/>
        </w:rPr>
        <w:t>L’article 221 du Code de la famille est ainsi libellé: «La tutelle implique la suppression de l’autorité parentale sur des mineurs, l’exercice d’une tutelle les concernant, la prise en charge de leur éducation, de leur développement et la supervision de leurs intérêts personnels et de leurs biens ainsi que la défense et la protection des biens de personnes juridiquement en âge d’être placées sous restriction judiciaire</w:t>
      </w:r>
      <w:r>
        <w:rPr>
          <w:bCs/>
        </w:rPr>
        <w:t>.</w:t>
      </w:r>
      <w:r w:rsidRPr="00B72953">
        <w:rPr>
          <w:bCs/>
        </w:rPr>
        <w:t>».</w:t>
      </w:r>
    </w:p>
    <w:p w:rsidR="00F74F46" w:rsidRPr="00B72953" w:rsidRDefault="00F74F46" w:rsidP="00F74F46">
      <w:pPr>
        <w:pStyle w:val="SingleTxtG"/>
        <w:rPr>
          <w:bCs/>
        </w:rPr>
      </w:pPr>
      <w:r w:rsidRPr="00B72953">
        <w:rPr>
          <w:bCs/>
        </w:rPr>
        <w:t>Le paragraphe 1 de l’article 236 est ainsi libellé: «La tutelle doit être exercée dans l’intérêt de la personne placée sous tutelle et de la société</w:t>
      </w:r>
      <w:r>
        <w:rPr>
          <w:bCs/>
        </w:rPr>
        <w:t>.</w:t>
      </w:r>
      <w:r w:rsidRPr="00B72953">
        <w:rPr>
          <w:bCs/>
        </w:rPr>
        <w:t>». Le paragraphe 2 est ainsi libellé: «Dans l’exercice de leur autorité parentale, les tuteurs ont les droits et devoirs de parents</w:t>
      </w:r>
      <w:r>
        <w:rPr>
          <w:bCs/>
        </w:rPr>
        <w:t>.</w:t>
      </w:r>
      <w:r w:rsidRPr="00B72953">
        <w:rPr>
          <w:bCs/>
        </w:rPr>
        <w:t xml:space="preserve">». </w:t>
      </w:r>
    </w:p>
    <w:p w:rsidR="00F74F46" w:rsidRPr="00B72953" w:rsidRDefault="00F74F46" w:rsidP="00F74F46">
      <w:pPr>
        <w:pStyle w:val="SingleTxtG"/>
        <w:rPr>
          <w:bCs/>
        </w:rPr>
      </w:pPr>
      <w:r w:rsidRPr="00B72953">
        <w:rPr>
          <w:bCs/>
        </w:rPr>
        <w:t>211.</w:t>
      </w:r>
      <w:r w:rsidRPr="00B72953">
        <w:rPr>
          <w:bCs/>
        </w:rPr>
        <w:tab/>
        <w:t>Notre législation énonce ce qui suit au sujet du tutorat: Le paragraphe 1 de l’</w:t>
      </w:r>
      <w:r>
        <w:rPr>
          <w:bCs/>
        </w:rPr>
        <w:t>article </w:t>
      </w:r>
      <w:r w:rsidRPr="00B72953">
        <w:rPr>
          <w:bCs/>
        </w:rPr>
        <w:t>89 du Code civil dispose c</w:t>
      </w:r>
      <w:r>
        <w:rPr>
          <w:bCs/>
        </w:rPr>
        <w:t xml:space="preserve">e qui </w:t>
      </w:r>
      <w:r w:rsidRPr="00B72953">
        <w:rPr>
          <w:bCs/>
        </w:rPr>
        <w:t>suit: «En cas de besoin, pour l’administration des biens d’une personne disparue, dont on est sans nouvelles et qui n’a p</w:t>
      </w:r>
      <w:r>
        <w:rPr>
          <w:bCs/>
        </w:rPr>
        <w:t>as laissé de représentant légal</w:t>
      </w:r>
      <w:r w:rsidRPr="00B72953">
        <w:rPr>
          <w:bCs/>
        </w:rPr>
        <w:t xml:space="preserve"> ni de mandataire, le tribunal doit désigner un tuteur provisoire</w:t>
      </w:r>
      <w:r>
        <w:rPr>
          <w:bCs/>
        </w:rPr>
        <w:t>.</w:t>
      </w:r>
      <w:r w:rsidRPr="00B72953">
        <w:rPr>
          <w:bCs/>
        </w:rPr>
        <w:t>».</w:t>
      </w:r>
    </w:p>
    <w:p w:rsidR="00F74F46" w:rsidRPr="00B72953" w:rsidRDefault="00F74F46" w:rsidP="00F74F46">
      <w:pPr>
        <w:pStyle w:val="SingleTxtG"/>
        <w:rPr>
          <w:bCs/>
        </w:rPr>
      </w:pPr>
      <w:r w:rsidRPr="00B72953">
        <w:rPr>
          <w:bCs/>
        </w:rPr>
        <w:t>21</w:t>
      </w:r>
      <w:r>
        <w:rPr>
          <w:bCs/>
        </w:rPr>
        <w:t>2.</w:t>
      </w:r>
      <w:r>
        <w:rPr>
          <w:bCs/>
        </w:rPr>
        <w:tab/>
        <w:t>Le paragraphe 2 dispose ce qui</w:t>
      </w:r>
      <w:r w:rsidRPr="00B72953">
        <w:rPr>
          <w:bCs/>
        </w:rPr>
        <w:t xml:space="preserve"> suit: «Un tuteur doit être désigné pour la partie absente, si le représentant légal ne veut pas ou ne peut pas s’acquitter des devoirs qui lui incombent</w:t>
      </w:r>
      <w:r>
        <w:rPr>
          <w:bCs/>
        </w:rPr>
        <w:t>.</w:t>
      </w:r>
      <w:r w:rsidRPr="00B72953">
        <w:rPr>
          <w:bCs/>
        </w:rPr>
        <w:t>».</w:t>
      </w:r>
    </w:p>
    <w:p w:rsidR="00F74F46" w:rsidRPr="00B72953" w:rsidRDefault="00F74F46" w:rsidP="00F74F46">
      <w:pPr>
        <w:pStyle w:val="SingleTxtG"/>
        <w:rPr>
          <w:bCs/>
        </w:rPr>
      </w:pPr>
      <w:r w:rsidRPr="00B72953">
        <w:rPr>
          <w:bCs/>
        </w:rPr>
        <w:t>213.</w:t>
      </w:r>
      <w:r w:rsidRPr="00B72953">
        <w:rPr>
          <w:bCs/>
        </w:rPr>
        <w:tab/>
        <w:t>Le paragraphe 3 est libellé comme suit: «Un tuteur spécial peut être désigné pour certaines transactions, lorsque les circonstances l’exigent</w:t>
      </w:r>
      <w:r>
        <w:rPr>
          <w:bCs/>
        </w:rPr>
        <w:t>.</w:t>
      </w:r>
      <w:r w:rsidRPr="00B72953">
        <w:rPr>
          <w:bCs/>
        </w:rPr>
        <w:t>».</w:t>
      </w:r>
    </w:p>
    <w:p w:rsidR="00F74F46" w:rsidRPr="00B72953" w:rsidRDefault="00F74F46" w:rsidP="00F74F46">
      <w:pPr>
        <w:pStyle w:val="SingleTxtG"/>
        <w:rPr>
          <w:bCs/>
        </w:rPr>
      </w:pPr>
      <w:r w:rsidRPr="00B72953">
        <w:rPr>
          <w:bCs/>
        </w:rPr>
        <w:t>214.</w:t>
      </w:r>
      <w:r w:rsidRPr="00B72953">
        <w:rPr>
          <w:bCs/>
        </w:rPr>
        <w:tab/>
        <w:t>Le Code civil aussi précise qui doit être désigné en tant que tuteur provisoire. Le paragraphe 1 de l’article 92 dispose qu’un «tuteur temporaire est désigné parmi les personnes suivantes: le conjoint de la partie absente, l’un ou quelques</w:t>
      </w:r>
      <w:r>
        <w:rPr>
          <w:bCs/>
        </w:rPr>
        <w:t>-</w:t>
      </w:r>
      <w:r w:rsidRPr="00B72953">
        <w:rPr>
          <w:bCs/>
        </w:rPr>
        <w:t>uns de ses présumés héritiers, ou l’une ou quelques</w:t>
      </w:r>
      <w:r>
        <w:rPr>
          <w:bCs/>
        </w:rPr>
        <w:t>-</w:t>
      </w:r>
      <w:r w:rsidRPr="00B72953">
        <w:rPr>
          <w:bCs/>
        </w:rPr>
        <w:t>unes des parties qui ont un intérêt dans la préservation des biens». Le paragraphe 2 dispose c</w:t>
      </w:r>
      <w:r>
        <w:rPr>
          <w:bCs/>
        </w:rPr>
        <w:t xml:space="preserve">e qui </w:t>
      </w:r>
      <w:r w:rsidRPr="00B72953">
        <w:rPr>
          <w:bCs/>
        </w:rPr>
        <w:t>suit: «En cas de conflit d’intérêt</w:t>
      </w:r>
      <w:r>
        <w:rPr>
          <w:bCs/>
        </w:rPr>
        <w:t>s</w:t>
      </w:r>
      <w:r w:rsidRPr="00B72953">
        <w:rPr>
          <w:bCs/>
        </w:rPr>
        <w:t xml:space="preserve"> entre la personne absente et le tuteur ou entre la personne absente et le conjoint, les ascendants et les descendants du tuteur, un tuteur spécial doit être désigné en application des dispositions du paragraphe 3 de l’article 89</w:t>
      </w:r>
      <w:r>
        <w:rPr>
          <w:bCs/>
        </w:rPr>
        <w:t>.</w:t>
      </w:r>
      <w:r w:rsidRPr="00B72953">
        <w:rPr>
          <w:bCs/>
        </w:rPr>
        <w:t xml:space="preserve">». En pareil cas, voici </w:t>
      </w:r>
      <w:r>
        <w:rPr>
          <w:bCs/>
        </w:rPr>
        <w:t>comment l’absence est justifiée</w:t>
      </w:r>
      <w:r w:rsidRPr="00B72953">
        <w:rPr>
          <w:bCs/>
        </w:rPr>
        <w:t>: «Après un délai de deux ans, s’il n’y a pas de nouvelles de la personne absente n’ayant pas laissé de représentant légal ni de mandataire ou, autrement, après un délai de cinq ans, le Procureur public ou l’une quelconque des parties intéressées peut demander une justification de l’absence</w:t>
      </w:r>
      <w:r>
        <w:rPr>
          <w:bCs/>
        </w:rPr>
        <w:t>.</w:t>
      </w:r>
      <w:r w:rsidRPr="00B72953">
        <w:rPr>
          <w:bCs/>
        </w:rPr>
        <w:t>» (art</w:t>
      </w:r>
      <w:r>
        <w:rPr>
          <w:bCs/>
        </w:rPr>
        <w:t>.</w:t>
      </w:r>
      <w:r w:rsidRPr="00B72953">
        <w:rPr>
          <w:bCs/>
        </w:rPr>
        <w:t xml:space="preserve"> 99 du Code civil). Les personnes suivantes sont fondées à demander la constatation de l’absence: un conjoint qui n’est pas légalement séparé de l’absent sur les plans personnel et des biens; les héritiers de la personne absente et quiconque ayant une réclamation concernant les biens de la personne absente, sous réserve du décès de celle-ci (a</w:t>
      </w:r>
      <w:r>
        <w:rPr>
          <w:bCs/>
        </w:rPr>
        <w:t xml:space="preserve">rt. </w:t>
      </w:r>
      <w:r w:rsidRPr="00B72953">
        <w:rPr>
          <w:bCs/>
        </w:rPr>
        <w:t>100 du Code civil). Enfin, ce sont les héritiers et les autres parties intéressées auxquels les biens de la personne absente ont été remis qui sont désignés comme tuteurs permanents (art</w:t>
      </w:r>
      <w:r>
        <w:rPr>
          <w:bCs/>
        </w:rPr>
        <w:t>.</w:t>
      </w:r>
      <w:r w:rsidRPr="00B72953">
        <w:rPr>
          <w:bCs/>
        </w:rPr>
        <w:t xml:space="preserve"> 104 du Code civil).</w:t>
      </w:r>
    </w:p>
    <w:p w:rsidR="00F74F46" w:rsidRPr="00B72953" w:rsidRDefault="00F74F46" w:rsidP="00F74F46">
      <w:pPr>
        <w:pStyle w:val="SingleTxtG"/>
        <w:rPr>
          <w:bCs/>
        </w:rPr>
      </w:pPr>
      <w:r w:rsidRPr="00B72953">
        <w:rPr>
          <w:bCs/>
        </w:rPr>
        <w:t>215.</w:t>
      </w:r>
      <w:r w:rsidRPr="00B72953">
        <w:rPr>
          <w:bCs/>
        </w:rPr>
        <w:tab/>
        <w:t xml:space="preserve">Sur la question de l’adoption, l’article 197 du Code </w:t>
      </w:r>
      <w:r>
        <w:rPr>
          <w:bCs/>
        </w:rPr>
        <w:t xml:space="preserve">de </w:t>
      </w:r>
      <w:r w:rsidRPr="00B72953">
        <w:rPr>
          <w:bCs/>
        </w:rPr>
        <w:t>la famille est ainsi conçu: «L’adoption vise à assurer la protection sociale, morale et affective du mineur et elle établit une relation de parenté qui est la même que celle qui lie des enfants à leurs parents naturels</w:t>
      </w:r>
      <w:r>
        <w:rPr>
          <w:bCs/>
        </w:rPr>
        <w:t>.</w:t>
      </w:r>
      <w:r w:rsidRPr="00B72953">
        <w:rPr>
          <w:bCs/>
        </w:rPr>
        <w:t>».</w:t>
      </w:r>
    </w:p>
    <w:p w:rsidR="00F74F46" w:rsidRPr="00B72953" w:rsidRDefault="00F74F46" w:rsidP="00F74F46">
      <w:pPr>
        <w:pStyle w:val="SingleTxtG"/>
        <w:rPr>
          <w:bCs/>
        </w:rPr>
      </w:pPr>
      <w:r>
        <w:rPr>
          <w:bCs/>
        </w:rPr>
        <w:t>216.</w:t>
      </w:r>
      <w:r>
        <w:rPr>
          <w:bCs/>
        </w:rPr>
        <w:tab/>
        <w:t xml:space="preserve">La loi </w:t>
      </w:r>
      <w:r w:rsidRPr="00212EA6">
        <w:rPr>
          <w:rFonts w:eastAsia="MS Mincho"/>
          <w:bCs/>
        </w:rPr>
        <w:t>n</w:t>
      </w:r>
      <w:r w:rsidRPr="00212EA6">
        <w:rPr>
          <w:rFonts w:eastAsia="MS Mincho"/>
          <w:bCs/>
          <w:vertAlign w:val="superscript"/>
        </w:rPr>
        <w:t>o</w:t>
      </w:r>
      <w:r w:rsidRPr="00B72953">
        <w:rPr>
          <w:bCs/>
        </w:rPr>
        <w:t xml:space="preserve"> 7 du 27 août 1980, loi sur l’adoption et le placement de mineurs, a abrogé les articles 1973 à 2002 du Code civil et a créé le nouveau cadre juridique de l’adoption. Cette loi «a cherché à réduire les effets de deux guerres de libération nationale sur la vie de milliers d’enfants, dont ces guerres ont fait des orphelins et provoqué l’abandon». </w:t>
      </w:r>
    </w:p>
    <w:p w:rsidR="00F74F46" w:rsidRPr="00B72953" w:rsidRDefault="00F74F46" w:rsidP="00F74F46">
      <w:pPr>
        <w:pStyle w:val="SingleTxtG"/>
        <w:rPr>
          <w:bCs/>
        </w:rPr>
      </w:pPr>
      <w:r w:rsidRPr="00B72953">
        <w:rPr>
          <w:bCs/>
        </w:rPr>
        <w:t>217.</w:t>
      </w:r>
      <w:r w:rsidRPr="00B72953">
        <w:rPr>
          <w:bCs/>
        </w:rPr>
        <w:tab/>
        <w:t>Le Code de la famille a pris en compte les principaux points de cette loi. Toutefois, il a élargi le lien créé par l’adoption, son article 8 présentant l’adoption comme équivalant à l’établissement d’un lien du sang. L’adoption se fait par décision rendue par un tribunal (par</w:t>
      </w:r>
      <w:r>
        <w:rPr>
          <w:bCs/>
        </w:rPr>
        <w:t>.</w:t>
      </w:r>
      <w:r w:rsidRPr="00B72953">
        <w:rPr>
          <w:bCs/>
        </w:rPr>
        <w:t xml:space="preserve"> 1 de l’article 212 du Code de la famille).</w:t>
      </w:r>
    </w:p>
    <w:p w:rsidR="00F74F46" w:rsidRPr="00B72953" w:rsidRDefault="00F74F46" w:rsidP="00F74F46">
      <w:pPr>
        <w:pStyle w:val="SingleTxtG"/>
        <w:rPr>
          <w:bCs/>
        </w:rPr>
      </w:pPr>
      <w:r w:rsidRPr="00B72953">
        <w:rPr>
          <w:bCs/>
        </w:rPr>
        <w:t>218.</w:t>
      </w:r>
      <w:r w:rsidRPr="00B72953">
        <w:rPr>
          <w:bCs/>
        </w:rPr>
        <w:tab/>
        <w:t xml:space="preserve">Les effets de l’adoption pour l’adoptant et l’adopté sont énoncés à l’article 198, l’octroi de prénoms et de patronymes est défini dans les articles 208 et 209, et les obligations correspondantes sont énoncées au paragraphe 1 et aux alinéas </w:t>
      </w:r>
      <w:r w:rsidRPr="00212EA6">
        <w:rPr>
          <w:bCs/>
          <w:i/>
        </w:rPr>
        <w:t>b</w:t>
      </w:r>
      <w:r w:rsidRPr="00B72953">
        <w:rPr>
          <w:bCs/>
        </w:rPr>
        <w:t xml:space="preserve"> et </w:t>
      </w:r>
      <w:r w:rsidRPr="00212EA6">
        <w:rPr>
          <w:bCs/>
          <w:i/>
        </w:rPr>
        <w:t>c</w:t>
      </w:r>
      <w:r w:rsidRPr="00B72953">
        <w:rPr>
          <w:bCs/>
        </w:rPr>
        <w:t xml:space="preserve"> du paragraphe 2 de l’article 249; tous ces articles figurent dans le Code de la famille</w:t>
      </w:r>
      <w:r>
        <w:rPr>
          <w:bCs/>
        </w:rPr>
        <w:t>.</w:t>
      </w:r>
    </w:p>
    <w:p w:rsidR="00F74F46" w:rsidRPr="00B72953" w:rsidRDefault="00F74F46" w:rsidP="00F74F46">
      <w:pPr>
        <w:pStyle w:val="SingleTxtG"/>
        <w:rPr>
          <w:bCs/>
        </w:rPr>
      </w:pPr>
      <w:r w:rsidRPr="00B72953">
        <w:rPr>
          <w:bCs/>
        </w:rPr>
        <w:t>219.</w:t>
      </w:r>
      <w:r w:rsidRPr="00B72953">
        <w:rPr>
          <w:bCs/>
        </w:rPr>
        <w:tab/>
        <w:t>Des effets existent aussi dans le domaine de la succession (ar</w:t>
      </w:r>
      <w:r>
        <w:rPr>
          <w:bCs/>
        </w:rPr>
        <w:t>t.</w:t>
      </w:r>
      <w:r w:rsidRPr="00B72953">
        <w:rPr>
          <w:bCs/>
        </w:rPr>
        <w:t xml:space="preserve"> 2133 du Code civil).</w:t>
      </w:r>
    </w:p>
    <w:p w:rsidR="00F74F46" w:rsidRPr="00B72953" w:rsidRDefault="00F74F46" w:rsidP="00F74F46">
      <w:pPr>
        <w:pStyle w:val="SingleTxtG"/>
        <w:rPr>
          <w:bCs/>
        </w:rPr>
      </w:pPr>
      <w:r w:rsidRPr="00B72953">
        <w:rPr>
          <w:bCs/>
        </w:rPr>
        <w:t>220.</w:t>
      </w:r>
      <w:r w:rsidRPr="00B72953">
        <w:rPr>
          <w:bCs/>
        </w:rPr>
        <w:tab/>
        <w:t xml:space="preserve">L’adoption, en tant que forme de protection des enfants privés de </w:t>
      </w:r>
      <w:r>
        <w:rPr>
          <w:bCs/>
        </w:rPr>
        <w:t>leur</w:t>
      </w:r>
      <w:r w:rsidRPr="00B72953">
        <w:rPr>
          <w:bCs/>
        </w:rPr>
        <w:t xml:space="preserve"> milieu familial, est couverte par les articles 20 et </w:t>
      </w:r>
      <w:r>
        <w:rPr>
          <w:bCs/>
        </w:rPr>
        <w:t>1</w:t>
      </w:r>
      <w:r w:rsidRPr="00212EA6">
        <w:rPr>
          <w:bCs/>
          <w:vertAlign w:val="superscript"/>
        </w:rPr>
        <w:t>er</w:t>
      </w:r>
      <w:r>
        <w:rPr>
          <w:bCs/>
        </w:rPr>
        <w:t xml:space="preserve"> </w:t>
      </w:r>
      <w:r w:rsidRPr="00B72953">
        <w:rPr>
          <w:bCs/>
        </w:rPr>
        <w:t>de la Convention relative aux droits de l’enfant.</w:t>
      </w:r>
    </w:p>
    <w:p w:rsidR="00F74F46" w:rsidRPr="00B72953" w:rsidRDefault="00F74F46" w:rsidP="00F74F46">
      <w:pPr>
        <w:pStyle w:val="SingleTxtG"/>
        <w:rPr>
          <w:bCs/>
        </w:rPr>
      </w:pPr>
      <w:r w:rsidRPr="00B72953">
        <w:rPr>
          <w:bCs/>
        </w:rPr>
        <w:t>221.</w:t>
      </w:r>
      <w:r w:rsidRPr="00B72953">
        <w:rPr>
          <w:bCs/>
        </w:rPr>
        <w:tab/>
        <w:t xml:space="preserve">Le principe de l’égalité des droits et des devoirs entre les </w:t>
      </w:r>
      <w:r w:rsidRPr="00B72953">
        <w:t xml:space="preserve">hommes </w:t>
      </w:r>
      <w:r w:rsidRPr="00B72953">
        <w:rPr>
          <w:bCs/>
        </w:rPr>
        <w:t>et les femmes dans tous les aspects de la vie familiale, qui est tiré de la Constitution, interdit toute discrimination fondée sur le sexe.</w:t>
      </w:r>
    </w:p>
    <w:p w:rsidR="00F74F46" w:rsidRPr="00B72953" w:rsidRDefault="00F74F46" w:rsidP="00F74F46">
      <w:pPr>
        <w:pStyle w:val="SingleTxtG"/>
        <w:rPr>
          <w:bCs/>
        </w:rPr>
      </w:pPr>
      <w:r w:rsidRPr="00B72953">
        <w:rPr>
          <w:bCs/>
        </w:rPr>
        <w:t>222.</w:t>
      </w:r>
      <w:r w:rsidRPr="00B72953">
        <w:rPr>
          <w:bCs/>
        </w:rPr>
        <w:tab/>
        <w:t xml:space="preserve">Le principe de l’égalité donne naissance au principe de la monogamie ou de la monoandrie, selon lequel les liens conjugaux sont d’une nature exclusive. Une personne mariée, qu’il s’agisse d’un homme ou d’une femme, ne peut pas contracter un autre mariage, sous peine de commettre l’infraction pénale de la bigamie. </w:t>
      </w:r>
    </w:p>
    <w:p w:rsidR="00F74F46" w:rsidRPr="00B72953" w:rsidRDefault="00F74F46" w:rsidP="00F74F46">
      <w:pPr>
        <w:pStyle w:val="SingleTxtG"/>
        <w:rPr>
          <w:bCs/>
        </w:rPr>
      </w:pPr>
      <w:r w:rsidRPr="00B72953">
        <w:rPr>
          <w:bCs/>
        </w:rPr>
        <w:t>223.</w:t>
      </w:r>
      <w:r w:rsidRPr="00B72953">
        <w:rPr>
          <w:bCs/>
        </w:rPr>
        <w:tab/>
        <w:t xml:space="preserve">Lorsqu’il est question d’égalité des droits et des devoirs, l’intention n’est pas d’imposer coûte que coûte les mêmes tâches aux </w:t>
      </w:r>
      <w:r w:rsidRPr="00B72953">
        <w:t xml:space="preserve">hommes </w:t>
      </w:r>
      <w:r w:rsidRPr="00B72953">
        <w:rPr>
          <w:bCs/>
        </w:rPr>
        <w:t xml:space="preserve">et aux femmes au sein de la famille. Les tâches devraient être réparties de façon harmonieuse, équilibrée, dans l’esprit de solidarité qui doit prévaloir entre membres d’une famille. </w:t>
      </w:r>
    </w:p>
    <w:p w:rsidR="00F74F46" w:rsidRPr="00B72953" w:rsidRDefault="00F74F46" w:rsidP="00F74F46">
      <w:pPr>
        <w:pStyle w:val="SingleTxtG"/>
        <w:rPr>
          <w:bCs/>
        </w:rPr>
      </w:pPr>
      <w:r w:rsidRPr="00B72953">
        <w:rPr>
          <w:bCs/>
        </w:rPr>
        <w:t>224.</w:t>
      </w:r>
      <w:r w:rsidRPr="00B72953">
        <w:rPr>
          <w:bCs/>
        </w:rPr>
        <w:tab/>
        <w:t xml:space="preserve">La loi doit aussi éviter d’établir ce que devrait être le rôle de la femme au sein de la famille, parce que, lorsqu’il en est ainsi, la femme est placée dans une position de subordination. Aujourd’hui, on reconnaît qu’il ne suffit pas seulement d’énoncer des droits; il faudrait aller plus loin et prendre des «mesures positives» qui assureront graduellement une parité effective entre les hommes et les femmes dans tous les domaines de la vie sociale. </w:t>
      </w:r>
    </w:p>
    <w:p w:rsidR="00F74F46" w:rsidRPr="00B72953" w:rsidRDefault="00F74F46" w:rsidP="00F74F46">
      <w:pPr>
        <w:pStyle w:val="SingleTxtG"/>
        <w:rPr>
          <w:bCs/>
        </w:rPr>
      </w:pPr>
      <w:r w:rsidRPr="00B72953">
        <w:rPr>
          <w:bCs/>
        </w:rPr>
        <w:t>225.</w:t>
      </w:r>
      <w:r w:rsidRPr="00B72953">
        <w:rPr>
          <w:bCs/>
        </w:rPr>
        <w:tab/>
        <w:t>Sur le droit de choisir son patronyme, le paragraphe 1 de l’article 36 de notre Code de la famille dispose c</w:t>
      </w:r>
      <w:r>
        <w:rPr>
          <w:bCs/>
        </w:rPr>
        <w:t xml:space="preserve">e qui </w:t>
      </w:r>
      <w:r w:rsidRPr="00B72953">
        <w:rPr>
          <w:bCs/>
        </w:rPr>
        <w:t>suit: «Après un mariage, l’une des parties peut déclarer qu’elle adopte le patronyme de l’autre partie, ou les deux parties peuvent choisir d’adopter un patronyme commun composé des patronymes des deux</w:t>
      </w:r>
      <w:r>
        <w:rPr>
          <w:bCs/>
        </w:rPr>
        <w:t>.</w:t>
      </w:r>
      <w:r w:rsidRPr="00B72953">
        <w:rPr>
          <w:bCs/>
        </w:rPr>
        <w:t xml:space="preserve">». </w:t>
      </w:r>
    </w:p>
    <w:p w:rsidR="00F74F46" w:rsidRPr="00B72953" w:rsidRDefault="00F74F46" w:rsidP="00F74F46">
      <w:pPr>
        <w:pStyle w:val="SingleTxtG"/>
        <w:rPr>
          <w:bCs/>
        </w:rPr>
      </w:pPr>
      <w:r w:rsidRPr="00B72953">
        <w:rPr>
          <w:bCs/>
        </w:rPr>
        <w:t>226.</w:t>
      </w:r>
      <w:r w:rsidRPr="00B72953">
        <w:rPr>
          <w:bCs/>
        </w:rPr>
        <w:tab/>
        <w:t xml:space="preserve">Cette déclaration doit être faite immédiatement après le mariage. Cela établit le principe selon lequel les conjoints peuvent choisir d’avoir </w:t>
      </w:r>
      <w:r w:rsidRPr="00B72953">
        <w:rPr>
          <w:bCs/>
          <w:i/>
          <w:iCs/>
        </w:rPr>
        <w:t>un patronyme commun</w:t>
      </w:r>
      <w:r w:rsidRPr="00212EA6">
        <w:rPr>
          <w:bCs/>
          <w:iCs/>
        </w:rPr>
        <w:t xml:space="preserve"> (</w:t>
      </w:r>
      <w:r w:rsidRPr="00B72953">
        <w:rPr>
          <w:bCs/>
          <w:i/>
          <w:iCs/>
        </w:rPr>
        <w:t>nom de famille commun</w:t>
      </w:r>
      <w:r w:rsidRPr="00212EA6">
        <w:rPr>
          <w:bCs/>
          <w:iCs/>
        </w:rPr>
        <w:t>)</w:t>
      </w:r>
      <w:r w:rsidRPr="00212EA6">
        <w:rPr>
          <w:bCs/>
        </w:rPr>
        <w:t xml:space="preserve"> </w:t>
      </w:r>
      <w:r w:rsidRPr="00B72953">
        <w:rPr>
          <w:bCs/>
        </w:rPr>
        <w:t>composé des patronymes des deux, qui sera utilisé tant par le mari que par l’épouse.</w:t>
      </w:r>
    </w:p>
    <w:p w:rsidR="00F74F46" w:rsidRPr="00B72953" w:rsidRDefault="00F74F46" w:rsidP="00F74F46">
      <w:pPr>
        <w:pStyle w:val="SingleTxtG"/>
        <w:rPr>
          <w:bCs/>
        </w:rPr>
      </w:pPr>
      <w:r w:rsidRPr="00B72953">
        <w:rPr>
          <w:bCs/>
        </w:rPr>
        <w:t>227.</w:t>
      </w:r>
      <w:r w:rsidRPr="00B72953">
        <w:rPr>
          <w:bCs/>
        </w:rPr>
        <w:tab/>
        <w:t xml:space="preserve">La déclaration faite par les parties qui se marient peut consister en une expression unilatérale d’intention, dans le cas de l’adoption du patronyme de l’autre partie, par le seul conjoint qui a besoin de faire connaître pareille intention. La déclaration </w:t>
      </w:r>
      <w:r>
        <w:rPr>
          <w:bCs/>
        </w:rPr>
        <w:t xml:space="preserve">peut aussi </w:t>
      </w:r>
      <w:r w:rsidRPr="00B72953">
        <w:rPr>
          <w:bCs/>
        </w:rPr>
        <w:t xml:space="preserve">consister en un acte bilatéral résultant d’une intention commune dans le cas de l’établissement d’un nom de famille commun. </w:t>
      </w:r>
    </w:p>
    <w:p w:rsidR="00F74F46" w:rsidRPr="00B72953" w:rsidRDefault="00F74F46" w:rsidP="00F74F46">
      <w:pPr>
        <w:pStyle w:val="SingleTxtG"/>
        <w:rPr>
          <w:bCs/>
        </w:rPr>
      </w:pPr>
      <w:r w:rsidRPr="00B72953">
        <w:rPr>
          <w:bCs/>
        </w:rPr>
        <w:t>228.</w:t>
      </w:r>
      <w:r w:rsidRPr="00B72953">
        <w:rPr>
          <w:bCs/>
        </w:rPr>
        <w:tab/>
        <w:t xml:space="preserve">Dans l’un et l’autre cas, la déclaration est volontaire et irrévocable. Elle ne peut être modifiée que dans des circonstances exceptionnelles. </w:t>
      </w:r>
    </w:p>
    <w:p w:rsidR="00F74F46" w:rsidRPr="00B72953" w:rsidRDefault="00F74F46" w:rsidP="00F74F46">
      <w:pPr>
        <w:pStyle w:val="SingleTxtG"/>
        <w:rPr>
          <w:bCs/>
        </w:rPr>
      </w:pPr>
      <w:r w:rsidRPr="00B72953">
        <w:rPr>
          <w:bCs/>
        </w:rPr>
        <w:t>229.</w:t>
      </w:r>
      <w:r w:rsidRPr="00B72953">
        <w:rPr>
          <w:bCs/>
        </w:rPr>
        <w:tab/>
        <w:t xml:space="preserve">Le droit d’utiliser le patronyme est conservé tout au long de la vie conjugale et après la dissolution du mariage par un décès. Il s’éteint dans le cas de la dissolution du mariage par un divorce, ainsi que prévu dans les paragraphes 2 et 3 de l’article 36 susvisé. </w:t>
      </w:r>
    </w:p>
    <w:p w:rsidR="00F74F46" w:rsidRPr="00B72953" w:rsidRDefault="00F74F46" w:rsidP="00F74F46">
      <w:pPr>
        <w:pStyle w:val="SingleTxtG"/>
        <w:rPr>
          <w:bCs/>
        </w:rPr>
      </w:pPr>
      <w:r w:rsidRPr="00B72953">
        <w:rPr>
          <w:bCs/>
        </w:rPr>
        <w:t>230.</w:t>
      </w:r>
      <w:r w:rsidRPr="00B72953">
        <w:rPr>
          <w:bCs/>
        </w:rPr>
        <w:tab/>
        <w:t>Notre loi sur le travail est très claire pour ce qui est du choix par tout citoyen de sa profession et de son activité. L’article 3 de cette loi est ainsi libellé:</w:t>
      </w:r>
    </w:p>
    <w:p w:rsidR="00F74F46" w:rsidRPr="00B72953" w:rsidRDefault="00F74F46" w:rsidP="00F74F46">
      <w:pPr>
        <w:pStyle w:val="SingleTxtG"/>
        <w:rPr>
          <w:bCs/>
        </w:rPr>
      </w:pPr>
      <w:r w:rsidRPr="00B72953">
        <w:rPr>
          <w:bCs/>
        </w:rPr>
        <w:t xml:space="preserve">Paragraphe 1 </w:t>
      </w:r>
      <w:r>
        <w:rPr>
          <w:bCs/>
        </w:rPr>
        <w:t>−</w:t>
      </w:r>
      <w:r w:rsidRPr="00B72953">
        <w:rPr>
          <w:bCs/>
        </w:rPr>
        <w:t xml:space="preserve"> Tous les citoyens ont le droit à un travail librement choisi, dans les conditions d’une égalité de chances et sans discrimination fondée sur la race, la couleur, le sexe, l’origine ethnique, l’état civil, la position sociale, les convictions religieuses ou politiques, l’affiliation syndicale ou la langue.</w:t>
      </w:r>
    </w:p>
    <w:p w:rsidR="00F74F46" w:rsidRPr="00B72953" w:rsidRDefault="00F74F46" w:rsidP="00F74F46">
      <w:pPr>
        <w:pStyle w:val="SingleTxtG"/>
        <w:rPr>
          <w:bCs/>
        </w:rPr>
      </w:pPr>
      <w:r>
        <w:rPr>
          <w:bCs/>
        </w:rPr>
        <w:t>Paragraphe 3 −</w:t>
      </w:r>
      <w:r w:rsidRPr="00B72953">
        <w:rPr>
          <w:bCs/>
        </w:rPr>
        <w:t xml:space="preserve"> Tous les citoyens ont le droit de </w:t>
      </w:r>
      <w:r>
        <w:rPr>
          <w:bCs/>
        </w:rPr>
        <w:t xml:space="preserve">choisir </w:t>
      </w:r>
      <w:r w:rsidRPr="00B72953">
        <w:rPr>
          <w:bCs/>
        </w:rPr>
        <w:t xml:space="preserve">librement et </w:t>
      </w:r>
      <w:r>
        <w:rPr>
          <w:bCs/>
        </w:rPr>
        <w:t>d’</w:t>
      </w:r>
      <w:r w:rsidRPr="00B72953">
        <w:rPr>
          <w:bCs/>
        </w:rPr>
        <w:t>exercer un</w:t>
      </w:r>
      <w:r>
        <w:rPr>
          <w:bCs/>
        </w:rPr>
        <w:t>e profession, sans restrictions</w:t>
      </w:r>
      <w:r w:rsidRPr="00B72953">
        <w:rPr>
          <w:bCs/>
        </w:rPr>
        <w:t xml:space="preserve"> sauf dans le cas des exceptions prévues par la loi.</w:t>
      </w:r>
    </w:p>
    <w:p w:rsidR="00F74F46" w:rsidRPr="00B72953" w:rsidRDefault="00F74F46" w:rsidP="00F74F46">
      <w:pPr>
        <w:pStyle w:val="SingleTxtG"/>
        <w:rPr>
          <w:bCs/>
        </w:rPr>
      </w:pPr>
      <w:r>
        <w:rPr>
          <w:bCs/>
        </w:rPr>
        <w:t>Paragraphe 4 −</w:t>
      </w:r>
      <w:r w:rsidRPr="00B72953">
        <w:rPr>
          <w:bCs/>
        </w:rPr>
        <w:t xml:space="preserve"> Les conditions auxquelles le travail est offert doivent respecter la liberté et la dignité du travailleur et lui permettre de satisfaire normalement ses besoins et ceux de sa famille, de protéger sa santé et de jouir de conditions de vie décentes.</w:t>
      </w:r>
    </w:p>
    <w:p w:rsidR="00F74F46" w:rsidRPr="00B72953" w:rsidRDefault="00F74F46" w:rsidP="00F74F46">
      <w:pPr>
        <w:pStyle w:val="SingleTxtG"/>
        <w:rPr>
          <w:bCs/>
        </w:rPr>
      </w:pPr>
      <w:r w:rsidRPr="00B72953">
        <w:rPr>
          <w:bCs/>
        </w:rPr>
        <w:t>231.</w:t>
      </w:r>
      <w:r w:rsidRPr="00B72953">
        <w:rPr>
          <w:bCs/>
        </w:rPr>
        <w:tab/>
        <w:t xml:space="preserve">Le devoir de contribuer aux dépenses du ménage constitue l’un des aspects du devoir d’assistance matérielle que les conjoints ont l’un à l’égard de l’autre. Aujourd’hui, avec l’établissement du principe de l’égalité entre les conjoints, ce devoir de contribution incombe au mari comme à l’épouse, indépendamment du régime patrimonial choisi par le couple, le devoir étant fonction de la situation financière de chacun des conjoints. Cette contribution peut provenir des gains tirés d’un travail, de revenus personnels ou de la fourniture de services au groupe familial. Tout ce qui précède dépend de la situation financière et professionnelle du couple. </w:t>
      </w:r>
    </w:p>
    <w:p w:rsidR="00F74F46" w:rsidRPr="00B72953" w:rsidRDefault="00F74F46" w:rsidP="00F74F46">
      <w:pPr>
        <w:pStyle w:val="SingleTxtG"/>
        <w:rPr>
          <w:bCs/>
        </w:rPr>
      </w:pPr>
      <w:r w:rsidRPr="00B72953">
        <w:rPr>
          <w:bCs/>
        </w:rPr>
        <w:t>232.</w:t>
      </w:r>
      <w:r w:rsidRPr="00B72953">
        <w:rPr>
          <w:bCs/>
        </w:rPr>
        <w:tab/>
        <w:t xml:space="preserve">Dans une famille où la femme ne dispose pas de ressources financières ni n’exerce d’activité professionnelle hors du foyer, tout le travail appelé «travail domestique» qu’elle accomplit pour aider sa famille à vivre est sous-évalué. Aucune valeur économique n’est accordée à ce travail et, puisqu’il n’est pas rémunéré, il n’est pas apprécié à sa juste valeur. Des raisons historiques expliquent que ce travail soit perçu comme un devoir incombant aux femmes en sus du travail qu’elles font hors du foyer, quand c’est le cas. </w:t>
      </w:r>
    </w:p>
    <w:p w:rsidR="00F74F46" w:rsidRPr="00B72953" w:rsidRDefault="00F74F46" w:rsidP="00F74F46">
      <w:pPr>
        <w:pStyle w:val="SingleTxtG"/>
        <w:rPr>
          <w:bCs/>
        </w:rPr>
      </w:pPr>
      <w:r w:rsidRPr="00B72953">
        <w:rPr>
          <w:bCs/>
        </w:rPr>
        <w:t>233.</w:t>
      </w:r>
      <w:r w:rsidRPr="00B72953">
        <w:rPr>
          <w:bCs/>
        </w:rPr>
        <w:tab/>
        <w:t xml:space="preserve">Le régime matrimonial en vigueur, outre le fait de prévoir la contribution des conjoints aux dépenses du ménage sous forme monétaire ou de services, régit également le statut juridique des biens dont les conjoints étaient propriétaires avant ou après le mariage. Le régime détermine le pouvoir du conjoint à administrer ces biens, le pouvoir de contracter des dettes durant le mariage, la responsabilité relative à leur remboursement, etc. </w:t>
      </w:r>
    </w:p>
    <w:p w:rsidR="00F74F46" w:rsidRPr="00B72953" w:rsidRDefault="00F74F46" w:rsidP="00F74F46">
      <w:pPr>
        <w:pStyle w:val="SingleTxtG"/>
        <w:rPr>
          <w:bCs/>
        </w:rPr>
      </w:pPr>
      <w:r w:rsidRPr="00B72953">
        <w:rPr>
          <w:bCs/>
        </w:rPr>
        <w:t>234.</w:t>
      </w:r>
      <w:r w:rsidRPr="00B72953">
        <w:rPr>
          <w:bCs/>
        </w:rPr>
        <w:tab/>
        <w:t>Il convient de noter que les régimes concernant les aspects économiques du mariage ont évolué avec le temps, du fait des changements intervenus dans la structure de la famille.</w:t>
      </w:r>
    </w:p>
    <w:p w:rsidR="00F74F46" w:rsidRPr="00B72953" w:rsidRDefault="00F74F46" w:rsidP="00F74F46">
      <w:pPr>
        <w:pStyle w:val="SingleTxtG"/>
        <w:rPr>
          <w:bCs/>
        </w:rPr>
      </w:pPr>
      <w:r w:rsidRPr="00B72953">
        <w:rPr>
          <w:bCs/>
        </w:rPr>
        <w:t>235.</w:t>
      </w:r>
      <w:r w:rsidRPr="00B72953">
        <w:rPr>
          <w:bCs/>
        </w:rPr>
        <w:tab/>
        <w:t xml:space="preserve">Selon l’article 49 du Code de la famille, deux régimes matrimoniaux peuvent être choisis au sujet des biens: communauté des biens acquis après le mariage </w:t>
      </w:r>
      <w:r>
        <w:rPr>
          <w:bCs/>
        </w:rPr>
        <w:t>−</w:t>
      </w:r>
      <w:r w:rsidRPr="00B72953">
        <w:rPr>
          <w:bCs/>
        </w:rPr>
        <w:t xml:space="preserve"> communauté partielle des biens </w:t>
      </w:r>
      <w:r>
        <w:rPr>
          <w:bCs/>
        </w:rPr>
        <w:t>−</w:t>
      </w:r>
      <w:r w:rsidRPr="00B72953">
        <w:rPr>
          <w:bCs/>
        </w:rPr>
        <w:t xml:space="preserve"> et séparation des biens. L’un et l’autre régime sont réglementés par la loi. Un autre système patrimonial peut être choisi. Cela se fait par une déclaration bilatérale des parties dans la déclaration initiale qui est confirmée au moment du mariage. Le régime additionnel général continue d’être la communauté des biens achetés après le mariage. Il n’existe pas de régime patrimonial obligatoire, comme c’est le cas dans le Code civil.</w:t>
      </w:r>
    </w:p>
    <w:p w:rsidR="00F74F46" w:rsidRPr="00B72953" w:rsidRDefault="00F74F46" w:rsidP="00F74F46">
      <w:pPr>
        <w:pStyle w:val="SingleTxtG"/>
        <w:rPr>
          <w:bCs/>
        </w:rPr>
      </w:pPr>
      <w:r w:rsidRPr="00B72953">
        <w:rPr>
          <w:bCs/>
        </w:rPr>
        <w:t>236.</w:t>
      </w:r>
      <w:r w:rsidRPr="00B72953">
        <w:rPr>
          <w:bCs/>
        </w:rPr>
        <w:tab/>
        <w:t xml:space="preserve">L’article 50 du Code de la famille établit le principe de l’immuabilité du régime patrimonial. La séparation des biens sous le régime de la communauté partielle des biens peut être établie par acte judiciaire, selon le paragraphe 1 de l’article 825, l’alinéa </w:t>
      </w:r>
      <w:r w:rsidRPr="00212EA6">
        <w:rPr>
          <w:bCs/>
          <w:i/>
        </w:rPr>
        <w:t>b</w:t>
      </w:r>
      <w:r w:rsidRPr="00B72953">
        <w:rPr>
          <w:bCs/>
        </w:rPr>
        <w:t xml:space="preserve"> du paragraphe 1 de l’article 1237 et l’article 1319 du Code de procédure pénale.</w:t>
      </w:r>
    </w:p>
    <w:p w:rsidR="00F74F46" w:rsidRPr="00B72953" w:rsidRDefault="00F74F46" w:rsidP="00F74F46">
      <w:pPr>
        <w:pStyle w:val="SingleTxtG"/>
        <w:rPr>
          <w:bCs/>
        </w:rPr>
      </w:pPr>
      <w:r w:rsidRPr="00B72953">
        <w:rPr>
          <w:bCs/>
        </w:rPr>
        <w:t>237.</w:t>
      </w:r>
      <w:r w:rsidRPr="00B72953">
        <w:rPr>
          <w:bCs/>
        </w:rPr>
        <w:tab/>
        <w:t>Si un mariage est dissous par divorce, les effets du divorce sur les conjoints se produisent à partir du moment où la cohabitation cesse de façon permanente (par</w:t>
      </w:r>
      <w:r>
        <w:rPr>
          <w:bCs/>
        </w:rPr>
        <w:t>.</w:t>
      </w:r>
      <w:r w:rsidRPr="00B72953">
        <w:rPr>
          <w:bCs/>
        </w:rPr>
        <w:t xml:space="preserve"> 1 de l’article 82). </w:t>
      </w:r>
    </w:p>
    <w:p w:rsidR="00F74F46" w:rsidRPr="00B72953" w:rsidRDefault="00F74F46" w:rsidP="00F74F46">
      <w:pPr>
        <w:pStyle w:val="SingleTxtG"/>
        <w:rPr>
          <w:bCs/>
        </w:rPr>
      </w:pPr>
      <w:r w:rsidRPr="00B72953">
        <w:rPr>
          <w:bCs/>
        </w:rPr>
        <w:t>238.</w:t>
      </w:r>
      <w:r w:rsidRPr="00B72953">
        <w:rPr>
          <w:bCs/>
        </w:rPr>
        <w:tab/>
        <w:t>L’article 51 du Code de la famille énonce que les biens appartenant en commun aux conjoints se caractérisent par le fait que chaque conjoint a droit à la moitié des biens et par l’indivision des biens tant que le mariage se poursuit (par</w:t>
      </w:r>
      <w:r>
        <w:rPr>
          <w:bCs/>
        </w:rPr>
        <w:t xml:space="preserve">. </w:t>
      </w:r>
      <w:r w:rsidRPr="00B72953">
        <w:rPr>
          <w:bCs/>
        </w:rPr>
        <w:t>1 de l’article 73 et al</w:t>
      </w:r>
      <w:r>
        <w:rPr>
          <w:bCs/>
        </w:rPr>
        <w:t>.</w:t>
      </w:r>
      <w:r w:rsidRPr="00B72953">
        <w:rPr>
          <w:bCs/>
        </w:rPr>
        <w:t xml:space="preserve"> </w:t>
      </w:r>
      <w:r w:rsidRPr="00212EA6">
        <w:rPr>
          <w:bCs/>
          <w:i/>
        </w:rPr>
        <w:t>a</w:t>
      </w:r>
      <w:r w:rsidRPr="00B72953">
        <w:rPr>
          <w:bCs/>
        </w:rPr>
        <w:t xml:space="preserve"> de l’article 80).</w:t>
      </w:r>
    </w:p>
    <w:p w:rsidR="00F74F46" w:rsidRPr="00B72953" w:rsidRDefault="00F74F46" w:rsidP="00F74F46">
      <w:pPr>
        <w:pStyle w:val="SingleTxtG"/>
        <w:rPr>
          <w:bCs/>
        </w:rPr>
      </w:pPr>
      <w:r w:rsidRPr="00B72953">
        <w:rPr>
          <w:bCs/>
        </w:rPr>
        <w:t>239.</w:t>
      </w:r>
      <w:r w:rsidRPr="00B72953">
        <w:rPr>
          <w:bCs/>
        </w:rPr>
        <w:tab/>
        <w:t xml:space="preserve">Tous les revenus obtenus durant le mariage relèvent de la communauté des biens, qu’ils proviennent de biens appartenant en commun aux conjoints ou à l’un ou l’autre conjoint. </w:t>
      </w:r>
    </w:p>
    <w:p w:rsidR="00F74F46" w:rsidRDefault="00F74F46" w:rsidP="00F74F46">
      <w:pPr>
        <w:pStyle w:val="SingleTxtG"/>
        <w:rPr>
          <w:bCs/>
        </w:rPr>
      </w:pPr>
      <w:r w:rsidRPr="00B72953">
        <w:rPr>
          <w:bCs/>
        </w:rPr>
        <w:t>240.</w:t>
      </w:r>
      <w:r w:rsidRPr="00B72953">
        <w:rPr>
          <w:bCs/>
        </w:rPr>
        <w:tab/>
        <w:t>La présomption de la nature commune des biens peut disparaître par une simple admission contraire de l’autre conjoint, bien que cette admission ne puisse être opposée à une tierce partie créancière.</w:t>
      </w:r>
    </w:p>
    <w:p w:rsidR="00EE563A" w:rsidRPr="007C0746" w:rsidRDefault="00EE563A" w:rsidP="00EE563A">
      <w:pPr>
        <w:pStyle w:val="SingleTxtG"/>
        <w:tabs>
          <w:tab w:val="left" w:pos="1560"/>
        </w:tabs>
        <w:spacing w:after="100"/>
        <w:ind w:left="1100"/>
        <w:rPr>
          <w:bCs/>
          <w:lang w:val="fr-FR"/>
        </w:rPr>
      </w:pPr>
      <w:r w:rsidRPr="007C0746">
        <w:rPr>
          <w:bCs/>
          <w:lang w:val="fr-FR"/>
        </w:rPr>
        <w:t>241.</w:t>
      </w:r>
      <w:r w:rsidRPr="007C0746">
        <w:rPr>
          <w:bCs/>
          <w:lang w:val="fr-FR"/>
        </w:rPr>
        <w:tab/>
        <w:t>Les biens acquis sans frais peuvent faire l</w:t>
      </w:r>
      <w:r>
        <w:rPr>
          <w:bCs/>
          <w:lang w:val="fr-FR"/>
        </w:rPr>
        <w:t>’</w:t>
      </w:r>
      <w:r w:rsidRPr="007C0746">
        <w:rPr>
          <w:bCs/>
          <w:lang w:val="fr-FR"/>
        </w:rPr>
        <w:t>objet d</w:t>
      </w:r>
      <w:r>
        <w:rPr>
          <w:bCs/>
          <w:lang w:val="fr-FR"/>
        </w:rPr>
        <w:t>’</w:t>
      </w:r>
      <w:r w:rsidRPr="007C0746">
        <w:rPr>
          <w:bCs/>
          <w:lang w:val="fr-FR"/>
        </w:rPr>
        <w:t xml:space="preserve">un transfert par voie de succession ou de donation, et </w:t>
      </w:r>
      <w:r>
        <w:rPr>
          <w:bCs/>
          <w:lang w:val="fr-FR"/>
        </w:rPr>
        <w:t xml:space="preserve">une subrogation réelle présume le remplacement d’un bien par un autre </w:t>
      </w:r>
      <w:r w:rsidRPr="007C0746">
        <w:rPr>
          <w:bCs/>
          <w:lang w:val="fr-FR"/>
        </w:rPr>
        <w:t>(</w:t>
      </w:r>
      <w:r>
        <w:rPr>
          <w:bCs/>
          <w:lang w:val="fr-FR"/>
        </w:rPr>
        <w:t>art.</w:t>
      </w:r>
      <w:r w:rsidRPr="007C0746">
        <w:rPr>
          <w:bCs/>
          <w:lang w:val="fr-FR"/>
        </w:rPr>
        <w:t xml:space="preserve"> 52 </w:t>
      </w:r>
      <w:r>
        <w:rPr>
          <w:bCs/>
          <w:lang w:val="fr-FR"/>
        </w:rPr>
        <w:t xml:space="preserve">du </w:t>
      </w:r>
      <w:r w:rsidRPr="007C0746">
        <w:rPr>
          <w:bCs/>
          <w:lang w:val="fr-FR"/>
        </w:rPr>
        <w:t>Code</w:t>
      </w:r>
      <w:r>
        <w:rPr>
          <w:bCs/>
          <w:lang w:val="fr-FR"/>
        </w:rPr>
        <w:t xml:space="preserve"> de la famille</w:t>
      </w:r>
      <w:r w:rsidRPr="007C0746">
        <w:rPr>
          <w:bCs/>
          <w:lang w:val="fr-FR"/>
        </w:rPr>
        <w:t>).</w:t>
      </w:r>
    </w:p>
    <w:p w:rsidR="00EE563A" w:rsidRPr="001A4988" w:rsidRDefault="00EE563A" w:rsidP="00EE563A">
      <w:pPr>
        <w:pStyle w:val="SingleTxtG"/>
        <w:tabs>
          <w:tab w:val="left" w:pos="1560"/>
        </w:tabs>
        <w:spacing w:after="100"/>
        <w:ind w:left="1100"/>
        <w:rPr>
          <w:bCs/>
          <w:lang w:val="fr-FR"/>
        </w:rPr>
      </w:pPr>
      <w:r w:rsidRPr="001A4988">
        <w:rPr>
          <w:bCs/>
          <w:lang w:val="fr-FR"/>
        </w:rPr>
        <w:t>242.</w:t>
      </w:r>
      <w:r w:rsidRPr="001A4988">
        <w:rPr>
          <w:bCs/>
          <w:lang w:val="fr-FR"/>
        </w:rPr>
        <w:tab/>
        <w:t>S</w:t>
      </w:r>
      <w:r>
        <w:rPr>
          <w:bCs/>
          <w:lang w:val="fr-FR"/>
        </w:rPr>
        <w:t>’</w:t>
      </w:r>
      <w:r w:rsidRPr="001A4988">
        <w:rPr>
          <w:bCs/>
          <w:lang w:val="fr-FR"/>
        </w:rPr>
        <w:t>agissant des droits d</w:t>
      </w:r>
      <w:r>
        <w:rPr>
          <w:bCs/>
          <w:lang w:val="fr-FR"/>
        </w:rPr>
        <w:t>’</w:t>
      </w:r>
      <w:r w:rsidRPr="001A4988">
        <w:rPr>
          <w:bCs/>
          <w:lang w:val="fr-FR"/>
        </w:rPr>
        <w:t>auteur, les dispositions applicables figur</w:t>
      </w:r>
      <w:r>
        <w:rPr>
          <w:bCs/>
          <w:lang w:val="fr-FR"/>
        </w:rPr>
        <w:t>e</w:t>
      </w:r>
      <w:r w:rsidRPr="001A4988">
        <w:rPr>
          <w:bCs/>
          <w:lang w:val="fr-FR"/>
        </w:rPr>
        <w:t>nt dans la loi sur les droits d</w:t>
      </w:r>
      <w:r>
        <w:rPr>
          <w:bCs/>
          <w:lang w:val="fr-FR"/>
        </w:rPr>
        <w:t>’</w:t>
      </w:r>
      <w:r w:rsidRPr="001A4988">
        <w:rPr>
          <w:bCs/>
          <w:lang w:val="fr-FR"/>
        </w:rPr>
        <w:t xml:space="preserve">auteur, loi 4/90 du 10 mars 1990, et pour ce qui concerne les droits de propriété intellectuelle, </w:t>
      </w:r>
      <w:r>
        <w:rPr>
          <w:bCs/>
          <w:lang w:val="fr-FR"/>
        </w:rPr>
        <w:t xml:space="preserve">les dispositions applicables figurent </w:t>
      </w:r>
      <w:r w:rsidRPr="001A4988">
        <w:rPr>
          <w:bCs/>
          <w:lang w:val="fr-FR"/>
        </w:rPr>
        <w:t>dans le chap</w:t>
      </w:r>
      <w:r>
        <w:rPr>
          <w:bCs/>
          <w:lang w:val="fr-FR"/>
        </w:rPr>
        <w:t>i</w:t>
      </w:r>
      <w:r w:rsidRPr="001A4988">
        <w:rPr>
          <w:bCs/>
          <w:lang w:val="fr-FR"/>
        </w:rPr>
        <w:t>tr</w:t>
      </w:r>
      <w:r>
        <w:rPr>
          <w:bCs/>
          <w:lang w:val="fr-FR"/>
        </w:rPr>
        <w:t>e</w:t>
      </w:r>
      <w:r w:rsidRPr="001A4988">
        <w:rPr>
          <w:bCs/>
          <w:lang w:val="fr-FR"/>
        </w:rPr>
        <w:t xml:space="preserve"> II </w:t>
      </w:r>
      <w:r>
        <w:rPr>
          <w:bCs/>
          <w:lang w:val="fr-FR"/>
        </w:rPr>
        <w:t xml:space="preserve">de la loi </w:t>
      </w:r>
      <w:r w:rsidRPr="001A4988">
        <w:rPr>
          <w:bCs/>
          <w:lang w:val="fr-FR"/>
        </w:rPr>
        <w:t xml:space="preserve">3/92, </w:t>
      </w:r>
      <w:r>
        <w:rPr>
          <w:bCs/>
          <w:lang w:val="fr-FR"/>
        </w:rPr>
        <w:t>la loi sur la propriété intellectuelle du 28 février</w:t>
      </w:r>
      <w:r w:rsidRPr="001A4988">
        <w:rPr>
          <w:bCs/>
          <w:lang w:val="fr-FR"/>
        </w:rPr>
        <w:t xml:space="preserve">. </w:t>
      </w:r>
    </w:p>
    <w:p w:rsidR="00EE563A" w:rsidRPr="001A4988" w:rsidRDefault="00EE563A" w:rsidP="00EE563A">
      <w:pPr>
        <w:pStyle w:val="SingleTxtG"/>
        <w:tabs>
          <w:tab w:val="left" w:pos="1560"/>
        </w:tabs>
        <w:spacing w:after="100"/>
        <w:ind w:left="1100"/>
        <w:rPr>
          <w:bCs/>
          <w:lang w:val="fr-FR"/>
        </w:rPr>
      </w:pPr>
      <w:r w:rsidRPr="001A4988">
        <w:rPr>
          <w:bCs/>
          <w:lang w:val="fr-FR"/>
        </w:rPr>
        <w:t>243.</w:t>
      </w:r>
      <w:r w:rsidRPr="001A4988">
        <w:rPr>
          <w:bCs/>
          <w:lang w:val="fr-FR"/>
        </w:rPr>
        <w:tab/>
        <w:t xml:space="preserve">Les droits de la personnalité sont énoncés </w:t>
      </w:r>
      <w:r>
        <w:rPr>
          <w:bCs/>
          <w:lang w:val="fr-FR"/>
        </w:rPr>
        <w:t xml:space="preserve">dans les articles 70 et suivants du </w:t>
      </w:r>
      <w:r w:rsidRPr="001A4988">
        <w:rPr>
          <w:bCs/>
          <w:lang w:val="fr-FR"/>
        </w:rPr>
        <w:t>Code</w:t>
      </w:r>
      <w:r>
        <w:rPr>
          <w:bCs/>
          <w:lang w:val="fr-FR"/>
        </w:rPr>
        <w:t xml:space="preserve"> civil</w:t>
      </w:r>
      <w:r w:rsidRPr="001A4988">
        <w:rPr>
          <w:bCs/>
          <w:lang w:val="fr-FR"/>
        </w:rPr>
        <w:t xml:space="preserve">. </w:t>
      </w:r>
    </w:p>
    <w:p w:rsidR="00EE563A" w:rsidRPr="001A4988" w:rsidRDefault="00EE563A" w:rsidP="00EE563A">
      <w:pPr>
        <w:pStyle w:val="SingleTxtG"/>
        <w:tabs>
          <w:tab w:val="left" w:pos="1560"/>
        </w:tabs>
        <w:spacing w:after="100"/>
        <w:ind w:left="1100"/>
        <w:rPr>
          <w:bCs/>
          <w:lang w:val="fr-FR"/>
        </w:rPr>
      </w:pPr>
      <w:r w:rsidRPr="001A4988">
        <w:rPr>
          <w:bCs/>
          <w:lang w:val="fr-FR"/>
        </w:rPr>
        <w:t>244.</w:t>
      </w:r>
      <w:r w:rsidRPr="001A4988">
        <w:rPr>
          <w:bCs/>
          <w:lang w:val="fr-FR"/>
        </w:rPr>
        <w:tab/>
        <w:t xml:space="preserve">Les biens personnels sont les biens utilisés personnellement par chaque conjoint et </w:t>
      </w:r>
      <w:r>
        <w:rPr>
          <w:bCs/>
          <w:lang w:val="fr-FR"/>
        </w:rPr>
        <w:t xml:space="preserve">à des fins de </w:t>
      </w:r>
      <w:r w:rsidRPr="001A4988">
        <w:rPr>
          <w:bCs/>
          <w:lang w:val="fr-FR"/>
        </w:rPr>
        <w:t xml:space="preserve">travail, </w:t>
      </w:r>
      <w:r>
        <w:rPr>
          <w:bCs/>
          <w:lang w:val="fr-FR"/>
        </w:rPr>
        <w:t xml:space="preserve">et </w:t>
      </w:r>
      <w:r w:rsidRPr="001A4988">
        <w:rPr>
          <w:bCs/>
          <w:lang w:val="fr-FR"/>
        </w:rPr>
        <w:t>qui sont dir</w:t>
      </w:r>
      <w:r>
        <w:rPr>
          <w:bCs/>
          <w:lang w:val="fr-FR"/>
        </w:rPr>
        <w:t>ecte</w:t>
      </w:r>
      <w:r w:rsidRPr="001A4988">
        <w:rPr>
          <w:bCs/>
          <w:lang w:val="fr-FR"/>
        </w:rPr>
        <w:t xml:space="preserve">ment </w:t>
      </w:r>
      <w:r>
        <w:rPr>
          <w:bCs/>
          <w:lang w:val="fr-FR"/>
        </w:rPr>
        <w:t>liés à l’activité professionnelle dudit conjoint.</w:t>
      </w:r>
    </w:p>
    <w:p w:rsidR="00EE563A" w:rsidRPr="001A4988" w:rsidRDefault="00EE563A" w:rsidP="00EE563A">
      <w:pPr>
        <w:pStyle w:val="SingleTxtG"/>
        <w:tabs>
          <w:tab w:val="left" w:pos="1560"/>
        </w:tabs>
        <w:spacing w:after="100"/>
        <w:ind w:left="1100"/>
        <w:rPr>
          <w:bCs/>
          <w:lang w:val="fr-FR"/>
        </w:rPr>
      </w:pPr>
      <w:r w:rsidRPr="001A4988">
        <w:rPr>
          <w:bCs/>
          <w:lang w:val="fr-FR"/>
        </w:rPr>
        <w:t>245.</w:t>
      </w:r>
      <w:r w:rsidRPr="001A4988">
        <w:rPr>
          <w:bCs/>
          <w:lang w:val="fr-FR"/>
        </w:rPr>
        <w:tab/>
        <w:t>Les biens qui sont partiellement communs et partiellement individuels sont considérés, sur la base du fait que la portion</w:t>
      </w:r>
      <w:r>
        <w:rPr>
          <w:bCs/>
          <w:lang w:val="fr-FR"/>
        </w:rPr>
        <w:t xml:space="preserve"> commune ou individuelle a ou non une plus grande valeur, soit comme des biens relevant de la communauté des biens soit comme des biens individuels.</w:t>
      </w:r>
      <w:r w:rsidRPr="001A4988">
        <w:rPr>
          <w:bCs/>
          <w:lang w:val="fr-FR"/>
        </w:rPr>
        <w:t xml:space="preserve"> </w:t>
      </w:r>
    </w:p>
    <w:p w:rsidR="00EE563A" w:rsidRPr="007612D9" w:rsidRDefault="00EE563A" w:rsidP="00EE563A">
      <w:pPr>
        <w:pStyle w:val="SingleTxtG"/>
        <w:tabs>
          <w:tab w:val="left" w:pos="1560"/>
        </w:tabs>
        <w:spacing w:after="100"/>
        <w:ind w:left="1100"/>
        <w:rPr>
          <w:bCs/>
          <w:lang w:val="fr-FR"/>
        </w:rPr>
      </w:pPr>
      <w:r w:rsidRPr="007612D9">
        <w:rPr>
          <w:bCs/>
          <w:lang w:val="fr-FR"/>
        </w:rPr>
        <w:t>246.</w:t>
      </w:r>
      <w:r w:rsidRPr="007612D9">
        <w:rPr>
          <w:bCs/>
          <w:lang w:val="fr-FR"/>
        </w:rPr>
        <w:tab/>
        <w:t>L</w:t>
      </w:r>
      <w:r>
        <w:rPr>
          <w:bCs/>
          <w:lang w:val="fr-FR"/>
        </w:rPr>
        <w:t>’</w:t>
      </w:r>
      <w:r w:rsidRPr="007612D9">
        <w:rPr>
          <w:bCs/>
          <w:lang w:val="fr-FR"/>
        </w:rPr>
        <w:t xml:space="preserve">article 53 du Code de la famille dispose que sous le régime de la séparation des biens il existe deux </w:t>
      </w:r>
      <w:r>
        <w:rPr>
          <w:bCs/>
          <w:lang w:val="fr-FR"/>
        </w:rPr>
        <w:t xml:space="preserve">ensembles </w:t>
      </w:r>
      <w:r w:rsidRPr="007612D9">
        <w:rPr>
          <w:bCs/>
          <w:lang w:val="fr-FR"/>
        </w:rPr>
        <w:t>individu</w:t>
      </w:r>
      <w:r>
        <w:rPr>
          <w:bCs/>
          <w:lang w:val="fr-FR"/>
        </w:rPr>
        <w:t>el</w:t>
      </w:r>
      <w:r w:rsidRPr="007612D9">
        <w:rPr>
          <w:bCs/>
          <w:lang w:val="fr-FR"/>
        </w:rPr>
        <w:t>s</w:t>
      </w:r>
      <w:r>
        <w:rPr>
          <w:bCs/>
          <w:lang w:val="fr-FR"/>
        </w:rPr>
        <w:t xml:space="preserve">, distincts de biens, celui appartenant au mari et celui appartenant à l’épouse. </w:t>
      </w:r>
      <w:r w:rsidRPr="007612D9">
        <w:rPr>
          <w:bCs/>
          <w:lang w:val="fr-FR"/>
        </w:rPr>
        <w:t>S</w:t>
      </w:r>
      <w:r>
        <w:rPr>
          <w:bCs/>
          <w:lang w:val="fr-FR"/>
        </w:rPr>
        <w:t>’</w:t>
      </w:r>
      <w:r w:rsidRPr="007612D9">
        <w:rPr>
          <w:bCs/>
          <w:lang w:val="fr-FR"/>
        </w:rPr>
        <w:t>il y a la moindre difficulté concernant la propriété de biens meubles, chaque personne est propriétaire de la moitié de ces biens en tant que copropriétaire.</w:t>
      </w:r>
    </w:p>
    <w:p w:rsidR="00EE563A" w:rsidRPr="0033380B" w:rsidRDefault="00EE563A" w:rsidP="00EE563A">
      <w:pPr>
        <w:pStyle w:val="SingleTxtG"/>
        <w:tabs>
          <w:tab w:val="left" w:pos="1560"/>
        </w:tabs>
        <w:spacing w:after="100"/>
        <w:ind w:left="1100"/>
        <w:rPr>
          <w:bCs/>
          <w:lang w:val="fr-FR"/>
        </w:rPr>
      </w:pPr>
      <w:r w:rsidRPr="0033380B">
        <w:rPr>
          <w:bCs/>
          <w:lang w:val="fr-FR"/>
        </w:rPr>
        <w:t>247.</w:t>
      </w:r>
      <w:r w:rsidRPr="0033380B">
        <w:rPr>
          <w:bCs/>
          <w:lang w:val="fr-FR"/>
        </w:rPr>
        <w:tab/>
      </w:r>
      <w:r w:rsidRPr="007612D9">
        <w:rPr>
          <w:bCs/>
          <w:lang w:val="fr-FR"/>
        </w:rPr>
        <w:t xml:space="preserve">Sous le régime de la communauté des biens acquis après le mariage, chaque conjoint </w:t>
      </w:r>
      <w:r>
        <w:rPr>
          <w:bCs/>
          <w:lang w:val="fr-FR"/>
        </w:rPr>
        <w:t>a le d</w:t>
      </w:r>
      <w:r w:rsidRPr="007612D9">
        <w:rPr>
          <w:bCs/>
          <w:lang w:val="fr-FR"/>
        </w:rPr>
        <w:t xml:space="preserve">roit </w:t>
      </w:r>
      <w:r>
        <w:rPr>
          <w:bCs/>
          <w:lang w:val="fr-FR"/>
        </w:rPr>
        <w:t>de prendre en charge l’</w:t>
      </w:r>
      <w:r w:rsidRPr="007612D9">
        <w:rPr>
          <w:bCs/>
          <w:lang w:val="fr-FR"/>
        </w:rPr>
        <w:t>administr</w:t>
      </w:r>
      <w:r>
        <w:rPr>
          <w:bCs/>
          <w:lang w:val="fr-FR"/>
        </w:rPr>
        <w:t xml:space="preserve">ation ordinaire de </w:t>
      </w:r>
      <w:r w:rsidRPr="007612D9">
        <w:rPr>
          <w:bCs/>
          <w:lang w:val="fr-FR"/>
        </w:rPr>
        <w:t xml:space="preserve">ses propres biens et </w:t>
      </w:r>
      <w:r>
        <w:rPr>
          <w:bCs/>
          <w:lang w:val="fr-FR"/>
        </w:rPr>
        <w:t xml:space="preserve">celle des biens de </w:t>
      </w:r>
      <w:r w:rsidRPr="007612D9">
        <w:rPr>
          <w:bCs/>
          <w:lang w:val="fr-FR"/>
        </w:rPr>
        <w:t xml:space="preserve">son conjoint </w:t>
      </w:r>
      <w:r>
        <w:rPr>
          <w:bCs/>
          <w:lang w:val="fr-FR"/>
        </w:rPr>
        <w:t xml:space="preserve">en </w:t>
      </w:r>
      <w:r w:rsidRPr="007612D9">
        <w:rPr>
          <w:bCs/>
          <w:lang w:val="fr-FR"/>
        </w:rPr>
        <w:t xml:space="preserve">cas </w:t>
      </w:r>
      <w:r>
        <w:rPr>
          <w:bCs/>
          <w:lang w:val="fr-FR"/>
        </w:rPr>
        <w:t xml:space="preserve">d’absence ou d’empêchement de celui-ci, lorsque le conjoint en question n’a pas désigné d’agent. </w:t>
      </w:r>
      <w:r w:rsidRPr="0033380B">
        <w:rPr>
          <w:bCs/>
          <w:lang w:val="fr-FR"/>
        </w:rPr>
        <w:t>Pour ce qui est de l</w:t>
      </w:r>
      <w:r>
        <w:rPr>
          <w:bCs/>
          <w:lang w:val="fr-FR"/>
        </w:rPr>
        <w:t>’</w:t>
      </w:r>
      <w:r w:rsidRPr="0033380B">
        <w:rPr>
          <w:bCs/>
          <w:lang w:val="fr-FR"/>
        </w:rPr>
        <w:t>administration spéciale, de l</w:t>
      </w:r>
      <w:r>
        <w:rPr>
          <w:bCs/>
          <w:lang w:val="fr-FR"/>
        </w:rPr>
        <w:t>’</w:t>
      </w:r>
      <w:r w:rsidRPr="0033380B">
        <w:rPr>
          <w:bCs/>
          <w:lang w:val="fr-FR"/>
        </w:rPr>
        <w:t>ali</w:t>
      </w:r>
      <w:r>
        <w:rPr>
          <w:bCs/>
          <w:lang w:val="fr-FR"/>
        </w:rPr>
        <w:t>én</w:t>
      </w:r>
      <w:r w:rsidRPr="0033380B">
        <w:rPr>
          <w:bCs/>
          <w:lang w:val="fr-FR"/>
        </w:rPr>
        <w:t xml:space="preserve">ation et </w:t>
      </w:r>
      <w:r>
        <w:rPr>
          <w:bCs/>
          <w:lang w:val="fr-FR"/>
        </w:rPr>
        <w:t xml:space="preserve">de </w:t>
      </w:r>
      <w:r w:rsidRPr="0033380B">
        <w:rPr>
          <w:bCs/>
          <w:lang w:val="fr-FR"/>
        </w:rPr>
        <w:t>l</w:t>
      </w:r>
      <w:r>
        <w:rPr>
          <w:bCs/>
          <w:lang w:val="fr-FR"/>
        </w:rPr>
        <w:t>’</w:t>
      </w:r>
      <w:r w:rsidRPr="0033380B">
        <w:rPr>
          <w:bCs/>
          <w:lang w:val="fr-FR"/>
        </w:rPr>
        <w:t>hypothèque des biens, l</w:t>
      </w:r>
      <w:r>
        <w:rPr>
          <w:bCs/>
          <w:lang w:val="fr-FR"/>
        </w:rPr>
        <w:t>’</w:t>
      </w:r>
      <w:r w:rsidRPr="0033380B">
        <w:rPr>
          <w:bCs/>
          <w:lang w:val="fr-FR"/>
        </w:rPr>
        <w:t>un et l</w:t>
      </w:r>
      <w:r>
        <w:rPr>
          <w:bCs/>
          <w:lang w:val="fr-FR"/>
        </w:rPr>
        <w:t>’</w:t>
      </w:r>
      <w:r w:rsidRPr="0033380B">
        <w:rPr>
          <w:bCs/>
          <w:lang w:val="fr-FR"/>
        </w:rPr>
        <w:t>autre conjoints doivent agir lorsqu</w:t>
      </w:r>
      <w:r>
        <w:rPr>
          <w:bCs/>
          <w:lang w:val="fr-FR"/>
        </w:rPr>
        <w:t>’</w:t>
      </w:r>
      <w:r w:rsidRPr="0033380B">
        <w:rPr>
          <w:bCs/>
          <w:lang w:val="fr-FR"/>
        </w:rPr>
        <w:t>il s</w:t>
      </w:r>
      <w:r>
        <w:rPr>
          <w:bCs/>
          <w:lang w:val="fr-FR"/>
        </w:rPr>
        <w:t>’</w:t>
      </w:r>
      <w:r w:rsidRPr="0033380B">
        <w:rPr>
          <w:bCs/>
          <w:lang w:val="fr-FR"/>
        </w:rPr>
        <w:t>agit de biens immobiliers ou d</w:t>
      </w:r>
      <w:r>
        <w:rPr>
          <w:bCs/>
          <w:lang w:val="fr-FR"/>
        </w:rPr>
        <w:t>’</w:t>
      </w:r>
      <w:r w:rsidRPr="0033380B">
        <w:rPr>
          <w:bCs/>
          <w:lang w:val="fr-FR"/>
        </w:rPr>
        <w:t xml:space="preserve">établissements commerciaux, ou encore de la </w:t>
      </w:r>
      <w:r>
        <w:rPr>
          <w:bCs/>
          <w:lang w:val="fr-FR"/>
        </w:rPr>
        <w:t>répudiation de</w:t>
      </w:r>
      <w:r w:rsidRPr="0033380B">
        <w:rPr>
          <w:bCs/>
          <w:lang w:val="fr-FR"/>
        </w:rPr>
        <w:t xml:space="preserve"> l</w:t>
      </w:r>
      <w:r>
        <w:rPr>
          <w:bCs/>
          <w:lang w:val="fr-FR"/>
        </w:rPr>
        <w:t>’</w:t>
      </w:r>
      <w:r w:rsidRPr="0033380B">
        <w:rPr>
          <w:bCs/>
          <w:lang w:val="fr-FR"/>
        </w:rPr>
        <w:t>héritage.</w:t>
      </w:r>
    </w:p>
    <w:p w:rsidR="00EE563A" w:rsidRPr="000D6919" w:rsidRDefault="00EE563A" w:rsidP="00EE563A">
      <w:pPr>
        <w:pStyle w:val="SingleTxtG"/>
        <w:tabs>
          <w:tab w:val="left" w:pos="1560"/>
        </w:tabs>
        <w:spacing w:after="100"/>
        <w:ind w:left="1100"/>
        <w:rPr>
          <w:bCs/>
          <w:lang w:val="fr-FR"/>
        </w:rPr>
      </w:pPr>
      <w:r w:rsidRPr="000D6919">
        <w:rPr>
          <w:bCs/>
          <w:lang w:val="fr-FR"/>
        </w:rPr>
        <w:t>248.</w:t>
      </w:r>
      <w:r w:rsidRPr="000D6919">
        <w:rPr>
          <w:bCs/>
          <w:lang w:val="fr-FR"/>
        </w:rPr>
        <w:tab/>
        <w:t>Sous le régime de la séparation des biens, tous les actes d</w:t>
      </w:r>
      <w:r>
        <w:rPr>
          <w:bCs/>
          <w:lang w:val="fr-FR"/>
        </w:rPr>
        <w:t>’</w:t>
      </w:r>
      <w:r w:rsidRPr="000D6919">
        <w:rPr>
          <w:bCs/>
          <w:lang w:val="fr-FR"/>
        </w:rPr>
        <w:t>administration ordinaire et spéciale peuvent être accomplis par cha</w:t>
      </w:r>
      <w:r>
        <w:rPr>
          <w:bCs/>
          <w:lang w:val="fr-FR"/>
        </w:rPr>
        <w:t xml:space="preserve">cun des </w:t>
      </w:r>
      <w:r w:rsidRPr="000D6919">
        <w:rPr>
          <w:bCs/>
          <w:lang w:val="fr-FR"/>
        </w:rPr>
        <w:t>conjoint</w:t>
      </w:r>
      <w:r>
        <w:rPr>
          <w:bCs/>
          <w:lang w:val="fr-FR"/>
        </w:rPr>
        <w:t>s</w:t>
      </w:r>
      <w:r w:rsidRPr="000D6919">
        <w:rPr>
          <w:bCs/>
          <w:lang w:val="fr-FR"/>
        </w:rPr>
        <w:t xml:space="preserve"> pour ce qui est de ses propres biens, et d</w:t>
      </w:r>
      <w:r>
        <w:rPr>
          <w:bCs/>
          <w:lang w:val="fr-FR"/>
        </w:rPr>
        <w:t>es actes d’administration ordinaire peuvent être accomplis pour ce qui est des biens appartenant à l’autre conjoint en cas d’absence ou d’empêchement de celui-ci.</w:t>
      </w:r>
      <w:r w:rsidRPr="000D6919">
        <w:rPr>
          <w:bCs/>
          <w:lang w:val="fr-FR"/>
        </w:rPr>
        <w:t xml:space="preserve">  </w:t>
      </w:r>
    </w:p>
    <w:p w:rsidR="00EE563A" w:rsidRPr="00B258B6" w:rsidRDefault="00EE563A" w:rsidP="00EE563A">
      <w:pPr>
        <w:pStyle w:val="SingleTxtG"/>
        <w:tabs>
          <w:tab w:val="left" w:pos="1560"/>
        </w:tabs>
        <w:spacing w:after="100"/>
        <w:ind w:left="1100"/>
        <w:rPr>
          <w:bCs/>
          <w:lang w:val="fr-FR"/>
        </w:rPr>
      </w:pPr>
      <w:r w:rsidRPr="00B258B6">
        <w:rPr>
          <w:bCs/>
          <w:lang w:val="fr-FR"/>
        </w:rPr>
        <w:t>249.</w:t>
      </w:r>
      <w:r w:rsidRPr="00B258B6">
        <w:rPr>
          <w:bCs/>
          <w:lang w:val="fr-FR"/>
        </w:rPr>
        <w:tab/>
      </w:r>
      <w:r w:rsidRPr="000D6919">
        <w:rPr>
          <w:bCs/>
          <w:lang w:val="fr-FR"/>
        </w:rPr>
        <w:t>Sous les deux régimes patrimoniaux, il y a des biens qui jouissent d</w:t>
      </w:r>
      <w:r>
        <w:rPr>
          <w:bCs/>
          <w:lang w:val="fr-FR"/>
        </w:rPr>
        <w:t>’</w:t>
      </w:r>
      <w:r w:rsidRPr="000D6919">
        <w:rPr>
          <w:bCs/>
          <w:lang w:val="fr-FR"/>
        </w:rPr>
        <w:t>une protection sp</w:t>
      </w:r>
      <w:r>
        <w:rPr>
          <w:bCs/>
          <w:lang w:val="fr-FR"/>
        </w:rPr>
        <w:t>é</w:t>
      </w:r>
      <w:r w:rsidRPr="000D6919">
        <w:rPr>
          <w:bCs/>
          <w:lang w:val="fr-FR"/>
        </w:rPr>
        <w:t>cial</w:t>
      </w:r>
      <w:r>
        <w:rPr>
          <w:bCs/>
          <w:lang w:val="fr-FR"/>
        </w:rPr>
        <w:t>e</w:t>
      </w:r>
      <w:r w:rsidRPr="000D6919">
        <w:rPr>
          <w:bCs/>
          <w:lang w:val="fr-FR"/>
        </w:rPr>
        <w:t>: les biens meubles utilisés au foyer ou comme outil de travail p</w:t>
      </w:r>
      <w:r>
        <w:rPr>
          <w:bCs/>
          <w:lang w:val="fr-FR"/>
        </w:rPr>
        <w:t xml:space="preserve">ar </w:t>
      </w:r>
      <w:r w:rsidRPr="000D6919">
        <w:rPr>
          <w:bCs/>
          <w:lang w:val="fr-FR"/>
        </w:rPr>
        <w:t>l</w:t>
      </w:r>
      <w:r>
        <w:rPr>
          <w:bCs/>
          <w:lang w:val="fr-FR"/>
        </w:rPr>
        <w:t>’</w:t>
      </w:r>
      <w:r w:rsidRPr="000D6919">
        <w:rPr>
          <w:bCs/>
          <w:lang w:val="fr-FR"/>
        </w:rPr>
        <w:t xml:space="preserve">un </w:t>
      </w:r>
      <w:r>
        <w:rPr>
          <w:bCs/>
          <w:lang w:val="fr-FR"/>
        </w:rPr>
        <w:t xml:space="preserve">des conjoints, ou les deux, et le droit relatif au bail de la résidence familiale. </w:t>
      </w:r>
      <w:r w:rsidRPr="00B258B6">
        <w:rPr>
          <w:bCs/>
          <w:lang w:val="fr-FR"/>
        </w:rPr>
        <w:t xml:space="preserve">Ces biens ne peuvent être aliénés que si les deux conjoints donnent leur accord. </w:t>
      </w:r>
    </w:p>
    <w:p w:rsidR="00EE563A" w:rsidRPr="003A2891" w:rsidRDefault="00EE563A" w:rsidP="00EE563A">
      <w:pPr>
        <w:pStyle w:val="SingleTxtG"/>
        <w:tabs>
          <w:tab w:val="left" w:pos="1560"/>
        </w:tabs>
        <w:spacing w:after="100"/>
        <w:ind w:left="1100"/>
        <w:rPr>
          <w:bCs/>
          <w:lang w:val="fr-FR"/>
        </w:rPr>
      </w:pPr>
      <w:r w:rsidRPr="003A2891">
        <w:rPr>
          <w:bCs/>
          <w:lang w:val="fr-FR"/>
        </w:rPr>
        <w:t>250.</w:t>
      </w:r>
      <w:r w:rsidRPr="003A2891">
        <w:rPr>
          <w:bCs/>
          <w:lang w:val="fr-FR"/>
        </w:rPr>
        <w:tab/>
      </w:r>
      <w:r w:rsidRPr="00B258B6">
        <w:rPr>
          <w:bCs/>
          <w:lang w:val="fr-FR"/>
        </w:rPr>
        <w:t>Le paragraphe 1 de l</w:t>
      </w:r>
      <w:r>
        <w:rPr>
          <w:bCs/>
          <w:lang w:val="fr-FR"/>
        </w:rPr>
        <w:t>’</w:t>
      </w:r>
      <w:r w:rsidRPr="00B258B6">
        <w:rPr>
          <w:bCs/>
          <w:lang w:val="fr-FR"/>
        </w:rPr>
        <w:t>article 22 du Code de la famille dispose que la promesse de mariage ne produit pas d</w:t>
      </w:r>
      <w:r>
        <w:rPr>
          <w:bCs/>
          <w:lang w:val="fr-FR"/>
        </w:rPr>
        <w:t>’</w:t>
      </w:r>
      <w:r w:rsidRPr="00B258B6">
        <w:rPr>
          <w:bCs/>
          <w:lang w:val="fr-FR"/>
        </w:rPr>
        <w:t>effets juridiques, même lorsqu</w:t>
      </w:r>
      <w:r>
        <w:rPr>
          <w:bCs/>
          <w:lang w:val="fr-FR"/>
        </w:rPr>
        <w:t>’</w:t>
      </w:r>
      <w:r w:rsidRPr="00B258B6">
        <w:rPr>
          <w:bCs/>
          <w:lang w:val="fr-FR"/>
        </w:rPr>
        <w:t>elle est accompagnée de l</w:t>
      </w:r>
      <w:r>
        <w:rPr>
          <w:bCs/>
          <w:lang w:val="fr-FR"/>
        </w:rPr>
        <w:t>’offre de produits ou d’objets de valeur à l’autre personne ou à sa famille.</w:t>
      </w:r>
      <w:r w:rsidRPr="00B258B6">
        <w:rPr>
          <w:bCs/>
          <w:lang w:val="fr-FR"/>
        </w:rPr>
        <w:t xml:space="preserve"> La tradition consistant à demander la main de la mariée et à l</w:t>
      </w:r>
      <w:r>
        <w:rPr>
          <w:bCs/>
          <w:lang w:val="fr-FR"/>
        </w:rPr>
        <w:t>’</w:t>
      </w:r>
      <w:r w:rsidRPr="00B258B6">
        <w:rPr>
          <w:bCs/>
          <w:lang w:val="fr-FR"/>
        </w:rPr>
        <w:t>«acheter» (alambamento) n</w:t>
      </w:r>
      <w:r>
        <w:rPr>
          <w:bCs/>
          <w:lang w:val="fr-FR"/>
        </w:rPr>
        <w:t>’</w:t>
      </w:r>
      <w:r w:rsidRPr="00B258B6">
        <w:rPr>
          <w:bCs/>
          <w:lang w:val="fr-FR"/>
        </w:rPr>
        <w:t xml:space="preserve">a pas </w:t>
      </w:r>
      <w:r>
        <w:rPr>
          <w:bCs/>
          <w:lang w:val="fr-FR"/>
        </w:rPr>
        <w:t xml:space="preserve">été consacrée juridiquement, mais n’a pas été interdite non plus. </w:t>
      </w:r>
      <w:r w:rsidRPr="00B258B6">
        <w:rPr>
          <w:bCs/>
          <w:lang w:val="fr-FR"/>
        </w:rPr>
        <w:t>La loi n</w:t>
      </w:r>
      <w:r>
        <w:rPr>
          <w:bCs/>
          <w:lang w:val="fr-FR"/>
        </w:rPr>
        <w:t>’</w:t>
      </w:r>
      <w:r w:rsidRPr="00B258B6">
        <w:rPr>
          <w:bCs/>
          <w:lang w:val="fr-FR"/>
        </w:rPr>
        <w:t>impose pas de rendre ce qui a été donné au moment d</w:t>
      </w:r>
      <w:r>
        <w:rPr>
          <w:bCs/>
          <w:lang w:val="fr-FR"/>
        </w:rPr>
        <w:t>e la promesse de mar</w:t>
      </w:r>
      <w:r w:rsidRPr="00B258B6">
        <w:rPr>
          <w:bCs/>
          <w:lang w:val="fr-FR"/>
        </w:rPr>
        <w:t xml:space="preserve">iage. </w:t>
      </w:r>
      <w:r w:rsidRPr="003A2891">
        <w:rPr>
          <w:bCs/>
          <w:lang w:val="fr-FR"/>
        </w:rPr>
        <w:t>Il s</w:t>
      </w:r>
      <w:r>
        <w:rPr>
          <w:bCs/>
          <w:lang w:val="fr-FR"/>
        </w:rPr>
        <w:t>’</w:t>
      </w:r>
      <w:r w:rsidRPr="003A2891">
        <w:rPr>
          <w:bCs/>
          <w:lang w:val="fr-FR"/>
        </w:rPr>
        <w:t>agissait là d</w:t>
      </w:r>
      <w:r>
        <w:rPr>
          <w:bCs/>
          <w:lang w:val="fr-FR"/>
        </w:rPr>
        <w:t>’</w:t>
      </w:r>
      <w:r w:rsidRPr="003A2891">
        <w:rPr>
          <w:bCs/>
          <w:lang w:val="fr-FR"/>
        </w:rPr>
        <w:t>une omission délibérée d</w:t>
      </w:r>
      <w:r>
        <w:rPr>
          <w:bCs/>
          <w:lang w:val="fr-FR"/>
        </w:rPr>
        <w:t>u législateur a</w:t>
      </w:r>
      <w:r w:rsidRPr="003A2891">
        <w:rPr>
          <w:bCs/>
          <w:lang w:val="fr-FR"/>
        </w:rPr>
        <w:t>fin d</w:t>
      </w:r>
      <w:r>
        <w:rPr>
          <w:bCs/>
          <w:lang w:val="fr-FR"/>
        </w:rPr>
        <w:t>’</w:t>
      </w:r>
      <w:r w:rsidRPr="003A2891">
        <w:rPr>
          <w:bCs/>
          <w:lang w:val="fr-FR"/>
        </w:rPr>
        <w:t xml:space="preserve">éviter une coercition </w:t>
      </w:r>
      <w:r>
        <w:rPr>
          <w:bCs/>
          <w:lang w:val="fr-FR"/>
        </w:rPr>
        <w:t>sur les fiancés, en particulier sur la femme, et les amener à contracter le mariage contre leur gré ou amener la femme à contracter le mariage contre son gré.</w:t>
      </w:r>
      <w:r w:rsidRPr="003A2891">
        <w:rPr>
          <w:bCs/>
          <w:lang w:val="fr-FR"/>
        </w:rPr>
        <w:t xml:space="preserve"> </w:t>
      </w:r>
    </w:p>
    <w:p w:rsidR="00EE563A" w:rsidRPr="00D32F17" w:rsidRDefault="00EE563A" w:rsidP="00EE563A">
      <w:pPr>
        <w:pStyle w:val="SingleTxtG"/>
        <w:tabs>
          <w:tab w:val="left" w:pos="1560"/>
        </w:tabs>
        <w:ind w:left="1100"/>
        <w:rPr>
          <w:bCs/>
          <w:lang w:val="fr-FR"/>
        </w:rPr>
      </w:pPr>
      <w:r w:rsidRPr="00D32F17">
        <w:rPr>
          <w:bCs/>
          <w:lang w:val="fr-FR"/>
        </w:rPr>
        <w:t>251.</w:t>
      </w:r>
      <w:r w:rsidRPr="00D32F17">
        <w:rPr>
          <w:bCs/>
          <w:lang w:val="fr-FR"/>
        </w:rPr>
        <w:tab/>
      </w:r>
      <w:r w:rsidRPr="003A2891">
        <w:rPr>
          <w:bCs/>
          <w:lang w:val="fr-FR"/>
        </w:rPr>
        <w:t>Selon l</w:t>
      </w:r>
      <w:r>
        <w:rPr>
          <w:bCs/>
          <w:lang w:val="fr-FR"/>
        </w:rPr>
        <w:t>’</w:t>
      </w:r>
      <w:r w:rsidRPr="003A2891">
        <w:rPr>
          <w:bCs/>
          <w:lang w:val="fr-FR"/>
        </w:rPr>
        <w:t>article 24 de la loi 68/76 du 12 octobre, l</w:t>
      </w:r>
      <w:r>
        <w:rPr>
          <w:bCs/>
          <w:lang w:val="fr-FR"/>
        </w:rPr>
        <w:t>’</w:t>
      </w:r>
      <w:r w:rsidRPr="003A2891">
        <w:rPr>
          <w:bCs/>
          <w:lang w:val="fr-FR"/>
        </w:rPr>
        <w:t xml:space="preserve">âge légal du mariage est celui de la majorité (18). Les adolescents peuvent </w:t>
      </w:r>
      <w:r>
        <w:rPr>
          <w:bCs/>
          <w:lang w:val="fr-FR"/>
        </w:rPr>
        <w:t xml:space="preserve">obtenir </w:t>
      </w:r>
      <w:r w:rsidRPr="003A2891">
        <w:rPr>
          <w:bCs/>
          <w:lang w:val="fr-FR"/>
        </w:rPr>
        <w:t>la permission de se marier, exceptionnellement, à 15 ans pour les filles et à 16 ans pour les gar</w:t>
      </w:r>
      <w:r>
        <w:rPr>
          <w:bCs/>
          <w:lang w:val="fr-FR"/>
        </w:rPr>
        <w:t>ç</w:t>
      </w:r>
      <w:r w:rsidRPr="003A2891">
        <w:rPr>
          <w:bCs/>
          <w:lang w:val="fr-FR"/>
        </w:rPr>
        <w:t>ons, le législateur voulant par là tenir compte des diff</w:t>
      </w:r>
      <w:r>
        <w:rPr>
          <w:bCs/>
          <w:lang w:val="fr-FR"/>
        </w:rPr>
        <w:t>é</w:t>
      </w:r>
      <w:r w:rsidRPr="003A2891">
        <w:rPr>
          <w:bCs/>
          <w:lang w:val="fr-FR"/>
        </w:rPr>
        <w:t xml:space="preserve">rences </w:t>
      </w:r>
      <w:r>
        <w:rPr>
          <w:bCs/>
          <w:lang w:val="fr-FR"/>
        </w:rPr>
        <w:t>dans le développement physique de l’un et l’autre sexes.</w:t>
      </w:r>
    </w:p>
    <w:p w:rsidR="00EE563A" w:rsidRPr="00883147" w:rsidRDefault="004000EE" w:rsidP="00EE563A">
      <w:pPr>
        <w:pStyle w:val="HChG"/>
      </w:pPr>
      <w:r>
        <w:br w:type="page"/>
      </w:r>
      <w:r w:rsidR="00EE563A">
        <w:t>Annexe</w:t>
      </w:r>
    </w:p>
    <w:p w:rsidR="00EE563A" w:rsidRPr="00D32F17" w:rsidRDefault="00EE563A" w:rsidP="00EE563A">
      <w:pPr>
        <w:pStyle w:val="HChG"/>
        <w:rPr>
          <w:lang w:val="fr-FR"/>
        </w:rPr>
      </w:pPr>
      <w:r w:rsidRPr="00D32F17">
        <w:rPr>
          <w:lang w:val="fr-FR"/>
        </w:rPr>
        <w:tab/>
      </w:r>
      <w:r w:rsidRPr="00D32F17">
        <w:rPr>
          <w:lang w:val="fr-FR"/>
        </w:rPr>
        <w:tab/>
        <w:t>Statistiques relatives à la situation des femmes en Angola</w:t>
      </w:r>
    </w:p>
    <w:p w:rsidR="00EE563A" w:rsidRPr="00D32F17" w:rsidRDefault="00EE563A" w:rsidP="00EE563A">
      <w:pPr>
        <w:pStyle w:val="H1G"/>
        <w:rPr>
          <w:lang w:val="fr-FR"/>
        </w:rPr>
      </w:pPr>
      <w:r>
        <w:rPr>
          <w:rFonts w:ascii="Wingdings" w:hAnsi="Wingdings"/>
          <w:lang w:val="fr-FR"/>
        </w:rPr>
        <w:tab/>
      </w:r>
      <w:r>
        <w:rPr>
          <w:rFonts w:ascii="Wingdings" w:hAnsi="Wingdings"/>
          <w:lang w:val="fr-FR"/>
        </w:rPr>
        <w:tab/>
      </w:r>
      <w:r w:rsidRPr="00D32F17">
        <w:rPr>
          <w:lang w:val="fr-FR"/>
        </w:rPr>
        <w:t xml:space="preserve">Participation des femmes dans les organes de décision publics </w:t>
      </w:r>
    </w:p>
    <w:p w:rsidR="00EE563A" w:rsidRPr="00883147" w:rsidRDefault="00EE563A" w:rsidP="00EE563A">
      <w:pPr>
        <w:pStyle w:val="Heading1"/>
        <w:spacing w:after="120"/>
        <w:rPr>
          <w:b/>
          <w:lang w:val="fr-FR"/>
        </w:rPr>
      </w:pPr>
      <w:r w:rsidRPr="00A32CAD">
        <w:rPr>
          <w:lang w:val="fr-FR"/>
        </w:rPr>
        <w:t xml:space="preserve">Tableau </w:t>
      </w:r>
      <w:r w:rsidRPr="006968A2">
        <w:rPr>
          <w:rFonts w:eastAsia="MS Mincho"/>
          <w:lang w:val="fr-FR"/>
        </w:rPr>
        <w:t>n</w:t>
      </w:r>
      <w:r w:rsidRPr="006968A2">
        <w:rPr>
          <w:rFonts w:eastAsia="MS Mincho"/>
          <w:vertAlign w:val="superscript"/>
          <w:lang w:val="fr-FR"/>
        </w:rPr>
        <w:t>o</w:t>
      </w:r>
      <w:r w:rsidRPr="00A32CAD">
        <w:rPr>
          <w:lang w:val="fr-FR"/>
        </w:rPr>
        <w:t xml:space="preserve"> 1</w:t>
      </w:r>
      <w:r>
        <w:rPr>
          <w:lang w:val="fr-FR"/>
        </w:rPr>
        <w:br/>
      </w:r>
      <w:r w:rsidRPr="00883147">
        <w:rPr>
          <w:b/>
          <w:lang w:val="fr-FR"/>
        </w:rPr>
        <w:t xml:space="preserve">Postes ministériels occupés et </w:t>
      </w:r>
      <w:r w:rsidR="00EC5769">
        <w:rPr>
          <w:b/>
          <w:lang w:val="fr-FR"/>
        </w:rPr>
        <w:t xml:space="preserve">assistants </w:t>
      </w:r>
      <w:r w:rsidRPr="00883147">
        <w:rPr>
          <w:b/>
          <w:lang w:val="fr-FR"/>
        </w:rPr>
        <w:t xml:space="preserve">respectifs </w:t>
      </w:r>
      <w:r>
        <w:rPr>
          <w:b/>
          <w:lang w:val="fr-FR"/>
        </w:rPr>
        <w:t>(</w:t>
      </w:r>
      <w:r w:rsidRPr="00883147">
        <w:rPr>
          <w:b/>
          <w:lang w:val="fr-FR"/>
        </w:rPr>
        <w:t>2010</w:t>
      </w:r>
      <w:r>
        <w:rPr>
          <w:b/>
          <w:lang w:val="fr-FR"/>
        </w:rPr>
        <w:t>)</w:t>
      </w:r>
    </w:p>
    <w:tbl>
      <w:tblPr>
        <w:tblW w:w="7370" w:type="dxa"/>
        <w:tblInd w:w="1134" w:type="dxa"/>
        <w:tblLayout w:type="fixed"/>
        <w:tblCellMar>
          <w:left w:w="0" w:type="dxa"/>
          <w:right w:w="0" w:type="dxa"/>
        </w:tblCellMar>
        <w:tblLook w:val="00A0" w:firstRow="1" w:lastRow="0" w:firstColumn="1" w:lastColumn="0" w:noHBand="0" w:noVBand="0"/>
      </w:tblPr>
      <w:tblGrid>
        <w:gridCol w:w="2494"/>
        <w:gridCol w:w="1219"/>
        <w:gridCol w:w="1219"/>
        <w:gridCol w:w="1219"/>
        <w:gridCol w:w="1219"/>
      </w:tblGrid>
      <w:tr w:rsidR="00EE563A" w:rsidRPr="00883147" w:rsidTr="00B84541">
        <w:trPr>
          <w:tblHeader/>
        </w:trPr>
        <w:tc>
          <w:tcPr>
            <w:tcW w:w="2438" w:type="dxa"/>
            <w:tcBorders>
              <w:top w:val="single" w:sz="4" w:space="0" w:color="auto"/>
              <w:bottom w:val="single" w:sz="12" w:space="0" w:color="auto"/>
            </w:tcBorders>
            <w:shd w:val="clear" w:color="auto" w:fill="auto"/>
            <w:noWrap/>
            <w:vAlign w:val="bottom"/>
          </w:tcPr>
          <w:p w:rsidR="00EE563A" w:rsidRPr="00883147" w:rsidRDefault="00EE563A" w:rsidP="00B84541">
            <w:pPr>
              <w:suppressAutoHyphens w:val="0"/>
              <w:spacing w:before="80" w:after="80" w:line="200" w:lineRule="exact"/>
              <w:rPr>
                <w:i/>
                <w:sz w:val="16"/>
              </w:rPr>
            </w:pPr>
            <w:r w:rsidRPr="00883147">
              <w:rPr>
                <w:i/>
                <w:sz w:val="16"/>
              </w:rPr>
              <w:t>Postes/fonctions</w:t>
            </w:r>
          </w:p>
        </w:tc>
        <w:tc>
          <w:tcPr>
            <w:tcW w:w="1191" w:type="dxa"/>
            <w:tcBorders>
              <w:top w:val="single" w:sz="4" w:space="0" w:color="auto"/>
              <w:bottom w:val="single" w:sz="12" w:space="0" w:color="auto"/>
            </w:tcBorders>
            <w:shd w:val="clear" w:color="auto" w:fill="auto"/>
            <w:noWrap/>
            <w:vAlign w:val="bottom"/>
          </w:tcPr>
          <w:p w:rsidR="00EE563A" w:rsidRPr="00883147" w:rsidRDefault="00EE563A" w:rsidP="00B84541">
            <w:pPr>
              <w:suppressAutoHyphens w:val="0"/>
              <w:spacing w:before="80" w:after="80" w:line="200" w:lineRule="exact"/>
              <w:jc w:val="right"/>
              <w:rPr>
                <w:i/>
                <w:sz w:val="16"/>
              </w:rPr>
            </w:pPr>
            <w:r w:rsidRPr="00883147">
              <w:rPr>
                <w:i/>
                <w:sz w:val="16"/>
              </w:rPr>
              <w:t>Hommes</w:t>
            </w:r>
          </w:p>
        </w:tc>
        <w:tc>
          <w:tcPr>
            <w:tcW w:w="1191" w:type="dxa"/>
            <w:tcBorders>
              <w:top w:val="single" w:sz="4" w:space="0" w:color="auto"/>
              <w:bottom w:val="single" w:sz="12" w:space="0" w:color="auto"/>
            </w:tcBorders>
            <w:shd w:val="clear" w:color="auto" w:fill="auto"/>
            <w:noWrap/>
            <w:vAlign w:val="bottom"/>
          </w:tcPr>
          <w:p w:rsidR="00EE563A" w:rsidRPr="00883147" w:rsidRDefault="00EE563A" w:rsidP="00B84541">
            <w:pPr>
              <w:suppressAutoHyphens w:val="0"/>
              <w:spacing w:before="80" w:after="80" w:line="200" w:lineRule="exact"/>
              <w:jc w:val="right"/>
              <w:rPr>
                <w:i/>
                <w:sz w:val="16"/>
              </w:rPr>
            </w:pPr>
            <w:r w:rsidRPr="00883147">
              <w:rPr>
                <w:i/>
                <w:sz w:val="16"/>
              </w:rPr>
              <w:t>Femmes</w:t>
            </w:r>
          </w:p>
        </w:tc>
        <w:tc>
          <w:tcPr>
            <w:tcW w:w="1191" w:type="dxa"/>
            <w:tcBorders>
              <w:top w:val="single" w:sz="4" w:space="0" w:color="auto"/>
              <w:bottom w:val="single" w:sz="12" w:space="0" w:color="auto"/>
            </w:tcBorders>
            <w:shd w:val="clear" w:color="auto" w:fill="auto"/>
            <w:noWrap/>
            <w:vAlign w:val="bottom"/>
          </w:tcPr>
          <w:p w:rsidR="00EE563A" w:rsidRPr="00883147" w:rsidRDefault="00EE563A" w:rsidP="00B84541">
            <w:pPr>
              <w:suppressAutoHyphens w:val="0"/>
              <w:spacing w:before="80" w:after="80" w:line="200" w:lineRule="exact"/>
              <w:jc w:val="right"/>
              <w:rPr>
                <w:i/>
                <w:sz w:val="16"/>
              </w:rPr>
            </w:pPr>
            <w:r w:rsidRPr="00883147">
              <w:rPr>
                <w:i/>
                <w:sz w:val="16"/>
              </w:rPr>
              <w:t>Total</w:t>
            </w:r>
          </w:p>
        </w:tc>
        <w:tc>
          <w:tcPr>
            <w:tcW w:w="1191" w:type="dxa"/>
            <w:tcBorders>
              <w:top w:val="single" w:sz="4" w:space="0" w:color="auto"/>
              <w:bottom w:val="single" w:sz="12" w:space="0" w:color="auto"/>
            </w:tcBorders>
            <w:shd w:val="clear" w:color="auto" w:fill="auto"/>
            <w:noWrap/>
            <w:vAlign w:val="bottom"/>
          </w:tcPr>
          <w:p w:rsidR="00EE563A" w:rsidRPr="00883147" w:rsidRDefault="00EE563A" w:rsidP="00B84541">
            <w:pPr>
              <w:suppressAutoHyphens w:val="0"/>
              <w:spacing w:before="80" w:after="80" w:line="200" w:lineRule="exact"/>
              <w:jc w:val="right"/>
              <w:rPr>
                <w:i/>
                <w:sz w:val="16"/>
              </w:rPr>
            </w:pPr>
            <w:r w:rsidRPr="00883147">
              <w:rPr>
                <w:i/>
                <w:sz w:val="16"/>
              </w:rPr>
              <w:t xml:space="preserve">% de femmes </w:t>
            </w:r>
          </w:p>
        </w:tc>
      </w:tr>
      <w:tr w:rsidR="00EE563A" w:rsidRPr="00883147" w:rsidTr="00B84541">
        <w:tc>
          <w:tcPr>
            <w:tcW w:w="2438" w:type="dxa"/>
            <w:tcBorders>
              <w:top w:val="single" w:sz="12" w:space="0" w:color="auto"/>
            </w:tcBorders>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Ministres d’État</w:t>
            </w:r>
          </w:p>
        </w:tc>
        <w:tc>
          <w:tcPr>
            <w:tcW w:w="1191" w:type="dxa"/>
            <w:tcBorders>
              <w:top w:val="single" w:sz="12" w:space="0" w:color="auto"/>
            </w:tcBorders>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3</w:t>
            </w:r>
          </w:p>
        </w:tc>
        <w:tc>
          <w:tcPr>
            <w:tcW w:w="1191" w:type="dxa"/>
            <w:tcBorders>
              <w:top w:val="single" w:sz="12" w:space="0" w:color="auto"/>
            </w:tcBorders>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0</w:t>
            </w:r>
          </w:p>
        </w:tc>
        <w:tc>
          <w:tcPr>
            <w:tcW w:w="1191" w:type="dxa"/>
            <w:tcBorders>
              <w:top w:val="single" w:sz="12" w:space="0" w:color="auto"/>
            </w:tcBorders>
            <w:shd w:val="clear" w:color="auto" w:fill="auto"/>
            <w:noWrap/>
            <w:vAlign w:val="bottom"/>
          </w:tcPr>
          <w:p w:rsidR="00EE563A" w:rsidRPr="005C2CA2" w:rsidRDefault="00EE563A" w:rsidP="00B84541">
            <w:pPr>
              <w:spacing w:before="40" w:after="40" w:line="220" w:lineRule="atLeast"/>
              <w:jc w:val="right"/>
              <w:rPr>
                <w:b/>
                <w:sz w:val="18"/>
                <w:szCs w:val="18"/>
              </w:rPr>
            </w:pPr>
            <w:r w:rsidRPr="005C2CA2">
              <w:rPr>
                <w:b/>
                <w:sz w:val="18"/>
                <w:szCs w:val="18"/>
                <w:lang w:val="en-US"/>
              </w:rPr>
              <w:t>3</w:t>
            </w:r>
          </w:p>
        </w:tc>
        <w:tc>
          <w:tcPr>
            <w:tcW w:w="1191" w:type="dxa"/>
            <w:tcBorders>
              <w:top w:val="single" w:sz="12" w:space="0" w:color="auto"/>
            </w:tcBorders>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0,0</w:t>
            </w:r>
          </w:p>
        </w:tc>
      </w:tr>
      <w:tr w:rsidR="00EE563A" w:rsidRPr="00883147" w:rsidTr="00B84541">
        <w:tc>
          <w:tcPr>
            <w:tcW w:w="2438" w:type="dxa"/>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Ministres</w:t>
            </w:r>
          </w:p>
        </w:tc>
        <w:tc>
          <w:tcPr>
            <w:tcW w:w="1191" w:type="dxa"/>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19</w:t>
            </w:r>
          </w:p>
        </w:tc>
        <w:tc>
          <w:tcPr>
            <w:tcW w:w="1191" w:type="dxa"/>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9</w:t>
            </w:r>
          </w:p>
        </w:tc>
        <w:tc>
          <w:tcPr>
            <w:tcW w:w="1191" w:type="dxa"/>
            <w:shd w:val="clear" w:color="auto" w:fill="auto"/>
            <w:noWrap/>
            <w:vAlign w:val="bottom"/>
          </w:tcPr>
          <w:p w:rsidR="00EE563A" w:rsidRPr="005C2CA2" w:rsidRDefault="00EE563A" w:rsidP="00B84541">
            <w:pPr>
              <w:spacing w:before="40" w:after="40" w:line="220" w:lineRule="atLeast"/>
              <w:jc w:val="right"/>
              <w:rPr>
                <w:b/>
                <w:sz w:val="18"/>
                <w:szCs w:val="18"/>
              </w:rPr>
            </w:pPr>
            <w:r w:rsidRPr="005C2CA2">
              <w:rPr>
                <w:b/>
                <w:sz w:val="18"/>
                <w:szCs w:val="18"/>
                <w:lang w:val="en-US"/>
              </w:rPr>
              <w:t>28</w:t>
            </w:r>
          </w:p>
        </w:tc>
        <w:tc>
          <w:tcPr>
            <w:tcW w:w="1191" w:type="dxa"/>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32,1</w:t>
            </w:r>
          </w:p>
        </w:tc>
      </w:tr>
      <w:tr w:rsidR="00EE563A" w:rsidRPr="00883147" w:rsidTr="00B84541">
        <w:tc>
          <w:tcPr>
            <w:tcW w:w="2438" w:type="dxa"/>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Secrétaires d’État</w:t>
            </w:r>
          </w:p>
        </w:tc>
        <w:tc>
          <w:tcPr>
            <w:tcW w:w="1191" w:type="dxa"/>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15</w:t>
            </w:r>
          </w:p>
        </w:tc>
        <w:tc>
          <w:tcPr>
            <w:tcW w:w="1191" w:type="dxa"/>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4</w:t>
            </w:r>
          </w:p>
        </w:tc>
        <w:tc>
          <w:tcPr>
            <w:tcW w:w="1191" w:type="dxa"/>
            <w:shd w:val="clear" w:color="auto" w:fill="auto"/>
            <w:noWrap/>
            <w:vAlign w:val="bottom"/>
          </w:tcPr>
          <w:p w:rsidR="00EE563A" w:rsidRPr="005C2CA2" w:rsidRDefault="00EE563A" w:rsidP="00B84541">
            <w:pPr>
              <w:spacing w:before="40" w:after="40" w:line="220" w:lineRule="atLeast"/>
              <w:jc w:val="right"/>
              <w:rPr>
                <w:b/>
                <w:sz w:val="18"/>
                <w:szCs w:val="18"/>
              </w:rPr>
            </w:pPr>
            <w:r w:rsidRPr="005C2CA2">
              <w:rPr>
                <w:b/>
                <w:sz w:val="18"/>
                <w:szCs w:val="18"/>
                <w:lang w:val="en-US"/>
              </w:rPr>
              <w:t>19</w:t>
            </w:r>
          </w:p>
        </w:tc>
        <w:tc>
          <w:tcPr>
            <w:tcW w:w="1191" w:type="dxa"/>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21,0</w:t>
            </w:r>
          </w:p>
        </w:tc>
      </w:tr>
      <w:tr w:rsidR="00EE563A" w:rsidRPr="00883147" w:rsidTr="00B84541">
        <w:tc>
          <w:tcPr>
            <w:tcW w:w="2438" w:type="dxa"/>
            <w:tcBorders>
              <w:bottom w:val="single" w:sz="4" w:space="0" w:color="auto"/>
            </w:tcBorders>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Vice-ministres</w:t>
            </w:r>
          </w:p>
        </w:tc>
        <w:tc>
          <w:tcPr>
            <w:tcW w:w="1191" w:type="dxa"/>
            <w:tcBorders>
              <w:bottom w:val="single" w:sz="4" w:space="0" w:color="auto"/>
            </w:tcBorders>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27</w:t>
            </w:r>
          </w:p>
        </w:tc>
        <w:tc>
          <w:tcPr>
            <w:tcW w:w="1191" w:type="dxa"/>
            <w:tcBorders>
              <w:bottom w:val="single" w:sz="4" w:space="0" w:color="auto"/>
            </w:tcBorders>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7</w:t>
            </w:r>
          </w:p>
        </w:tc>
        <w:tc>
          <w:tcPr>
            <w:tcW w:w="1191" w:type="dxa"/>
            <w:tcBorders>
              <w:bottom w:val="single" w:sz="4" w:space="0" w:color="auto"/>
            </w:tcBorders>
            <w:shd w:val="clear" w:color="auto" w:fill="auto"/>
            <w:noWrap/>
            <w:vAlign w:val="bottom"/>
          </w:tcPr>
          <w:p w:rsidR="00EE563A" w:rsidRPr="005C2CA2" w:rsidRDefault="00EE563A" w:rsidP="00B84541">
            <w:pPr>
              <w:spacing w:before="40" w:after="40" w:line="220" w:lineRule="atLeast"/>
              <w:jc w:val="right"/>
              <w:rPr>
                <w:b/>
                <w:sz w:val="18"/>
                <w:szCs w:val="18"/>
              </w:rPr>
            </w:pPr>
            <w:r w:rsidRPr="005C2CA2">
              <w:rPr>
                <w:b/>
                <w:sz w:val="18"/>
                <w:szCs w:val="18"/>
                <w:lang w:val="en-US"/>
              </w:rPr>
              <w:t>34</w:t>
            </w:r>
          </w:p>
        </w:tc>
        <w:tc>
          <w:tcPr>
            <w:tcW w:w="1191" w:type="dxa"/>
            <w:tcBorders>
              <w:bottom w:val="single" w:sz="4" w:space="0" w:color="auto"/>
            </w:tcBorders>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20,6</w:t>
            </w:r>
          </w:p>
        </w:tc>
      </w:tr>
      <w:tr w:rsidR="00EE563A" w:rsidRPr="005C2CA2" w:rsidTr="00B84541">
        <w:tc>
          <w:tcPr>
            <w:tcW w:w="2438" w:type="dxa"/>
            <w:tcBorders>
              <w:top w:val="single" w:sz="4" w:space="0" w:color="auto"/>
              <w:bottom w:val="single" w:sz="4" w:space="0" w:color="auto"/>
            </w:tcBorders>
            <w:shd w:val="clear" w:color="auto" w:fill="auto"/>
            <w:noWrap/>
            <w:vAlign w:val="bottom"/>
          </w:tcPr>
          <w:p w:rsidR="00EE563A" w:rsidRPr="005C2CA2" w:rsidRDefault="00EE563A" w:rsidP="00B84541">
            <w:pPr>
              <w:suppressAutoHyphens w:val="0"/>
              <w:spacing w:before="80" w:after="80" w:line="220" w:lineRule="atLeast"/>
              <w:ind w:left="284"/>
              <w:rPr>
                <w:b/>
                <w:sz w:val="18"/>
                <w:szCs w:val="18"/>
              </w:rPr>
            </w:pPr>
            <w:r w:rsidRPr="005C2CA2">
              <w:rPr>
                <w:b/>
                <w:sz w:val="18"/>
                <w:szCs w:val="18"/>
              </w:rPr>
              <w:t>Total</w:t>
            </w:r>
          </w:p>
        </w:tc>
        <w:tc>
          <w:tcPr>
            <w:tcW w:w="1191" w:type="dxa"/>
            <w:tcBorders>
              <w:top w:val="single" w:sz="4" w:space="0" w:color="auto"/>
              <w:bottom w:val="single" w:sz="4" w:space="0" w:color="auto"/>
            </w:tcBorders>
            <w:shd w:val="clear" w:color="auto" w:fill="auto"/>
            <w:noWrap/>
            <w:vAlign w:val="bottom"/>
          </w:tcPr>
          <w:p w:rsidR="00EE563A" w:rsidRPr="005C2CA2" w:rsidRDefault="00EE563A" w:rsidP="00B84541">
            <w:pPr>
              <w:spacing w:before="80" w:after="80" w:line="220" w:lineRule="atLeast"/>
              <w:jc w:val="right"/>
              <w:rPr>
                <w:b/>
                <w:sz w:val="18"/>
                <w:szCs w:val="18"/>
              </w:rPr>
            </w:pPr>
            <w:r w:rsidRPr="005C2CA2">
              <w:rPr>
                <w:b/>
                <w:sz w:val="18"/>
                <w:szCs w:val="18"/>
                <w:lang w:val="en-US"/>
              </w:rPr>
              <w:t>64</w:t>
            </w:r>
          </w:p>
        </w:tc>
        <w:tc>
          <w:tcPr>
            <w:tcW w:w="1191" w:type="dxa"/>
            <w:tcBorders>
              <w:top w:val="single" w:sz="4" w:space="0" w:color="auto"/>
              <w:bottom w:val="single" w:sz="4" w:space="0" w:color="auto"/>
            </w:tcBorders>
            <w:shd w:val="clear" w:color="auto" w:fill="auto"/>
            <w:noWrap/>
            <w:vAlign w:val="bottom"/>
          </w:tcPr>
          <w:p w:rsidR="00EE563A" w:rsidRPr="005C2CA2" w:rsidRDefault="00EE563A" w:rsidP="00B84541">
            <w:pPr>
              <w:spacing w:before="80" w:after="80" w:line="220" w:lineRule="atLeast"/>
              <w:jc w:val="right"/>
              <w:rPr>
                <w:b/>
                <w:sz w:val="18"/>
                <w:szCs w:val="18"/>
              </w:rPr>
            </w:pPr>
            <w:r w:rsidRPr="005C2CA2">
              <w:rPr>
                <w:b/>
                <w:sz w:val="18"/>
                <w:szCs w:val="18"/>
                <w:lang w:val="en-US"/>
              </w:rPr>
              <w:t>20</w:t>
            </w:r>
          </w:p>
        </w:tc>
        <w:tc>
          <w:tcPr>
            <w:tcW w:w="1191" w:type="dxa"/>
            <w:tcBorders>
              <w:top w:val="single" w:sz="4" w:space="0" w:color="auto"/>
              <w:bottom w:val="single" w:sz="4" w:space="0" w:color="auto"/>
            </w:tcBorders>
            <w:shd w:val="clear" w:color="auto" w:fill="auto"/>
            <w:noWrap/>
            <w:vAlign w:val="bottom"/>
          </w:tcPr>
          <w:p w:rsidR="00EE563A" w:rsidRPr="005C2CA2" w:rsidRDefault="00EE563A" w:rsidP="00B84541">
            <w:pPr>
              <w:spacing w:before="80" w:after="80" w:line="220" w:lineRule="atLeast"/>
              <w:jc w:val="right"/>
              <w:rPr>
                <w:b/>
                <w:sz w:val="18"/>
                <w:szCs w:val="18"/>
              </w:rPr>
            </w:pPr>
            <w:r w:rsidRPr="005C2CA2">
              <w:rPr>
                <w:b/>
                <w:sz w:val="18"/>
                <w:szCs w:val="18"/>
                <w:lang w:val="en-US"/>
              </w:rPr>
              <w:t>84</w:t>
            </w:r>
          </w:p>
        </w:tc>
        <w:tc>
          <w:tcPr>
            <w:tcW w:w="1191" w:type="dxa"/>
            <w:tcBorders>
              <w:top w:val="single" w:sz="4" w:space="0" w:color="auto"/>
              <w:bottom w:val="single" w:sz="4" w:space="0" w:color="auto"/>
            </w:tcBorders>
            <w:shd w:val="clear" w:color="auto" w:fill="auto"/>
            <w:noWrap/>
            <w:vAlign w:val="bottom"/>
          </w:tcPr>
          <w:p w:rsidR="00EE563A" w:rsidRPr="005C2CA2" w:rsidRDefault="00EE563A" w:rsidP="00B84541">
            <w:pPr>
              <w:spacing w:before="80" w:after="80" w:line="220" w:lineRule="atLeast"/>
              <w:jc w:val="right"/>
              <w:rPr>
                <w:b/>
                <w:sz w:val="18"/>
                <w:szCs w:val="18"/>
              </w:rPr>
            </w:pPr>
            <w:r w:rsidRPr="005C2CA2">
              <w:rPr>
                <w:b/>
                <w:sz w:val="18"/>
                <w:szCs w:val="18"/>
              </w:rPr>
              <w:t>23,8</w:t>
            </w:r>
          </w:p>
        </w:tc>
      </w:tr>
      <w:tr w:rsidR="00EE563A" w:rsidRPr="00883147" w:rsidTr="00B84541">
        <w:tc>
          <w:tcPr>
            <w:tcW w:w="2438" w:type="dxa"/>
            <w:tcBorders>
              <w:top w:val="single" w:sz="4" w:space="0" w:color="auto"/>
              <w:bottom w:val="single" w:sz="12" w:space="0" w:color="auto"/>
            </w:tcBorders>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w:t>
            </w:r>
          </w:p>
        </w:tc>
        <w:tc>
          <w:tcPr>
            <w:tcW w:w="1191" w:type="dxa"/>
            <w:tcBorders>
              <w:top w:val="single" w:sz="4" w:space="0" w:color="auto"/>
              <w:bottom w:val="single" w:sz="12" w:space="0" w:color="auto"/>
            </w:tcBorders>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76,2</w:t>
            </w:r>
          </w:p>
        </w:tc>
        <w:tc>
          <w:tcPr>
            <w:tcW w:w="1191" w:type="dxa"/>
            <w:tcBorders>
              <w:top w:val="single" w:sz="4" w:space="0" w:color="auto"/>
              <w:bottom w:val="single" w:sz="12" w:space="0" w:color="auto"/>
            </w:tcBorders>
            <w:shd w:val="clear" w:color="auto" w:fill="auto"/>
            <w:noWrap/>
            <w:vAlign w:val="bottom"/>
          </w:tcPr>
          <w:p w:rsidR="00EE563A" w:rsidRPr="005C2CA2" w:rsidRDefault="00EE563A" w:rsidP="00B84541">
            <w:pPr>
              <w:spacing w:before="40" w:after="40" w:line="220" w:lineRule="atLeast"/>
              <w:jc w:val="right"/>
              <w:rPr>
                <w:sz w:val="18"/>
                <w:szCs w:val="18"/>
              </w:rPr>
            </w:pPr>
            <w:r w:rsidRPr="005C2CA2">
              <w:rPr>
                <w:sz w:val="18"/>
                <w:szCs w:val="18"/>
              </w:rPr>
              <w:t>23,8</w:t>
            </w:r>
          </w:p>
        </w:tc>
        <w:tc>
          <w:tcPr>
            <w:tcW w:w="1191" w:type="dxa"/>
            <w:tcBorders>
              <w:top w:val="single" w:sz="4" w:space="0" w:color="auto"/>
              <w:bottom w:val="single" w:sz="12" w:space="0" w:color="auto"/>
            </w:tcBorders>
            <w:shd w:val="clear" w:color="auto" w:fill="auto"/>
            <w:noWrap/>
            <w:vAlign w:val="bottom"/>
          </w:tcPr>
          <w:p w:rsidR="00EE563A" w:rsidRPr="005C2CA2" w:rsidRDefault="00EE563A" w:rsidP="00B84541">
            <w:pPr>
              <w:spacing w:before="40" w:after="40" w:line="220" w:lineRule="atLeast"/>
              <w:jc w:val="right"/>
              <w:rPr>
                <w:b/>
                <w:sz w:val="18"/>
                <w:szCs w:val="18"/>
              </w:rPr>
            </w:pPr>
            <w:r w:rsidRPr="005C2CA2">
              <w:rPr>
                <w:b/>
                <w:sz w:val="18"/>
                <w:szCs w:val="18"/>
              </w:rPr>
              <w:t>100,0</w:t>
            </w:r>
          </w:p>
        </w:tc>
        <w:tc>
          <w:tcPr>
            <w:tcW w:w="1191" w:type="dxa"/>
            <w:tcBorders>
              <w:top w:val="single" w:sz="4" w:space="0" w:color="auto"/>
              <w:bottom w:val="single" w:sz="12" w:space="0" w:color="auto"/>
            </w:tcBorders>
            <w:shd w:val="clear" w:color="auto" w:fill="auto"/>
            <w:noWrap/>
            <w:vAlign w:val="bottom"/>
          </w:tcPr>
          <w:p w:rsidR="00EE563A" w:rsidRPr="005C2CA2" w:rsidRDefault="00EE563A" w:rsidP="00B84541">
            <w:pPr>
              <w:spacing w:before="40" w:after="40" w:line="220" w:lineRule="atLeast"/>
              <w:jc w:val="right"/>
              <w:rPr>
                <w:sz w:val="18"/>
                <w:szCs w:val="18"/>
              </w:rPr>
            </w:pPr>
          </w:p>
        </w:tc>
      </w:tr>
    </w:tbl>
    <w:p w:rsidR="00EE563A" w:rsidRPr="00883147" w:rsidRDefault="00EE563A" w:rsidP="00EE563A">
      <w:pPr>
        <w:pStyle w:val="SingleTxtG"/>
        <w:spacing w:before="120"/>
        <w:ind w:firstLine="170"/>
        <w:jc w:val="left"/>
        <w:rPr>
          <w:bCs/>
          <w:i/>
          <w:iCs/>
          <w:sz w:val="18"/>
          <w:szCs w:val="18"/>
        </w:rPr>
      </w:pPr>
      <w:r w:rsidRPr="00883147">
        <w:rPr>
          <w:bCs/>
          <w:i/>
          <w:iCs/>
          <w:sz w:val="18"/>
          <w:szCs w:val="18"/>
        </w:rPr>
        <w:t xml:space="preserve">Note: </w:t>
      </w:r>
      <w:r w:rsidRPr="005C2CA2">
        <w:rPr>
          <w:bCs/>
          <w:iCs/>
          <w:sz w:val="18"/>
          <w:szCs w:val="18"/>
        </w:rPr>
        <w:t>Composition actuelle du Gouvernement, fondée sur la nouvelle Constitution de la République d’Angola.</w:t>
      </w:r>
    </w:p>
    <w:p w:rsidR="00EE563A" w:rsidRPr="00883147" w:rsidRDefault="00EE563A" w:rsidP="00EE563A">
      <w:pPr>
        <w:pStyle w:val="Heading1"/>
        <w:spacing w:after="120"/>
        <w:rPr>
          <w:b/>
        </w:rPr>
      </w:pPr>
      <w:r w:rsidRPr="005C2CA2">
        <w:rPr>
          <w:lang w:val="fr-FR"/>
        </w:rPr>
        <w:t>Tableau</w:t>
      </w:r>
      <w:r>
        <w:rPr>
          <w:bCs/>
        </w:rPr>
        <w:t xml:space="preserve"> </w:t>
      </w:r>
      <w:r w:rsidRPr="006968A2">
        <w:rPr>
          <w:rFonts w:eastAsia="MS Mincho"/>
          <w:bCs/>
        </w:rPr>
        <w:t>n</w:t>
      </w:r>
      <w:r w:rsidRPr="006968A2">
        <w:rPr>
          <w:rFonts w:eastAsia="MS Mincho"/>
          <w:bCs/>
          <w:vertAlign w:val="superscript"/>
        </w:rPr>
        <w:t>o</w:t>
      </w:r>
      <w:r w:rsidRPr="005C2CA2">
        <w:rPr>
          <w:bCs/>
        </w:rPr>
        <w:t xml:space="preserve"> </w:t>
      </w:r>
      <w:r w:rsidRPr="005C2CA2">
        <w:t>2</w:t>
      </w:r>
      <w:r w:rsidRPr="005C2CA2">
        <w:br/>
      </w:r>
      <w:r w:rsidRPr="00883147">
        <w:rPr>
          <w:b/>
        </w:rPr>
        <w:t xml:space="preserve">Gouvernement fédéral </w:t>
      </w:r>
      <w:r>
        <w:rPr>
          <w:b/>
        </w:rPr>
        <w:t>(</w:t>
      </w:r>
      <w:r w:rsidRPr="00883147">
        <w:rPr>
          <w:b/>
        </w:rPr>
        <w:t>2009</w:t>
      </w:r>
      <w:r>
        <w:rPr>
          <w:b/>
        </w:rPr>
        <w:t>)</w:t>
      </w:r>
    </w:p>
    <w:tbl>
      <w:tblPr>
        <w:tblW w:w="7333" w:type="dxa"/>
        <w:tblInd w:w="1133" w:type="dxa"/>
        <w:tblLayout w:type="fixed"/>
        <w:tblCellMar>
          <w:left w:w="0" w:type="dxa"/>
          <w:right w:w="0" w:type="dxa"/>
        </w:tblCellMar>
        <w:tblLook w:val="00A0" w:firstRow="1" w:lastRow="0" w:firstColumn="1" w:lastColumn="0" w:noHBand="0" w:noVBand="0"/>
      </w:tblPr>
      <w:tblGrid>
        <w:gridCol w:w="2481"/>
        <w:gridCol w:w="1213"/>
        <w:gridCol w:w="1213"/>
        <w:gridCol w:w="1213"/>
        <w:gridCol w:w="1213"/>
      </w:tblGrid>
      <w:tr w:rsidR="00EE563A" w:rsidRPr="005C2CA2" w:rsidTr="00B84541">
        <w:trPr>
          <w:tblHeader/>
        </w:trPr>
        <w:tc>
          <w:tcPr>
            <w:tcW w:w="2438" w:type="dxa"/>
            <w:tcBorders>
              <w:top w:val="single" w:sz="4" w:space="0" w:color="auto"/>
              <w:bottom w:val="single" w:sz="12" w:space="0" w:color="auto"/>
            </w:tcBorders>
            <w:shd w:val="clear" w:color="auto" w:fill="auto"/>
            <w:noWrap/>
            <w:vAlign w:val="bottom"/>
          </w:tcPr>
          <w:p w:rsidR="00EE563A" w:rsidRPr="005C2CA2" w:rsidRDefault="00EE563A" w:rsidP="00B84541">
            <w:pPr>
              <w:suppressAutoHyphens w:val="0"/>
              <w:spacing w:before="80" w:after="80" w:line="200" w:lineRule="exact"/>
              <w:rPr>
                <w:i/>
                <w:sz w:val="16"/>
              </w:rPr>
            </w:pPr>
            <w:r w:rsidRPr="005C2CA2">
              <w:rPr>
                <w:i/>
                <w:sz w:val="16"/>
              </w:rPr>
              <w:t>Postes/fonctions</w:t>
            </w:r>
          </w:p>
        </w:tc>
        <w:tc>
          <w:tcPr>
            <w:tcW w:w="1191" w:type="dxa"/>
            <w:tcBorders>
              <w:top w:val="single" w:sz="4" w:space="0" w:color="auto"/>
              <w:bottom w:val="single" w:sz="12" w:space="0" w:color="auto"/>
            </w:tcBorders>
            <w:shd w:val="clear" w:color="auto" w:fill="auto"/>
            <w:noWrap/>
            <w:vAlign w:val="bottom"/>
          </w:tcPr>
          <w:p w:rsidR="00EE563A" w:rsidRPr="005C2CA2" w:rsidRDefault="00EE563A" w:rsidP="00B84541">
            <w:pPr>
              <w:suppressAutoHyphens w:val="0"/>
              <w:spacing w:before="80" w:after="80" w:line="200" w:lineRule="exact"/>
              <w:jc w:val="right"/>
              <w:rPr>
                <w:i/>
                <w:sz w:val="16"/>
              </w:rPr>
            </w:pPr>
            <w:r w:rsidRPr="005C2CA2">
              <w:rPr>
                <w:i/>
                <w:sz w:val="16"/>
              </w:rPr>
              <w:t>Hommes</w:t>
            </w:r>
          </w:p>
        </w:tc>
        <w:tc>
          <w:tcPr>
            <w:tcW w:w="1191" w:type="dxa"/>
            <w:tcBorders>
              <w:top w:val="single" w:sz="4" w:space="0" w:color="auto"/>
              <w:bottom w:val="single" w:sz="12" w:space="0" w:color="auto"/>
            </w:tcBorders>
            <w:shd w:val="clear" w:color="auto" w:fill="auto"/>
            <w:noWrap/>
            <w:vAlign w:val="bottom"/>
          </w:tcPr>
          <w:p w:rsidR="00EE563A" w:rsidRPr="005C2CA2" w:rsidRDefault="00EE563A" w:rsidP="00B84541">
            <w:pPr>
              <w:suppressAutoHyphens w:val="0"/>
              <w:spacing w:before="80" w:after="80" w:line="200" w:lineRule="exact"/>
              <w:jc w:val="right"/>
              <w:rPr>
                <w:i/>
                <w:sz w:val="16"/>
              </w:rPr>
            </w:pPr>
            <w:r w:rsidRPr="005C2CA2">
              <w:rPr>
                <w:i/>
                <w:sz w:val="16"/>
              </w:rPr>
              <w:t>Femmes</w:t>
            </w:r>
          </w:p>
        </w:tc>
        <w:tc>
          <w:tcPr>
            <w:tcW w:w="1191" w:type="dxa"/>
            <w:tcBorders>
              <w:top w:val="single" w:sz="4" w:space="0" w:color="auto"/>
              <w:bottom w:val="single" w:sz="12" w:space="0" w:color="auto"/>
            </w:tcBorders>
            <w:shd w:val="clear" w:color="auto" w:fill="auto"/>
            <w:noWrap/>
            <w:vAlign w:val="bottom"/>
          </w:tcPr>
          <w:p w:rsidR="00EE563A" w:rsidRPr="005C2CA2" w:rsidRDefault="00EE563A" w:rsidP="00B84541">
            <w:pPr>
              <w:suppressAutoHyphens w:val="0"/>
              <w:spacing w:before="80" w:after="80" w:line="200" w:lineRule="exact"/>
              <w:jc w:val="right"/>
              <w:rPr>
                <w:i/>
                <w:sz w:val="16"/>
              </w:rPr>
            </w:pPr>
            <w:r w:rsidRPr="005C2CA2">
              <w:rPr>
                <w:i/>
                <w:sz w:val="16"/>
              </w:rPr>
              <w:t>Total</w:t>
            </w:r>
          </w:p>
        </w:tc>
        <w:tc>
          <w:tcPr>
            <w:tcW w:w="1191" w:type="dxa"/>
            <w:tcBorders>
              <w:top w:val="single" w:sz="4" w:space="0" w:color="auto"/>
              <w:bottom w:val="single" w:sz="12" w:space="0" w:color="auto"/>
            </w:tcBorders>
            <w:shd w:val="clear" w:color="auto" w:fill="auto"/>
            <w:noWrap/>
            <w:vAlign w:val="bottom"/>
          </w:tcPr>
          <w:p w:rsidR="00EE563A" w:rsidRPr="005C2CA2" w:rsidRDefault="00EE563A" w:rsidP="00B84541">
            <w:pPr>
              <w:suppressAutoHyphens w:val="0"/>
              <w:spacing w:before="80" w:after="80" w:line="200" w:lineRule="exact"/>
              <w:jc w:val="right"/>
              <w:rPr>
                <w:i/>
                <w:sz w:val="16"/>
              </w:rPr>
            </w:pPr>
            <w:r w:rsidRPr="005C2CA2">
              <w:rPr>
                <w:i/>
                <w:sz w:val="16"/>
              </w:rPr>
              <w:t xml:space="preserve">% de femmes </w:t>
            </w:r>
          </w:p>
        </w:tc>
      </w:tr>
      <w:tr w:rsidR="00EE563A" w:rsidRPr="005C2CA2" w:rsidTr="00B84541">
        <w:tc>
          <w:tcPr>
            <w:tcW w:w="2438" w:type="dxa"/>
            <w:tcBorders>
              <w:top w:val="single" w:sz="12" w:space="0" w:color="auto"/>
            </w:tcBorders>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Directeurs</w:t>
            </w:r>
          </w:p>
        </w:tc>
        <w:tc>
          <w:tcPr>
            <w:tcW w:w="1191" w:type="dxa"/>
            <w:tcBorders>
              <w:top w:val="single" w:sz="12" w:space="0" w:color="auto"/>
            </w:tcBorders>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218</w:t>
            </w:r>
          </w:p>
        </w:tc>
        <w:tc>
          <w:tcPr>
            <w:tcW w:w="1191" w:type="dxa"/>
            <w:tcBorders>
              <w:top w:val="single" w:sz="12" w:space="0" w:color="auto"/>
            </w:tcBorders>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55</w:t>
            </w:r>
          </w:p>
        </w:tc>
        <w:tc>
          <w:tcPr>
            <w:tcW w:w="1191" w:type="dxa"/>
            <w:tcBorders>
              <w:top w:val="single" w:sz="12" w:space="0" w:color="auto"/>
            </w:tcBorders>
            <w:shd w:val="clear" w:color="auto" w:fill="auto"/>
            <w:noWrap/>
            <w:vAlign w:val="bottom"/>
          </w:tcPr>
          <w:p w:rsidR="00EE563A" w:rsidRPr="00D14F25" w:rsidRDefault="00EE563A" w:rsidP="00B84541">
            <w:pPr>
              <w:spacing w:before="40" w:after="40" w:line="220" w:lineRule="atLeast"/>
              <w:jc w:val="right"/>
              <w:rPr>
                <w:b/>
              </w:rPr>
            </w:pPr>
            <w:r w:rsidRPr="00D14F25">
              <w:rPr>
                <w:b/>
              </w:rPr>
              <w:t>273</w:t>
            </w:r>
          </w:p>
        </w:tc>
        <w:tc>
          <w:tcPr>
            <w:tcW w:w="1191" w:type="dxa"/>
            <w:tcBorders>
              <w:top w:val="single" w:sz="12" w:space="0" w:color="auto"/>
            </w:tcBorders>
            <w:shd w:val="clear" w:color="auto" w:fill="auto"/>
            <w:noWrap/>
            <w:vAlign w:val="bottom"/>
          </w:tcPr>
          <w:p w:rsidR="00EE563A" w:rsidRPr="00D14F25" w:rsidRDefault="00EE563A" w:rsidP="00B84541">
            <w:pPr>
              <w:spacing w:before="40" w:after="40" w:line="220" w:lineRule="atLeast"/>
              <w:jc w:val="right"/>
            </w:pPr>
            <w:r w:rsidRPr="00D14F25">
              <w:t>20,1</w:t>
            </w:r>
          </w:p>
        </w:tc>
      </w:tr>
      <w:tr w:rsidR="00EE563A" w:rsidRPr="005C2CA2" w:rsidTr="00B84541">
        <w:tc>
          <w:tcPr>
            <w:tcW w:w="2438" w:type="dxa"/>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Directeurs adjoints</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28</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12</w:t>
            </w:r>
          </w:p>
        </w:tc>
        <w:tc>
          <w:tcPr>
            <w:tcW w:w="1191" w:type="dxa"/>
            <w:shd w:val="clear" w:color="auto" w:fill="auto"/>
            <w:noWrap/>
            <w:vAlign w:val="bottom"/>
          </w:tcPr>
          <w:p w:rsidR="00EE563A" w:rsidRPr="00D14F25" w:rsidRDefault="00EE563A" w:rsidP="00B84541">
            <w:pPr>
              <w:spacing w:before="40" w:after="40" w:line="220" w:lineRule="atLeast"/>
              <w:jc w:val="right"/>
              <w:rPr>
                <w:b/>
              </w:rPr>
            </w:pPr>
            <w:r w:rsidRPr="00D14F25">
              <w:rPr>
                <w:b/>
              </w:rPr>
              <w:t>40</w:t>
            </w:r>
          </w:p>
        </w:tc>
        <w:tc>
          <w:tcPr>
            <w:tcW w:w="1191" w:type="dxa"/>
            <w:shd w:val="clear" w:color="auto" w:fill="auto"/>
            <w:noWrap/>
            <w:vAlign w:val="bottom"/>
          </w:tcPr>
          <w:p w:rsidR="00EE563A" w:rsidRPr="00D14F25" w:rsidRDefault="00EE563A" w:rsidP="00B84541">
            <w:pPr>
              <w:spacing w:before="40" w:after="40" w:line="220" w:lineRule="atLeast"/>
              <w:jc w:val="right"/>
            </w:pPr>
            <w:r w:rsidRPr="00D14F25">
              <w:t>30,0</w:t>
            </w:r>
          </w:p>
        </w:tc>
      </w:tr>
      <w:tr w:rsidR="00EE563A" w:rsidRPr="005C2CA2" w:rsidTr="00B84541">
        <w:tc>
          <w:tcPr>
            <w:tcW w:w="2438" w:type="dxa"/>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Chefs de département</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731</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126</w:t>
            </w:r>
          </w:p>
        </w:tc>
        <w:tc>
          <w:tcPr>
            <w:tcW w:w="1191" w:type="dxa"/>
            <w:shd w:val="clear" w:color="auto" w:fill="auto"/>
            <w:noWrap/>
            <w:vAlign w:val="bottom"/>
          </w:tcPr>
          <w:p w:rsidR="00EE563A" w:rsidRPr="00D14F25" w:rsidRDefault="00EE563A" w:rsidP="00B84541">
            <w:pPr>
              <w:spacing w:before="40" w:after="40" w:line="220" w:lineRule="atLeast"/>
              <w:jc w:val="right"/>
              <w:rPr>
                <w:b/>
              </w:rPr>
            </w:pPr>
            <w:r w:rsidRPr="00D14F25">
              <w:rPr>
                <w:b/>
              </w:rPr>
              <w:t>857</w:t>
            </w:r>
          </w:p>
        </w:tc>
        <w:tc>
          <w:tcPr>
            <w:tcW w:w="1191" w:type="dxa"/>
            <w:shd w:val="clear" w:color="auto" w:fill="auto"/>
            <w:noWrap/>
            <w:vAlign w:val="bottom"/>
          </w:tcPr>
          <w:p w:rsidR="00EE563A" w:rsidRPr="00D14F25" w:rsidRDefault="00EE563A" w:rsidP="00B84541">
            <w:pPr>
              <w:spacing w:before="40" w:after="40" w:line="220" w:lineRule="atLeast"/>
              <w:jc w:val="right"/>
            </w:pPr>
            <w:r w:rsidRPr="00D14F25">
              <w:t>14,7</w:t>
            </w:r>
          </w:p>
        </w:tc>
      </w:tr>
      <w:tr w:rsidR="00EE563A" w:rsidRPr="005C2CA2" w:rsidTr="00B84541">
        <w:tc>
          <w:tcPr>
            <w:tcW w:w="2438" w:type="dxa"/>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Chefs de division</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178</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42</w:t>
            </w:r>
          </w:p>
        </w:tc>
        <w:tc>
          <w:tcPr>
            <w:tcW w:w="1191" w:type="dxa"/>
            <w:shd w:val="clear" w:color="auto" w:fill="auto"/>
            <w:noWrap/>
            <w:vAlign w:val="bottom"/>
          </w:tcPr>
          <w:p w:rsidR="00EE563A" w:rsidRPr="00D14F25" w:rsidRDefault="00EE563A" w:rsidP="00B84541">
            <w:pPr>
              <w:spacing w:before="40" w:after="40" w:line="220" w:lineRule="atLeast"/>
              <w:jc w:val="right"/>
              <w:rPr>
                <w:b/>
              </w:rPr>
            </w:pPr>
            <w:r w:rsidRPr="00D14F25">
              <w:rPr>
                <w:b/>
              </w:rPr>
              <w:t>220</w:t>
            </w:r>
          </w:p>
        </w:tc>
        <w:tc>
          <w:tcPr>
            <w:tcW w:w="1191" w:type="dxa"/>
            <w:shd w:val="clear" w:color="auto" w:fill="auto"/>
            <w:noWrap/>
            <w:vAlign w:val="bottom"/>
          </w:tcPr>
          <w:p w:rsidR="00EE563A" w:rsidRPr="00D14F25" w:rsidRDefault="00EE563A" w:rsidP="00B84541">
            <w:pPr>
              <w:spacing w:before="40" w:after="40" w:line="220" w:lineRule="atLeast"/>
              <w:jc w:val="right"/>
            </w:pPr>
            <w:r w:rsidRPr="00D14F25">
              <w:t>19,1</w:t>
            </w:r>
          </w:p>
        </w:tc>
      </w:tr>
      <w:tr w:rsidR="00EE563A" w:rsidRPr="005C2CA2" w:rsidTr="00B84541">
        <w:tc>
          <w:tcPr>
            <w:tcW w:w="2438" w:type="dxa"/>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Chefs de section</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1 925</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423</w:t>
            </w:r>
          </w:p>
        </w:tc>
        <w:tc>
          <w:tcPr>
            <w:tcW w:w="1191" w:type="dxa"/>
            <w:shd w:val="clear" w:color="auto" w:fill="auto"/>
            <w:noWrap/>
            <w:vAlign w:val="bottom"/>
          </w:tcPr>
          <w:p w:rsidR="00EE563A" w:rsidRPr="00D14F25" w:rsidRDefault="00EE563A" w:rsidP="00B84541">
            <w:pPr>
              <w:spacing w:before="40" w:after="40" w:line="220" w:lineRule="atLeast"/>
              <w:jc w:val="right"/>
              <w:rPr>
                <w:b/>
              </w:rPr>
            </w:pPr>
            <w:r w:rsidRPr="00D14F25">
              <w:rPr>
                <w:b/>
              </w:rPr>
              <w:t>2</w:t>
            </w:r>
            <w:r>
              <w:rPr>
                <w:b/>
              </w:rPr>
              <w:t> </w:t>
            </w:r>
            <w:r w:rsidRPr="00D14F25">
              <w:rPr>
                <w:b/>
              </w:rPr>
              <w:t>348</w:t>
            </w:r>
          </w:p>
        </w:tc>
        <w:tc>
          <w:tcPr>
            <w:tcW w:w="1191" w:type="dxa"/>
            <w:shd w:val="clear" w:color="auto" w:fill="auto"/>
            <w:noWrap/>
            <w:vAlign w:val="bottom"/>
          </w:tcPr>
          <w:p w:rsidR="00EE563A" w:rsidRPr="00D14F25" w:rsidRDefault="00EE563A" w:rsidP="00B84541">
            <w:pPr>
              <w:spacing w:before="40" w:after="40" w:line="220" w:lineRule="atLeast"/>
              <w:jc w:val="right"/>
            </w:pPr>
            <w:r w:rsidRPr="00D14F25">
              <w:t>18,0</w:t>
            </w:r>
          </w:p>
        </w:tc>
      </w:tr>
      <w:tr w:rsidR="00EE563A" w:rsidRPr="005C2CA2" w:rsidTr="00B84541">
        <w:tc>
          <w:tcPr>
            <w:tcW w:w="2438" w:type="dxa"/>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Consultants</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62</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18</w:t>
            </w:r>
          </w:p>
        </w:tc>
        <w:tc>
          <w:tcPr>
            <w:tcW w:w="1191" w:type="dxa"/>
            <w:shd w:val="clear" w:color="auto" w:fill="auto"/>
            <w:noWrap/>
            <w:vAlign w:val="bottom"/>
          </w:tcPr>
          <w:p w:rsidR="00EE563A" w:rsidRPr="00D14F25" w:rsidRDefault="00EE563A" w:rsidP="00B84541">
            <w:pPr>
              <w:spacing w:before="40" w:after="40" w:line="220" w:lineRule="atLeast"/>
              <w:jc w:val="right"/>
              <w:rPr>
                <w:b/>
              </w:rPr>
            </w:pPr>
            <w:r w:rsidRPr="00D14F25">
              <w:rPr>
                <w:b/>
              </w:rPr>
              <w:t>80</w:t>
            </w:r>
          </w:p>
        </w:tc>
        <w:tc>
          <w:tcPr>
            <w:tcW w:w="1191" w:type="dxa"/>
            <w:shd w:val="clear" w:color="auto" w:fill="auto"/>
            <w:noWrap/>
            <w:vAlign w:val="bottom"/>
          </w:tcPr>
          <w:p w:rsidR="00EE563A" w:rsidRPr="00D14F25" w:rsidRDefault="00EE563A" w:rsidP="00B84541">
            <w:pPr>
              <w:spacing w:before="40" w:after="40" w:line="220" w:lineRule="atLeast"/>
              <w:jc w:val="right"/>
            </w:pPr>
            <w:r w:rsidRPr="00D14F25">
              <w:t>22,5</w:t>
            </w:r>
          </w:p>
        </w:tc>
      </w:tr>
      <w:tr w:rsidR="00EE563A" w:rsidRPr="005C2CA2" w:rsidTr="00B84541">
        <w:tc>
          <w:tcPr>
            <w:tcW w:w="2438" w:type="dxa"/>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Conseillers (Advisors)</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45</w:t>
            </w:r>
          </w:p>
        </w:tc>
        <w:tc>
          <w:tcPr>
            <w:tcW w:w="1191" w:type="dxa"/>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22</w:t>
            </w:r>
          </w:p>
        </w:tc>
        <w:tc>
          <w:tcPr>
            <w:tcW w:w="1191" w:type="dxa"/>
            <w:shd w:val="clear" w:color="auto" w:fill="auto"/>
            <w:noWrap/>
            <w:vAlign w:val="bottom"/>
          </w:tcPr>
          <w:p w:rsidR="00EE563A" w:rsidRPr="00D14F25" w:rsidRDefault="00EE563A" w:rsidP="00B84541">
            <w:pPr>
              <w:spacing w:before="40" w:after="40" w:line="220" w:lineRule="atLeast"/>
              <w:jc w:val="right"/>
              <w:rPr>
                <w:b/>
              </w:rPr>
            </w:pPr>
            <w:r w:rsidRPr="00D14F25">
              <w:rPr>
                <w:b/>
              </w:rPr>
              <w:t>67</w:t>
            </w:r>
          </w:p>
        </w:tc>
        <w:tc>
          <w:tcPr>
            <w:tcW w:w="1191" w:type="dxa"/>
            <w:shd w:val="clear" w:color="auto" w:fill="auto"/>
            <w:noWrap/>
            <w:vAlign w:val="bottom"/>
          </w:tcPr>
          <w:p w:rsidR="00EE563A" w:rsidRPr="00D14F25" w:rsidRDefault="00EE563A" w:rsidP="00B84541">
            <w:pPr>
              <w:spacing w:before="40" w:after="40" w:line="220" w:lineRule="atLeast"/>
              <w:jc w:val="right"/>
            </w:pPr>
            <w:r w:rsidRPr="00D14F25">
              <w:t>32,8</w:t>
            </w:r>
          </w:p>
        </w:tc>
      </w:tr>
      <w:tr w:rsidR="00EE563A" w:rsidRPr="005C2CA2" w:rsidTr="00B84541">
        <w:tc>
          <w:tcPr>
            <w:tcW w:w="2438" w:type="dxa"/>
            <w:tcBorders>
              <w:bottom w:val="single" w:sz="4" w:space="0" w:color="auto"/>
            </w:tcBorders>
            <w:shd w:val="clear" w:color="auto" w:fill="auto"/>
            <w:noWrap/>
            <w:vAlign w:val="bottom"/>
          </w:tcPr>
          <w:p w:rsidR="00EE563A" w:rsidRPr="005C2CA2" w:rsidRDefault="00EE563A" w:rsidP="00B84541">
            <w:pPr>
              <w:suppressAutoHyphens w:val="0"/>
              <w:spacing w:before="40" w:after="40" w:line="220" w:lineRule="atLeast"/>
              <w:rPr>
                <w:sz w:val="18"/>
                <w:szCs w:val="18"/>
              </w:rPr>
            </w:pPr>
            <w:r w:rsidRPr="005C2CA2">
              <w:rPr>
                <w:sz w:val="18"/>
                <w:szCs w:val="18"/>
              </w:rPr>
              <w:t>Conseillers (Counselors)</w:t>
            </w:r>
          </w:p>
        </w:tc>
        <w:tc>
          <w:tcPr>
            <w:tcW w:w="1191" w:type="dxa"/>
            <w:tcBorders>
              <w:bottom w:val="single" w:sz="4" w:space="0" w:color="auto"/>
            </w:tcBorders>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7</w:t>
            </w:r>
          </w:p>
        </w:tc>
        <w:tc>
          <w:tcPr>
            <w:tcW w:w="1191" w:type="dxa"/>
            <w:tcBorders>
              <w:bottom w:val="single" w:sz="4" w:space="0" w:color="auto"/>
            </w:tcBorders>
            <w:shd w:val="clear" w:color="auto" w:fill="auto"/>
            <w:noWrap/>
            <w:vAlign w:val="bottom"/>
          </w:tcPr>
          <w:p w:rsidR="00EE563A" w:rsidRPr="005C2CA2" w:rsidRDefault="00EE563A" w:rsidP="00B84541">
            <w:pPr>
              <w:suppressAutoHyphens w:val="0"/>
              <w:spacing w:before="40" w:after="40" w:line="220" w:lineRule="atLeast"/>
              <w:jc w:val="right"/>
              <w:rPr>
                <w:sz w:val="18"/>
                <w:szCs w:val="18"/>
              </w:rPr>
            </w:pPr>
            <w:r w:rsidRPr="005C2CA2">
              <w:rPr>
                <w:sz w:val="18"/>
                <w:szCs w:val="18"/>
              </w:rPr>
              <w:t>1</w:t>
            </w:r>
          </w:p>
        </w:tc>
        <w:tc>
          <w:tcPr>
            <w:tcW w:w="1191" w:type="dxa"/>
            <w:tcBorders>
              <w:bottom w:val="single" w:sz="4" w:space="0" w:color="auto"/>
            </w:tcBorders>
            <w:shd w:val="clear" w:color="auto" w:fill="auto"/>
            <w:noWrap/>
            <w:vAlign w:val="bottom"/>
          </w:tcPr>
          <w:p w:rsidR="00EE563A" w:rsidRPr="00D14F25" w:rsidRDefault="00EE563A" w:rsidP="00B84541">
            <w:pPr>
              <w:spacing w:before="40" w:after="40" w:line="220" w:lineRule="atLeast"/>
              <w:jc w:val="right"/>
              <w:rPr>
                <w:b/>
              </w:rPr>
            </w:pPr>
            <w:r w:rsidRPr="00D14F25">
              <w:rPr>
                <w:b/>
              </w:rPr>
              <w:t>8</w:t>
            </w:r>
          </w:p>
        </w:tc>
        <w:tc>
          <w:tcPr>
            <w:tcW w:w="1191" w:type="dxa"/>
            <w:tcBorders>
              <w:bottom w:val="single" w:sz="4" w:space="0" w:color="auto"/>
            </w:tcBorders>
            <w:shd w:val="clear" w:color="auto" w:fill="auto"/>
            <w:noWrap/>
            <w:vAlign w:val="bottom"/>
          </w:tcPr>
          <w:p w:rsidR="00EE563A" w:rsidRPr="00D14F25" w:rsidRDefault="00EE563A" w:rsidP="00B84541">
            <w:pPr>
              <w:spacing w:before="40" w:after="40" w:line="220" w:lineRule="atLeast"/>
              <w:jc w:val="right"/>
            </w:pPr>
            <w:r w:rsidRPr="00D14F25">
              <w:t>12,5</w:t>
            </w:r>
          </w:p>
        </w:tc>
      </w:tr>
      <w:tr w:rsidR="00EE563A" w:rsidRPr="005C2CA2" w:rsidTr="00B84541">
        <w:tc>
          <w:tcPr>
            <w:tcW w:w="2438" w:type="dxa"/>
            <w:tcBorders>
              <w:top w:val="single" w:sz="4" w:space="0" w:color="auto"/>
              <w:bottom w:val="single" w:sz="12" w:space="0" w:color="auto"/>
            </w:tcBorders>
            <w:shd w:val="clear" w:color="auto" w:fill="auto"/>
            <w:noWrap/>
            <w:vAlign w:val="bottom"/>
          </w:tcPr>
          <w:p w:rsidR="00EE563A" w:rsidRPr="005C2CA2" w:rsidRDefault="00EE563A" w:rsidP="00B84541">
            <w:pPr>
              <w:suppressAutoHyphens w:val="0"/>
              <w:spacing w:before="80" w:after="80" w:line="220" w:lineRule="atLeast"/>
              <w:ind w:left="284"/>
              <w:rPr>
                <w:b/>
                <w:sz w:val="18"/>
                <w:szCs w:val="18"/>
              </w:rPr>
            </w:pPr>
            <w:r w:rsidRPr="005C2CA2">
              <w:rPr>
                <w:b/>
                <w:sz w:val="18"/>
                <w:szCs w:val="18"/>
              </w:rPr>
              <w:t>Total</w:t>
            </w:r>
          </w:p>
        </w:tc>
        <w:tc>
          <w:tcPr>
            <w:tcW w:w="1191" w:type="dxa"/>
            <w:tcBorders>
              <w:top w:val="single" w:sz="4" w:space="0" w:color="auto"/>
              <w:bottom w:val="single" w:sz="12" w:space="0" w:color="auto"/>
            </w:tcBorders>
            <w:shd w:val="clear" w:color="auto" w:fill="auto"/>
            <w:noWrap/>
            <w:vAlign w:val="bottom"/>
          </w:tcPr>
          <w:p w:rsidR="00EE563A" w:rsidRPr="005C2CA2" w:rsidRDefault="00EE563A" w:rsidP="00B84541">
            <w:pPr>
              <w:suppressAutoHyphens w:val="0"/>
              <w:spacing w:before="80" w:after="80" w:line="220" w:lineRule="atLeast"/>
              <w:jc w:val="right"/>
              <w:rPr>
                <w:b/>
                <w:sz w:val="18"/>
                <w:szCs w:val="18"/>
              </w:rPr>
            </w:pPr>
            <w:r>
              <w:rPr>
                <w:b/>
                <w:sz w:val="18"/>
                <w:szCs w:val="18"/>
              </w:rPr>
              <w:t>3 194</w:t>
            </w:r>
          </w:p>
        </w:tc>
        <w:tc>
          <w:tcPr>
            <w:tcW w:w="1191" w:type="dxa"/>
            <w:tcBorders>
              <w:top w:val="single" w:sz="4" w:space="0" w:color="auto"/>
              <w:bottom w:val="single" w:sz="12" w:space="0" w:color="auto"/>
            </w:tcBorders>
            <w:shd w:val="clear" w:color="auto" w:fill="auto"/>
            <w:noWrap/>
            <w:vAlign w:val="bottom"/>
          </w:tcPr>
          <w:p w:rsidR="00EE563A" w:rsidRPr="005C2CA2" w:rsidRDefault="00EE563A" w:rsidP="00B84541">
            <w:pPr>
              <w:suppressAutoHyphens w:val="0"/>
              <w:spacing w:before="80" w:after="80" w:line="220" w:lineRule="atLeast"/>
              <w:jc w:val="right"/>
              <w:rPr>
                <w:b/>
                <w:sz w:val="18"/>
                <w:szCs w:val="18"/>
              </w:rPr>
            </w:pPr>
            <w:r>
              <w:rPr>
                <w:b/>
                <w:sz w:val="18"/>
                <w:szCs w:val="18"/>
              </w:rPr>
              <w:t>699</w:t>
            </w:r>
          </w:p>
        </w:tc>
        <w:tc>
          <w:tcPr>
            <w:tcW w:w="1191" w:type="dxa"/>
            <w:tcBorders>
              <w:top w:val="single" w:sz="4" w:space="0" w:color="auto"/>
              <w:bottom w:val="single" w:sz="12" w:space="0" w:color="auto"/>
            </w:tcBorders>
            <w:shd w:val="clear" w:color="auto" w:fill="auto"/>
            <w:noWrap/>
            <w:vAlign w:val="bottom"/>
          </w:tcPr>
          <w:p w:rsidR="00EE563A" w:rsidRPr="00D14F25" w:rsidRDefault="00EE563A" w:rsidP="00B84541">
            <w:pPr>
              <w:spacing w:before="80" w:after="80" w:line="220" w:lineRule="atLeast"/>
              <w:jc w:val="right"/>
              <w:rPr>
                <w:b/>
              </w:rPr>
            </w:pPr>
            <w:r w:rsidRPr="00D14F25">
              <w:rPr>
                <w:b/>
              </w:rPr>
              <w:t>3</w:t>
            </w:r>
            <w:r>
              <w:rPr>
                <w:b/>
              </w:rPr>
              <w:t> </w:t>
            </w:r>
            <w:r w:rsidRPr="00D14F25">
              <w:rPr>
                <w:b/>
              </w:rPr>
              <w:t>893</w:t>
            </w:r>
          </w:p>
        </w:tc>
        <w:tc>
          <w:tcPr>
            <w:tcW w:w="1191" w:type="dxa"/>
            <w:tcBorders>
              <w:top w:val="single" w:sz="4" w:space="0" w:color="auto"/>
              <w:bottom w:val="single" w:sz="12" w:space="0" w:color="auto"/>
            </w:tcBorders>
            <w:shd w:val="clear" w:color="auto" w:fill="auto"/>
            <w:noWrap/>
            <w:vAlign w:val="bottom"/>
          </w:tcPr>
          <w:p w:rsidR="00EE563A" w:rsidRPr="00D14F25" w:rsidRDefault="00EE563A" w:rsidP="00B84541">
            <w:pPr>
              <w:spacing w:before="80" w:after="80" w:line="220" w:lineRule="atLeast"/>
              <w:jc w:val="right"/>
              <w:rPr>
                <w:b/>
              </w:rPr>
            </w:pPr>
            <w:r w:rsidRPr="00D14F25">
              <w:rPr>
                <w:b/>
              </w:rPr>
              <w:t>18,0</w:t>
            </w:r>
          </w:p>
        </w:tc>
      </w:tr>
    </w:tbl>
    <w:p w:rsidR="00EE563A" w:rsidRDefault="00EE563A" w:rsidP="00EE563A"/>
    <w:p w:rsidR="00EE563A" w:rsidRPr="00883147" w:rsidRDefault="00EE563A" w:rsidP="00EE563A">
      <w:pPr>
        <w:pStyle w:val="Heading1"/>
        <w:spacing w:after="120"/>
      </w:pPr>
      <w:r>
        <w:rPr>
          <w:bCs/>
        </w:rPr>
        <w:t xml:space="preserve">Tableau </w:t>
      </w:r>
      <w:r w:rsidRPr="00EF06FF">
        <w:rPr>
          <w:rFonts w:eastAsia="MS Mincho"/>
          <w:bCs/>
        </w:rPr>
        <w:t>n</w:t>
      </w:r>
      <w:r w:rsidRPr="00EF06FF">
        <w:rPr>
          <w:rFonts w:eastAsia="MS Mincho"/>
          <w:bCs/>
          <w:vertAlign w:val="superscript"/>
        </w:rPr>
        <w:t>o</w:t>
      </w:r>
      <w:r w:rsidRPr="00883147">
        <w:rPr>
          <w:bCs/>
        </w:rPr>
        <w:t xml:space="preserve"> </w:t>
      </w:r>
      <w:r w:rsidRPr="00883147">
        <w:t>3</w:t>
      </w:r>
      <w:r>
        <w:br/>
      </w:r>
      <w:r w:rsidRPr="00EF06FF">
        <w:rPr>
          <w:b/>
        </w:rPr>
        <w:t>Autorités locales (direction) (2009)</w:t>
      </w:r>
    </w:p>
    <w:tbl>
      <w:tblPr>
        <w:tblW w:w="7370" w:type="dxa"/>
        <w:tblInd w:w="1134" w:type="dxa"/>
        <w:tblLayout w:type="fixed"/>
        <w:tblCellMar>
          <w:left w:w="0" w:type="dxa"/>
          <w:right w:w="0" w:type="dxa"/>
        </w:tblCellMar>
        <w:tblLook w:val="00A0" w:firstRow="1" w:lastRow="0" w:firstColumn="1" w:lastColumn="0" w:noHBand="0" w:noVBand="0"/>
      </w:tblPr>
      <w:tblGrid>
        <w:gridCol w:w="2494"/>
        <w:gridCol w:w="1219"/>
        <w:gridCol w:w="1219"/>
        <w:gridCol w:w="1219"/>
        <w:gridCol w:w="1219"/>
      </w:tblGrid>
      <w:tr w:rsidR="00EE563A" w:rsidRPr="00EF06FF" w:rsidTr="00B84541">
        <w:trPr>
          <w:tblHeader/>
        </w:trPr>
        <w:tc>
          <w:tcPr>
            <w:tcW w:w="2438"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rPr>
                <w:i/>
                <w:sz w:val="16"/>
              </w:rPr>
            </w:pPr>
            <w:r w:rsidRPr="00EF06FF">
              <w:rPr>
                <w:i/>
                <w:sz w:val="16"/>
              </w:rPr>
              <w:t>Postes/fonctions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Hommes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Femmes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Total</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 de femmes</w:t>
            </w:r>
          </w:p>
        </w:tc>
      </w:tr>
      <w:tr w:rsidR="00EE563A" w:rsidRPr="00EF06FF" w:rsidTr="00B84541">
        <w:tc>
          <w:tcPr>
            <w:tcW w:w="2438" w:type="dxa"/>
            <w:tcBorders>
              <w:top w:val="single" w:sz="12" w:space="0" w:color="auto"/>
            </w:tcBorders>
            <w:shd w:val="clear" w:color="auto" w:fill="auto"/>
            <w:noWrap/>
          </w:tcPr>
          <w:p w:rsidR="00EE563A" w:rsidRPr="00EF06FF" w:rsidRDefault="00EE563A" w:rsidP="00B84541">
            <w:pPr>
              <w:suppressAutoHyphens w:val="0"/>
              <w:spacing w:before="40" w:after="40" w:line="220" w:lineRule="atLeast"/>
              <w:rPr>
                <w:sz w:val="18"/>
              </w:rPr>
            </w:pPr>
            <w:r w:rsidRPr="00EF06FF">
              <w:rPr>
                <w:sz w:val="18"/>
              </w:rPr>
              <w:t>Go</w:t>
            </w:r>
            <w:r>
              <w:rPr>
                <w:sz w:val="18"/>
              </w:rPr>
              <w:t>u</w:t>
            </w:r>
            <w:r w:rsidRPr="00EF06FF">
              <w:rPr>
                <w:sz w:val="18"/>
              </w:rPr>
              <w:t>verneurs</w:t>
            </w:r>
          </w:p>
        </w:tc>
        <w:tc>
          <w:tcPr>
            <w:tcW w:w="1191" w:type="dxa"/>
            <w:tcBorders>
              <w:top w:val="single" w:sz="12"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rPr>
            </w:pPr>
            <w:r w:rsidRPr="00EF06FF">
              <w:rPr>
                <w:sz w:val="18"/>
              </w:rPr>
              <w:t>15</w:t>
            </w:r>
          </w:p>
        </w:tc>
        <w:tc>
          <w:tcPr>
            <w:tcW w:w="1191" w:type="dxa"/>
            <w:tcBorders>
              <w:top w:val="single" w:sz="12"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rPr>
            </w:pPr>
            <w:r w:rsidRPr="00EF06FF">
              <w:rPr>
                <w:sz w:val="18"/>
              </w:rPr>
              <w:t>3</w:t>
            </w:r>
          </w:p>
        </w:tc>
        <w:tc>
          <w:tcPr>
            <w:tcW w:w="1191" w:type="dxa"/>
            <w:tcBorders>
              <w:top w:val="single" w:sz="12" w:space="0" w:color="auto"/>
            </w:tcBorders>
            <w:shd w:val="clear" w:color="auto" w:fill="auto"/>
            <w:noWrap/>
            <w:vAlign w:val="bottom"/>
          </w:tcPr>
          <w:p w:rsidR="00EE563A" w:rsidRPr="00D13BF2" w:rsidRDefault="00EE563A" w:rsidP="00B84541">
            <w:pPr>
              <w:suppressAutoHyphens w:val="0"/>
              <w:spacing w:before="40" w:after="40" w:line="220" w:lineRule="atLeast"/>
              <w:jc w:val="right"/>
              <w:rPr>
                <w:b/>
                <w:sz w:val="18"/>
              </w:rPr>
            </w:pPr>
            <w:r w:rsidRPr="00D13BF2">
              <w:rPr>
                <w:b/>
                <w:sz w:val="18"/>
              </w:rPr>
              <w:t>18</w:t>
            </w:r>
          </w:p>
        </w:tc>
        <w:tc>
          <w:tcPr>
            <w:tcW w:w="1191" w:type="dxa"/>
            <w:tcBorders>
              <w:top w:val="single" w:sz="12"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rPr>
            </w:pPr>
            <w:r w:rsidRPr="00EF06FF">
              <w:rPr>
                <w:sz w:val="18"/>
              </w:rPr>
              <w:t>16,7</w:t>
            </w:r>
          </w:p>
        </w:tc>
      </w:tr>
      <w:tr w:rsidR="00EE563A" w:rsidRPr="00EF06FF" w:rsidTr="00B84541">
        <w:tc>
          <w:tcPr>
            <w:tcW w:w="2438" w:type="dxa"/>
            <w:tcBorders>
              <w:bottom w:val="single" w:sz="12" w:space="0" w:color="auto"/>
            </w:tcBorders>
            <w:shd w:val="clear" w:color="auto" w:fill="auto"/>
            <w:noWrap/>
          </w:tcPr>
          <w:p w:rsidR="00EE563A" w:rsidRPr="00EF06FF" w:rsidRDefault="00EE563A" w:rsidP="00B84541">
            <w:pPr>
              <w:suppressAutoHyphens w:val="0"/>
              <w:spacing w:before="40" w:after="40" w:line="220" w:lineRule="atLeast"/>
              <w:rPr>
                <w:sz w:val="18"/>
              </w:rPr>
            </w:pPr>
            <w:r w:rsidRPr="00EF06FF">
              <w:rPr>
                <w:sz w:val="18"/>
              </w:rPr>
              <w:t>Vice-go</w:t>
            </w:r>
            <w:r>
              <w:rPr>
                <w:sz w:val="18"/>
              </w:rPr>
              <w:t>u</w:t>
            </w:r>
            <w:r w:rsidRPr="00EF06FF">
              <w:rPr>
                <w:sz w:val="18"/>
              </w:rPr>
              <w:t>verneurs</w:t>
            </w:r>
          </w:p>
        </w:tc>
        <w:tc>
          <w:tcPr>
            <w:tcW w:w="1191" w:type="dxa"/>
            <w:tcBorders>
              <w:bottom w:val="single" w:sz="12"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rPr>
            </w:pPr>
            <w:r w:rsidRPr="00EF06FF">
              <w:rPr>
                <w:sz w:val="18"/>
              </w:rPr>
              <w:t>31</w:t>
            </w:r>
          </w:p>
        </w:tc>
        <w:tc>
          <w:tcPr>
            <w:tcW w:w="1191" w:type="dxa"/>
            <w:tcBorders>
              <w:bottom w:val="single" w:sz="12"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rPr>
            </w:pPr>
            <w:r w:rsidRPr="00EF06FF">
              <w:rPr>
                <w:sz w:val="18"/>
              </w:rPr>
              <w:t>9</w:t>
            </w:r>
          </w:p>
        </w:tc>
        <w:tc>
          <w:tcPr>
            <w:tcW w:w="1191" w:type="dxa"/>
            <w:tcBorders>
              <w:bottom w:val="single" w:sz="12" w:space="0" w:color="auto"/>
            </w:tcBorders>
            <w:shd w:val="clear" w:color="auto" w:fill="auto"/>
            <w:noWrap/>
            <w:vAlign w:val="bottom"/>
          </w:tcPr>
          <w:p w:rsidR="00EE563A" w:rsidRPr="00D13BF2" w:rsidRDefault="00EE563A" w:rsidP="00B84541">
            <w:pPr>
              <w:suppressAutoHyphens w:val="0"/>
              <w:spacing w:before="40" w:after="40" w:line="220" w:lineRule="atLeast"/>
              <w:jc w:val="right"/>
              <w:rPr>
                <w:b/>
                <w:sz w:val="18"/>
              </w:rPr>
            </w:pPr>
            <w:r w:rsidRPr="00D13BF2">
              <w:rPr>
                <w:b/>
                <w:sz w:val="18"/>
              </w:rPr>
              <w:t>40</w:t>
            </w:r>
          </w:p>
        </w:tc>
        <w:tc>
          <w:tcPr>
            <w:tcW w:w="1191" w:type="dxa"/>
            <w:tcBorders>
              <w:bottom w:val="single" w:sz="12"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rPr>
            </w:pPr>
            <w:r w:rsidRPr="00EF06FF">
              <w:rPr>
                <w:sz w:val="18"/>
              </w:rPr>
              <w:t>22,5</w:t>
            </w:r>
          </w:p>
        </w:tc>
      </w:tr>
    </w:tbl>
    <w:p w:rsidR="00EE563A" w:rsidRPr="00883147" w:rsidRDefault="00EE563A" w:rsidP="00EE563A">
      <w:pPr>
        <w:pStyle w:val="SingleTxtG"/>
        <w:rPr>
          <w:b/>
        </w:rPr>
      </w:pPr>
    </w:p>
    <w:p w:rsidR="00EE563A" w:rsidRPr="00883147" w:rsidRDefault="00EE563A" w:rsidP="00EE563A">
      <w:pPr>
        <w:pStyle w:val="Heading1"/>
        <w:spacing w:after="120"/>
        <w:rPr>
          <w:b/>
          <w:bCs/>
        </w:rPr>
      </w:pPr>
      <w:r>
        <w:rPr>
          <w:bCs/>
        </w:rPr>
        <w:br w:type="page"/>
      </w:r>
      <w:r w:rsidRPr="00EF06FF">
        <w:rPr>
          <w:bCs/>
        </w:rPr>
        <w:t xml:space="preserve">Tableau </w:t>
      </w:r>
      <w:r w:rsidRPr="00EF06FF">
        <w:rPr>
          <w:rFonts w:eastAsia="MS Mincho"/>
          <w:bCs/>
        </w:rPr>
        <w:t>n</w:t>
      </w:r>
      <w:r w:rsidRPr="00EF06FF">
        <w:rPr>
          <w:rFonts w:eastAsia="MS Mincho"/>
          <w:bCs/>
          <w:vertAlign w:val="superscript"/>
        </w:rPr>
        <w:t>o</w:t>
      </w:r>
      <w:r w:rsidRPr="00EF06FF">
        <w:rPr>
          <w:bCs/>
        </w:rPr>
        <w:t xml:space="preserve"> 4</w:t>
      </w:r>
      <w:r>
        <w:rPr>
          <w:b/>
          <w:bCs/>
        </w:rPr>
        <w:br/>
      </w:r>
      <w:r w:rsidRPr="00883147">
        <w:rPr>
          <w:b/>
        </w:rPr>
        <w:t xml:space="preserve">Autorités locales </w:t>
      </w:r>
      <w:r>
        <w:rPr>
          <w:b/>
          <w:bCs/>
        </w:rPr>
        <w:t>(postes de direction) (</w:t>
      </w:r>
      <w:r w:rsidRPr="00883147">
        <w:rPr>
          <w:b/>
          <w:bCs/>
        </w:rPr>
        <w:t>2009</w:t>
      </w:r>
      <w:r>
        <w:rPr>
          <w:b/>
          <w:bCs/>
        </w:rPr>
        <w:t>)</w:t>
      </w:r>
    </w:p>
    <w:tbl>
      <w:tblPr>
        <w:tblW w:w="7370" w:type="dxa"/>
        <w:tblInd w:w="1134" w:type="dxa"/>
        <w:tblLayout w:type="fixed"/>
        <w:tblCellMar>
          <w:left w:w="0" w:type="dxa"/>
          <w:right w:w="0" w:type="dxa"/>
        </w:tblCellMar>
        <w:tblLook w:val="00A0" w:firstRow="1" w:lastRow="0" w:firstColumn="1" w:lastColumn="0" w:noHBand="0" w:noVBand="0"/>
      </w:tblPr>
      <w:tblGrid>
        <w:gridCol w:w="2494"/>
        <w:gridCol w:w="1219"/>
        <w:gridCol w:w="1219"/>
        <w:gridCol w:w="1219"/>
        <w:gridCol w:w="1219"/>
      </w:tblGrid>
      <w:tr w:rsidR="00EE563A" w:rsidRPr="00EF06FF" w:rsidTr="00B84541">
        <w:trPr>
          <w:tblHeader/>
        </w:trPr>
        <w:tc>
          <w:tcPr>
            <w:tcW w:w="2438" w:type="dxa"/>
            <w:tcBorders>
              <w:top w:val="single" w:sz="4" w:space="0" w:color="auto"/>
              <w:bottom w:val="single" w:sz="12" w:space="0" w:color="auto"/>
            </w:tcBorders>
            <w:shd w:val="clear" w:color="auto" w:fill="auto"/>
            <w:noWrap/>
            <w:vAlign w:val="bottom"/>
          </w:tcPr>
          <w:p w:rsidR="00EE563A" w:rsidRPr="00EF06FF" w:rsidRDefault="00EE563A" w:rsidP="00B84541">
            <w:pPr>
              <w:keepNext/>
              <w:keepLines/>
              <w:suppressAutoHyphens w:val="0"/>
              <w:spacing w:before="80" w:after="80" w:line="200" w:lineRule="exact"/>
              <w:rPr>
                <w:i/>
                <w:sz w:val="16"/>
              </w:rPr>
            </w:pPr>
            <w:r w:rsidRPr="00EF06FF">
              <w:rPr>
                <w:i/>
                <w:sz w:val="16"/>
              </w:rPr>
              <w:t>Postes/fonctions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keepNext/>
              <w:keepLines/>
              <w:suppressAutoHyphens w:val="0"/>
              <w:spacing w:before="80" w:after="80" w:line="200" w:lineRule="exact"/>
              <w:jc w:val="right"/>
              <w:rPr>
                <w:i/>
                <w:sz w:val="16"/>
              </w:rPr>
            </w:pPr>
            <w:r w:rsidRPr="00EF06FF">
              <w:rPr>
                <w:i/>
                <w:sz w:val="16"/>
              </w:rPr>
              <w:t>Hommes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keepNext/>
              <w:keepLines/>
              <w:suppressAutoHyphens w:val="0"/>
              <w:spacing w:before="80" w:after="80" w:line="200" w:lineRule="exact"/>
              <w:jc w:val="right"/>
              <w:rPr>
                <w:i/>
                <w:sz w:val="16"/>
              </w:rPr>
            </w:pPr>
            <w:r w:rsidRPr="00EF06FF">
              <w:rPr>
                <w:i/>
                <w:sz w:val="16"/>
              </w:rPr>
              <w:t>Femmes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keepNext/>
              <w:keepLines/>
              <w:suppressAutoHyphens w:val="0"/>
              <w:spacing w:before="80" w:after="80" w:line="200" w:lineRule="exact"/>
              <w:jc w:val="right"/>
              <w:rPr>
                <w:i/>
                <w:sz w:val="16"/>
              </w:rPr>
            </w:pPr>
            <w:r w:rsidRPr="00EF06FF">
              <w:rPr>
                <w:i/>
                <w:sz w:val="16"/>
              </w:rPr>
              <w:t>Total</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keepNext/>
              <w:keepLines/>
              <w:suppressAutoHyphens w:val="0"/>
              <w:spacing w:before="80" w:after="80" w:line="200" w:lineRule="exact"/>
              <w:jc w:val="right"/>
              <w:rPr>
                <w:i/>
                <w:sz w:val="16"/>
              </w:rPr>
            </w:pPr>
            <w:r w:rsidRPr="00EF06FF">
              <w:rPr>
                <w:i/>
                <w:sz w:val="16"/>
              </w:rPr>
              <w:t>% de femmes</w:t>
            </w:r>
          </w:p>
        </w:tc>
      </w:tr>
      <w:tr w:rsidR="00EE563A" w:rsidRPr="00EF06FF" w:rsidTr="00B84541">
        <w:trPr>
          <w:tblHeader/>
        </w:trPr>
        <w:tc>
          <w:tcPr>
            <w:tcW w:w="2438" w:type="dxa"/>
            <w:tcBorders>
              <w:top w:val="single" w:sz="12" w:space="0" w:color="auto"/>
            </w:tcBorders>
            <w:shd w:val="clear" w:color="auto" w:fill="auto"/>
            <w:noWrap/>
            <w:vAlign w:val="bottom"/>
          </w:tcPr>
          <w:p w:rsidR="00EE563A" w:rsidRPr="00EF06FF" w:rsidRDefault="00EE563A" w:rsidP="00B84541">
            <w:pPr>
              <w:suppressAutoHyphens w:val="0"/>
              <w:spacing w:before="40" w:after="40" w:line="220" w:lineRule="atLeast"/>
              <w:rPr>
                <w:sz w:val="18"/>
                <w:szCs w:val="18"/>
              </w:rPr>
            </w:pPr>
            <w:r w:rsidRPr="00EF06FF">
              <w:rPr>
                <w:sz w:val="18"/>
                <w:szCs w:val="18"/>
              </w:rPr>
              <w:t>Directeurs</w:t>
            </w:r>
          </w:p>
        </w:tc>
        <w:tc>
          <w:tcPr>
            <w:tcW w:w="1191" w:type="dxa"/>
            <w:tcBorders>
              <w:top w:val="single" w:sz="12"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33</w:t>
            </w:r>
          </w:p>
        </w:tc>
        <w:tc>
          <w:tcPr>
            <w:tcW w:w="1191" w:type="dxa"/>
            <w:tcBorders>
              <w:top w:val="single" w:sz="12"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0</w:t>
            </w:r>
          </w:p>
        </w:tc>
        <w:tc>
          <w:tcPr>
            <w:tcW w:w="1191" w:type="dxa"/>
            <w:tcBorders>
              <w:top w:val="single" w:sz="12" w:space="0" w:color="auto"/>
            </w:tcBorders>
            <w:shd w:val="clear" w:color="auto" w:fill="auto"/>
            <w:noWrap/>
            <w:vAlign w:val="bottom"/>
          </w:tcPr>
          <w:p w:rsidR="00EE563A" w:rsidRPr="00D13BF2" w:rsidRDefault="00EE563A" w:rsidP="00B84541">
            <w:pPr>
              <w:suppressAutoHyphens w:val="0"/>
              <w:spacing w:before="40" w:after="40" w:line="220" w:lineRule="atLeast"/>
              <w:jc w:val="right"/>
              <w:rPr>
                <w:b/>
                <w:sz w:val="18"/>
                <w:szCs w:val="18"/>
              </w:rPr>
            </w:pPr>
            <w:r w:rsidRPr="00D13BF2">
              <w:rPr>
                <w:b/>
                <w:sz w:val="18"/>
                <w:szCs w:val="18"/>
              </w:rPr>
              <w:t>33</w:t>
            </w:r>
          </w:p>
        </w:tc>
        <w:tc>
          <w:tcPr>
            <w:tcW w:w="1191" w:type="dxa"/>
            <w:tcBorders>
              <w:top w:val="single" w:sz="12"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0</w:t>
            </w:r>
            <w:r>
              <w:rPr>
                <w:sz w:val="18"/>
                <w:szCs w:val="18"/>
              </w:rPr>
              <w:t>,0</w:t>
            </w:r>
          </w:p>
        </w:tc>
      </w:tr>
      <w:tr w:rsidR="00EE563A" w:rsidRPr="00EF06FF" w:rsidTr="00B84541">
        <w:trPr>
          <w:tblHeader/>
        </w:trPr>
        <w:tc>
          <w:tcPr>
            <w:tcW w:w="2438" w:type="dxa"/>
            <w:shd w:val="clear" w:color="auto" w:fill="auto"/>
            <w:noWrap/>
            <w:vAlign w:val="bottom"/>
          </w:tcPr>
          <w:p w:rsidR="00EE563A" w:rsidRPr="00EF06FF" w:rsidRDefault="00EE563A" w:rsidP="00B84541">
            <w:pPr>
              <w:suppressAutoHyphens w:val="0"/>
              <w:spacing w:before="40" w:after="40" w:line="220" w:lineRule="atLeast"/>
              <w:rPr>
                <w:sz w:val="18"/>
                <w:szCs w:val="18"/>
              </w:rPr>
            </w:pPr>
            <w:r w:rsidRPr="00EF06FF">
              <w:rPr>
                <w:sz w:val="18"/>
                <w:szCs w:val="18"/>
              </w:rPr>
              <w:t>Directeurs adjoints</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359</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71</w:t>
            </w:r>
          </w:p>
        </w:tc>
        <w:tc>
          <w:tcPr>
            <w:tcW w:w="1191" w:type="dxa"/>
            <w:shd w:val="clear" w:color="auto" w:fill="auto"/>
            <w:noWrap/>
            <w:vAlign w:val="bottom"/>
          </w:tcPr>
          <w:p w:rsidR="00EE563A" w:rsidRPr="00D13BF2" w:rsidRDefault="00EE563A" w:rsidP="00B84541">
            <w:pPr>
              <w:suppressAutoHyphens w:val="0"/>
              <w:spacing w:before="40" w:after="40" w:line="220" w:lineRule="atLeast"/>
              <w:jc w:val="right"/>
              <w:rPr>
                <w:b/>
                <w:sz w:val="18"/>
                <w:szCs w:val="18"/>
              </w:rPr>
            </w:pPr>
            <w:r w:rsidRPr="00D13BF2">
              <w:rPr>
                <w:b/>
                <w:sz w:val="18"/>
                <w:szCs w:val="18"/>
              </w:rPr>
              <w:t>430</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16,5</w:t>
            </w:r>
          </w:p>
        </w:tc>
      </w:tr>
      <w:tr w:rsidR="00EE563A" w:rsidRPr="00EF06FF" w:rsidTr="00B84541">
        <w:trPr>
          <w:tblHeader/>
        </w:trPr>
        <w:tc>
          <w:tcPr>
            <w:tcW w:w="2438" w:type="dxa"/>
            <w:shd w:val="clear" w:color="auto" w:fill="auto"/>
            <w:noWrap/>
            <w:vAlign w:val="bottom"/>
          </w:tcPr>
          <w:p w:rsidR="00EE563A" w:rsidRPr="00EF06FF" w:rsidRDefault="00EE563A" w:rsidP="00B84541">
            <w:pPr>
              <w:suppressAutoHyphens w:val="0"/>
              <w:spacing w:before="40" w:after="40" w:line="220" w:lineRule="atLeast"/>
              <w:rPr>
                <w:sz w:val="18"/>
                <w:szCs w:val="18"/>
              </w:rPr>
            </w:pPr>
            <w:r w:rsidRPr="00EF06FF">
              <w:rPr>
                <w:sz w:val="18"/>
                <w:szCs w:val="18"/>
              </w:rPr>
              <w:t>Chefs de département</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8</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3</w:t>
            </w:r>
          </w:p>
        </w:tc>
        <w:tc>
          <w:tcPr>
            <w:tcW w:w="1191" w:type="dxa"/>
            <w:shd w:val="clear" w:color="auto" w:fill="auto"/>
            <w:noWrap/>
            <w:vAlign w:val="bottom"/>
          </w:tcPr>
          <w:p w:rsidR="00EE563A" w:rsidRPr="00D13BF2" w:rsidRDefault="00EE563A" w:rsidP="00B84541">
            <w:pPr>
              <w:suppressAutoHyphens w:val="0"/>
              <w:spacing w:before="40" w:after="40" w:line="220" w:lineRule="atLeast"/>
              <w:jc w:val="right"/>
              <w:rPr>
                <w:b/>
                <w:sz w:val="18"/>
                <w:szCs w:val="18"/>
              </w:rPr>
            </w:pPr>
            <w:r w:rsidRPr="00D13BF2">
              <w:rPr>
                <w:b/>
                <w:sz w:val="18"/>
                <w:szCs w:val="18"/>
              </w:rPr>
              <w:t>11</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27,3</w:t>
            </w:r>
          </w:p>
        </w:tc>
      </w:tr>
      <w:tr w:rsidR="00EE563A" w:rsidRPr="00EF06FF" w:rsidTr="00B84541">
        <w:trPr>
          <w:tblHeader/>
        </w:trPr>
        <w:tc>
          <w:tcPr>
            <w:tcW w:w="2438" w:type="dxa"/>
            <w:shd w:val="clear" w:color="auto" w:fill="auto"/>
            <w:noWrap/>
            <w:vAlign w:val="bottom"/>
          </w:tcPr>
          <w:p w:rsidR="00EE563A" w:rsidRPr="00EF06FF" w:rsidRDefault="00EE563A" w:rsidP="00B84541">
            <w:pPr>
              <w:suppressAutoHyphens w:val="0"/>
              <w:spacing w:before="40" w:after="40" w:line="220" w:lineRule="atLeast"/>
              <w:rPr>
                <w:sz w:val="18"/>
                <w:szCs w:val="18"/>
              </w:rPr>
            </w:pPr>
            <w:r w:rsidRPr="00EF06FF">
              <w:rPr>
                <w:sz w:val="18"/>
                <w:szCs w:val="18"/>
              </w:rPr>
              <w:t>Chefs de division</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987</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196</w:t>
            </w:r>
          </w:p>
        </w:tc>
        <w:tc>
          <w:tcPr>
            <w:tcW w:w="1191" w:type="dxa"/>
            <w:shd w:val="clear" w:color="auto" w:fill="auto"/>
            <w:noWrap/>
            <w:vAlign w:val="bottom"/>
          </w:tcPr>
          <w:p w:rsidR="00EE563A" w:rsidRPr="00D13BF2" w:rsidRDefault="00EE563A" w:rsidP="00B84541">
            <w:pPr>
              <w:suppressAutoHyphens w:val="0"/>
              <w:spacing w:before="40" w:after="40" w:line="220" w:lineRule="atLeast"/>
              <w:jc w:val="right"/>
              <w:rPr>
                <w:b/>
                <w:sz w:val="18"/>
                <w:szCs w:val="18"/>
              </w:rPr>
            </w:pPr>
            <w:r w:rsidRPr="00D13BF2">
              <w:rPr>
                <w:b/>
                <w:sz w:val="18"/>
                <w:szCs w:val="18"/>
              </w:rPr>
              <w:t>1 183</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16,6</w:t>
            </w:r>
          </w:p>
        </w:tc>
      </w:tr>
      <w:tr w:rsidR="00EE563A" w:rsidRPr="00EF06FF" w:rsidTr="00B84541">
        <w:trPr>
          <w:tblHeader/>
        </w:trPr>
        <w:tc>
          <w:tcPr>
            <w:tcW w:w="2438" w:type="dxa"/>
            <w:shd w:val="clear" w:color="auto" w:fill="auto"/>
            <w:noWrap/>
            <w:vAlign w:val="bottom"/>
          </w:tcPr>
          <w:p w:rsidR="00EE563A" w:rsidRPr="00EF06FF" w:rsidRDefault="00EE563A" w:rsidP="00B84541">
            <w:pPr>
              <w:suppressAutoHyphens w:val="0"/>
              <w:spacing w:before="40" w:after="40" w:line="220" w:lineRule="atLeast"/>
              <w:rPr>
                <w:sz w:val="18"/>
                <w:szCs w:val="18"/>
              </w:rPr>
            </w:pPr>
            <w:r w:rsidRPr="00EF06FF">
              <w:rPr>
                <w:sz w:val="18"/>
                <w:szCs w:val="18"/>
              </w:rPr>
              <w:t>Chefs de section</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54</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12</w:t>
            </w:r>
          </w:p>
        </w:tc>
        <w:tc>
          <w:tcPr>
            <w:tcW w:w="1191" w:type="dxa"/>
            <w:shd w:val="clear" w:color="auto" w:fill="auto"/>
            <w:noWrap/>
            <w:vAlign w:val="bottom"/>
          </w:tcPr>
          <w:p w:rsidR="00EE563A" w:rsidRPr="00D13BF2" w:rsidRDefault="00EE563A" w:rsidP="00B84541">
            <w:pPr>
              <w:suppressAutoHyphens w:val="0"/>
              <w:spacing w:before="40" w:after="40" w:line="220" w:lineRule="atLeast"/>
              <w:jc w:val="right"/>
              <w:rPr>
                <w:b/>
                <w:sz w:val="18"/>
                <w:szCs w:val="18"/>
              </w:rPr>
            </w:pPr>
            <w:r w:rsidRPr="00D13BF2">
              <w:rPr>
                <w:b/>
                <w:sz w:val="18"/>
                <w:szCs w:val="18"/>
              </w:rPr>
              <w:t>66</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18,2</w:t>
            </w:r>
          </w:p>
        </w:tc>
      </w:tr>
      <w:tr w:rsidR="00EE563A" w:rsidRPr="00EF06FF" w:rsidTr="00B84541">
        <w:trPr>
          <w:tblHeader/>
        </w:trPr>
        <w:tc>
          <w:tcPr>
            <w:tcW w:w="2438" w:type="dxa"/>
            <w:shd w:val="clear" w:color="auto" w:fill="auto"/>
            <w:noWrap/>
            <w:vAlign w:val="bottom"/>
          </w:tcPr>
          <w:p w:rsidR="00EE563A" w:rsidRPr="00EF06FF" w:rsidRDefault="00EE563A" w:rsidP="00B84541">
            <w:pPr>
              <w:suppressAutoHyphens w:val="0"/>
              <w:spacing w:before="40" w:after="40" w:line="220" w:lineRule="atLeast"/>
              <w:rPr>
                <w:sz w:val="18"/>
                <w:szCs w:val="18"/>
              </w:rPr>
            </w:pPr>
            <w:r w:rsidRPr="00EF06FF">
              <w:rPr>
                <w:sz w:val="18"/>
                <w:szCs w:val="18"/>
              </w:rPr>
              <w:t>Consultants</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2 240</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528</w:t>
            </w:r>
          </w:p>
        </w:tc>
        <w:tc>
          <w:tcPr>
            <w:tcW w:w="1191" w:type="dxa"/>
            <w:shd w:val="clear" w:color="auto" w:fill="auto"/>
            <w:noWrap/>
            <w:vAlign w:val="bottom"/>
          </w:tcPr>
          <w:p w:rsidR="00EE563A" w:rsidRPr="00D13BF2" w:rsidRDefault="00EE563A" w:rsidP="00B84541">
            <w:pPr>
              <w:suppressAutoHyphens w:val="0"/>
              <w:spacing w:before="40" w:after="40" w:line="220" w:lineRule="atLeast"/>
              <w:jc w:val="right"/>
              <w:rPr>
                <w:b/>
                <w:sz w:val="18"/>
                <w:szCs w:val="18"/>
              </w:rPr>
            </w:pPr>
            <w:r w:rsidRPr="00D13BF2">
              <w:rPr>
                <w:b/>
                <w:sz w:val="18"/>
                <w:szCs w:val="18"/>
              </w:rPr>
              <w:t>2 768</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19,1</w:t>
            </w:r>
          </w:p>
        </w:tc>
      </w:tr>
      <w:tr w:rsidR="00EE563A" w:rsidRPr="00EF06FF" w:rsidTr="00B84541">
        <w:trPr>
          <w:tblHeader/>
        </w:trPr>
        <w:tc>
          <w:tcPr>
            <w:tcW w:w="2438" w:type="dxa"/>
            <w:shd w:val="clear" w:color="auto" w:fill="auto"/>
            <w:noWrap/>
            <w:vAlign w:val="bottom"/>
          </w:tcPr>
          <w:p w:rsidR="00EE563A" w:rsidRPr="00EF06FF" w:rsidRDefault="00EE563A" w:rsidP="00B84541">
            <w:pPr>
              <w:suppressAutoHyphens w:val="0"/>
              <w:spacing w:before="40" w:after="40" w:line="220" w:lineRule="atLeast"/>
              <w:rPr>
                <w:sz w:val="18"/>
                <w:szCs w:val="18"/>
              </w:rPr>
            </w:pPr>
            <w:r w:rsidRPr="00EF06FF">
              <w:rPr>
                <w:sz w:val="18"/>
                <w:szCs w:val="18"/>
              </w:rPr>
              <w:t>Conseillers (advisors)</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4</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0</w:t>
            </w:r>
          </w:p>
        </w:tc>
        <w:tc>
          <w:tcPr>
            <w:tcW w:w="1191" w:type="dxa"/>
            <w:shd w:val="clear" w:color="auto" w:fill="auto"/>
            <w:noWrap/>
            <w:vAlign w:val="bottom"/>
          </w:tcPr>
          <w:p w:rsidR="00EE563A" w:rsidRPr="00D13BF2" w:rsidRDefault="00EE563A" w:rsidP="00B84541">
            <w:pPr>
              <w:suppressAutoHyphens w:val="0"/>
              <w:spacing w:before="40" w:after="40" w:line="220" w:lineRule="atLeast"/>
              <w:jc w:val="right"/>
              <w:rPr>
                <w:b/>
                <w:sz w:val="18"/>
                <w:szCs w:val="18"/>
              </w:rPr>
            </w:pPr>
            <w:r w:rsidRPr="00D13BF2">
              <w:rPr>
                <w:b/>
                <w:sz w:val="18"/>
                <w:szCs w:val="18"/>
              </w:rPr>
              <w:t>4</w:t>
            </w:r>
          </w:p>
        </w:tc>
        <w:tc>
          <w:tcPr>
            <w:tcW w:w="1191" w:type="dxa"/>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0</w:t>
            </w:r>
            <w:r>
              <w:rPr>
                <w:sz w:val="18"/>
                <w:szCs w:val="18"/>
              </w:rPr>
              <w:t>,0</w:t>
            </w:r>
          </w:p>
        </w:tc>
      </w:tr>
      <w:tr w:rsidR="00EE563A" w:rsidRPr="00EF06FF" w:rsidTr="00B84541">
        <w:trPr>
          <w:tblHeader/>
        </w:trPr>
        <w:tc>
          <w:tcPr>
            <w:tcW w:w="2438" w:type="dxa"/>
            <w:tcBorders>
              <w:bottom w:val="single" w:sz="4" w:space="0" w:color="auto"/>
            </w:tcBorders>
            <w:shd w:val="clear" w:color="auto" w:fill="auto"/>
            <w:noWrap/>
            <w:vAlign w:val="bottom"/>
          </w:tcPr>
          <w:p w:rsidR="00EE563A" w:rsidRPr="00EF06FF" w:rsidRDefault="00EE563A" w:rsidP="00B84541">
            <w:pPr>
              <w:suppressAutoHyphens w:val="0"/>
              <w:spacing w:before="40" w:after="40" w:line="220" w:lineRule="atLeast"/>
              <w:rPr>
                <w:sz w:val="18"/>
                <w:szCs w:val="18"/>
              </w:rPr>
            </w:pPr>
            <w:r w:rsidRPr="00EF06FF">
              <w:rPr>
                <w:sz w:val="18"/>
                <w:szCs w:val="18"/>
              </w:rPr>
              <w:t>Conseillers (counselors)</w:t>
            </w:r>
          </w:p>
        </w:tc>
        <w:tc>
          <w:tcPr>
            <w:tcW w:w="1191" w:type="dxa"/>
            <w:tcBorders>
              <w:bottom w:val="single" w:sz="4"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13</w:t>
            </w:r>
          </w:p>
        </w:tc>
        <w:tc>
          <w:tcPr>
            <w:tcW w:w="1191" w:type="dxa"/>
            <w:tcBorders>
              <w:bottom w:val="single" w:sz="4"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2</w:t>
            </w:r>
          </w:p>
        </w:tc>
        <w:tc>
          <w:tcPr>
            <w:tcW w:w="1191" w:type="dxa"/>
            <w:tcBorders>
              <w:bottom w:val="single" w:sz="4" w:space="0" w:color="auto"/>
            </w:tcBorders>
            <w:shd w:val="clear" w:color="auto" w:fill="auto"/>
            <w:noWrap/>
            <w:vAlign w:val="bottom"/>
          </w:tcPr>
          <w:p w:rsidR="00EE563A" w:rsidRPr="00D13BF2" w:rsidRDefault="00EE563A" w:rsidP="00B84541">
            <w:pPr>
              <w:suppressAutoHyphens w:val="0"/>
              <w:spacing w:before="40" w:after="40" w:line="220" w:lineRule="atLeast"/>
              <w:jc w:val="right"/>
              <w:rPr>
                <w:b/>
                <w:sz w:val="18"/>
                <w:szCs w:val="18"/>
              </w:rPr>
            </w:pPr>
            <w:r w:rsidRPr="00D13BF2">
              <w:rPr>
                <w:b/>
                <w:sz w:val="18"/>
                <w:szCs w:val="18"/>
              </w:rPr>
              <w:t>15</w:t>
            </w:r>
          </w:p>
        </w:tc>
        <w:tc>
          <w:tcPr>
            <w:tcW w:w="1191" w:type="dxa"/>
            <w:tcBorders>
              <w:bottom w:val="single" w:sz="4" w:space="0" w:color="auto"/>
            </w:tcBorders>
            <w:shd w:val="clear" w:color="auto" w:fill="auto"/>
            <w:noWrap/>
            <w:vAlign w:val="bottom"/>
          </w:tcPr>
          <w:p w:rsidR="00EE563A" w:rsidRPr="00EF06FF" w:rsidRDefault="00EE563A" w:rsidP="00B84541">
            <w:pPr>
              <w:suppressAutoHyphens w:val="0"/>
              <w:spacing w:before="40" w:after="40" w:line="220" w:lineRule="atLeast"/>
              <w:jc w:val="right"/>
              <w:rPr>
                <w:sz w:val="18"/>
                <w:szCs w:val="18"/>
              </w:rPr>
            </w:pPr>
            <w:r w:rsidRPr="00EF06FF">
              <w:rPr>
                <w:sz w:val="18"/>
                <w:szCs w:val="18"/>
              </w:rPr>
              <w:t>13,3</w:t>
            </w:r>
          </w:p>
        </w:tc>
      </w:tr>
      <w:tr w:rsidR="00EE563A" w:rsidRPr="00EF06FF" w:rsidTr="00B84541">
        <w:trPr>
          <w:tblHeader/>
        </w:trPr>
        <w:tc>
          <w:tcPr>
            <w:tcW w:w="2438"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20" w:lineRule="atLeast"/>
              <w:ind w:left="284"/>
              <w:rPr>
                <w:b/>
                <w:sz w:val="18"/>
                <w:szCs w:val="18"/>
              </w:rPr>
            </w:pPr>
            <w:r w:rsidRPr="00EF06FF">
              <w:rPr>
                <w:b/>
                <w:sz w:val="18"/>
                <w:szCs w:val="18"/>
              </w:rPr>
              <w:t>Total</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20" w:lineRule="atLeast"/>
              <w:jc w:val="right"/>
              <w:rPr>
                <w:b/>
                <w:sz w:val="18"/>
                <w:szCs w:val="18"/>
              </w:rPr>
            </w:pPr>
            <w:r>
              <w:rPr>
                <w:b/>
                <w:sz w:val="18"/>
                <w:szCs w:val="18"/>
              </w:rPr>
              <w:t>3 698</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20" w:lineRule="atLeast"/>
              <w:jc w:val="right"/>
              <w:rPr>
                <w:b/>
                <w:sz w:val="18"/>
                <w:szCs w:val="18"/>
              </w:rPr>
            </w:pPr>
            <w:r>
              <w:rPr>
                <w:b/>
                <w:sz w:val="18"/>
                <w:szCs w:val="18"/>
              </w:rPr>
              <w:t>812</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20" w:lineRule="atLeast"/>
              <w:jc w:val="right"/>
              <w:rPr>
                <w:b/>
                <w:sz w:val="18"/>
                <w:szCs w:val="18"/>
              </w:rPr>
            </w:pPr>
            <w:r>
              <w:rPr>
                <w:b/>
                <w:sz w:val="18"/>
                <w:szCs w:val="18"/>
              </w:rPr>
              <w:t>4 510</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20" w:lineRule="atLeast"/>
              <w:jc w:val="right"/>
              <w:rPr>
                <w:b/>
                <w:sz w:val="18"/>
                <w:szCs w:val="18"/>
              </w:rPr>
            </w:pPr>
            <w:r w:rsidRPr="00EF06FF">
              <w:rPr>
                <w:b/>
                <w:sz w:val="18"/>
                <w:szCs w:val="18"/>
              </w:rPr>
              <w:t>18</w:t>
            </w:r>
            <w:r>
              <w:rPr>
                <w:b/>
                <w:sz w:val="18"/>
                <w:szCs w:val="18"/>
              </w:rPr>
              <w:t>,0</w:t>
            </w:r>
          </w:p>
        </w:tc>
      </w:tr>
    </w:tbl>
    <w:p w:rsidR="00EE563A" w:rsidRDefault="00EE563A" w:rsidP="00EE563A"/>
    <w:p w:rsidR="00EE563A" w:rsidRPr="00883147" w:rsidRDefault="00EE563A" w:rsidP="00EE563A">
      <w:pPr>
        <w:pStyle w:val="Heading1"/>
        <w:spacing w:after="120"/>
        <w:rPr>
          <w:b/>
        </w:rPr>
      </w:pPr>
      <w:r w:rsidRPr="00EF06FF">
        <w:rPr>
          <w:rFonts w:eastAsia="MS Mincho"/>
          <w:bCs/>
        </w:rPr>
        <w:t>Tableau</w:t>
      </w:r>
      <w:r w:rsidRPr="00EF06FF">
        <w:rPr>
          <w:bCs/>
        </w:rPr>
        <w:t xml:space="preserve"> </w:t>
      </w:r>
      <w:r w:rsidRPr="006968A2">
        <w:rPr>
          <w:rFonts w:eastAsia="MS Mincho"/>
          <w:bCs/>
        </w:rPr>
        <w:t>n</w:t>
      </w:r>
      <w:r w:rsidRPr="006968A2">
        <w:rPr>
          <w:rFonts w:eastAsia="MS Mincho"/>
          <w:bCs/>
          <w:vertAlign w:val="superscript"/>
        </w:rPr>
        <w:t>o</w:t>
      </w:r>
      <w:r w:rsidRPr="00EF06FF">
        <w:rPr>
          <w:bCs/>
        </w:rPr>
        <w:t xml:space="preserve"> </w:t>
      </w:r>
      <w:r w:rsidRPr="00EF06FF">
        <w:t>5</w:t>
      </w:r>
      <w:r>
        <w:rPr>
          <w:b/>
        </w:rPr>
        <w:br/>
      </w:r>
      <w:r w:rsidRPr="00883147">
        <w:rPr>
          <w:b/>
        </w:rPr>
        <w:t xml:space="preserve">Autorités municipales et urbaines </w:t>
      </w:r>
      <w:r>
        <w:rPr>
          <w:b/>
        </w:rPr>
        <w:t>(</w:t>
      </w:r>
      <w:r w:rsidRPr="00883147">
        <w:rPr>
          <w:b/>
        </w:rPr>
        <w:t>2009</w:t>
      </w:r>
      <w:r>
        <w:rPr>
          <w:b/>
        </w:rPr>
        <w:t>)</w:t>
      </w:r>
    </w:p>
    <w:tbl>
      <w:tblPr>
        <w:tblW w:w="7370" w:type="dxa"/>
        <w:tblInd w:w="1134" w:type="dxa"/>
        <w:tblLayout w:type="fixed"/>
        <w:tblCellMar>
          <w:left w:w="0" w:type="dxa"/>
          <w:right w:w="0" w:type="dxa"/>
        </w:tblCellMar>
        <w:tblLook w:val="00A0" w:firstRow="1" w:lastRow="0" w:firstColumn="1" w:lastColumn="0" w:noHBand="0" w:noVBand="0"/>
      </w:tblPr>
      <w:tblGrid>
        <w:gridCol w:w="2494"/>
        <w:gridCol w:w="1219"/>
        <w:gridCol w:w="1219"/>
        <w:gridCol w:w="1219"/>
        <w:gridCol w:w="1219"/>
      </w:tblGrid>
      <w:tr w:rsidR="00EE563A" w:rsidRPr="00EF06FF" w:rsidTr="00B84541">
        <w:trPr>
          <w:tblHeader/>
        </w:trPr>
        <w:tc>
          <w:tcPr>
            <w:tcW w:w="2438"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rPr>
                <w:i/>
                <w:sz w:val="16"/>
              </w:rPr>
            </w:pPr>
            <w:r w:rsidRPr="00EF06FF">
              <w:rPr>
                <w:i/>
                <w:sz w:val="16"/>
              </w:rPr>
              <w:t>Postes/fonctions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Hommes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Femmes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Total</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 de femmes</w:t>
            </w:r>
          </w:p>
        </w:tc>
      </w:tr>
      <w:tr w:rsidR="00EE563A" w:rsidRPr="00EF06FF" w:rsidTr="00B84541">
        <w:trPr>
          <w:tblHeader/>
        </w:trPr>
        <w:tc>
          <w:tcPr>
            <w:tcW w:w="2438" w:type="dxa"/>
            <w:tcBorders>
              <w:top w:val="single" w:sz="12" w:space="0" w:color="auto"/>
            </w:tcBorders>
            <w:shd w:val="clear" w:color="auto" w:fill="auto"/>
            <w:noWrap/>
            <w:vAlign w:val="bottom"/>
          </w:tcPr>
          <w:p w:rsidR="00EE563A" w:rsidRPr="00EF06FF" w:rsidRDefault="00EE563A" w:rsidP="00B84541">
            <w:pPr>
              <w:suppressAutoHyphens w:val="0"/>
              <w:spacing w:before="40" w:after="40" w:line="220" w:lineRule="atLeast"/>
              <w:rPr>
                <w:sz w:val="18"/>
              </w:rPr>
            </w:pPr>
            <w:r w:rsidRPr="00EF06FF">
              <w:rPr>
                <w:sz w:val="18"/>
              </w:rPr>
              <w:t>Administrateur municipal</w:t>
            </w:r>
          </w:p>
        </w:tc>
        <w:tc>
          <w:tcPr>
            <w:tcW w:w="1191" w:type="dxa"/>
            <w:tcBorders>
              <w:top w:val="single" w:sz="12" w:space="0" w:color="auto"/>
            </w:tcBorders>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134</w:t>
            </w:r>
          </w:p>
        </w:tc>
        <w:tc>
          <w:tcPr>
            <w:tcW w:w="1191" w:type="dxa"/>
            <w:tcBorders>
              <w:top w:val="single" w:sz="12" w:space="0" w:color="auto"/>
            </w:tcBorders>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26</w:t>
            </w:r>
          </w:p>
        </w:tc>
        <w:tc>
          <w:tcPr>
            <w:tcW w:w="1191" w:type="dxa"/>
            <w:tcBorders>
              <w:top w:val="single" w:sz="12" w:space="0" w:color="auto"/>
            </w:tcBorders>
            <w:shd w:val="clear" w:color="auto" w:fill="auto"/>
            <w:noWrap/>
            <w:vAlign w:val="bottom"/>
          </w:tcPr>
          <w:p w:rsidR="00EE563A" w:rsidRPr="00C24764" w:rsidRDefault="00EE563A" w:rsidP="00B84541">
            <w:pPr>
              <w:spacing w:before="40" w:after="40" w:line="220" w:lineRule="atLeast"/>
              <w:jc w:val="right"/>
              <w:rPr>
                <w:b/>
                <w:sz w:val="18"/>
                <w:szCs w:val="18"/>
              </w:rPr>
            </w:pPr>
            <w:r w:rsidRPr="00C24764">
              <w:rPr>
                <w:b/>
                <w:sz w:val="18"/>
                <w:szCs w:val="18"/>
              </w:rPr>
              <w:t>160</w:t>
            </w:r>
          </w:p>
        </w:tc>
        <w:tc>
          <w:tcPr>
            <w:tcW w:w="1191" w:type="dxa"/>
            <w:tcBorders>
              <w:top w:val="single" w:sz="12" w:space="0" w:color="auto"/>
            </w:tcBorders>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16,3</w:t>
            </w:r>
          </w:p>
        </w:tc>
      </w:tr>
      <w:tr w:rsidR="00EE563A" w:rsidRPr="00EF06FF" w:rsidTr="00B84541">
        <w:trPr>
          <w:tblHeader/>
        </w:trPr>
        <w:tc>
          <w:tcPr>
            <w:tcW w:w="2438" w:type="dxa"/>
            <w:shd w:val="clear" w:color="auto" w:fill="auto"/>
            <w:noWrap/>
            <w:vAlign w:val="bottom"/>
          </w:tcPr>
          <w:p w:rsidR="00EE563A" w:rsidRPr="00EF06FF" w:rsidRDefault="00EE563A" w:rsidP="00B84541">
            <w:pPr>
              <w:suppressAutoHyphens w:val="0"/>
              <w:spacing w:before="40" w:after="40" w:line="220" w:lineRule="atLeast"/>
              <w:rPr>
                <w:sz w:val="18"/>
              </w:rPr>
            </w:pPr>
            <w:r w:rsidRPr="00EF06FF">
              <w:rPr>
                <w:sz w:val="18"/>
              </w:rPr>
              <w:t>Administrateur municipal adjoint</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140</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18</w:t>
            </w:r>
          </w:p>
        </w:tc>
        <w:tc>
          <w:tcPr>
            <w:tcW w:w="1191" w:type="dxa"/>
            <w:shd w:val="clear" w:color="auto" w:fill="auto"/>
            <w:noWrap/>
            <w:vAlign w:val="bottom"/>
          </w:tcPr>
          <w:p w:rsidR="00EE563A" w:rsidRPr="00C24764" w:rsidRDefault="00EE563A" w:rsidP="00B84541">
            <w:pPr>
              <w:spacing w:before="40" w:after="40" w:line="220" w:lineRule="atLeast"/>
              <w:jc w:val="right"/>
              <w:rPr>
                <w:b/>
                <w:sz w:val="18"/>
                <w:szCs w:val="18"/>
              </w:rPr>
            </w:pPr>
            <w:r w:rsidRPr="00C24764">
              <w:rPr>
                <w:b/>
                <w:sz w:val="18"/>
                <w:szCs w:val="18"/>
              </w:rPr>
              <w:t>158</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11,4</w:t>
            </w:r>
          </w:p>
        </w:tc>
      </w:tr>
      <w:tr w:rsidR="00EE563A" w:rsidRPr="00EF06FF" w:rsidTr="00B84541">
        <w:trPr>
          <w:tblHeader/>
        </w:trPr>
        <w:tc>
          <w:tcPr>
            <w:tcW w:w="2438" w:type="dxa"/>
            <w:shd w:val="clear" w:color="auto" w:fill="auto"/>
            <w:noWrap/>
            <w:vAlign w:val="bottom"/>
          </w:tcPr>
          <w:p w:rsidR="00EE563A" w:rsidRPr="00EF06FF" w:rsidRDefault="00EE563A" w:rsidP="00B84541">
            <w:pPr>
              <w:suppressAutoHyphens w:val="0"/>
              <w:spacing w:before="40" w:after="40" w:line="220" w:lineRule="atLeast"/>
              <w:rPr>
                <w:sz w:val="18"/>
              </w:rPr>
            </w:pPr>
            <w:r w:rsidRPr="00EF06FF">
              <w:rPr>
                <w:sz w:val="18"/>
              </w:rPr>
              <w:t>Administrateur urbain</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353</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30</w:t>
            </w:r>
          </w:p>
        </w:tc>
        <w:tc>
          <w:tcPr>
            <w:tcW w:w="1191" w:type="dxa"/>
            <w:shd w:val="clear" w:color="auto" w:fill="auto"/>
            <w:noWrap/>
            <w:vAlign w:val="bottom"/>
          </w:tcPr>
          <w:p w:rsidR="00EE563A" w:rsidRPr="00C24764" w:rsidRDefault="00EE563A" w:rsidP="00B84541">
            <w:pPr>
              <w:spacing w:before="40" w:after="40" w:line="220" w:lineRule="atLeast"/>
              <w:jc w:val="right"/>
              <w:rPr>
                <w:b/>
                <w:sz w:val="18"/>
                <w:szCs w:val="18"/>
              </w:rPr>
            </w:pPr>
            <w:r w:rsidRPr="00C24764">
              <w:rPr>
                <w:b/>
                <w:sz w:val="18"/>
                <w:szCs w:val="18"/>
              </w:rPr>
              <w:t>383</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7,8</w:t>
            </w:r>
          </w:p>
        </w:tc>
      </w:tr>
      <w:tr w:rsidR="00EE563A" w:rsidRPr="00EF06FF" w:rsidTr="00B84541">
        <w:trPr>
          <w:tblHeader/>
        </w:trPr>
        <w:tc>
          <w:tcPr>
            <w:tcW w:w="2438" w:type="dxa"/>
            <w:shd w:val="clear" w:color="auto" w:fill="auto"/>
            <w:noWrap/>
            <w:vAlign w:val="bottom"/>
          </w:tcPr>
          <w:p w:rsidR="00EE563A" w:rsidRPr="00EF06FF" w:rsidRDefault="00EE563A" w:rsidP="00B84541">
            <w:pPr>
              <w:suppressAutoHyphens w:val="0"/>
              <w:spacing w:before="40" w:after="40" w:line="220" w:lineRule="atLeast"/>
              <w:rPr>
                <w:sz w:val="18"/>
              </w:rPr>
            </w:pPr>
            <w:r w:rsidRPr="00EF06FF">
              <w:rPr>
                <w:sz w:val="18"/>
              </w:rPr>
              <w:t>Administrateur urbain adjoint</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276</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32</w:t>
            </w:r>
          </w:p>
        </w:tc>
        <w:tc>
          <w:tcPr>
            <w:tcW w:w="1191" w:type="dxa"/>
            <w:shd w:val="clear" w:color="auto" w:fill="auto"/>
            <w:noWrap/>
            <w:vAlign w:val="bottom"/>
          </w:tcPr>
          <w:p w:rsidR="00EE563A" w:rsidRPr="00C24764" w:rsidRDefault="00EE563A" w:rsidP="00B84541">
            <w:pPr>
              <w:spacing w:before="40" w:after="40" w:line="220" w:lineRule="atLeast"/>
              <w:jc w:val="right"/>
              <w:rPr>
                <w:b/>
                <w:sz w:val="18"/>
                <w:szCs w:val="18"/>
              </w:rPr>
            </w:pPr>
            <w:r w:rsidRPr="00C24764">
              <w:rPr>
                <w:b/>
                <w:sz w:val="18"/>
                <w:szCs w:val="18"/>
              </w:rPr>
              <w:t>308</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10,4</w:t>
            </w:r>
          </w:p>
        </w:tc>
      </w:tr>
      <w:tr w:rsidR="00EE563A" w:rsidRPr="00EF06FF" w:rsidTr="00B84541">
        <w:trPr>
          <w:tblHeader/>
        </w:trPr>
        <w:tc>
          <w:tcPr>
            <w:tcW w:w="2438" w:type="dxa"/>
            <w:shd w:val="clear" w:color="auto" w:fill="auto"/>
            <w:noWrap/>
            <w:vAlign w:val="bottom"/>
          </w:tcPr>
          <w:p w:rsidR="00EE563A" w:rsidRPr="00EF06FF" w:rsidRDefault="00EE563A" w:rsidP="00B84541">
            <w:pPr>
              <w:suppressAutoHyphens w:val="0"/>
              <w:spacing w:before="40" w:after="40" w:line="220" w:lineRule="atLeast"/>
              <w:rPr>
                <w:sz w:val="18"/>
              </w:rPr>
            </w:pPr>
            <w:r w:rsidRPr="00EF06FF">
              <w:rPr>
                <w:sz w:val="18"/>
              </w:rPr>
              <w:t>Chef de division</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88</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8</w:t>
            </w:r>
          </w:p>
        </w:tc>
        <w:tc>
          <w:tcPr>
            <w:tcW w:w="1191" w:type="dxa"/>
            <w:shd w:val="clear" w:color="auto" w:fill="auto"/>
            <w:noWrap/>
            <w:vAlign w:val="bottom"/>
          </w:tcPr>
          <w:p w:rsidR="00EE563A" w:rsidRPr="00C24764" w:rsidRDefault="00EE563A" w:rsidP="00B84541">
            <w:pPr>
              <w:spacing w:before="40" w:after="40" w:line="220" w:lineRule="atLeast"/>
              <w:jc w:val="right"/>
              <w:rPr>
                <w:b/>
                <w:sz w:val="18"/>
                <w:szCs w:val="18"/>
              </w:rPr>
            </w:pPr>
            <w:r w:rsidRPr="00C24764">
              <w:rPr>
                <w:b/>
                <w:sz w:val="18"/>
                <w:szCs w:val="18"/>
              </w:rPr>
              <w:t>96</w:t>
            </w:r>
          </w:p>
        </w:tc>
        <w:tc>
          <w:tcPr>
            <w:tcW w:w="1191" w:type="dxa"/>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8,3</w:t>
            </w:r>
          </w:p>
        </w:tc>
      </w:tr>
      <w:tr w:rsidR="00EE563A" w:rsidRPr="00EF06FF" w:rsidTr="00B84541">
        <w:trPr>
          <w:tblHeader/>
        </w:trPr>
        <w:tc>
          <w:tcPr>
            <w:tcW w:w="2438" w:type="dxa"/>
            <w:tcBorders>
              <w:bottom w:val="single" w:sz="4" w:space="0" w:color="auto"/>
            </w:tcBorders>
            <w:shd w:val="clear" w:color="auto" w:fill="auto"/>
            <w:noWrap/>
            <w:vAlign w:val="bottom"/>
          </w:tcPr>
          <w:p w:rsidR="00EE563A" w:rsidRPr="00EF06FF" w:rsidRDefault="00EE563A" w:rsidP="00B84541">
            <w:pPr>
              <w:suppressAutoHyphens w:val="0"/>
              <w:spacing w:before="40" w:after="40" w:line="220" w:lineRule="atLeast"/>
              <w:rPr>
                <w:sz w:val="18"/>
              </w:rPr>
            </w:pPr>
            <w:r w:rsidRPr="00EF06FF">
              <w:rPr>
                <w:sz w:val="18"/>
              </w:rPr>
              <w:t>Chef de section</w:t>
            </w:r>
          </w:p>
        </w:tc>
        <w:tc>
          <w:tcPr>
            <w:tcW w:w="1191" w:type="dxa"/>
            <w:tcBorders>
              <w:bottom w:val="single" w:sz="4" w:space="0" w:color="auto"/>
            </w:tcBorders>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728</w:t>
            </w:r>
          </w:p>
        </w:tc>
        <w:tc>
          <w:tcPr>
            <w:tcW w:w="1191" w:type="dxa"/>
            <w:tcBorders>
              <w:bottom w:val="single" w:sz="4" w:space="0" w:color="auto"/>
            </w:tcBorders>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106</w:t>
            </w:r>
          </w:p>
        </w:tc>
        <w:tc>
          <w:tcPr>
            <w:tcW w:w="1191" w:type="dxa"/>
            <w:tcBorders>
              <w:bottom w:val="single" w:sz="4" w:space="0" w:color="auto"/>
            </w:tcBorders>
            <w:shd w:val="clear" w:color="auto" w:fill="auto"/>
            <w:noWrap/>
            <w:vAlign w:val="bottom"/>
          </w:tcPr>
          <w:p w:rsidR="00EE563A" w:rsidRPr="00C24764" w:rsidRDefault="00EE563A" w:rsidP="00B84541">
            <w:pPr>
              <w:spacing w:before="40" w:after="40" w:line="220" w:lineRule="atLeast"/>
              <w:jc w:val="right"/>
              <w:rPr>
                <w:b/>
                <w:sz w:val="18"/>
                <w:szCs w:val="18"/>
              </w:rPr>
            </w:pPr>
            <w:r w:rsidRPr="00C24764">
              <w:rPr>
                <w:b/>
                <w:sz w:val="18"/>
                <w:szCs w:val="18"/>
              </w:rPr>
              <w:t>834</w:t>
            </w:r>
          </w:p>
        </w:tc>
        <w:tc>
          <w:tcPr>
            <w:tcW w:w="1191" w:type="dxa"/>
            <w:tcBorders>
              <w:bottom w:val="single" w:sz="4" w:space="0" w:color="auto"/>
            </w:tcBorders>
            <w:shd w:val="clear" w:color="auto" w:fill="auto"/>
            <w:noWrap/>
            <w:vAlign w:val="bottom"/>
          </w:tcPr>
          <w:p w:rsidR="00EE563A" w:rsidRPr="00C24764" w:rsidRDefault="00EE563A" w:rsidP="00B84541">
            <w:pPr>
              <w:spacing w:before="40" w:after="40" w:line="220" w:lineRule="atLeast"/>
              <w:jc w:val="right"/>
              <w:rPr>
                <w:sz w:val="18"/>
                <w:szCs w:val="18"/>
              </w:rPr>
            </w:pPr>
            <w:r w:rsidRPr="00C24764">
              <w:rPr>
                <w:sz w:val="18"/>
                <w:szCs w:val="18"/>
              </w:rPr>
              <w:t>12,7</w:t>
            </w:r>
          </w:p>
        </w:tc>
      </w:tr>
      <w:tr w:rsidR="00EE563A" w:rsidRPr="008A430F" w:rsidTr="00B84541">
        <w:trPr>
          <w:tblHeader/>
        </w:trPr>
        <w:tc>
          <w:tcPr>
            <w:tcW w:w="2438" w:type="dxa"/>
            <w:tcBorders>
              <w:top w:val="single" w:sz="4" w:space="0" w:color="auto"/>
              <w:bottom w:val="single" w:sz="12" w:space="0" w:color="auto"/>
            </w:tcBorders>
            <w:shd w:val="clear" w:color="auto" w:fill="auto"/>
            <w:noWrap/>
            <w:vAlign w:val="bottom"/>
          </w:tcPr>
          <w:p w:rsidR="00EE563A" w:rsidRPr="008A430F" w:rsidRDefault="00EE563A" w:rsidP="00B84541">
            <w:pPr>
              <w:suppressAutoHyphens w:val="0"/>
              <w:spacing w:before="80" w:after="80" w:line="220" w:lineRule="atLeast"/>
              <w:ind w:left="284"/>
              <w:rPr>
                <w:b/>
                <w:sz w:val="18"/>
              </w:rPr>
            </w:pPr>
            <w:r w:rsidRPr="008A430F">
              <w:rPr>
                <w:b/>
                <w:sz w:val="18"/>
              </w:rPr>
              <w:t>Total</w:t>
            </w:r>
          </w:p>
        </w:tc>
        <w:tc>
          <w:tcPr>
            <w:tcW w:w="1191" w:type="dxa"/>
            <w:tcBorders>
              <w:top w:val="single" w:sz="4" w:space="0" w:color="auto"/>
              <w:bottom w:val="single" w:sz="12" w:space="0" w:color="auto"/>
            </w:tcBorders>
            <w:shd w:val="clear" w:color="auto" w:fill="auto"/>
            <w:noWrap/>
            <w:vAlign w:val="bottom"/>
          </w:tcPr>
          <w:p w:rsidR="00EE563A" w:rsidRPr="008A430F" w:rsidRDefault="00EE563A" w:rsidP="00B84541">
            <w:pPr>
              <w:spacing w:before="80" w:after="80" w:line="220" w:lineRule="atLeast"/>
              <w:jc w:val="right"/>
              <w:rPr>
                <w:b/>
                <w:sz w:val="18"/>
                <w:szCs w:val="18"/>
              </w:rPr>
            </w:pPr>
            <w:r w:rsidRPr="008A430F">
              <w:rPr>
                <w:b/>
                <w:sz w:val="18"/>
                <w:szCs w:val="18"/>
              </w:rPr>
              <w:t>1 719</w:t>
            </w:r>
          </w:p>
        </w:tc>
        <w:tc>
          <w:tcPr>
            <w:tcW w:w="1191" w:type="dxa"/>
            <w:tcBorders>
              <w:top w:val="single" w:sz="4" w:space="0" w:color="auto"/>
              <w:bottom w:val="single" w:sz="12" w:space="0" w:color="auto"/>
            </w:tcBorders>
            <w:shd w:val="clear" w:color="auto" w:fill="auto"/>
            <w:noWrap/>
            <w:vAlign w:val="bottom"/>
          </w:tcPr>
          <w:p w:rsidR="00EE563A" w:rsidRPr="008A430F" w:rsidRDefault="00EE563A" w:rsidP="00B84541">
            <w:pPr>
              <w:spacing w:before="80" w:after="80" w:line="220" w:lineRule="atLeast"/>
              <w:jc w:val="right"/>
              <w:rPr>
                <w:b/>
                <w:sz w:val="18"/>
                <w:szCs w:val="18"/>
              </w:rPr>
            </w:pPr>
            <w:r w:rsidRPr="008A430F">
              <w:rPr>
                <w:b/>
                <w:sz w:val="18"/>
                <w:szCs w:val="18"/>
              </w:rPr>
              <w:t>220</w:t>
            </w:r>
          </w:p>
        </w:tc>
        <w:tc>
          <w:tcPr>
            <w:tcW w:w="1191" w:type="dxa"/>
            <w:tcBorders>
              <w:top w:val="single" w:sz="4" w:space="0" w:color="auto"/>
              <w:bottom w:val="single" w:sz="12" w:space="0" w:color="auto"/>
            </w:tcBorders>
            <w:shd w:val="clear" w:color="auto" w:fill="auto"/>
            <w:noWrap/>
            <w:vAlign w:val="bottom"/>
          </w:tcPr>
          <w:p w:rsidR="00EE563A" w:rsidRPr="008A430F" w:rsidRDefault="00EE563A" w:rsidP="00B84541">
            <w:pPr>
              <w:spacing w:before="80" w:after="80" w:line="220" w:lineRule="atLeast"/>
              <w:jc w:val="right"/>
              <w:rPr>
                <w:b/>
                <w:sz w:val="18"/>
                <w:szCs w:val="18"/>
              </w:rPr>
            </w:pPr>
            <w:r w:rsidRPr="008A430F">
              <w:rPr>
                <w:b/>
                <w:sz w:val="18"/>
                <w:szCs w:val="18"/>
              </w:rPr>
              <w:t>1 939</w:t>
            </w:r>
          </w:p>
        </w:tc>
        <w:tc>
          <w:tcPr>
            <w:tcW w:w="1191" w:type="dxa"/>
            <w:tcBorders>
              <w:top w:val="single" w:sz="4" w:space="0" w:color="auto"/>
              <w:bottom w:val="single" w:sz="12" w:space="0" w:color="auto"/>
            </w:tcBorders>
            <w:shd w:val="clear" w:color="auto" w:fill="auto"/>
            <w:noWrap/>
            <w:vAlign w:val="bottom"/>
          </w:tcPr>
          <w:p w:rsidR="00EE563A" w:rsidRPr="008A430F" w:rsidRDefault="00EE563A" w:rsidP="00B84541">
            <w:pPr>
              <w:spacing w:before="80" w:after="80" w:line="220" w:lineRule="atLeast"/>
              <w:jc w:val="right"/>
              <w:rPr>
                <w:b/>
                <w:sz w:val="18"/>
                <w:szCs w:val="18"/>
              </w:rPr>
            </w:pPr>
            <w:r w:rsidRPr="008A430F">
              <w:rPr>
                <w:b/>
                <w:sz w:val="18"/>
                <w:szCs w:val="18"/>
              </w:rPr>
              <w:t>11,3</w:t>
            </w:r>
          </w:p>
        </w:tc>
      </w:tr>
    </w:tbl>
    <w:p w:rsidR="00EE563A" w:rsidRPr="00883147" w:rsidRDefault="00EE563A" w:rsidP="00EE563A">
      <w:pPr>
        <w:pStyle w:val="H1G"/>
      </w:pPr>
      <w:r>
        <w:tab/>
      </w:r>
      <w:r>
        <w:tab/>
      </w:r>
      <w:r w:rsidRPr="00883147">
        <w:t>Participation des femmes dans l’appareil judiciaire</w:t>
      </w:r>
    </w:p>
    <w:p w:rsidR="00EE563A" w:rsidRDefault="00EE563A" w:rsidP="00EE563A">
      <w:pPr>
        <w:pStyle w:val="Heading1"/>
        <w:spacing w:after="120"/>
        <w:rPr>
          <w:b/>
          <w:bCs/>
        </w:rPr>
      </w:pPr>
      <w:r w:rsidRPr="004460EE">
        <w:rPr>
          <w:bCs/>
        </w:rPr>
        <w:t xml:space="preserve">Tableau </w:t>
      </w:r>
      <w:r w:rsidRPr="006968A2">
        <w:rPr>
          <w:rFonts w:eastAsia="MS Mincho"/>
          <w:bCs/>
        </w:rPr>
        <w:t>n</w:t>
      </w:r>
      <w:r w:rsidRPr="006968A2">
        <w:rPr>
          <w:rFonts w:eastAsia="MS Mincho"/>
          <w:bCs/>
          <w:vertAlign w:val="superscript"/>
        </w:rPr>
        <w:t>o</w:t>
      </w:r>
      <w:r w:rsidRPr="004460EE">
        <w:rPr>
          <w:bCs/>
        </w:rPr>
        <w:t xml:space="preserve"> 6</w:t>
      </w:r>
      <w:r>
        <w:rPr>
          <w:b/>
          <w:bCs/>
        </w:rPr>
        <w:br/>
      </w:r>
      <w:r w:rsidRPr="00883147">
        <w:rPr>
          <w:b/>
          <w:bCs/>
        </w:rPr>
        <w:t xml:space="preserve">Bureau du Procureur général </w:t>
      </w:r>
      <w:r>
        <w:rPr>
          <w:b/>
          <w:bCs/>
        </w:rPr>
        <w:t>(</w:t>
      </w:r>
      <w:r w:rsidRPr="00883147">
        <w:rPr>
          <w:b/>
          <w:bCs/>
        </w:rPr>
        <w:t>2009</w:t>
      </w:r>
      <w:r>
        <w:rPr>
          <w:b/>
          <w:bCs/>
        </w:rPr>
        <w:t>)</w:t>
      </w:r>
    </w:p>
    <w:tbl>
      <w:tblPr>
        <w:tblW w:w="7370" w:type="dxa"/>
        <w:tblInd w:w="1134" w:type="dxa"/>
        <w:tblLayout w:type="fixed"/>
        <w:tblCellMar>
          <w:left w:w="0" w:type="dxa"/>
          <w:right w:w="0" w:type="dxa"/>
        </w:tblCellMar>
        <w:tblLook w:val="00A0" w:firstRow="1" w:lastRow="0" w:firstColumn="1" w:lastColumn="0" w:noHBand="0" w:noVBand="0"/>
      </w:tblPr>
      <w:tblGrid>
        <w:gridCol w:w="2494"/>
        <w:gridCol w:w="1219"/>
        <w:gridCol w:w="1219"/>
        <w:gridCol w:w="1219"/>
        <w:gridCol w:w="1219"/>
      </w:tblGrid>
      <w:tr w:rsidR="00EE563A" w:rsidRPr="00EF06FF" w:rsidTr="00B84541">
        <w:trPr>
          <w:tblHeader/>
        </w:trPr>
        <w:tc>
          <w:tcPr>
            <w:tcW w:w="2438"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rPr>
                <w:i/>
                <w:sz w:val="16"/>
              </w:rPr>
            </w:pPr>
            <w:r w:rsidRPr="00EF06FF">
              <w:rPr>
                <w:i/>
                <w:sz w:val="16"/>
              </w:rPr>
              <w:t>Postes/fonctions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Hommes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Femmes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Total</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 de femmes</w:t>
            </w:r>
          </w:p>
        </w:tc>
      </w:tr>
      <w:tr w:rsidR="00EE563A" w:rsidRPr="00EF06FF" w:rsidTr="00B84541">
        <w:trPr>
          <w:tblHeader/>
        </w:trPr>
        <w:tc>
          <w:tcPr>
            <w:tcW w:w="2438" w:type="dxa"/>
            <w:tcBorders>
              <w:top w:val="single" w:sz="12" w:space="0" w:color="auto"/>
            </w:tcBorders>
            <w:shd w:val="clear" w:color="auto" w:fill="auto"/>
            <w:noWrap/>
            <w:vAlign w:val="bottom"/>
          </w:tcPr>
          <w:p w:rsidR="00EE563A" w:rsidRPr="008A430F" w:rsidRDefault="00EE563A" w:rsidP="00B84541">
            <w:pPr>
              <w:suppressAutoHyphens w:val="0"/>
              <w:spacing w:before="40" w:after="40" w:line="220" w:lineRule="atLeast"/>
              <w:rPr>
                <w:sz w:val="18"/>
              </w:rPr>
            </w:pPr>
            <w:r w:rsidRPr="008A430F">
              <w:rPr>
                <w:sz w:val="18"/>
              </w:rPr>
              <w:t>Procureur général</w:t>
            </w:r>
          </w:p>
        </w:tc>
        <w:tc>
          <w:tcPr>
            <w:tcW w:w="1191" w:type="dxa"/>
            <w:tcBorders>
              <w:top w:val="single" w:sz="12" w:space="0" w:color="auto"/>
            </w:tcBorders>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1</w:t>
            </w:r>
          </w:p>
        </w:tc>
        <w:tc>
          <w:tcPr>
            <w:tcW w:w="1191" w:type="dxa"/>
            <w:tcBorders>
              <w:top w:val="single" w:sz="12" w:space="0" w:color="auto"/>
            </w:tcBorders>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0</w:t>
            </w:r>
          </w:p>
        </w:tc>
        <w:tc>
          <w:tcPr>
            <w:tcW w:w="1191" w:type="dxa"/>
            <w:tcBorders>
              <w:top w:val="single" w:sz="12" w:space="0" w:color="auto"/>
            </w:tcBorders>
            <w:shd w:val="clear" w:color="auto" w:fill="auto"/>
            <w:noWrap/>
            <w:vAlign w:val="bottom"/>
          </w:tcPr>
          <w:p w:rsidR="00EE563A" w:rsidRPr="00D13BF2" w:rsidRDefault="00EE563A" w:rsidP="00B84541">
            <w:pPr>
              <w:suppressAutoHyphens w:val="0"/>
              <w:spacing w:before="40" w:after="40" w:line="220" w:lineRule="atLeast"/>
              <w:jc w:val="right"/>
              <w:rPr>
                <w:b/>
                <w:sz w:val="18"/>
              </w:rPr>
            </w:pPr>
            <w:r w:rsidRPr="00D13BF2">
              <w:rPr>
                <w:b/>
                <w:sz w:val="18"/>
              </w:rPr>
              <w:t>1</w:t>
            </w:r>
          </w:p>
        </w:tc>
        <w:tc>
          <w:tcPr>
            <w:tcW w:w="1191" w:type="dxa"/>
            <w:tcBorders>
              <w:top w:val="single" w:sz="12" w:space="0" w:color="auto"/>
            </w:tcBorders>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0</w:t>
            </w:r>
            <w:r>
              <w:rPr>
                <w:sz w:val="18"/>
              </w:rPr>
              <w:t>,0</w:t>
            </w:r>
          </w:p>
        </w:tc>
      </w:tr>
      <w:tr w:rsidR="00EE563A" w:rsidRPr="00EF06FF" w:rsidTr="00B84541">
        <w:trPr>
          <w:tblHeader/>
        </w:trPr>
        <w:tc>
          <w:tcPr>
            <w:tcW w:w="2438" w:type="dxa"/>
            <w:shd w:val="clear" w:color="auto" w:fill="auto"/>
            <w:noWrap/>
            <w:vAlign w:val="bottom"/>
          </w:tcPr>
          <w:p w:rsidR="00EE563A" w:rsidRPr="008A430F" w:rsidRDefault="00EE563A" w:rsidP="00B84541">
            <w:pPr>
              <w:suppressAutoHyphens w:val="0"/>
              <w:spacing w:before="40" w:after="40" w:line="220" w:lineRule="atLeast"/>
              <w:rPr>
                <w:sz w:val="18"/>
              </w:rPr>
            </w:pPr>
            <w:r w:rsidRPr="008A430F">
              <w:rPr>
                <w:sz w:val="18"/>
              </w:rPr>
              <w:t>Vice-Procureur général</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2</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0</w:t>
            </w:r>
          </w:p>
        </w:tc>
        <w:tc>
          <w:tcPr>
            <w:tcW w:w="1191" w:type="dxa"/>
            <w:shd w:val="clear" w:color="auto" w:fill="auto"/>
            <w:noWrap/>
            <w:vAlign w:val="bottom"/>
          </w:tcPr>
          <w:p w:rsidR="00EE563A" w:rsidRPr="00D13BF2" w:rsidRDefault="00EE563A" w:rsidP="00B84541">
            <w:pPr>
              <w:suppressAutoHyphens w:val="0"/>
              <w:spacing w:before="40" w:after="40" w:line="220" w:lineRule="atLeast"/>
              <w:jc w:val="right"/>
              <w:rPr>
                <w:b/>
                <w:sz w:val="18"/>
              </w:rPr>
            </w:pPr>
            <w:r w:rsidRPr="00D13BF2">
              <w:rPr>
                <w:b/>
                <w:sz w:val="18"/>
              </w:rPr>
              <w:t>2</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0</w:t>
            </w:r>
            <w:r>
              <w:rPr>
                <w:sz w:val="18"/>
              </w:rPr>
              <w:t>,0</w:t>
            </w:r>
          </w:p>
        </w:tc>
      </w:tr>
      <w:tr w:rsidR="00EE563A" w:rsidRPr="00EF06FF" w:rsidTr="00B84541">
        <w:trPr>
          <w:tblHeader/>
        </w:trPr>
        <w:tc>
          <w:tcPr>
            <w:tcW w:w="2438" w:type="dxa"/>
            <w:shd w:val="clear" w:color="auto" w:fill="auto"/>
            <w:noWrap/>
            <w:vAlign w:val="bottom"/>
          </w:tcPr>
          <w:p w:rsidR="00EE563A" w:rsidRPr="008A430F" w:rsidRDefault="00EE563A" w:rsidP="00B84541">
            <w:pPr>
              <w:suppressAutoHyphens w:val="0"/>
              <w:spacing w:before="40" w:after="40" w:line="220" w:lineRule="atLeast"/>
              <w:rPr>
                <w:sz w:val="18"/>
              </w:rPr>
            </w:pPr>
            <w:r w:rsidRPr="008A430F">
              <w:rPr>
                <w:sz w:val="18"/>
              </w:rPr>
              <w:t>Procureur général adjoint</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13</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1</w:t>
            </w:r>
          </w:p>
        </w:tc>
        <w:tc>
          <w:tcPr>
            <w:tcW w:w="1191" w:type="dxa"/>
            <w:shd w:val="clear" w:color="auto" w:fill="auto"/>
            <w:noWrap/>
            <w:vAlign w:val="bottom"/>
          </w:tcPr>
          <w:p w:rsidR="00EE563A" w:rsidRPr="00D13BF2" w:rsidRDefault="00EE563A" w:rsidP="00B84541">
            <w:pPr>
              <w:suppressAutoHyphens w:val="0"/>
              <w:spacing w:before="40" w:after="40" w:line="220" w:lineRule="atLeast"/>
              <w:jc w:val="right"/>
              <w:rPr>
                <w:b/>
                <w:sz w:val="18"/>
              </w:rPr>
            </w:pPr>
            <w:r w:rsidRPr="00D13BF2">
              <w:rPr>
                <w:b/>
                <w:sz w:val="18"/>
              </w:rPr>
              <w:t>14</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7,1</w:t>
            </w:r>
          </w:p>
        </w:tc>
      </w:tr>
      <w:tr w:rsidR="00EE563A" w:rsidRPr="00EF06FF" w:rsidTr="00B84541">
        <w:trPr>
          <w:tblHeader/>
        </w:trPr>
        <w:tc>
          <w:tcPr>
            <w:tcW w:w="2438" w:type="dxa"/>
            <w:shd w:val="clear" w:color="auto" w:fill="auto"/>
            <w:noWrap/>
            <w:vAlign w:val="bottom"/>
          </w:tcPr>
          <w:p w:rsidR="00EE563A" w:rsidRPr="008A430F" w:rsidRDefault="00EE563A" w:rsidP="00B84541">
            <w:pPr>
              <w:suppressAutoHyphens w:val="0"/>
              <w:spacing w:before="40" w:after="40" w:line="220" w:lineRule="atLeast"/>
              <w:rPr>
                <w:sz w:val="18"/>
              </w:rPr>
            </w:pPr>
            <w:r w:rsidRPr="008A430F">
              <w:rPr>
                <w:sz w:val="18"/>
              </w:rPr>
              <w:t>Procureur provincial</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22</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3</w:t>
            </w:r>
          </w:p>
        </w:tc>
        <w:tc>
          <w:tcPr>
            <w:tcW w:w="1191" w:type="dxa"/>
            <w:shd w:val="clear" w:color="auto" w:fill="auto"/>
            <w:noWrap/>
            <w:vAlign w:val="bottom"/>
          </w:tcPr>
          <w:p w:rsidR="00EE563A" w:rsidRPr="00D13BF2" w:rsidRDefault="00EE563A" w:rsidP="00B84541">
            <w:pPr>
              <w:suppressAutoHyphens w:val="0"/>
              <w:spacing w:before="40" w:after="40" w:line="220" w:lineRule="atLeast"/>
              <w:jc w:val="right"/>
              <w:rPr>
                <w:b/>
                <w:sz w:val="18"/>
              </w:rPr>
            </w:pPr>
            <w:r w:rsidRPr="00D13BF2">
              <w:rPr>
                <w:b/>
                <w:sz w:val="18"/>
              </w:rPr>
              <w:t>25</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12</w:t>
            </w:r>
            <w:r>
              <w:rPr>
                <w:sz w:val="18"/>
              </w:rPr>
              <w:t>,0</w:t>
            </w:r>
          </w:p>
        </w:tc>
      </w:tr>
      <w:tr w:rsidR="00EE563A" w:rsidRPr="00EF06FF" w:rsidTr="00B84541">
        <w:trPr>
          <w:tblHeader/>
        </w:trPr>
        <w:tc>
          <w:tcPr>
            <w:tcW w:w="2438" w:type="dxa"/>
            <w:shd w:val="clear" w:color="auto" w:fill="auto"/>
            <w:noWrap/>
            <w:vAlign w:val="bottom"/>
          </w:tcPr>
          <w:p w:rsidR="00EE563A" w:rsidRPr="008A430F" w:rsidRDefault="00EE563A" w:rsidP="00B84541">
            <w:pPr>
              <w:suppressAutoHyphens w:val="0"/>
              <w:spacing w:before="40" w:after="40" w:line="220" w:lineRule="atLeast"/>
              <w:rPr>
                <w:sz w:val="18"/>
              </w:rPr>
            </w:pPr>
            <w:r w:rsidRPr="008A430F">
              <w:rPr>
                <w:sz w:val="18"/>
              </w:rPr>
              <w:t>Procureur provincial adjoint</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72</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41</w:t>
            </w:r>
          </w:p>
        </w:tc>
        <w:tc>
          <w:tcPr>
            <w:tcW w:w="1191" w:type="dxa"/>
            <w:shd w:val="clear" w:color="auto" w:fill="auto"/>
            <w:noWrap/>
            <w:vAlign w:val="bottom"/>
          </w:tcPr>
          <w:p w:rsidR="00EE563A" w:rsidRPr="00D13BF2" w:rsidRDefault="00EE563A" w:rsidP="00B84541">
            <w:pPr>
              <w:suppressAutoHyphens w:val="0"/>
              <w:spacing w:before="40" w:after="40" w:line="220" w:lineRule="atLeast"/>
              <w:jc w:val="right"/>
              <w:rPr>
                <w:b/>
                <w:sz w:val="18"/>
              </w:rPr>
            </w:pPr>
            <w:r w:rsidRPr="00D13BF2">
              <w:rPr>
                <w:b/>
                <w:sz w:val="18"/>
              </w:rPr>
              <w:t>113</w:t>
            </w:r>
          </w:p>
        </w:tc>
        <w:tc>
          <w:tcPr>
            <w:tcW w:w="1191" w:type="dxa"/>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36,3</w:t>
            </w:r>
          </w:p>
        </w:tc>
      </w:tr>
      <w:tr w:rsidR="00EE563A" w:rsidRPr="00EF06FF" w:rsidTr="00B84541">
        <w:trPr>
          <w:tblHeader/>
        </w:trPr>
        <w:tc>
          <w:tcPr>
            <w:tcW w:w="2438" w:type="dxa"/>
            <w:tcBorders>
              <w:bottom w:val="single" w:sz="4" w:space="0" w:color="auto"/>
            </w:tcBorders>
            <w:shd w:val="clear" w:color="auto" w:fill="auto"/>
            <w:noWrap/>
            <w:vAlign w:val="bottom"/>
          </w:tcPr>
          <w:p w:rsidR="00EE563A" w:rsidRPr="008A430F" w:rsidRDefault="00EE563A" w:rsidP="00B84541">
            <w:pPr>
              <w:suppressAutoHyphens w:val="0"/>
              <w:spacing w:before="40" w:after="40" w:line="220" w:lineRule="atLeast"/>
              <w:rPr>
                <w:sz w:val="18"/>
              </w:rPr>
            </w:pPr>
            <w:r w:rsidRPr="008A430F">
              <w:rPr>
                <w:sz w:val="18"/>
              </w:rPr>
              <w:t xml:space="preserve">Procureur municipal </w:t>
            </w:r>
          </w:p>
        </w:tc>
        <w:tc>
          <w:tcPr>
            <w:tcW w:w="1191" w:type="dxa"/>
            <w:tcBorders>
              <w:bottom w:val="single" w:sz="4" w:space="0" w:color="auto"/>
            </w:tcBorders>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72</w:t>
            </w:r>
          </w:p>
        </w:tc>
        <w:tc>
          <w:tcPr>
            <w:tcW w:w="1191" w:type="dxa"/>
            <w:tcBorders>
              <w:bottom w:val="single" w:sz="4" w:space="0" w:color="auto"/>
            </w:tcBorders>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7</w:t>
            </w:r>
          </w:p>
        </w:tc>
        <w:tc>
          <w:tcPr>
            <w:tcW w:w="1191" w:type="dxa"/>
            <w:tcBorders>
              <w:bottom w:val="single" w:sz="4" w:space="0" w:color="auto"/>
            </w:tcBorders>
            <w:shd w:val="clear" w:color="auto" w:fill="auto"/>
            <w:noWrap/>
            <w:vAlign w:val="bottom"/>
          </w:tcPr>
          <w:p w:rsidR="00EE563A" w:rsidRPr="00D13BF2" w:rsidRDefault="00EE563A" w:rsidP="00B84541">
            <w:pPr>
              <w:suppressAutoHyphens w:val="0"/>
              <w:spacing w:before="40" w:after="40" w:line="220" w:lineRule="atLeast"/>
              <w:jc w:val="right"/>
              <w:rPr>
                <w:b/>
                <w:sz w:val="18"/>
              </w:rPr>
            </w:pPr>
            <w:r w:rsidRPr="00D13BF2">
              <w:rPr>
                <w:b/>
                <w:sz w:val="18"/>
              </w:rPr>
              <w:t>79</w:t>
            </w:r>
          </w:p>
        </w:tc>
        <w:tc>
          <w:tcPr>
            <w:tcW w:w="1191" w:type="dxa"/>
            <w:tcBorders>
              <w:bottom w:val="single" w:sz="4" w:space="0" w:color="auto"/>
            </w:tcBorders>
            <w:shd w:val="clear" w:color="auto" w:fill="auto"/>
            <w:noWrap/>
            <w:vAlign w:val="bottom"/>
          </w:tcPr>
          <w:p w:rsidR="00EE563A" w:rsidRPr="008A430F" w:rsidRDefault="00EE563A" w:rsidP="00B84541">
            <w:pPr>
              <w:suppressAutoHyphens w:val="0"/>
              <w:spacing w:before="40" w:after="40" w:line="220" w:lineRule="atLeast"/>
              <w:jc w:val="right"/>
              <w:rPr>
                <w:sz w:val="18"/>
              </w:rPr>
            </w:pPr>
            <w:r w:rsidRPr="008A430F">
              <w:rPr>
                <w:sz w:val="18"/>
              </w:rPr>
              <w:t>8,9</w:t>
            </w:r>
          </w:p>
        </w:tc>
      </w:tr>
      <w:tr w:rsidR="00EE563A" w:rsidRPr="00A43A48" w:rsidTr="00B84541">
        <w:trPr>
          <w:tblHeader/>
        </w:trPr>
        <w:tc>
          <w:tcPr>
            <w:tcW w:w="2438" w:type="dxa"/>
            <w:tcBorders>
              <w:top w:val="single" w:sz="4" w:space="0" w:color="auto"/>
              <w:bottom w:val="single" w:sz="12" w:space="0" w:color="auto"/>
            </w:tcBorders>
            <w:shd w:val="clear" w:color="auto" w:fill="auto"/>
            <w:noWrap/>
            <w:vAlign w:val="bottom"/>
          </w:tcPr>
          <w:p w:rsidR="00EE563A" w:rsidRPr="00A43A48" w:rsidRDefault="00EE563A" w:rsidP="00B84541">
            <w:pPr>
              <w:suppressAutoHyphens w:val="0"/>
              <w:spacing w:before="80" w:after="80" w:line="220" w:lineRule="atLeast"/>
              <w:ind w:left="284"/>
              <w:rPr>
                <w:b/>
                <w:sz w:val="18"/>
              </w:rPr>
            </w:pPr>
            <w:r w:rsidRPr="00A43A48">
              <w:rPr>
                <w:b/>
                <w:sz w:val="18"/>
              </w:rPr>
              <w:t>Total</w:t>
            </w:r>
          </w:p>
        </w:tc>
        <w:tc>
          <w:tcPr>
            <w:tcW w:w="1191" w:type="dxa"/>
            <w:tcBorders>
              <w:top w:val="single" w:sz="4" w:space="0" w:color="auto"/>
              <w:bottom w:val="single" w:sz="12" w:space="0" w:color="auto"/>
            </w:tcBorders>
            <w:shd w:val="clear" w:color="auto" w:fill="auto"/>
            <w:noWrap/>
            <w:vAlign w:val="bottom"/>
          </w:tcPr>
          <w:p w:rsidR="00EE563A" w:rsidRPr="00A43A48" w:rsidRDefault="00EE563A" w:rsidP="00B84541">
            <w:pPr>
              <w:suppressAutoHyphens w:val="0"/>
              <w:spacing w:before="80" w:after="80" w:line="220" w:lineRule="atLeast"/>
              <w:jc w:val="right"/>
              <w:rPr>
                <w:b/>
                <w:sz w:val="18"/>
              </w:rPr>
            </w:pPr>
            <w:r>
              <w:rPr>
                <w:b/>
                <w:sz w:val="18"/>
              </w:rPr>
              <w:t>182</w:t>
            </w:r>
          </w:p>
        </w:tc>
        <w:tc>
          <w:tcPr>
            <w:tcW w:w="1191" w:type="dxa"/>
            <w:tcBorders>
              <w:top w:val="single" w:sz="4" w:space="0" w:color="auto"/>
              <w:bottom w:val="single" w:sz="12" w:space="0" w:color="auto"/>
            </w:tcBorders>
            <w:shd w:val="clear" w:color="auto" w:fill="auto"/>
            <w:noWrap/>
            <w:vAlign w:val="bottom"/>
          </w:tcPr>
          <w:p w:rsidR="00EE563A" w:rsidRPr="00A43A48" w:rsidRDefault="00EE563A" w:rsidP="00B84541">
            <w:pPr>
              <w:suppressAutoHyphens w:val="0"/>
              <w:spacing w:before="80" w:after="80" w:line="220" w:lineRule="atLeast"/>
              <w:jc w:val="right"/>
              <w:rPr>
                <w:b/>
                <w:sz w:val="18"/>
              </w:rPr>
            </w:pPr>
            <w:r>
              <w:rPr>
                <w:b/>
                <w:sz w:val="18"/>
              </w:rPr>
              <w:t>52</w:t>
            </w:r>
          </w:p>
        </w:tc>
        <w:tc>
          <w:tcPr>
            <w:tcW w:w="1191" w:type="dxa"/>
            <w:tcBorders>
              <w:top w:val="single" w:sz="4" w:space="0" w:color="auto"/>
              <w:bottom w:val="single" w:sz="12" w:space="0" w:color="auto"/>
            </w:tcBorders>
            <w:shd w:val="clear" w:color="auto" w:fill="auto"/>
            <w:noWrap/>
            <w:vAlign w:val="bottom"/>
          </w:tcPr>
          <w:p w:rsidR="00EE563A" w:rsidRPr="00A43A48" w:rsidRDefault="00EE563A" w:rsidP="00B84541">
            <w:pPr>
              <w:suppressAutoHyphens w:val="0"/>
              <w:spacing w:before="80" w:after="80" w:line="220" w:lineRule="atLeast"/>
              <w:jc w:val="right"/>
              <w:rPr>
                <w:b/>
                <w:sz w:val="18"/>
              </w:rPr>
            </w:pPr>
            <w:r>
              <w:rPr>
                <w:b/>
                <w:sz w:val="18"/>
              </w:rPr>
              <w:t>234</w:t>
            </w:r>
          </w:p>
        </w:tc>
        <w:tc>
          <w:tcPr>
            <w:tcW w:w="1191" w:type="dxa"/>
            <w:tcBorders>
              <w:top w:val="single" w:sz="4" w:space="0" w:color="auto"/>
              <w:bottom w:val="single" w:sz="12" w:space="0" w:color="auto"/>
            </w:tcBorders>
            <w:shd w:val="clear" w:color="auto" w:fill="auto"/>
            <w:noWrap/>
            <w:vAlign w:val="bottom"/>
          </w:tcPr>
          <w:p w:rsidR="00EE563A" w:rsidRPr="00A43A48" w:rsidRDefault="00EE563A" w:rsidP="00B84541">
            <w:pPr>
              <w:suppressAutoHyphens w:val="0"/>
              <w:spacing w:before="80" w:after="80" w:line="220" w:lineRule="atLeast"/>
              <w:jc w:val="right"/>
              <w:rPr>
                <w:b/>
                <w:sz w:val="18"/>
              </w:rPr>
            </w:pPr>
            <w:r>
              <w:rPr>
                <w:b/>
                <w:sz w:val="18"/>
              </w:rPr>
              <w:t>22,2</w:t>
            </w:r>
          </w:p>
        </w:tc>
      </w:tr>
    </w:tbl>
    <w:p w:rsidR="00EE563A" w:rsidRPr="00A43A48" w:rsidRDefault="00EE563A" w:rsidP="00EE563A">
      <w:pPr>
        <w:pStyle w:val="SingleTxtG"/>
      </w:pPr>
    </w:p>
    <w:p w:rsidR="00EE563A" w:rsidRPr="00883147" w:rsidRDefault="00EE563A" w:rsidP="00EE563A">
      <w:pPr>
        <w:pStyle w:val="Heading1"/>
        <w:spacing w:after="120"/>
        <w:rPr>
          <w:b/>
        </w:rPr>
      </w:pPr>
      <w:r>
        <w:rPr>
          <w:b/>
          <w:bCs/>
        </w:rPr>
        <w:br w:type="page"/>
      </w:r>
      <w:r w:rsidRPr="00DF53C2">
        <w:rPr>
          <w:bCs/>
        </w:rPr>
        <w:t xml:space="preserve">Tableau </w:t>
      </w:r>
      <w:r w:rsidRPr="006968A2">
        <w:rPr>
          <w:rFonts w:eastAsia="MS Mincho"/>
          <w:bCs/>
        </w:rPr>
        <w:t>n</w:t>
      </w:r>
      <w:r w:rsidRPr="006968A2">
        <w:rPr>
          <w:rFonts w:eastAsia="MS Mincho"/>
          <w:bCs/>
          <w:vertAlign w:val="superscript"/>
        </w:rPr>
        <w:t>o</w:t>
      </w:r>
      <w:r w:rsidRPr="00DF53C2">
        <w:rPr>
          <w:bCs/>
        </w:rPr>
        <w:t xml:space="preserve"> </w:t>
      </w:r>
      <w:r w:rsidRPr="00DF53C2">
        <w:t>7</w:t>
      </w:r>
      <w:r>
        <w:br/>
      </w:r>
      <w:r w:rsidRPr="00883147">
        <w:rPr>
          <w:b/>
        </w:rPr>
        <w:t xml:space="preserve">Participation des femmes aux barreaux d’Angola </w:t>
      </w:r>
      <w:r>
        <w:rPr>
          <w:b/>
        </w:rPr>
        <w:t>(</w:t>
      </w:r>
      <w:r w:rsidRPr="00883147">
        <w:rPr>
          <w:b/>
        </w:rPr>
        <w:t>2009</w:t>
      </w:r>
      <w:r>
        <w:rPr>
          <w:b/>
        </w:rPr>
        <w:t>)</w:t>
      </w:r>
    </w:p>
    <w:tbl>
      <w:tblPr>
        <w:tblW w:w="7370" w:type="dxa"/>
        <w:tblInd w:w="1134" w:type="dxa"/>
        <w:tblLayout w:type="fixed"/>
        <w:tblCellMar>
          <w:left w:w="0" w:type="dxa"/>
          <w:right w:w="0" w:type="dxa"/>
        </w:tblCellMar>
        <w:tblLook w:val="00A0" w:firstRow="1" w:lastRow="0" w:firstColumn="1" w:lastColumn="0" w:noHBand="0" w:noVBand="0"/>
      </w:tblPr>
      <w:tblGrid>
        <w:gridCol w:w="2494"/>
        <w:gridCol w:w="1219"/>
        <w:gridCol w:w="1219"/>
        <w:gridCol w:w="1219"/>
        <w:gridCol w:w="1219"/>
      </w:tblGrid>
      <w:tr w:rsidR="00EE563A" w:rsidRPr="00EF06FF" w:rsidTr="00B84541">
        <w:trPr>
          <w:tblHeader/>
        </w:trPr>
        <w:tc>
          <w:tcPr>
            <w:tcW w:w="2438"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rPr>
                <w:i/>
                <w:sz w:val="16"/>
              </w:rPr>
            </w:pPr>
            <w:r w:rsidRPr="00EF06FF">
              <w:rPr>
                <w:i/>
                <w:sz w:val="16"/>
              </w:rPr>
              <w:t>P</w:t>
            </w:r>
            <w:r>
              <w:rPr>
                <w:i/>
                <w:sz w:val="16"/>
              </w:rPr>
              <w:t>rovinces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Hommes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Femmes</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Total</w:t>
            </w:r>
          </w:p>
        </w:tc>
        <w:tc>
          <w:tcPr>
            <w:tcW w:w="1191"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 de femmes</w:t>
            </w:r>
          </w:p>
        </w:tc>
      </w:tr>
      <w:tr w:rsidR="00EE563A" w:rsidRPr="00A43A48" w:rsidTr="00B84541">
        <w:trPr>
          <w:tblHeader/>
        </w:trPr>
        <w:tc>
          <w:tcPr>
            <w:tcW w:w="2438" w:type="dxa"/>
            <w:tcBorders>
              <w:top w:val="single" w:sz="12" w:space="0" w:color="auto"/>
            </w:tcBorders>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Luanda</w:t>
            </w:r>
          </w:p>
        </w:tc>
        <w:tc>
          <w:tcPr>
            <w:tcW w:w="1191"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388</w:t>
            </w:r>
          </w:p>
        </w:tc>
        <w:tc>
          <w:tcPr>
            <w:tcW w:w="1191"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206</w:t>
            </w:r>
          </w:p>
        </w:tc>
        <w:tc>
          <w:tcPr>
            <w:tcW w:w="1191" w:type="dxa"/>
            <w:tcBorders>
              <w:top w:val="single" w:sz="12" w:space="0" w:color="auto"/>
            </w:tcBorders>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594</w:t>
            </w:r>
          </w:p>
        </w:tc>
        <w:tc>
          <w:tcPr>
            <w:tcW w:w="1191"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34,7</w:t>
            </w:r>
          </w:p>
        </w:tc>
      </w:tr>
      <w:tr w:rsidR="00EE563A" w:rsidRPr="00A43A48" w:rsidTr="00B84541">
        <w:trPr>
          <w:tblHeader/>
        </w:trPr>
        <w:tc>
          <w:tcPr>
            <w:tcW w:w="2438" w:type="dxa"/>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Huambo</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14</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1</w:t>
            </w:r>
          </w:p>
        </w:tc>
        <w:tc>
          <w:tcPr>
            <w:tcW w:w="1191" w:type="dxa"/>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15</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6,6</w:t>
            </w:r>
          </w:p>
        </w:tc>
      </w:tr>
      <w:tr w:rsidR="00EE563A" w:rsidRPr="00A43A48" w:rsidTr="00B84541">
        <w:trPr>
          <w:tblHeader/>
        </w:trPr>
        <w:tc>
          <w:tcPr>
            <w:tcW w:w="2438" w:type="dxa"/>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Benguela</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14</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2</w:t>
            </w:r>
          </w:p>
        </w:tc>
        <w:tc>
          <w:tcPr>
            <w:tcW w:w="1191" w:type="dxa"/>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16</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12,5</w:t>
            </w:r>
          </w:p>
        </w:tc>
      </w:tr>
      <w:tr w:rsidR="00EE563A" w:rsidRPr="00A43A48" w:rsidTr="00B84541">
        <w:trPr>
          <w:tblHeader/>
        </w:trPr>
        <w:tc>
          <w:tcPr>
            <w:tcW w:w="2438" w:type="dxa"/>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Huíla</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6</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3</w:t>
            </w:r>
          </w:p>
        </w:tc>
        <w:tc>
          <w:tcPr>
            <w:tcW w:w="1191" w:type="dxa"/>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9</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33,3</w:t>
            </w:r>
          </w:p>
        </w:tc>
      </w:tr>
      <w:tr w:rsidR="00EE563A" w:rsidRPr="00A43A48" w:rsidTr="00B84541">
        <w:trPr>
          <w:tblHeader/>
        </w:trPr>
        <w:tc>
          <w:tcPr>
            <w:tcW w:w="2438" w:type="dxa"/>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Cabinda</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10</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0</w:t>
            </w:r>
          </w:p>
        </w:tc>
        <w:tc>
          <w:tcPr>
            <w:tcW w:w="1191" w:type="dxa"/>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10</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0</w:t>
            </w:r>
            <w:r>
              <w:rPr>
                <w:bCs/>
                <w:sz w:val="18"/>
              </w:rPr>
              <w:t>,0</w:t>
            </w:r>
          </w:p>
        </w:tc>
      </w:tr>
      <w:tr w:rsidR="00EE563A" w:rsidRPr="00A43A48" w:rsidTr="00B84541">
        <w:trPr>
          <w:tblHeader/>
        </w:trPr>
        <w:tc>
          <w:tcPr>
            <w:tcW w:w="2438" w:type="dxa"/>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Uíge</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191" w:type="dxa"/>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0</w:t>
            </w:r>
            <w:r>
              <w:rPr>
                <w:bCs/>
                <w:sz w:val="18"/>
              </w:rPr>
              <w:t>,0</w:t>
            </w:r>
          </w:p>
        </w:tc>
      </w:tr>
      <w:tr w:rsidR="00EE563A" w:rsidRPr="00A43A48" w:rsidTr="00B84541">
        <w:trPr>
          <w:tblHeader/>
        </w:trPr>
        <w:tc>
          <w:tcPr>
            <w:tcW w:w="2438" w:type="dxa"/>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Kwanza Sul</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191" w:type="dxa"/>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2</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0</w:t>
            </w:r>
            <w:r>
              <w:rPr>
                <w:bCs/>
                <w:sz w:val="18"/>
              </w:rPr>
              <w:t>,0</w:t>
            </w:r>
          </w:p>
        </w:tc>
      </w:tr>
      <w:tr w:rsidR="00EE563A" w:rsidRPr="00A43A48" w:rsidTr="00B84541">
        <w:trPr>
          <w:tblHeader/>
        </w:trPr>
        <w:tc>
          <w:tcPr>
            <w:tcW w:w="2438" w:type="dxa"/>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Namibe</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3</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191" w:type="dxa"/>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3</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0</w:t>
            </w:r>
            <w:r>
              <w:rPr>
                <w:bCs/>
                <w:sz w:val="18"/>
              </w:rPr>
              <w:t>,0</w:t>
            </w:r>
          </w:p>
        </w:tc>
      </w:tr>
      <w:tr w:rsidR="00EE563A" w:rsidRPr="00A43A48" w:rsidTr="00B84541">
        <w:trPr>
          <w:tblHeader/>
        </w:trPr>
        <w:tc>
          <w:tcPr>
            <w:tcW w:w="2438" w:type="dxa"/>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Malange</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191" w:type="dxa"/>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2</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0</w:t>
            </w:r>
            <w:r>
              <w:rPr>
                <w:bCs/>
                <w:sz w:val="18"/>
              </w:rPr>
              <w:t>,0</w:t>
            </w:r>
          </w:p>
        </w:tc>
      </w:tr>
      <w:tr w:rsidR="00EE563A" w:rsidRPr="00A43A48" w:rsidTr="00B84541">
        <w:trPr>
          <w:tblHeader/>
        </w:trPr>
        <w:tc>
          <w:tcPr>
            <w:tcW w:w="2438" w:type="dxa"/>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Lunda Norte</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191" w:type="dxa"/>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w:t>
            </w:r>
          </w:p>
        </w:tc>
        <w:tc>
          <w:tcPr>
            <w:tcW w:w="1191" w:type="dxa"/>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0</w:t>
            </w:r>
            <w:r>
              <w:rPr>
                <w:bCs/>
                <w:sz w:val="18"/>
              </w:rPr>
              <w:t>,0</w:t>
            </w:r>
          </w:p>
        </w:tc>
      </w:tr>
      <w:tr w:rsidR="00EE563A" w:rsidRPr="00A43A48" w:rsidTr="00B84541">
        <w:trPr>
          <w:tblHeader/>
        </w:trPr>
        <w:tc>
          <w:tcPr>
            <w:tcW w:w="2438" w:type="dxa"/>
            <w:tcBorders>
              <w:bottom w:val="single" w:sz="4" w:space="0" w:color="auto"/>
            </w:tcBorders>
            <w:shd w:val="clear" w:color="auto" w:fill="auto"/>
            <w:noWrap/>
            <w:vAlign w:val="bottom"/>
          </w:tcPr>
          <w:p w:rsidR="00EE563A" w:rsidRPr="00A43A48" w:rsidRDefault="00EE563A" w:rsidP="00B84541">
            <w:pPr>
              <w:suppressAutoHyphens w:val="0"/>
              <w:spacing w:before="40" w:after="40" w:line="220" w:lineRule="atLeast"/>
              <w:rPr>
                <w:bCs/>
                <w:sz w:val="18"/>
                <w:szCs w:val="18"/>
              </w:rPr>
            </w:pPr>
            <w:r w:rsidRPr="00A43A48">
              <w:rPr>
                <w:bCs/>
                <w:sz w:val="18"/>
                <w:szCs w:val="18"/>
              </w:rPr>
              <w:t>Bié</w:t>
            </w:r>
          </w:p>
        </w:tc>
        <w:tc>
          <w:tcPr>
            <w:tcW w:w="1191" w:type="dxa"/>
            <w:tcBorders>
              <w:bottom w:val="single" w:sz="4"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w:t>
            </w:r>
          </w:p>
        </w:tc>
        <w:tc>
          <w:tcPr>
            <w:tcW w:w="1191" w:type="dxa"/>
            <w:tcBorders>
              <w:bottom w:val="single" w:sz="4"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191" w:type="dxa"/>
            <w:tcBorders>
              <w:bottom w:val="single" w:sz="4" w:space="0" w:color="auto"/>
            </w:tcBorders>
            <w:shd w:val="clear" w:color="auto" w:fill="auto"/>
            <w:noWrap/>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w:t>
            </w:r>
          </w:p>
        </w:tc>
        <w:tc>
          <w:tcPr>
            <w:tcW w:w="1191" w:type="dxa"/>
            <w:tcBorders>
              <w:bottom w:val="single" w:sz="4"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0</w:t>
            </w:r>
            <w:r>
              <w:rPr>
                <w:bCs/>
                <w:sz w:val="18"/>
              </w:rPr>
              <w:t>,0</w:t>
            </w:r>
          </w:p>
        </w:tc>
      </w:tr>
      <w:tr w:rsidR="00EE563A" w:rsidRPr="00DF53C2" w:rsidTr="00B84541">
        <w:trPr>
          <w:tblHeader/>
        </w:trPr>
        <w:tc>
          <w:tcPr>
            <w:tcW w:w="2438" w:type="dxa"/>
            <w:tcBorders>
              <w:top w:val="single" w:sz="4" w:space="0" w:color="auto"/>
              <w:bottom w:val="single" w:sz="4" w:space="0" w:color="auto"/>
            </w:tcBorders>
            <w:shd w:val="clear" w:color="auto" w:fill="auto"/>
            <w:noWrap/>
            <w:vAlign w:val="bottom"/>
          </w:tcPr>
          <w:p w:rsidR="00EE563A" w:rsidRPr="00DF53C2" w:rsidRDefault="00EE563A" w:rsidP="00B84541">
            <w:pPr>
              <w:suppressAutoHyphens w:val="0"/>
              <w:spacing w:before="80" w:after="80" w:line="220" w:lineRule="atLeast"/>
              <w:ind w:left="284"/>
              <w:rPr>
                <w:b/>
                <w:bCs/>
                <w:sz w:val="18"/>
              </w:rPr>
            </w:pPr>
            <w:r w:rsidRPr="00DF53C2">
              <w:rPr>
                <w:b/>
                <w:bCs/>
                <w:sz w:val="18"/>
              </w:rPr>
              <w:t>Total</w:t>
            </w:r>
          </w:p>
        </w:tc>
        <w:tc>
          <w:tcPr>
            <w:tcW w:w="1191" w:type="dxa"/>
            <w:tcBorders>
              <w:top w:val="single" w:sz="4" w:space="0" w:color="auto"/>
              <w:bottom w:val="single" w:sz="4" w:space="0" w:color="auto"/>
            </w:tcBorders>
            <w:shd w:val="clear" w:color="auto" w:fill="auto"/>
            <w:noWrap/>
            <w:vAlign w:val="bottom"/>
          </w:tcPr>
          <w:p w:rsidR="00EE563A" w:rsidRPr="00DF53C2" w:rsidRDefault="00EE563A" w:rsidP="00B84541">
            <w:pPr>
              <w:suppressAutoHyphens w:val="0"/>
              <w:spacing w:before="80" w:after="80" w:line="220" w:lineRule="atLeast"/>
              <w:ind w:left="113"/>
              <w:jc w:val="right"/>
              <w:rPr>
                <w:b/>
                <w:sz w:val="18"/>
              </w:rPr>
            </w:pPr>
            <w:r w:rsidRPr="00DF53C2">
              <w:rPr>
                <w:b/>
                <w:sz w:val="18"/>
              </w:rPr>
              <w:t>442</w:t>
            </w:r>
          </w:p>
        </w:tc>
        <w:tc>
          <w:tcPr>
            <w:tcW w:w="1191" w:type="dxa"/>
            <w:tcBorders>
              <w:top w:val="single" w:sz="4" w:space="0" w:color="auto"/>
              <w:bottom w:val="single" w:sz="4" w:space="0" w:color="auto"/>
            </w:tcBorders>
            <w:shd w:val="clear" w:color="auto" w:fill="auto"/>
            <w:noWrap/>
            <w:vAlign w:val="bottom"/>
          </w:tcPr>
          <w:p w:rsidR="00EE563A" w:rsidRPr="00DF53C2" w:rsidRDefault="00EE563A" w:rsidP="00B84541">
            <w:pPr>
              <w:suppressAutoHyphens w:val="0"/>
              <w:spacing w:before="80" w:after="80" w:line="220" w:lineRule="atLeast"/>
              <w:ind w:left="113"/>
              <w:jc w:val="right"/>
              <w:rPr>
                <w:b/>
                <w:sz w:val="18"/>
              </w:rPr>
            </w:pPr>
            <w:r w:rsidRPr="00DF53C2">
              <w:rPr>
                <w:b/>
                <w:sz w:val="18"/>
              </w:rPr>
              <w:t>212</w:t>
            </w:r>
          </w:p>
        </w:tc>
        <w:tc>
          <w:tcPr>
            <w:tcW w:w="1191" w:type="dxa"/>
            <w:tcBorders>
              <w:top w:val="single" w:sz="4" w:space="0" w:color="auto"/>
              <w:bottom w:val="single" w:sz="4" w:space="0" w:color="auto"/>
            </w:tcBorders>
            <w:shd w:val="clear" w:color="auto" w:fill="auto"/>
            <w:noWrap/>
            <w:vAlign w:val="bottom"/>
          </w:tcPr>
          <w:p w:rsidR="00EE563A" w:rsidRPr="00DF53C2" w:rsidRDefault="00EE563A" w:rsidP="00B84541">
            <w:pPr>
              <w:suppressAutoHyphens w:val="0"/>
              <w:spacing w:before="80" w:after="80" w:line="220" w:lineRule="atLeast"/>
              <w:ind w:left="113"/>
              <w:jc w:val="right"/>
              <w:rPr>
                <w:b/>
                <w:bCs/>
                <w:sz w:val="18"/>
              </w:rPr>
            </w:pPr>
            <w:r w:rsidRPr="00DF53C2">
              <w:rPr>
                <w:b/>
                <w:bCs/>
                <w:sz w:val="18"/>
              </w:rPr>
              <w:fldChar w:fldCharType="begin"/>
            </w:r>
            <w:r w:rsidRPr="00DF53C2">
              <w:rPr>
                <w:b/>
                <w:bCs/>
                <w:sz w:val="18"/>
              </w:rPr>
              <w:instrText xml:space="preserve"> =SUM(ABOVE) </w:instrText>
            </w:r>
            <w:r w:rsidRPr="00DF53C2">
              <w:rPr>
                <w:b/>
                <w:sz w:val="18"/>
              </w:rPr>
              <w:fldChar w:fldCharType="end"/>
            </w:r>
            <w:r w:rsidRPr="00DF53C2">
              <w:rPr>
                <w:b/>
                <w:bCs/>
                <w:sz w:val="18"/>
              </w:rPr>
              <w:t>654</w:t>
            </w:r>
          </w:p>
        </w:tc>
        <w:tc>
          <w:tcPr>
            <w:tcW w:w="1191" w:type="dxa"/>
            <w:tcBorders>
              <w:top w:val="single" w:sz="4" w:space="0" w:color="auto"/>
              <w:bottom w:val="single" w:sz="4" w:space="0" w:color="auto"/>
            </w:tcBorders>
            <w:shd w:val="clear" w:color="auto" w:fill="auto"/>
            <w:noWrap/>
            <w:vAlign w:val="bottom"/>
          </w:tcPr>
          <w:p w:rsidR="00EE563A" w:rsidRPr="00DF53C2" w:rsidRDefault="00EE563A" w:rsidP="00B84541">
            <w:pPr>
              <w:suppressAutoHyphens w:val="0"/>
              <w:spacing w:before="80" w:after="80" w:line="220" w:lineRule="atLeast"/>
              <w:ind w:left="113"/>
              <w:jc w:val="right"/>
              <w:rPr>
                <w:b/>
                <w:bCs/>
                <w:sz w:val="18"/>
              </w:rPr>
            </w:pPr>
            <w:r w:rsidRPr="00DF53C2">
              <w:rPr>
                <w:b/>
                <w:bCs/>
                <w:sz w:val="18"/>
              </w:rPr>
              <w:t>32,4</w:t>
            </w:r>
          </w:p>
        </w:tc>
      </w:tr>
      <w:tr w:rsidR="00EE563A" w:rsidRPr="00EF06FF" w:rsidTr="00B84541">
        <w:trPr>
          <w:tblHeader/>
        </w:trPr>
        <w:tc>
          <w:tcPr>
            <w:tcW w:w="2438" w:type="dxa"/>
            <w:tcBorders>
              <w:top w:val="single" w:sz="4" w:space="0" w:color="auto"/>
              <w:bottom w:val="single" w:sz="12" w:space="0" w:color="auto"/>
            </w:tcBorders>
            <w:shd w:val="clear" w:color="auto" w:fill="auto"/>
            <w:noWrap/>
            <w:vAlign w:val="bottom"/>
          </w:tcPr>
          <w:p w:rsidR="00EE563A" w:rsidRPr="00883147" w:rsidRDefault="00EE563A" w:rsidP="00B84541">
            <w:pPr>
              <w:suppressAutoHyphens w:val="0"/>
              <w:spacing w:before="80" w:after="80" w:line="220" w:lineRule="atLeast"/>
              <w:rPr>
                <w:bCs/>
                <w:sz w:val="18"/>
              </w:rPr>
            </w:pPr>
            <w:r w:rsidRPr="00883147">
              <w:rPr>
                <w:bCs/>
                <w:sz w:val="18"/>
              </w:rPr>
              <w:t>Stagiaires agréés</w:t>
            </w:r>
          </w:p>
        </w:tc>
        <w:tc>
          <w:tcPr>
            <w:tcW w:w="1191" w:type="dxa"/>
            <w:tcBorders>
              <w:top w:val="single" w:sz="4" w:space="0" w:color="auto"/>
              <w:bottom w:val="single" w:sz="12" w:space="0" w:color="auto"/>
            </w:tcBorders>
            <w:shd w:val="clear" w:color="auto" w:fill="auto"/>
            <w:noWrap/>
            <w:vAlign w:val="bottom"/>
          </w:tcPr>
          <w:p w:rsidR="00EE563A" w:rsidRPr="00883147" w:rsidRDefault="00EE563A" w:rsidP="00B84541">
            <w:pPr>
              <w:suppressAutoHyphens w:val="0"/>
              <w:spacing w:before="80" w:after="80" w:line="220" w:lineRule="atLeast"/>
              <w:ind w:left="113"/>
              <w:jc w:val="right"/>
              <w:rPr>
                <w:bCs/>
                <w:sz w:val="18"/>
              </w:rPr>
            </w:pPr>
            <w:r w:rsidRPr="00883147">
              <w:rPr>
                <w:bCs/>
                <w:sz w:val="18"/>
              </w:rPr>
              <w:t>500</w:t>
            </w:r>
            <w:r w:rsidRPr="00883147">
              <w:rPr>
                <w:bCs/>
                <w:sz w:val="18"/>
              </w:rPr>
              <w:fldChar w:fldCharType="begin"/>
            </w:r>
            <w:r w:rsidRPr="00883147">
              <w:rPr>
                <w:bCs/>
                <w:sz w:val="18"/>
              </w:rPr>
              <w:instrText xml:space="preserve"> =SUM(ABOVE) </w:instrText>
            </w:r>
            <w:r w:rsidRPr="00883147">
              <w:rPr>
                <w:sz w:val="18"/>
              </w:rPr>
              <w:fldChar w:fldCharType="end"/>
            </w:r>
          </w:p>
        </w:tc>
        <w:tc>
          <w:tcPr>
            <w:tcW w:w="1191" w:type="dxa"/>
            <w:tcBorders>
              <w:top w:val="single" w:sz="4" w:space="0" w:color="auto"/>
              <w:bottom w:val="single" w:sz="12" w:space="0" w:color="auto"/>
            </w:tcBorders>
            <w:shd w:val="clear" w:color="auto" w:fill="auto"/>
            <w:noWrap/>
            <w:vAlign w:val="bottom"/>
          </w:tcPr>
          <w:p w:rsidR="00EE563A" w:rsidRPr="00883147" w:rsidRDefault="00EE563A" w:rsidP="00B84541">
            <w:pPr>
              <w:suppressAutoHyphens w:val="0"/>
              <w:spacing w:before="80" w:after="80" w:line="220" w:lineRule="atLeast"/>
              <w:ind w:left="113"/>
              <w:jc w:val="right"/>
              <w:rPr>
                <w:bCs/>
                <w:sz w:val="18"/>
              </w:rPr>
            </w:pPr>
            <w:r w:rsidRPr="00883147">
              <w:rPr>
                <w:bCs/>
                <w:sz w:val="18"/>
              </w:rPr>
              <w:t>400</w:t>
            </w:r>
          </w:p>
        </w:tc>
        <w:tc>
          <w:tcPr>
            <w:tcW w:w="1191"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113"/>
              <w:jc w:val="right"/>
              <w:rPr>
                <w:b/>
                <w:bCs/>
                <w:sz w:val="18"/>
              </w:rPr>
            </w:pPr>
            <w:r w:rsidRPr="00D13BF2">
              <w:rPr>
                <w:b/>
                <w:bCs/>
                <w:sz w:val="18"/>
              </w:rPr>
              <w:t>900</w:t>
            </w:r>
          </w:p>
        </w:tc>
        <w:tc>
          <w:tcPr>
            <w:tcW w:w="1191" w:type="dxa"/>
            <w:tcBorders>
              <w:top w:val="single" w:sz="4" w:space="0" w:color="auto"/>
              <w:bottom w:val="single" w:sz="12" w:space="0" w:color="auto"/>
            </w:tcBorders>
            <w:shd w:val="clear" w:color="auto" w:fill="auto"/>
            <w:noWrap/>
            <w:vAlign w:val="bottom"/>
          </w:tcPr>
          <w:p w:rsidR="00EE563A" w:rsidRPr="00883147" w:rsidRDefault="00EE563A" w:rsidP="00B84541">
            <w:pPr>
              <w:suppressAutoHyphens w:val="0"/>
              <w:spacing w:before="80" w:after="80" w:line="220" w:lineRule="atLeast"/>
              <w:ind w:left="113"/>
              <w:jc w:val="right"/>
              <w:rPr>
                <w:bCs/>
                <w:sz w:val="18"/>
              </w:rPr>
            </w:pPr>
            <w:r w:rsidRPr="00883147">
              <w:rPr>
                <w:bCs/>
                <w:sz w:val="18"/>
              </w:rPr>
              <w:t>44,4</w:t>
            </w:r>
          </w:p>
        </w:tc>
      </w:tr>
    </w:tbl>
    <w:p w:rsidR="00EE563A" w:rsidRDefault="00EE563A" w:rsidP="00EE563A">
      <w:pPr>
        <w:pStyle w:val="H1G"/>
        <w:spacing w:after="180"/>
      </w:pPr>
      <w:r>
        <w:tab/>
      </w:r>
      <w:r>
        <w:tab/>
      </w:r>
      <w:r w:rsidRPr="00883147">
        <w:t>Participation des femmes au Gouvernement</w:t>
      </w:r>
    </w:p>
    <w:p w:rsidR="00EE563A" w:rsidRDefault="00EE563A" w:rsidP="00EE563A">
      <w:pPr>
        <w:pStyle w:val="Heading1"/>
        <w:spacing w:after="120"/>
        <w:rPr>
          <w:b/>
        </w:rPr>
      </w:pPr>
      <w:r w:rsidRPr="00EF06FF">
        <w:rPr>
          <w:rFonts w:eastAsia="MS Mincho"/>
          <w:bCs/>
        </w:rPr>
        <w:t>Tableau</w:t>
      </w:r>
      <w:r w:rsidRPr="00883147">
        <w:rPr>
          <w:bCs/>
        </w:rPr>
        <w:t xml:space="preserve"> </w:t>
      </w:r>
      <w:r w:rsidRPr="006968A2">
        <w:rPr>
          <w:rFonts w:eastAsia="MS Mincho"/>
          <w:bCs/>
        </w:rPr>
        <w:t>n</w:t>
      </w:r>
      <w:r w:rsidRPr="006968A2">
        <w:rPr>
          <w:rFonts w:eastAsia="MS Mincho"/>
          <w:bCs/>
          <w:vertAlign w:val="superscript"/>
        </w:rPr>
        <w:t>o</w:t>
      </w:r>
      <w:r w:rsidRPr="00883147">
        <w:rPr>
          <w:bCs/>
        </w:rPr>
        <w:t xml:space="preserve"> </w:t>
      </w:r>
      <w:r w:rsidRPr="00883147">
        <w:t>8</w:t>
      </w:r>
      <w:r>
        <w:br/>
      </w:r>
      <w:r w:rsidRPr="00DF53C2">
        <w:rPr>
          <w:b/>
        </w:rPr>
        <w:t>Répartition des agents par province et par sexe (2009)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8"/>
        <w:gridCol w:w="1786"/>
        <w:gridCol w:w="1284"/>
        <w:gridCol w:w="1284"/>
        <w:gridCol w:w="1284"/>
        <w:gridCol w:w="1284"/>
      </w:tblGrid>
      <w:tr w:rsidR="00EE563A" w:rsidRPr="00DF53C2" w:rsidTr="00B84541">
        <w:trPr>
          <w:tblHeader/>
        </w:trPr>
        <w:tc>
          <w:tcPr>
            <w:tcW w:w="454" w:type="dxa"/>
            <w:tcBorders>
              <w:top w:val="single" w:sz="4" w:space="0" w:color="auto"/>
              <w:bottom w:val="single" w:sz="12" w:space="0" w:color="auto"/>
            </w:tcBorders>
            <w:shd w:val="clear" w:color="auto" w:fill="auto"/>
            <w:vAlign w:val="bottom"/>
          </w:tcPr>
          <w:p w:rsidR="00EE563A" w:rsidRPr="00DF53C2" w:rsidRDefault="00EE563A" w:rsidP="00B84541">
            <w:pPr>
              <w:spacing w:before="80" w:after="80" w:line="200" w:lineRule="exact"/>
              <w:rPr>
                <w:i/>
                <w:sz w:val="16"/>
              </w:rPr>
            </w:pPr>
          </w:p>
        </w:tc>
        <w:tc>
          <w:tcPr>
            <w:tcW w:w="1814" w:type="dxa"/>
            <w:tcBorders>
              <w:top w:val="single" w:sz="4" w:space="0" w:color="auto"/>
              <w:bottom w:val="single" w:sz="12" w:space="0" w:color="auto"/>
            </w:tcBorders>
            <w:shd w:val="clear" w:color="auto" w:fill="auto"/>
            <w:vAlign w:val="bottom"/>
          </w:tcPr>
          <w:p w:rsidR="00EE563A" w:rsidRPr="00DF53C2" w:rsidRDefault="00EE563A" w:rsidP="00B84541">
            <w:pPr>
              <w:spacing w:before="80" w:after="80" w:line="200" w:lineRule="exact"/>
              <w:rPr>
                <w:i/>
                <w:sz w:val="16"/>
              </w:rPr>
            </w:pPr>
            <w:r>
              <w:rPr>
                <w:i/>
                <w:sz w:val="16"/>
              </w:rPr>
              <w:t>Province</w:t>
            </w:r>
          </w:p>
        </w:tc>
        <w:tc>
          <w:tcPr>
            <w:tcW w:w="1304" w:type="dxa"/>
            <w:tcBorders>
              <w:top w:val="single" w:sz="4" w:space="0" w:color="auto"/>
              <w:bottom w:val="single" w:sz="12" w:space="0" w:color="auto"/>
            </w:tcBorders>
            <w:shd w:val="clear" w:color="auto" w:fill="auto"/>
            <w:vAlign w:val="bottom"/>
          </w:tcPr>
          <w:p w:rsidR="00EE563A" w:rsidRPr="00DF53C2" w:rsidRDefault="00EE563A" w:rsidP="00B84541">
            <w:pPr>
              <w:spacing w:before="80" w:after="80" w:line="200" w:lineRule="exact"/>
              <w:jc w:val="right"/>
              <w:rPr>
                <w:i/>
                <w:sz w:val="16"/>
              </w:rPr>
            </w:pPr>
            <w:r>
              <w:rPr>
                <w:i/>
                <w:sz w:val="16"/>
              </w:rPr>
              <w:t>Hommes</w:t>
            </w:r>
          </w:p>
        </w:tc>
        <w:tc>
          <w:tcPr>
            <w:tcW w:w="1304" w:type="dxa"/>
            <w:tcBorders>
              <w:top w:val="single" w:sz="4" w:space="0" w:color="auto"/>
              <w:bottom w:val="single" w:sz="12" w:space="0" w:color="auto"/>
            </w:tcBorders>
            <w:shd w:val="clear" w:color="auto" w:fill="auto"/>
            <w:vAlign w:val="bottom"/>
          </w:tcPr>
          <w:p w:rsidR="00EE563A" w:rsidRPr="00DF53C2" w:rsidRDefault="00EE563A" w:rsidP="00B84541">
            <w:pPr>
              <w:spacing w:before="80" w:after="80" w:line="200" w:lineRule="exact"/>
              <w:jc w:val="right"/>
              <w:rPr>
                <w:i/>
                <w:sz w:val="16"/>
              </w:rPr>
            </w:pPr>
            <w:r>
              <w:rPr>
                <w:i/>
                <w:sz w:val="16"/>
              </w:rPr>
              <w:t>Femmes</w:t>
            </w:r>
          </w:p>
        </w:tc>
        <w:tc>
          <w:tcPr>
            <w:tcW w:w="1304" w:type="dxa"/>
            <w:tcBorders>
              <w:top w:val="single" w:sz="4" w:space="0" w:color="auto"/>
              <w:bottom w:val="single" w:sz="12" w:space="0" w:color="auto"/>
            </w:tcBorders>
            <w:shd w:val="clear" w:color="auto" w:fill="auto"/>
            <w:vAlign w:val="bottom"/>
          </w:tcPr>
          <w:p w:rsidR="00EE563A" w:rsidRPr="00DF53C2" w:rsidRDefault="00EE563A" w:rsidP="00B84541">
            <w:pPr>
              <w:spacing w:before="80" w:after="80" w:line="200" w:lineRule="exact"/>
              <w:jc w:val="right"/>
              <w:rPr>
                <w:i/>
                <w:sz w:val="16"/>
              </w:rPr>
            </w:pPr>
            <w:r>
              <w:rPr>
                <w:i/>
                <w:sz w:val="16"/>
              </w:rPr>
              <w:t>Total</w:t>
            </w:r>
          </w:p>
        </w:tc>
        <w:tc>
          <w:tcPr>
            <w:tcW w:w="1304" w:type="dxa"/>
            <w:tcBorders>
              <w:top w:val="single" w:sz="4" w:space="0" w:color="auto"/>
              <w:bottom w:val="single" w:sz="12" w:space="0" w:color="auto"/>
            </w:tcBorders>
            <w:shd w:val="clear" w:color="auto" w:fill="auto"/>
            <w:vAlign w:val="bottom"/>
          </w:tcPr>
          <w:p w:rsidR="00EE563A" w:rsidRPr="00DF53C2" w:rsidRDefault="00EE563A" w:rsidP="00B84541">
            <w:pPr>
              <w:spacing w:before="80" w:after="80" w:line="200" w:lineRule="exact"/>
              <w:jc w:val="right"/>
              <w:rPr>
                <w:i/>
                <w:sz w:val="16"/>
              </w:rPr>
            </w:pPr>
            <w:r>
              <w:rPr>
                <w:i/>
                <w:sz w:val="16"/>
              </w:rPr>
              <w:t>% de femmes</w:t>
            </w:r>
          </w:p>
        </w:tc>
      </w:tr>
      <w:tr w:rsidR="00EE563A" w:rsidRPr="00DF53C2" w:rsidTr="00B84541">
        <w:tc>
          <w:tcPr>
            <w:tcW w:w="454" w:type="dxa"/>
            <w:tcBorders>
              <w:top w:val="single" w:sz="12" w:space="0" w:color="auto"/>
            </w:tcBorders>
            <w:shd w:val="clear" w:color="auto" w:fill="auto"/>
            <w:vAlign w:val="bottom"/>
          </w:tcPr>
          <w:p w:rsidR="00EE563A" w:rsidRPr="00DF53C2" w:rsidRDefault="00EE563A" w:rsidP="00B84541">
            <w:pPr>
              <w:spacing w:before="40" w:after="40" w:line="220" w:lineRule="atLeast"/>
              <w:rPr>
                <w:sz w:val="18"/>
              </w:rPr>
            </w:pPr>
            <w:r>
              <w:rPr>
                <w:sz w:val="18"/>
              </w:rPr>
              <w:t>01</w:t>
            </w:r>
          </w:p>
        </w:tc>
        <w:tc>
          <w:tcPr>
            <w:tcW w:w="1814" w:type="dxa"/>
            <w:tcBorders>
              <w:top w:val="single" w:sz="12" w:space="0" w:color="auto"/>
            </w:tcBorders>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Cabinda</w:t>
            </w:r>
          </w:p>
        </w:tc>
        <w:tc>
          <w:tcPr>
            <w:tcW w:w="1304" w:type="dxa"/>
            <w:tcBorders>
              <w:top w:val="single" w:sz="12" w:space="0" w:color="auto"/>
            </w:tcBorders>
            <w:shd w:val="clear" w:color="auto" w:fill="auto"/>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6 746</w:t>
            </w:r>
          </w:p>
        </w:tc>
        <w:tc>
          <w:tcPr>
            <w:tcW w:w="1304" w:type="dxa"/>
            <w:tcBorders>
              <w:top w:val="single" w:sz="12" w:space="0" w:color="auto"/>
            </w:tcBorders>
            <w:shd w:val="clear" w:color="auto" w:fill="auto"/>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3 569</w:t>
            </w:r>
          </w:p>
        </w:tc>
        <w:tc>
          <w:tcPr>
            <w:tcW w:w="1304" w:type="dxa"/>
            <w:tcBorders>
              <w:top w:val="single" w:sz="12" w:space="0" w:color="auto"/>
            </w:tcBorders>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10 315</w:t>
            </w:r>
          </w:p>
        </w:tc>
        <w:tc>
          <w:tcPr>
            <w:tcW w:w="1304" w:type="dxa"/>
            <w:tcBorders>
              <w:top w:val="single" w:sz="12" w:space="0" w:color="auto"/>
            </w:tcBorders>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34,6</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02</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Za</w:t>
            </w:r>
            <w:r>
              <w:rPr>
                <w:bCs/>
                <w:sz w:val="18"/>
              </w:rPr>
              <w:t>ï</w:t>
            </w:r>
            <w:r w:rsidRPr="00883147">
              <w:rPr>
                <w:bCs/>
                <w:sz w:val="18"/>
              </w:rPr>
              <w:t>re</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4 859</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1 261</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6 120</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20,6</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03</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Uíge</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15 076</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2 353</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17 429</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13,5</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04</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Luanda</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48 611</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28 345</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76 956</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36,8</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05</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Kuanza Norte</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5 786</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bCs/>
                <w:sz w:val="18"/>
              </w:rPr>
            </w:pPr>
            <w:r w:rsidRPr="00883147">
              <w:rPr>
                <w:bCs/>
                <w:sz w:val="18"/>
              </w:rPr>
              <w:t xml:space="preserve"> 2 043</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7 829</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26,1</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06</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Kuanza Sul</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11 641</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6 379</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18 020</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35,4</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07</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Malange</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7 554</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3 755</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11 309</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33,2</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08</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Lunda Norte</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6 682</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465</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7 147</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6,5</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09</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Lunda Sul</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4 442</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809</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5 251</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15,4</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10</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Benguela</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19 116</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14 127</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33 243</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42,5</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11</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Huambo</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15 056</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10 140</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25 196</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40,2</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12</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Bié</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16 475</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4 838</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21 313</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bCs/>
                <w:sz w:val="18"/>
              </w:rPr>
              <w:t>22,7</w:t>
            </w:r>
          </w:p>
        </w:tc>
      </w:tr>
      <w:tr w:rsidR="00EE563A" w:rsidRPr="00DF53C2" w:rsidTr="00B84541">
        <w:tc>
          <w:tcPr>
            <w:tcW w:w="454" w:type="dxa"/>
            <w:shd w:val="clear" w:color="auto" w:fill="auto"/>
            <w:vAlign w:val="bottom"/>
          </w:tcPr>
          <w:p w:rsidR="00EE563A" w:rsidRPr="00DF53C2" w:rsidRDefault="00EE563A" w:rsidP="00B84541">
            <w:pPr>
              <w:spacing w:before="40" w:after="40" w:line="220" w:lineRule="atLeast"/>
              <w:rPr>
                <w:sz w:val="18"/>
              </w:rPr>
            </w:pPr>
            <w:r>
              <w:rPr>
                <w:sz w:val="18"/>
              </w:rPr>
              <w:t>13</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Moxico</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7 133</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3 057</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10 190</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30</w:t>
            </w:r>
            <w:r>
              <w:rPr>
                <w:sz w:val="18"/>
              </w:rPr>
              <w:t>,0</w:t>
            </w:r>
          </w:p>
        </w:tc>
      </w:tr>
      <w:tr w:rsidR="00EE563A" w:rsidRPr="00DF53C2" w:rsidTr="00B84541">
        <w:tc>
          <w:tcPr>
            <w:tcW w:w="454" w:type="dxa"/>
            <w:shd w:val="clear" w:color="auto" w:fill="auto"/>
            <w:vAlign w:val="bottom"/>
          </w:tcPr>
          <w:p w:rsidR="00EE563A" w:rsidRDefault="00EE563A" w:rsidP="00B84541">
            <w:pPr>
              <w:spacing w:before="40" w:after="40" w:line="220" w:lineRule="atLeast"/>
              <w:rPr>
                <w:sz w:val="18"/>
              </w:rPr>
            </w:pPr>
            <w:r>
              <w:rPr>
                <w:sz w:val="18"/>
              </w:rPr>
              <w:t>14</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Kuando Kubango</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5 106</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1 946</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7 052</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27,6</w:t>
            </w:r>
          </w:p>
        </w:tc>
      </w:tr>
      <w:tr w:rsidR="00EE563A" w:rsidRPr="00DF53C2" w:rsidTr="00B84541">
        <w:tc>
          <w:tcPr>
            <w:tcW w:w="454" w:type="dxa"/>
            <w:shd w:val="clear" w:color="auto" w:fill="auto"/>
            <w:vAlign w:val="bottom"/>
          </w:tcPr>
          <w:p w:rsidR="00EE563A" w:rsidRDefault="00EE563A" w:rsidP="00B84541">
            <w:pPr>
              <w:spacing w:before="40" w:after="40" w:line="220" w:lineRule="atLeast"/>
              <w:rPr>
                <w:sz w:val="18"/>
              </w:rPr>
            </w:pPr>
            <w:r>
              <w:rPr>
                <w:sz w:val="18"/>
              </w:rPr>
              <w:t>15</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Namibe</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6 063</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2 574</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8 637</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29,8</w:t>
            </w:r>
          </w:p>
        </w:tc>
      </w:tr>
      <w:tr w:rsidR="00EE563A" w:rsidRPr="00DF53C2" w:rsidTr="00B84541">
        <w:tc>
          <w:tcPr>
            <w:tcW w:w="454" w:type="dxa"/>
            <w:shd w:val="clear" w:color="auto" w:fill="auto"/>
            <w:vAlign w:val="bottom"/>
          </w:tcPr>
          <w:p w:rsidR="00EE563A" w:rsidRDefault="00EE563A" w:rsidP="00B84541">
            <w:pPr>
              <w:spacing w:before="40" w:after="40" w:line="220" w:lineRule="atLeast"/>
              <w:rPr>
                <w:sz w:val="18"/>
              </w:rPr>
            </w:pPr>
            <w:r>
              <w:rPr>
                <w:sz w:val="18"/>
              </w:rPr>
              <w:t>16</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Huíla</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18 426</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11 244</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29 670</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37,9</w:t>
            </w:r>
          </w:p>
        </w:tc>
      </w:tr>
      <w:tr w:rsidR="00EE563A" w:rsidRPr="00DF53C2" w:rsidTr="00B84541">
        <w:tc>
          <w:tcPr>
            <w:tcW w:w="454" w:type="dxa"/>
            <w:shd w:val="clear" w:color="auto" w:fill="auto"/>
            <w:vAlign w:val="bottom"/>
          </w:tcPr>
          <w:p w:rsidR="00EE563A" w:rsidRDefault="00EE563A" w:rsidP="00B84541">
            <w:pPr>
              <w:spacing w:before="40" w:after="40" w:line="220" w:lineRule="atLeast"/>
              <w:rPr>
                <w:sz w:val="18"/>
              </w:rPr>
            </w:pPr>
            <w:r>
              <w:rPr>
                <w:sz w:val="18"/>
              </w:rPr>
              <w:t>17</w:t>
            </w:r>
          </w:p>
        </w:tc>
        <w:tc>
          <w:tcPr>
            <w:tcW w:w="1814" w:type="dxa"/>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Cunene</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4 327</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4 092</w:t>
            </w:r>
          </w:p>
        </w:tc>
        <w:tc>
          <w:tcPr>
            <w:tcW w:w="1304" w:type="dxa"/>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8 419</w:t>
            </w:r>
          </w:p>
        </w:tc>
        <w:tc>
          <w:tcPr>
            <w:tcW w:w="1304" w:type="dxa"/>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48,6</w:t>
            </w:r>
          </w:p>
        </w:tc>
      </w:tr>
      <w:tr w:rsidR="00EE563A" w:rsidRPr="00DF53C2" w:rsidTr="00B84541">
        <w:tc>
          <w:tcPr>
            <w:tcW w:w="454" w:type="dxa"/>
            <w:tcBorders>
              <w:bottom w:val="single" w:sz="4" w:space="0" w:color="auto"/>
            </w:tcBorders>
            <w:shd w:val="clear" w:color="auto" w:fill="auto"/>
            <w:vAlign w:val="bottom"/>
          </w:tcPr>
          <w:p w:rsidR="00EE563A" w:rsidRDefault="00EE563A" w:rsidP="00B84541">
            <w:pPr>
              <w:spacing w:before="40" w:after="40" w:line="220" w:lineRule="atLeast"/>
              <w:rPr>
                <w:sz w:val="18"/>
              </w:rPr>
            </w:pPr>
            <w:r>
              <w:rPr>
                <w:sz w:val="18"/>
              </w:rPr>
              <w:t>18</w:t>
            </w:r>
          </w:p>
        </w:tc>
        <w:tc>
          <w:tcPr>
            <w:tcW w:w="1814" w:type="dxa"/>
            <w:tcBorders>
              <w:bottom w:val="single" w:sz="4" w:space="0" w:color="auto"/>
            </w:tcBorders>
            <w:shd w:val="clear" w:color="auto" w:fill="auto"/>
            <w:vAlign w:val="bottom"/>
          </w:tcPr>
          <w:p w:rsidR="00EE563A" w:rsidRPr="00883147" w:rsidRDefault="00EE563A" w:rsidP="00B84541">
            <w:pPr>
              <w:suppressAutoHyphens w:val="0"/>
              <w:spacing w:before="40" w:after="40" w:line="220" w:lineRule="atLeast"/>
              <w:rPr>
                <w:bCs/>
                <w:sz w:val="18"/>
              </w:rPr>
            </w:pPr>
            <w:r w:rsidRPr="00883147">
              <w:rPr>
                <w:bCs/>
                <w:sz w:val="18"/>
              </w:rPr>
              <w:t>Bengo</w:t>
            </w:r>
          </w:p>
        </w:tc>
        <w:tc>
          <w:tcPr>
            <w:tcW w:w="1304" w:type="dxa"/>
            <w:tcBorders>
              <w:bottom w:val="single" w:sz="4" w:space="0" w:color="auto"/>
            </w:tcBorders>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5 058</w:t>
            </w:r>
          </w:p>
        </w:tc>
        <w:tc>
          <w:tcPr>
            <w:tcW w:w="1304" w:type="dxa"/>
            <w:tcBorders>
              <w:bottom w:val="single" w:sz="4" w:space="0" w:color="auto"/>
            </w:tcBorders>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1 528</w:t>
            </w:r>
          </w:p>
        </w:tc>
        <w:tc>
          <w:tcPr>
            <w:tcW w:w="1304" w:type="dxa"/>
            <w:tcBorders>
              <w:bottom w:val="single" w:sz="4" w:space="0" w:color="auto"/>
            </w:tcBorders>
            <w:shd w:val="clear" w:color="auto" w:fill="auto"/>
            <w:vAlign w:val="bottom"/>
          </w:tcPr>
          <w:p w:rsidR="00EE563A" w:rsidRPr="00D13BF2" w:rsidRDefault="00EE563A" w:rsidP="00B84541">
            <w:pPr>
              <w:suppressAutoHyphens w:val="0"/>
              <w:spacing w:before="40" w:after="40" w:line="220" w:lineRule="atLeast"/>
              <w:ind w:left="113"/>
              <w:jc w:val="right"/>
              <w:rPr>
                <w:b/>
                <w:bCs/>
                <w:sz w:val="18"/>
              </w:rPr>
            </w:pPr>
            <w:r w:rsidRPr="00D13BF2">
              <w:rPr>
                <w:b/>
                <w:bCs/>
                <w:sz w:val="18"/>
              </w:rPr>
              <w:t>6 586</w:t>
            </w:r>
          </w:p>
        </w:tc>
        <w:tc>
          <w:tcPr>
            <w:tcW w:w="1304" w:type="dxa"/>
            <w:tcBorders>
              <w:bottom w:val="single" w:sz="4" w:space="0" w:color="auto"/>
            </w:tcBorders>
            <w:shd w:val="clear" w:color="auto" w:fill="auto"/>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23,2</w:t>
            </w:r>
          </w:p>
        </w:tc>
      </w:tr>
      <w:tr w:rsidR="00EE563A" w:rsidRPr="00D13BF2" w:rsidTr="00B84541">
        <w:tc>
          <w:tcPr>
            <w:tcW w:w="454" w:type="dxa"/>
            <w:tcBorders>
              <w:top w:val="single" w:sz="4" w:space="0" w:color="auto"/>
              <w:bottom w:val="single" w:sz="12" w:space="0" w:color="auto"/>
            </w:tcBorders>
            <w:shd w:val="clear" w:color="auto" w:fill="auto"/>
            <w:vAlign w:val="bottom"/>
          </w:tcPr>
          <w:p w:rsidR="00EE563A" w:rsidRPr="00D13BF2" w:rsidRDefault="00EE563A" w:rsidP="00B84541">
            <w:pPr>
              <w:spacing w:before="80" w:after="80" w:line="220" w:lineRule="atLeast"/>
              <w:rPr>
                <w:b/>
                <w:sz w:val="18"/>
              </w:rPr>
            </w:pPr>
          </w:p>
        </w:tc>
        <w:tc>
          <w:tcPr>
            <w:tcW w:w="1814" w:type="dxa"/>
            <w:tcBorders>
              <w:top w:val="single" w:sz="4" w:space="0" w:color="auto"/>
              <w:bottom w:val="single" w:sz="12" w:space="0" w:color="auto"/>
            </w:tcBorders>
            <w:shd w:val="clear" w:color="auto" w:fill="auto"/>
            <w:vAlign w:val="bottom"/>
          </w:tcPr>
          <w:p w:rsidR="00EE563A" w:rsidRPr="00D13BF2" w:rsidRDefault="00EE563A" w:rsidP="00B84541">
            <w:pPr>
              <w:suppressAutoHyphens w:val="0"/>
              <w:spacing w:before="80" w:after="80" w:line="220" w:lineRule="atLeast"/>
              <w:rPr>
                <w:b/>
                <w:bCs/>
                <w:sz w:val="18"/>
              </w:rPr>
            </w:pPr>
            <w:r w:rsidRPr="00D13BF2">
              <w:rPr>
                <w:b/>
                <w:bCs/>
                <w:sz w:val="18"/>
              </w:rPr>
              <w:t>Total</w:t>
            </w:r>
          </w:p>
        </w:tc>
        <w:tc>
          <w:tcPr>
            <w:tcW w:w="1304" w:type="dxa"/>
            <w:tcBorders>
              <w:top w:val="single" w:sz="4" w:space="0" w:color="auto"/>
              <w:bottom w:val="single" w:sz="12" w:space="0" w:color="auto"/>
            </w:tcBorders>
            <w:shd w:val="clear" w:color="auto" w:fill="auto"/>
            <w:vAlign w:val="bottom"/>
          </w:tcPr>
          <w:p w:rsidR="00EE563A" w:rsidRPr="00D13BF2" w:rsidRDefault="00EE563A" w:rsidP="00B84541">
            <w:pPr>
              <w:suppressAutoHyphens w:val="0"/>
              <w:spacing w:before="80" w:after="80" w:line="220" w:lineRule="atLeast"/>
              <w:ind w:left="113"/>
              <w:jc w:val="right"/>
              <w:rPr>
                <w:b/>
                <w:bCs/>
                <w:sz w:val="18"/>
              </w:rPr>
            </w:pPr>
            <w:r w:rsidRPr="00D13BF2">
              <w:rPr>
                <w:b/>
                <w:bCs/>
                <w:sz w:val="18"/>
              </w:rPr>
              <w:t>208 157</w:t>
            </w:r>
          </w:p>
        </w:tc>
        <w:tc>
          <w:tcPr>
            <w:tcW w:w="1304" w:type="dxa"/>
            <w:tcBorders>
              <w:top w:val="single" w:sz="4" w:space="0" w:color="auto"/>
              <w:bottom w:val="single" w:sz="12" w:space="0" w:color="auto"/>
            </w:tcBorders>
            <w:shd w:val="clear" w:color="auto" w:fill="auto"/>
            <w:vAlign w:val="bottom"/>
          </w:tcPr>
          <w:p w:rsidR="00EE563A" w:rsidRPr="00D13BF2" w:rsidRDefault="00EE563A" w:rsidP="00B84541">
            <w:pPr>
              <w:suppressAutoHyphens w:val="0"/>
              <w:spacing w:before="80" w:after="80" w:line="220" w:lineRule="atLeast"/>
              <w:ind w:left="113"/>
              <w:jc w:val="right"/>
              <w:rPr>
                <w:b/>
                <w:bCs/>
                <w:sz w:val="18"/>
              </w:rPr>
            </w:pPr>
            <w:r w:rsidRPr="00D13BF2">
              <w:rPr>
                <w:b/>
                <w:bCs/>
                <w:sz w:val="18"/>
              </w:rPr>
              <w:t>102 525</w:t>
            </w:r>
          </w:p>
        </w:tc>
        <w:tc>
          <w:tcPr>
            <w:tcW w:w="1304" w:type="dxa"/>
            <w:tcBorders>
              <w:top w:val="single" w:sz="4" w:space="0" w:color="auto"/>
              <w:bottom w:val="single" w:sz="12" w:space="0" w:color="auto"/>
            </w:tcBorders>
            <w:shd w:val="clear" w:color="auto" w:fill="auto"/>
            <w:vAlign w:val="bottom"/>
          </w:tcPr>
          <w:p w:rsidR="00EE563A" w:rsidRPr="00D13BF2" w:rsidRDefault="00EE563A" w:rsidP="00B84541">
            <w:pPr>
              <w:suppressAutoHyphens w:val="0"/>
              <w:spacing w:before="80" w:after="80" w:line="220" w:lineRule="atLeast"/>
              <w:ind w:left="113"/>
              <w:jc w:val="right"/>
              <w:rPr>
                <w:b/>
                <w:bCs/>
                <w:sz w:val="18"/>
              </w:rPr>
            </w:pPr>
            <w:r w:rsidRPr="00D13BF2">
              <w:rPr>
                <w:b/>
                <w:bCs/>
                <w:sz w:val="18"/>
              </w:rPr>
              <w:t>310 682</w:t>
            </w:r>
          </w:p>
        </w:tc>
        <w:tc>
          <w:tcPr>
            <w:tcW w:w="1304" w:type="dxa"/>
            <w:tcBorders>
              <w:top w:val="single" w:sz="4" w:space="0" w:color="auto"/>
              <w:bottom w:val="single" w:sz="12" w:space="0" w:color="auto"/>
            </w:tcBorders>
            <w:shd w:val="clear" w:color="auto" w:fill="auto"/>
            <w:vAlign w:val="bottom"/>
          </w:tcPr>
          <w:p w:rsidR="00EE563A" w:rsidRPr="00D13BF2" w:rsidRDefault="00EE563A" w:rsidP="00B84541">
            <w:pPr>
              <w:suppressAutoHyphens w:val="0"/>
              <w:spacing w:before="80" w:after="80" w:line="220" w:lineRule="atLeast"/>
              <w:ind w:left="113"/>
              <w:jc w:val="right"/>
              <w:rPr>
                <w:b/>
                <w:sz w:val="18"/>
              </w:rPr>
            </w:pPr>
            <w:r w:rsidRPr="00D13BF2">
              <w:rPr>
                <w:b/>
                <w:sz w:val="18"/>
              </w:rPr>
              <w:t>33</w:t>
            </w:r>
            <w:r>
              <w:rPr>
                <w:b/>
                <w:sz w:val="18"/>
              </w:rPr>
              <w:t>,0</w:t>
            </w:r>
          </w:p>
        </w:tc>
      </w:tr>
    </w:tbl>
    <w:p w:rsidR="00EE563A" w:rsidRPr="00883147" w:rsidRDefault="00EE563A" w:rsidP="00EE563A">
      <w:pPr>
        <w:pStyle w:val="H1G"/>
      </w:pPr>
      <w:r>
        <w:tab/>
      </w:r>
      <w:r>
        <w:tab/>
      </w:r>
      <w:r w:rsidRPr="00883147">
        <w:t>Participation des femmes à la vie politique</w:t>
      </w:r>
    </w:p>
    <w:p w:rsidR="00EE563A" w:rsidRDefault="00EE563A" w:rsidP="00EE563A">
      <w:pPr>
        <w:pStyle w:val="Heading1"/>
        <w:spacing w:after="120"/>
        <w:rPr>
          <w:b/>
        </w:rPr>
      </w:pPr>
      <w:r w:rsidRPr="00E870CB">
        <w:rPr>
          <w:bCs/>
        </w:rPr>
        <w:t xml:space="preserve">Tableau </w:t>
      </w:r>
      <w:r w:rsidRPr="006968A2">
        <w:rPr>
          <w:rFonts w:eastAsia="MS Mincho"/>
          <w:bCs/>
        </w:rPr>
        <w:t>n</w:t>
      </w:r>
      <w:r w:rsidRPr="006968A2">
        <w:rPr>
          <w:rFonts w:eastAsia="MS Mincho"/>
          <w:bCs/>
          <w:vertAlign w:val="superscript"/>
        </w:rPr>
        <w:t>o</w:t>
      </w:r>
      <w:r w:rsidRPr="00E870CB">
        <w:rPr>
          <w:bCs/>
        </w:rPr>
        <w:t xml:space="preserve"> </w:t>
      </w:r>
      <w:r w:rsidRPr="00E870CB">
        <w:t>9</w:t>
      </w:r>
      <w:r>
        <w:rPr>
          <w:b/>
        </w:rPr>
        <w:br/>
      </w:r>
      <w:r w:rsidRPr="00883147">
        <w:rPr>
          <w:b/>
        </w:rPr>
        <w:t xml:space="preserve">Les femmes dans l’Assemblée nationale </w:t>
      </w:r>
      <w:r>
        <w:rPr>
          <w:b/>
        </w:rPr>
        <w:t>(</w:t>
      </w:r>
      <w:r w:rsidRPr="00883147">
        <w:rPr>
          <w:b/>
        </w:rPr>
        <w:t>2008</w:t>
      </w:r>
      <w:r>
        <w:rPr>
          <w:b/>
        </w:rPr>
        <w:t>)</w:t>
      </w:r>
    </w:p>
    <w:tbl>
      <w:tblPr>
        <w:tblW w:w="7370" w:type="dxa"/>
        <w:tblInd w:w="1134" w:type="dxa"/>
        <w:tblLayout w:type="fixed"/>
        <w:tblCellMar>
          <w:left w:w="0" w:type="dxa"/>
          <w:right w:w="0" w:type="dxa"/>
        </w:tblCellMar>
        <w:tblLook w:val="00A0" w:firstRow="1" w:lastRow="0" w:firstColumn="1" w:lastColumn="0" w:noHBand="0" w:noVBand="0"/>
      </w:tblPr>
      <w:tblGrid>
        <w:gridCol w:w="2494"/>
        <w:gridCol w:w="1219"/>
        <w:gridCol w:w="1219"/>
        <w:gridCol w:w="1219"/>
        <w:gridCol w:w="1219"/>
      </w:tblGrid>
      <w:tr w:rsidR="00EE563A" w:rsidRPr="00EF06FF" w:rsidTr="00B84541">
        <w:trPr>
          <w:tblHeader/>
        </w:trPr>
        <w:tc>
          <w:tcPr>
            <w:tcW w:w="2494"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rPr>
                <w:i/>
                <w:sz w:val="16"/>
              </w:rPr>
            </w:pPr>
            <w:r w:rsidRPr="00EF06FF">
              <w:rPr>
                <w:i/>
                <w:sz w:val="16"/>
              </w:rPr>
              <w:t>P</w:t>
            </w:r>
            <w:r>
              <w:rPr>
                <w:i/>
                <w:sz w:val="16"/>
              </w:rPr>
              <w:t>artis politiques</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Hommes</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Femmes</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Total</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 de femmes</w:t>
            </w:r>
          </w:p>
        </w:tc>
      </w:tr>
      <w:tr w:rsidR="00EE563A" w:rsidRPr="00A43A48" w:rsidTr="00B84541">
        <w:trPr>
          <w:tblHeader/>
        </w:trPr>
        <w:tc>
          <w:tcPr>
            <w:tcW w:w="2494"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MPLA</w:t>
            </w:r>
          </w:p>
        </w:tc>
        <w:tc>
          <w:tcPr>
            <w:tcW w:w="1219"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110</w:t>
            </w:r>
          </w:p>
        </w:tc>
        <w:tc>
          <w:tcPr>
            <w:tcW w:w="1219"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81</w:t>
            </w:r>
          </w:p>
        </w:tc>
        <w:tc>
          <w:tcPr>
            <w:tcW w:w="1219" w:type="dxa"/>
            <w:tcBorders>
              <w:top w:val="single" w:sz="12" w:space="0" w:color="auto"/>
            </w:tcBorders>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191</w:t>
            </w:r>
          </w:p>
        </w:tc>
        <w:tc>
          <w:tcPr>
            <w:tcW w:w="1219"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42,4</w:t>
            </w:r>
          </w:p>
        </w:tc>
      </w:tr>
      <w:tr w:rsidR="00EE563A" w:rsidRPr="00A43A48" w:rsidTr="00B84541">
        <w:trPr>
          <w:tblHeader/>
        </w:trPr>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UNITA</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12</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w:t>
            </w:r>
          </w:p>
        </w:tc>
        <w:tc>
          <w:tcPr>
            <w:tcW w:w="1219" w:type="dxa"/>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16</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25</w:t>
            </w:r>
            <w:r>
              <w:rPr>
                <w:sz w:val="18"/>
              </w:rPr>
              <w:t>,0</w:t>
            </w:r>
          </w:p>
        </w:tc>
      </w:tr>
      <w:tr w:rsidR="00EE563A" w:rsidRPr="00A43A48" w:rsidTr="00B84541">
        <w:trPr>
          <w:tblHeader/>
        </w:trPr>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PRS</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8</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219" w:type="dxa"/>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8</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r>
              <w:rPr>
                <w:sz w:val="18"/>
              </w:rPr>
              <w:t>,0</w:t>
            </w:r>
          </w:p>
        </w:tc>
      </w:tr>
      <w:tr w:rsidR="00EE563A" w:rsidRPr="00A43A48" w:rsidTr="00B84541">
        <w:trPr>
          <w:tblHeader/>
        </w:trPr>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FNLA</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3</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219" w:type="dxa"/>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3</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r>
              <w:rPr>
                <w:sz w:val="18"/>
              </w:rPr>
              <w:t>,0</w:t>
            </w:r>
          </w:p>
        </w:tc>
      </w:tr>
      <w:tr w:rsidR="00EE563A" w:rsidRPr="00A43A48" w:rsidTr="00B84541">
        <w:trPr>
          <w:tblHeader/>
        </w:trPr>
        <w:tc>
          <w:tcPr>
            <w:tcW w:w="2494" w:type="dxa"/>
            <w:tcBorders>
              <w:bottom w:val="single" w:sz="4" w:space="0" w:color="auto"/>
            </w:tcBorders>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NOVA DEMOCRACIA</w:t>
            </w:r>
          </w:p>
        </w:tc>
        <w:tc>
          <w:tcPr>
            <w:tcW w:w="1219" w:type="dxa"/>
            <w:tcBorders>
              <w:bottom w:val="single" w:sz="4"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w:t>
            </w:r>
          </w:p>
        </w:tc>
        <w:tc>
          <w:tcPr>
            <w:tcW w:w="1219" w:type="dxa"/>
            <w:tcBorders>
              <w:bottom w:val="single" w:sz="4"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219" w:type="dxa"/>
            <w:tcBorders>
              <w:bottom w:val="single" w:sz="4" w:space="0" w:color="auto"/>
            </w:tcBorders>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2</w:t>
            </w:r>
          </w:p>
        </w:tc>
        <w:tc>
          <w:tcPr>
            <w:tcW w:w="1219" w:type="dxa"/>
            <w:tcBorders>
              <w:bottom w:val="single" w:sz="4"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r>
              <w:rPr>
                <w:sz w:val="18"/>
              </w:rPr>
              <w:t>,0</w:t>
            </w:r>
          </w:p>
        </w:tc>
      </w:tr>
      <w:tr w:rsidR="00EE563A" w:rsidRPr="00D13BF2" w:rsidTr="00B84541">
        <w:trPr>
          <w:tblHeader/>
        </w:trPr>
        <w:tc>
          <w:tcPr>
            <w:tcW w:w="2494"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284"/>
              <w:rPr>
                <w:b/>
                <w:sz w:val="18"/>
              </w:rPr>
            </w:pPr>
            <w:r w:rsidRPr="00D13BF2">
              <w:rPr>
                <w:b/>
                <w:sz w:val="18"/>
              </w:rPr>
              <w:t>Total</w:t>
            </w:r>
          </w:p>
        </w:tc>
        <w:tc>
          <w:tcPr>
            <w:tcW w:w="1219"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113"/>
              <w:jc w:val="right"/>
              <w:rPr>
                <w:b/>
                <w:sz w:val="18"/>
              </w:rPr>
            </w:pPr>
            <w:r w:rsidRPr="00D13BF2">
              <w:rPr>
                <w:b/>
                <w:sz w:val="18"/>
              </w:rPr>
              <w:t>135</w:t>
            </w:r>
          </w:p>
        </w:tc>
        <w:tc>
          <w:tcPr>
            <w:tcW w:w="1219"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113"/>
              <w:jc w:val="right"/>
              <w:rPr>
                <w:b/>
                <w:sz w:val="18"/>
              </w:rPr>
            </w:pPr>
            <w:r w:rsidRPr="00D13BF2">
              <w:rPr>
                <w:b/>
                <w:sz w:val="18"/>
              </w:rPr>
              <w:t>85</w:t>
            </w:r>
          </w:p>
        </w:tc>
        <w:tc>
          <w:tcPr>
            <w:tcW w:w="1219"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113"/>
              <w:jc w:val="right"/>
              <w:rPr>
                <w:b/>
                <w:sz w:val="18"/>
              </w:rPr>
            </w:pPr>
            <w:r w:rsidRPr="00D13BF2">
              <w:rPr>
                <w:b/>
                <w:sz w:val="18"/>
              </w:rPr>
              <w:t>220</w:t>
            </w:r>
          </w:p>
        </w:tc>
        <w:tc>
          <w:tcPr>
            <w:tcW w:w="1219"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113"/>
              <w:jc w:val="right"/>
              <w:rPr>
                <w:b/>
                <w:sz w:val="18"/>
              </w:rPr>
            </w:pPr>
            <w:r w:rsidRPr="00D13BF2">
              <w:rPr>
                <w:b/>
                <w:sz w:val="18"/>
              </w:rPr>
              <w:t>38,6</w:t>
            </w:r>
          </w:p>
        </w:tc>
      </w:tr>
    </w:tbl>
    <w:p w:rsidR="00EE563A" w:rsidRPr="00883147" w:rsidRDefault="00EE563A" w:rsidP="00EE563A">
      <w:pPr>
        <w:pStyle w:val="H1G"/>
      </w:pPr>
      <w:r>
        <w:tab/>
      </w:r>
      <w:r>
        <w:tab/>
      </w:r>
      <w:r w:rsidRPr="00883147">
        <w:t>Participation des femmes aux relations internationales</w:t>
      </w:r>
    </w:p>
    <w:p w:rsidR="00EE563A" w:rsidRDefault="00EE563A" w:rsidP="00EE563A">
      <w:pPr>
        <w:pStyle w:val="Heading1"/>
        <w:spacing w:after="120"/>
        <w:rPr>
          <w:b/>
          <w:bCs/>
        </w:rPr>
      </w:pPr>
      <w:r w:rsidRPr="00EF06FF">
        <w:rPr>
          <w:rFonts w:eastAsia="MS Mincho"/>
          <w:bCs/>
        </w:rPr>
        <w:t>Tableau</w:t>
      </w:r>
      <w:r w:rsidRPr="00883147">
        <w:rPr>
          <w:b/>
          <w:bCs/>
        </w:rPr>
        <w:t xml:space="preserve"> </w:t>
      </w:r>
      <w:r w:rsidRPr="006968A2">
        <w:rPr>
          <w:rFonts w:eastAsia="MS Mincho"/>
          <w:bCs/>
        </w:rPr>
        <w:t>n</w:t>
      </w:r>
      <w:r w:rsidRPr="006968A2">
        <w:rPr>
          <w:rFonts w:eastAsia="MS Mincho"/>
          <w:bCs/>
          <w:vertAlign w:val="superscript"/>
        </w:rPr>
        <w:t>o</w:t>
      </w:r>
      <w:r w:rsidRPr="00883147">
        <w:rPr>
          <w:b/>
          <w:bCs/>
        </w:rPr>
        <w:t xml:space="preserve"> </w:t>
      </w:r>
      <w:r w:rsidRPr="00D13BF2">
        <w:rPr>
          <w:bCs/>
        </w:rPr>
        <w:t>10</w:t>
      </w:r>
      <w:r>
        <w:rPr>
          <w:bCs/>
        </w:rPr>
        <w:br/>
      </w:r>
      <w:r w:rsidRPr="00883147">
        <w:rPr>
          <w:b/>
          <w:bCs/>
        </w:rPr>
        <w:t>Représentation et participation des femmes dans le corps diplomatique</w:t>
      </w:r>
    </w:p>
    <w:tbl>
      <w:tblPr>
        <w:tblW w:w="7370" w:type="dxa"/>
        <w:tblInd w:w="1134" w:type="dxa"/>
        <w:tblLayout w:type="fixed"/>
        <w:tblCellMar>
          <w:left w:w="0" w:type="dxa"/>
          <w:right w:w="0" w:type="dxa"/>
        </w:tblCellMar>
        <w:tblLook w:val="00A0" w:firstRow="1" w:lastRow="0" w:firstColumn="1" w:lastColumn="0" w:noHBand="0" w:noVBand="0"/>
      </w:tblPr>
      <w:tblGrid>
        <w:gridCol w:w="2494"/>
        <w:gridCol w:w="1219"/>
        <w:gridCol w:w="1219"/>
        <w:gridCol w:w="1219"/>
        <w:gridCol w:w="1219"/>
      </w:tblGrid>
      <w:tr w:rsidR="00EE563A" w:rsidRPr="00EF06FF" w:rsidTr="00B84541">
        <w:trPr>
          <w:tblHeader/>
        </w:trPr>
        <w:tc>
          <w:tcPr>
            <w:tcW w:w="2494"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rPr>
                <w:i/>
                <w:sz w:val="16"/>
              </w:rPr>
            </w:pPr>
            <w:r>
              <w:rPr>
                <w:i/>
                <w:sz w:val="16"/>
              </w:rPr>
              <w:t>Catégories</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Hommes</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Femmes</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Total</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 de femmes</w:t>
            </w:r>
          </w:p>
        </w:tc>
      </w:tr>
      <w:tr w:rsidR="00EE563A" w:rsidRPr="00A43A48" w:rsidTr="00B84541">
        <w:tc>
          <w:tcPr>
            <w:tcW w:w="2494" w:type="dxa"/>
            <w:tcBorders>
              <w:top w:val="single" w:sz="12" w:space="0" w:color="auto"/>
            </w:tcBorders>
            <w:shd w:val="clear" w:color="auto" w:fill="auto"/>
            <w:noWrap/>
          </w:tcPr>
          <w:p w:rsidR="00EE563A" w:rsidRPr="00883147" w:rsidRDefault="00EE563A" w:rsidP="00B84541">
            <w:pPr>
              <w:suppressAutoHyphens w:val="0"/>
              <w:spacing w:before="40" w:after="40" w:line="220" w:lineRule="atLeast"/>
              <w:rPr>
                <w:sz w:val="18"/>
              </w:rPr>
            </w:pPr>
            <w:r w:rsidRPr="00883147">
              <w:rPr>
                <w:sz w:val="18"/>
              </w:rPr>
              <w:t>Ambassadeurs</w:t>
            </w:r>
          </w:p>
        </w:tc>
        <w:tc>
          <w:tcPr>
            <w:tcW w:w="1219"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42</w:t>
            </w:r>
          </w:p>
        </w:tc>
        <w:tc>
          <w:tcPr>
            <w:tcW w:w="1219"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6</w:t>
            </w:r>
          </w:p>
        </w:tc>
        <w:tc>
          <w:tcPr>
            <w:tcW w:w="1219" w:type="dxa"/>
            <w:tcBorders>
              <w:top w:val="single" w:sz="12" w:space="0" w:color="auto"/>
            </w:tcBorders>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48</w:t>
            </w:r>
          </w:p>
        </w:tc>
        <w:tc>
          <w:tcPr>
            <w:tcW w:w="1219"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12,5</w:t>
            </w:r>
          </w:p>
        </w:tc>
      </w:tr>
      <w:tr w:rsidR="00EE563A" w:rsidRPr="00A43A48" w:rsidTr="00B84541">
        <w:tc>
          <w:tcPr>
            <w:tcW w:w="2494" w:type="dxa"/>
            <w:shd w:val="clear" w:color="auto" w:fill="auto"/>
            <w:noWrap/>
          </w:tcPr>
          <w:p w:rsidR="00EE563A" w:rsidRPr="00883147" w:rsidRDefault="00EE563A" w:rsidP="00B84541">
            <w:pPr>
              <w:suppressAutoHyphens w:val="0"/>
              <w:spacing w:before="40" w:after="40" w:line="220" w:lineRule="atLeast"/>
              <w:rPr>
                <w:sz w:val="18"/>
              </w:rPr>
            </w:pPr>
            <w:r w:rsidRPr="00883147">
              <w:rPr>
                <w:sz w:val="18"/>
              </w:rPr>
              <w:t>Ministres conseillers</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57</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16</w:t>
            </w:r>
          </w:p>
        </w:tc>
        <w:tc>
          <w:tcPr>
            <w:tcW w:w="1219" w:type="dxa"/>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73</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21,9</w:t>
            </w:r>
          </w:p>
        </w:tc>
      </w:tr>
      <w:tr w:rsidR="00EE563A" w:rsidRPr="00A43A48" w:rsidTr="00B84541">
        <w:tc>
          <w:tcPr>
            <w:tcW w:w="2494" w:type="dxa"/>
            <w:shd w:val="clear" w:color="auto" w:fill="auto"/>
            <w:noWrap/>
          </w:tcPr>
          <w:p w:rsidR="00EE563A" w:rsidRPr="00883147" w:rsidRDefault="00EE563A" w:rsidP="00B84541">
            <w:pPr>
              <w:suppressAutoHyphens w:val="0"/>
              <w:spacing w:before="40" w:after="40" w:line="220" w:lineRule="atLeast"/>
              <w:rPr>
                <w:sz w:val="18"/>
              </w:rPr>
            </w:pPr>
            <w:r w:rsidRPr="00883147">
              <w:rPr>
                <w:sz w:val="18"/>
              </w:rPr>
              <w:t>Conseillers</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42</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8</w:t>
            </w:r>
          </w:p>
        </w:tc>
        <w:tc>
          <w:tcPr>
            <w:tcW w:w="1219" w:type="dxa"/>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50</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16</w:t>
            </w:r>
            <w:r>
              <w:rPr>
                <w:sz w:val="18"/>
              </w:rPr>
              <w:t>,0</w:t>
            </w:r>
          </w:p>
        </w:tc>
      </w:tr>
      <w:tr w:rsidR="00EE563A" w:rsidRPr="00A43A48" w:rsidTr="00B84541">
        <w:tc>
          <w:tcPr>
            <w:tcW w:w="2494" w:type="dxa"/>
            <w:shd w:val="clear" w:color="auto" w:fill="auto"/>
            <w:noWrap/>
          </w:tcPr>
          <w:p w:rsidR="00EE563A" w:rsidRPr="00883147" w:rsidRDefault="00EE563A" w:rsidP="00B84541">
            <w:pPr>
              <w:suppressAutoHyphens w:val="0"/>
              <w:spacing w:before="40" w:after="40" w:line="220" w:lineRule="atLeast"/>
              <w:rPr>
                <w:sz w:val="18"/>
              </w:rPr>
            </w:pPr>
            <w:r w:rsidRPr="00883147">
              <w:rPr>
                <w:sz w:val="18"/>
              </w:rPr>
              <w:t>Premiers Secrétaires</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60</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16</w:t>
            </w:r>
          </w:p>
        </w:tc>
        <w:tc>
          <w:tcPr>
            <w:tcW w:w="1219" w:type="dxa"/>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76</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21</w:t>
            </w:r>
            <w:r>
              <w:rPr>
                <w:sz w:val="18"/>
              </w:rPr>
              <w:t>,0</w:t>
            </w:r>
          </w:p>
        </w:tc>
      </w:tr>
      <w:tr w:rsidR="00EE563A" w:rsidRPr="00A43A48" w:rsidTr="00B84541">
        <w:tc>
          <w:tcPr>
            <w:tcW w:w="2494" w:type="dxa"/>
            <w:shd w:val="clear" w:color="auto" w:fill="auto"/>
            <w:noWrap/>
          </w:tcPr>
          <w:p w:rsidR="00EE563A" w:rsidRPr="00883147" w:rsidRDefault="00EE563A" w:rsidP="00B84541">
            <w:pPr>
              <w:suppressAutoHyphens w:val="0"/>
              <w:spacing w:before="40" w:after="40" w:line="220" w:lineRule="atLeast"/>
              <w:rPr>
                <w:sz w:val="18"/>
              </w:rPr>
            </w:pPr>
            <w:r w:rsidRPr="00883147">
              <w:rPr>
                <w:sz w:val="18"/>
              </w:rPr>
              <w:t>Deuxièmes Secrétaires</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29</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29</w:t>
            </w:r>
          </w:p>
        </w:tc>
        <w:tc>
          <w:tcPr>
            <w:tcW w:w="1219" w:type="dxa"/>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58</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50</w:t>
            </w:r>
            <w:r>
              <w:rPr>
                <w:sz w:val="18"/>
              </w:rPr>
              <w:t>,0</w:t>
            </w:r>
          </w:p>
        </w:tc>
      </w:tr>
      <w:tr w:rsidR="00EE563A" w:rsidRPr="00A43A48" w:rsidTr="00B84541">
        <w:tc>
          <w:tcPr>
            <w:tcW w:w="2494" w:type="dxa"/>
            <w:shd w:val="clear" w:color="auto" w:fill="auto"/>
            <w:noWrap/>
          </w:tcPr>
          <w:p w:rsidR="00EE563A" w:rsidRPr="00883147" w:rsidRDefault="00EE563A" w:rsidP="00B84541">
            <w:pPr>
              <w:suppressAutoHyphens w:val="0"/>
              <w:spacing w:before="40" w:after="40" w:line="220" w:lineRule="atLeast"/>
              <w:rPr>
                <w:sz w:val="18"/>
              </w:rPr>
            </w:pPr>
            <w:r w:rsidRPr="00883147">
              <w:rPr>
                <w:sz w:val="18"/>
              </w:rPr>
              <w:t>Troisièmes Secrétaires</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23</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15</w:t>
            </w:r>
          </w:p>
        </w:tc>
        <w:tc>
          <w:tcPr>
            <w:tcW w:w="1219" w:type="dxa"/>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38</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39,4</w:t>
            </w:r>
          </w:p>
        </w:tc>
      </w:tr>
      <w:tr w:rsidR="00EE563A" w:rsidRPr="00A43A48" w:rsidTr="00B84541">
        <w:tc>
          <w:tcPr>
            <w:tcW w:w="2494" w:type="dxa"/>
            <w:tcBorders>
              <w:bottom w:val="single" w:sz="4" w:space="0" w:color="auto"/>
            </w:tcBorders>
            <w:shd w:val="clear" w:color="auto" w:fill="auto"/>
            <w:noWrap/>
          </w:tcPr>
          <w:p w:rsidR="00EE563A" w:rsidRPr="00883147" w:rsidRDefault="00EE563A" w:rsidP="00B84541">
            <w:pPr>
              <w:suppressAutoHyphens w:val="0"/>
              <w:spacing w:before="40" w:after="40" w:line="220" w:lineRule="atLeast"/>
              <w:rPr>
                <w:sz w:val="18"/>
              </w:rPr>
            </w:pPr>
            <w:r w:rsidRPr="00883147">
              <w:rPr>
                <w:sz w:val="18"/>
              </w:rPr>
              <w:t>Consuls</w:t>
            </w:r>
          </w:p>
        </w:tc>
        <w:tc>
          <w:tcPr>
            <w:tcW w:w="1219" w:type="dxa"/>
            <w:tcBorders>
              <w:bottom w:val="single" w:sz="4"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10</w:t>
            </w:r>
          </w:p>
        </w:tc>
        <w:tc>
          <w:tcPr>
            <w:tcW w:w="1219" w:type="dxa"/>
            <w:tcBorders>
              <w:bottom w:val="single" w:sz="4"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w:t>
            </w:r>
          </w:p>
        </w:tc>
        <w:tc>
          <w:tcPr>
            <w:tcW w:w="1219" w:type="dxa"/>
            <w:tcBorders>
              <w:bottom w:val="single" w:sz="4" w:space="0" w:color="auto"/>
            </w:tcBorders>
            <w:shd w:val="clear" w:color="auto" w:fill="auto"/>
            <w:noWrap/>
            <w:vAlign w:val="bottom"/>
          </w:tcPr>
          <w:p w:rsidR="00EE563A" w:rsidRPr="00D13BF2" w:rsidRDefault="00EE563A" w:rsidP="00B84541">
            <w:pPr>
              <w:suppressAutoHyphens w:val="0"/>
              <w:spacing w:before="40" w:after="40" w:line="220" w:lineRule="atLeast"/>
              <w:ind w:left="113"/>
              <w:jc w:val="right"/>
              <w:rPr>
                <w:b/>
                <w:sz w:val="18"/>
              </w:rPr>
            </w:pPr>
            <w:r w:rsidRPr="00D13BF2">
              <w:rPr>
                <w:b/>
                <w:sz w:val="18"/>
              </w:rPr>
              <w:t>14</w:t>
            </w:r>
          </w:p>
        </w:tc>
        <w:tc>
          <w:tcPr>
            <w:tcW w:w="1219" w:type="dxa"/>
            <w:tcBorders>
              <w:bottom w:val="single" w:sz="4"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28,5</w:t>
            </w:r>
          </w:p>
        </w:tc>
      </w:tr>
      <w:tr w:rsidR="00EE563A" w:rsidRPr="00D13BF2" w:rsidTr="00B84541">
        <w:tc>
          <w:tcPr>
            <w:tcW w:w="2494"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284"/>
              <w:rPr>
                <w:b/>
                <w:sz w:val="18"/>
              </w:rPr>
            </w:pPr>
            <w:r w:rsidRPr="00D13BF2">
              <w:rPr>
                <w:b/>
                <w:sz w:val="18"/>
              </w:rPr>
              <w:t>Total</w:t>
            </w:r>
          </w:p>
        </w:tc>
        <w:tc>
          <w:tcPr>
            <w:tcW w:w="1219"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113"/>
              <w:jc w:val="right"/>
              <w:rPr>
                <w:b/>
                <w:sz w:val="18"/>
              </w:rPr>
            </w:pPr>
            <w:r>
              <w:rPr>
                <w:b/>
                <w:sz w:val="18"/>
              </w:rPr>
              <w:t>263</w:t>
            </w:r>
          </w:p>
        </w:tc>
        <w:tc>
          <w:tcPr>
            <w:tcW w:w="1219"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113"/>
              <w:jc w:val="right"/>
              <w:rPr>
                <w:b/>
                <w:sz w:val="18"/>
              </w:rPr>
            </w:pPr>
            <w:r>
              <w:rPr>
                <w:b/>
                <w:sz w:val="18"/>
              </w:rPr>
              <w:t>94</w:t>
            </w:r>
          </w:p>
        </w:tc>
        <w:tc>
          <w:tcPr>
            <w:tcW w:w="1219"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113"/>
              <w:jc w:val="right"/>
              <w:rPr>
                <w:b/>
                <w:sz w:val="18"/>
              </w:rPr>
            </w:pPr>
            <w:r>
              <w:rPr>
                <w:b/>
                <w:sz w:val="18"/>
              </w:rPr>
              <w:t>357</w:t>
            </w:r>
          </w:p>
        </w:tc>
        <w:tc>
          <w:tcPr>
            <w:tcW w:w="1219" w:type="dxa"/>
            <w:tcBorders>
              <w:top w:val="single" w:sz="4" w:space="0" w:color="auto"/>
              <w:bottom w:val="single" w:sz="12" w:space="0" w:color="auto"/>
            </w:tcBorders>
            <w:shd w:val="clear" w:color="auto" w:fill="auto"/>
            <w:noWrap/>
            <w:vAlign w:val="bottom"/>
          </w:tcPr>
          <w:p w:rsidR="00EE563A" w:rsidRPr="00D13BF2" w:rsidRDefault="00EE563A" w:rsidP="00B84541">
            <w:pPr>
              <w:suppressAutoHyphens w:val="0"/>
              <w:spacing w:before="80" w:after="80" w:line="220" w:lineRule="atLeast"/>
              <w:ind w:left="113"/>
              <w:jc w:val="right"/>
              <w:rPr>
                <w:b/>
                <w:sz w:val="18"/>
              </w:rPr>
            </w:pPr>
            <w:r>
              <w:rPr>
                <w:b/>
                <w:sz w:val="18"/>
              </w:rPr>
              <w:t>26,3</w:t>
            </w:r>
          </w:p>
        </w:tc>
      </w:tr>
    </w:tbl>
    <w:p w:rsidR="00EE563A" w:rsidRPr="00883147" w:rsidRDefault="00EE563A" w:rsidP="00EE563A">
      <w:pPr>
        <w:pStyle w:val="SingleTxtG"/>
        <w:spacing w:before="120"/>
        <w:ind w:firstLine="170"/>
        <w:rPr>
          <w:i/>
          <w:iCs/>
          <w:sz w:val="18"/>
          <w:szCs w:val="18"/>
        </w:rPr>
      </w:pPr>
      <w:r w:rsidRPr="00883147">
        <w:rPr>
          <w:i/>
          <w:iCs/>
          <w:sz w:val="18"/>
          <w:szCs w:val="18"/>
        </w:rPr>
        <w:t>Source</w:t>
      </w:r>
      <w:r w:rsidRPr="00D13BF2">
        <w:rPr>
          <w:iCs/>
          <w:sz w:val="18"/>
          <w:szCs w:val="18"/>
        </w:rPr>
        <w:t>:</w:t>
      </w:r>
      <w:r w:rsidRPr="00883147">
        <w:rPr>
          <w:i/>
          <w:iCs/>
          <w:sz w:val="18"/>
          <w:szCs w:val="18"/>
        </w:rPr>
        <w:t xml:space="preserve"> </w:t>
      </w:r>
      <w:r w:rsidRPr="00D13BF2">
        <w:rPr>
          <w:iCs/>
          <w:sz w:val="18"/>
          <w:szCs w:val="18"/>
        </w:rPr>
        <w:t>Ministère des relations extérieures, 2010</w:t>
      </w:r>
      <w:r>
        <w:rPr>
          <w:iCs/>
          <w:sz w:val="18"/>
          <w:szCs w:val="18"/>
        </w:rPr>
        <w:t>.</w:t>
      </w:r>
    </w:p>
    <w:p w:rsidR="00EE563A" w:rsidRPr="00883147" w:rsidRDefault="00EE563A" w:rsidP="00EE563A">
      <w:pPr>
        <w:pStyle w:val="H1G"/>
      </w:pPr>
      <w:r>
        <w:tab/>
      </w:r>
      <w:r>
        <w:tab/>
      </w:r>
      <w:r w:rsidRPr="00883147">
        <w:t>Participation des femmes dans l’enseignement</w:t>
      </w:r>
    </w:p>
    <w:p w:rsidR="00EE563A" w:rsidRDefault="00EE563A" w:rsidP="00EE563A">
      <w:pPr>
        <w:pStyle w:val="Heading1"/>
        <w:spacing w:after="120"/>
        <w:rPr>
          <w:b/>
          <w:bCs/>
        </w:rPr>
      </w:pPr>
      <w:r w:rsidRPr="00EF06FF">
        <w:rPr>
          <w:rFonts w:eastAsia="MS Mincho"/>
          <w:bCs/>
        </w:rPr>
        <w:t>Tableau</w:t>
      </w:r>
      <w:r w:rsidRPr="00883147">
        <w:rPr>
          <w:b/>
          <w:bCs/>
        </w:rPr>
        <w:t xml:space="preserve"> </w:t>
      </w:r>
      <w:r w:rsidRPr="006968A2">
        <w:rPr>
          <w:rFonts w:eastAsia="MS Mincho"/>
          <w:bCs/>
        </w:rPr>
        <w:t>n</w:t>
      </w:r>
      <w:r w:rsidRPr="006968A2">
        <w:rPr>
          <w:rFonts w:eastAsia="MS Mincho"/>
          <w:bCs/>
          <w:vertAlign w:val="superscript"/>
        </w:rPr>
        <w:t>o</w:t>
      </w:r>
      <w:r w:rsidRPr="00D13BF2">
        <w:rPr>
          <w:bCs/>
        </w:rPr>
        <w:t xml:space="preserve"> 11</w:t>
      </w:r>
      <w:r>
        <w:rPr>
          <w:bCs/>
        </w:rPr>
        <w:br/>
      </w:r>
      <w:r w:rsidRPr="00883147">
        <w:rPr>
          <w:b/>
          <w:bCs/>
        </w:rPr>
        <w:t>Diplômés par domaines d’études de l’Universidade Agostinho Neto en 2006/</w:t>
      </w:r>
      <w:r>
        <w:rPr>
          <w:b/>
          <w:bCs/>
        </w:rPr>
        <w:t>07</w:t>
      </w:r>
    </w:p>
    <w:tbl>
      <w:tblPr>
        <w:tblW w:w="7370" w:type="dxa"/>
        <w:tblInd w:w="1134" w:type="dxa"/>
        <w:tblLayout w:type="fixed"/>
        <w:tblCellMar>
          <w:left w:w="0" w:type="dxa"/>
          <w:right w:w="0" w:type="dxa"/>
        </w:tblCellMar>
        <w:tblLook w:val="00A0" w:firstRow="1" w:lastRow="0" w:firstColumn="1" w:lastColumn="0" w:noHBand="0" w:noVBand="0"/>
      </w:tblPr>
      <w:tblGrid>
        <w:gridCol w:w="2494"/>
        <w:gridCol w:w="1219"/>
        <w:gridCol w:w="1219"/>
        <w:gridCol w:w="1219"/>
        <w:gridCol w:w="1219"/>
      </w:tblGrid>
      <w:tr w:rsidR="00EE563A" w:rsidRPr="00EF06FF" w:rsidTr="00B84541">
        <w:trPr>
          <w:tblHeader/>
        </w:trPr>
        <w:tc>
          <w:tcPr>
            <w:tcW w:w="2494"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rPr>
                <w:i/>
                <w:sz w:val="16"/>
              </w:rPr>
            </w:pPr>
            <w:r>
              <w:rPr>
                <w:i/>
                <w:sz w:val="16"/>
              </w:rPr>
              <w:t>Départements</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Hommes</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Femmes</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Total</w:t>
            </w:r>
          </w:p>
        </w:tc>
        <w:tc>
          <w:tcPr>
            <w:tcW w:w="1219" w:type="dxa"/>
            <w:tcBorders>
              <w:top w:val="single" w:sz="4" w:space="0" w:color="auto"/>
              <w:bottom w:val="single" w:sz="12" w:space="0" w:color="auto"/>
            </w:tcBorders>
            <w:shd w:val="clear" w:color="auto" w:fill="auto"/>
            <w:noWrap/>
            <w:vAlign w:val="bottom"/>
          </w:tcPr>
          <w:p w:rsidR="00EE563A" w:rsidRPr="00EF06FF" w:rsidRDefault="00EE563A" w:rsidP="00B84541">
            <w:pPr>
              <w:suppressAutoHyphens w:val="0"/>
              <w:spacing w:before="80" w:after="80" w:line="200" w:lineRule="exact"/>
              <w:jc w:val="right"/>
              <w:rPr>
                <w:i/>
                <w:sz w:val="16"/>
              </w:rPr>
            </w:pPr>
            <w:r w:rsidRPr="00EF06FF">
              <w:rPr>
                <w:i/>
                <w:sz w:val="16"/>
              </w:rPr>
              <w:t>% de femmes</w:t>
            </w:r>
          </w:p>
        </w:tc>
      </w:tr>
      <w:tr w:rsidR="00EE563A" w:rsidRPr="00A43A48" w:rsidTr="00B84541">
        <w:tc>
          <w:tcPr>
            <w:tcW w:w="2494"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D</w:t>
            </w:r>
            <w:r>
              <w:rPr>
                <w:sz w:val="18"/>
              </w:rPr>
              <w:t xml:space="preserve">épartement </w:t>
            </w:r>
            <w:r w:rsidRPr="00883147">
              <w:rPr>
                <w:sz w:val="18"/>
              </w:rPr>
              <w:t>d’agronomie</w:t>
            </w:r>
          </w:p>
        </w:tc>
        <w:tc>
          <w:tcPr>
            <w:tcW w:w="1219"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w:t>
            </w:r>
          </w:p>
        </w:tc>
        <w:tc>
          <w:tcPr>
            <w:tcW w:w="1219"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w:t>
            </w:r>
          </w:p>
        </w:tc>
        <w:tc>
          <w:tcPr>
            <w:tcW w:w="1219" w:type="dxa"/>
            <w:tcBorders>
              <w:top w:val="single" w:sz="12" w:space="0" w:color="auto"/>
            </w:tcBorders>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36</w:t>
            </w:r>
          </w:p>
        </w:tc>
        <w:tc>
          <w:tcPr>
            <w:tcW w:w="1219" w:type="dxa"/>
            <w:tcBorders>
              <w:top w:val="single" w:sz="12" w:space="0" w:color="auto"/>
            </w:tcBorders>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D</w:t>
            </w:r>
            <w:r>
              <w:rPr>
                <w:sz w:val="18"/>
              </w:rPr>
              <w:t>épartement des sciences</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86</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77</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163</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47,2</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Dép</w:t>
            </w:r>
            <w:r>
              <w:rPr>
                <w:sz w:val="18"/>
              </w:rPr>
              <w:t>ar</w:t>
            </w:r>
            <w:r w:rsidRPr="00883147">
              <w:rPr>
                <w:sz w:val="18"/>
              </w:rPr>
              <w:t>t</w:t>
            </w:r>
            <w:r>
              <w:rPr>
                <w:sz w:val="18"/>
              </w:rPr>
              <w:t>ement</w:t>
            </w:r>
            <w:r w:rsidRPr="00883147">
              <w:rPr>
                <w:sz w:val="18"/>
              </w:rPr>
              <w:t xml:space="preserve"> de droit</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82</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29</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111</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26,1</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D</w:t>
            </w:r>
            <w:r>
              <w:rPr>
                <w:sz w:val="18"/>
              </w:rPr>
              <w:t>épartement d’économie</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61</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80</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141</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56,7</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Pr>
                <w:sz w:val="18"/>
              </w:rPr>
              <w:t>Département du génie</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23</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9</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32</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28,1</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Pr>
                <w:sz w:val="18"/>
              </w:rPr>
              <w:t>Département de l’éducation</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156</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57</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213</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26,7</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Pr>
                <w:sz w:val="18"/>
              </w:rPr>
              <w:t>Département de médecine</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28</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49</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77</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63,6</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Institut supérieur d’études infirmières</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16</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14</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30</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46</w:t>
            </w:r>
            <w:r>
              <w:rPr>
                <w:sz w:val="18"/>
              </w:rPr>
              <w:t>,</w:t>
            </w:r>
            <w:r w:rsidRPr="00883147">
              <w:rPr>
                <w:sz w:val="18"/>
              </w:rPr>
              <w:t>6</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ISCED [Istituto Superior de Ciencias da Educação]/Benguela</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38</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17</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55</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30,9</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ISCED/Cabinda</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57</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19</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76</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25</w:t>
            </w:r>
            <w:r>
              <w:rPr>
                <w:sz w:val="18"/>
              </w:rPr>
              <w:t>,0</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ISCED/Huambo</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143</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116</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259</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44,8</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ISCED/Huíla</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69</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53</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122</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43,4</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ISCED</w:t>
            </w:r>
            <w:r>
              <w:rPr>
                <w:sz w:val="18"/>
              </w:rPr>
              <w:t>/</w:t>
            </w:r>
            <w:r w:rsidRPr="00883147">
              <w:rPr>
                <w:sz w:val="18"/>
              </w:rPr>
              <w:t>Luanda</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46</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44</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90</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488</w:t>
            </w:r>
            <w:r>
              <w:rPr>
                <w:sz w:val="18"/>
              </w:rPr>
              <w:t>,0</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Pr>
                <w:sz w:val="18"/>
              </w:rPr>
              <w:t>ISCED/</w:t>
            </w:r>
            <w:r w:rsidRPr="00883147">
              <w:rPr>
                <w:sz w:val="18"/>
              </w:rPr>
              <w:t>Uíge</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10</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10</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r>
              <w:rPr>
                <w:sz w:val="18"/>
              </w:rPr>
              <w:t>,</w:t>
            </w:r>
            <w:r w:rsidRPr="00883147">
              <w:rPr>
                <w:sz w:val="18"/>
              </w:rPr>
              <w:t>0</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Pr>
                <w:sz w:val="18"/>
              </w:rPr>
              <w:t xml:space="preserve">POLE (ISCED) – </w:t>
            </w:r>
            <w:r w:rsidRPr="00883147">
              <w:rPr>
                <w:bCs/>
                <w:sz w:val="18"/>
              </w:rPr>
              <w:t>Kuanza Sul</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96</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ESP – Lunda Norte</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179</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35</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214</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16</w:t>
            </w:r>
            <w:r>
              <w:rPr>
                <w:sz w:val="18"/>
              </w:rPr>
              <w:t>,</w:t>
            </w:r>
            <w:r w:rsidRPr="00883147">
              <w:rPr>
                <w:sz w:val="18"/>
              </w:rPr>
              <w:t>3</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 xml:space="preserve">Centre d’études économiques </w:t>
            </w:r>
            <w:r>
              <w:rPr>
                <w:sz w:val="18"/>
              </w:rPr>
              <w:t>− </w:t>
            </w:r>
            <w:r w:rsidRPr="00883147">
              <w:rPr>
                <w:sz w:val="18"/>
              </w:rPr>
              <w:t>Cabinda</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9</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9</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0,0</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 xml:space="preserve">Centre d’études économiques </w:t>
            </w:r>
            <w:r>
              <w:rPr>
                <w:sz w:val="18"/>
              </w:rPr>
              <w:t>− </w:t>
            </w:r>
            <w:r w:rsidRPr="00883147">
              <w:rPr>
                <w:sz w:val="18"/>
              </w:rPr>
              <w:t>Lubango</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9</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 xml:space="preserve">Centre d’études juridiques </w:t>
            </w:r>
            <w:r>
              <w:rPr>
                <w:sz w:val="18"/>
              </w:rPr>
              <w:t>−</w:t>
            </w:r>
            <w:r w:rsidRPr="00883147">
              <w:rPr>
                <w:sz w:val="18"/>
              </w:rPr>
              <w:t xml:space="preserve"> Benguela</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1</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0,0</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 xml:space="preserve">Centre d’études juridiques </w:t>
            </w:r>
            <w:r>
              <w:rPr>
                <w:sz w:val="18"/>
              </w:rPr>
              <w:t>−</w:t>
            </w:r>
            <w:r w:rsidRPr="00883147">
              <w:rPr>
                <w:sz w:val="18"/>
              </w:rPr>
              <w:t xml:space="preserve"> Cabinda</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1</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1</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0,0</w:t>
            </w:r>
          </w:p>
        </w:tc>
      </w:tr>
      <w:tr w:rsidR="00EE563A" w:rsidRPr="00A43A48" w:rsidTr="00B84541">
        <w:tc>
          <w:tcPr>
            <w:tcW w:w="2494" w:type="dxa"/>
            <w:shd w:val="clear" w:color="auto" w:fill="auto"/>
            <w:noWrap/>
            <w:vAlign w:val="bottom"/>
          </w:tcPr>
          <w:p w:rsidR="00EE563A" w:rsidRPr="00883147" w:rsidRDefault="00EE563A" w:rsidP="00B84541">
            <w:pPr>
              <w:suppressAutoHyphens w:val="0"/>
              <w:spacing w:before="40" w:after="40" w:line="220" w:lineRule="atLeast"/>
              <w:rPr>
                <w:sz w:val="18"/>
              </w:rPr>
            </w:pPr>
            <w:r w:rsidRPr="00883147">
              <w:rPr>
                <w:sz w:val="18"/>
              </w:rPr>
              <w:t xml:space="preserve">Centre d’études juridiques </w:t>
            </w:r>
            <w:r>
              <w:rPr>
                <w:sz w:val="18"/>
              </w:rPr>
              <w:t>−</w:t>
            </w:r>
            <w:r w:rsidRPr="00883147">
              <w:rPr>
                <w:sz w:val="18"/>
              </w:rPr>
              <w:t xml:space="preserve"> Huambo</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5</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w:t>
            </w:r>
          </w:p>
        </w:tc>
        <w:tc>
          <w:tcPr>
            <w:tcW w:w="1219" w:type="dxa"/>
            <w:shd w:val="clear" w:color="auto" w:fill="auto"/>
            <w:noWrap/>
            <w:vAlign w:val="bottom"/>
          </w:tcPr>
          <w:p w:rsidR="00EE563A" w:rsidRPr="00E3689E" w:rsidRDefault="00EE563A" w:rsidP="00B84541">
            <w:pPr>
              <w:suppressAutoHyphens w:val="0"/>
              <w:spacing w:before="40" w:after="40" w:line="220" w:lineRule="atLeast"/>
              <w:ind w:left="113"/>
              <w:jc w:val="right"/>
              <w:rPr>
                <w:b/>
                <w:sz w:val="18"/>
              </w:rPr>
            </w:pPr>
            <w:r w:rsidRPr="00E3689E">
              <w:rPr>
                <w:b/>
                <w:sz w:val="18"/>
              </w:rPr>
              <w:t>5</w:t>
            </w:r>
          </w:p>
        </w:tc>
        <w:tc>
          <w:tcPr>
            <w:tcW w:w="1219" w:type="dxa"/>
            <w:shd w:val="clear" w:color="auto" w:fill="auto"/>
            <w:noWrap/>
            <w:vAlign w:val="bottom"/>
          </w:tcPr>
          <w:p w:rsidR="00EE563A" w:rsidRPr="00883147" w:rsidRDefault="00EE563A" w:rsidP="00B84541">
            <w:pPr>
              <w:suppressAutoHyphens w:val="0"/>
              <w:spacing w:before="40" w:after="40" w:line="220" w:lineRule="atLeast"/>
              <w:ind w:left="113"/>
              <w:jc w:val="right"/>
              <w:rPr>
                <w:sz w:val="18"/>
              </w:rPr>
            </w:pPr>
            <w:r w:rsidRPr="00883147">
              <w:rPr>
                <w:sz w:val="18"/>
              </w:rPr>
              <w:t>0,0</w:t>
            </w:r>
          </w:p>
        </w:tc>
      </w:tr>
      <w:tr w:rsidR="00EE563A" w:rsidRPr="00A43A48" w:rsidTr="00B84541">
        <w:tc>
          <w:tcPr>
            <w:tcW w:w="2494" w:type="dxa"/>
            <w:tcBorders>
              <w:bottom w:val="single" w:sz="12" w:space="0" w:color="auto"/>
            </w:tcBorders>
            <w:shd w:val="clear" w:color="auto" w:fill="auto"/>
            <w:noWrap/>
            <w:vAlign w:val="bottom"/>
          </w:tcPr>
          <w:p w:rsidR="00EE563A" w:rsidRPr="00883147" w:rsidRDefault="00EE563A" w:rsidP="00B84541">
            <w:pPr>
              <w:suppressAutoHyphens w:val="0"/>
              <w:spacing w:before="40" w:after="80" w:line="220" w:lineRule="atLeast"/>
              <w:rPr>
                <w:sz w:val="18"/>
              </w:rPr>
            </w:pPr>
            <w:r w:rsidRPr="00883147">
              <w:rPr>
                <w:sz w:val="18"/>
              </w:rPr>
              <w:t xml:space="preserve">Centre d’études juridiques </w:t>
            </w:r>
            <w:r>
              <w:rPr>
                <w:sz w:val="18"/>
              </w:rPr>
              <w:t>−</w:t>
            </w:r>
            <w:r w:rsidRPr="00883147">
              <w:rPr>
                <w:sz w:val="18"/>
              </w:rPr>
              <w:t xml:space="preserve"> Huíla</w:t>
            </w:r>
          </w:p>
        </w:tc>
        <w:tc>
          <w:tcPr>
            <w:tcW w:w="1219" w:type="dxa"/>
            <w:tcBorders>
              <w:bottom w:val="single" w:sz="12" w:space="0" w:color="auto"/>
            </w:tcBorders>
            <w:shd w:val="clear" w:color="auto" w:fill="auto"/>
            <w:noWrap/>
            <w:vAlign w:val="bottom"/>
          </w:tcPr>
          <w:p w:rsidR="00EE563A" w:rsidRPr="00883147" w:rsidRDefault="00EE563A" w:rsidP="00B84541">
            <w:pPr>
              <w:suppressAutoHyphens w:val="0"/>
              <w:spacing w:before="40" w:after="80" w:line="220" w:lineRule="atLeast"/>
              <w:ind w:left="113"/>
              <w:jc w:val="right"/>
              <w:rPr>
                <w:sz w:val="18"/>
              </w:rPr>
            </w:pPr>
            <w:r w:rsidRPr="00883147">
              <w:rPr>
                <w:sz w:val="18"/>
              </w:rPr>
              <w:t>6</w:t>
            </w:r>
          </w:p>
        </w:tc>
        <w:tc>
          <w:tcPr>
            <w:tcW w:w="1219" w:type="dxa"/>
            <w:tcBorders>
              <w:bottom w:val="single" w:sz="12" w:space="0" w:color="auto"/>
            </w:tcBorders>
            <w:shd w:val="clear" w:color="auto" w:fill="auto"/>
            <w:noWrap/>
            <w:vAlign w:val="bottom"/>
          </w:tcPr>
          <w:p w:rsidR="00EE563A" w:rsidRPr="00883147" w:rsidRDefault="00EE563A" w:rsidP="00B84541">
            <w:pPr>
              <w:suppressAutoHyphens w:val="0"/>
              <w:spacing w:before="40" w:after="80" w:line="220" w:lineRule="atLeast"/>
              <w:ind w:left="113"/>
              <w:jc w:val="right"/>
              <w:rPr>
                <w:sz w:val="18"/>
              </w:rPr>
            </w:pPr>
            <w:r w:rsidRPr="00883147">
              <w:rPr>
                <w:sz w:val="18"/>
              </w:rPr>
              <w:t>0</w:t>
            </w:r>
          </w:p>
        </w:tc>
        <w:tc>
          <w:tcPr>
            <w:tcW w:w="1219" w:type="dxa"/>
            <w:tcBorders>
              <w:bottom w:val="single" w:sz="12" w:space="0" w:color="auto"/>
            </w:tcBorders>
            <w:shd w:val="clear" w:color="auto" w:fill="auto"/>
            <w:noWrap/>
            <w:vAlign w:val="bottom"/>
          </w:tcPr>
          <w:p w:rsidR="00EE563A" w:rsidRPr="00E3689E" w:rsidRDefault="00EE563A" w:rsidP="00B84541">
            <w:pPr>
              <w:suppressAutoHyphens w:val="0"/>
              <w:spacing w:before="40" w:after="80" w:line="220" w:lineRule="atLeast"/>
              <w:ind w:left="113"/>
              <w:jc w:val="right"/>
              <w:rPr>
                <w:b/>
                <w:sz w:val="18"/>
              </w:rPr>
            </w:pPr>
            <w:r w:rsidRPr="00E3689E">
              <w:rPr>
                <w:b/>
                <w:sz w:val="18"/>
              </w:rPr>
              <w:t>6</w:t>
            </w:r>
          </w:p>
        </w:tc>
        <w:tc>
          <w:tcPr>
            <w:tcW w:w="1219" w:type="dxa"/>
            <w:tcBorders>
              <w:bottom w:val="single" w:sz="12" w:space="0" w:color="auto"/>
            </w:tcBorders>
            <w:shd w:val="clear" w:color="auto" w:fill="auto"/>
            <w:noWrap/>
            <w:vAlign w:val="bottom"/>
          </w:tcPr>
          <w:p w:rsidR="00EE563A" w:rsidRPr="00883147" w:rsidRDefault="00EE563A" w:rsidP="00B84541">
            <w:pPr>
              <w:suppressAutoHyphens w:val="0"/>
              <w:spacing w:before="40" w:after="80" w:line="220" w:lineRule="atLeast"/>
              <w:ind w:left="113"/>
              <w:jc w:val="right"/>
              <w:rPr>
                <w:sz w:val="18"/>
              </w:rPr>
            </w:pPr>
            <w:r w:rsidRPr="00883147">
              <w:rPr>
                <w:sz w:val="18"/>
              </w:rPr>
              <w:t>0,0</w:t>
            </w:r>
          </w:p>
        </w:tc>
      </w:tr>
    </w:tbl>
    <w:p w:rsidR="00EE563A" w:rsidRDefault="00EE563A" w:rsidP="00EE563A">
      <w:pPr>
        <w:pStyle w:val="SingleTxtG"/>
        <w:spacing w:before="120"/>
        <w:ind w:firstLine="170"/>
        <w:rPr>
          <w:iCs/>
          <w:sz w:val="18"/>
          <w:szCs w:val="18"/>
        </w:rPr>
      </w:pPr>
      <w:r w:rsidRPr="00883147">
        <w:rPr>
          <w:i/>
          <w:iCs/>
          <w:sz w:val="18"/>
          <w:szCs w:val="18"/>
        </w:rPr>
        <w:t>Source</w:t>
      </w:r>
      <w:r w:rsidRPr="009D488D">
        <w:rPr>
          <w:iCs/>
          <w:sz w:val="18"/>
          <w:szCs w:val="18"/>
        </w:rPr>
        <w:t>:</w:t>
      </w:r>
      <w:r w:rsidRPr="00883147">
        <w:rPr>
          <w:i/>
          <w:iCs/>
          <w:sz w:val="18"/>
          <w:szCs w:val="18"/>
        </w:rPr>
        <w:t xml:space="preserve"> </w:t>
      </w:r>
      <w:r w:rsidRPr="009D488D">
        <w:rPr>
          <w:iCs/>
          <w:sz w:val="18"/>
          <w:szCs w:val="18"/>
        </w:rPr>
        <w:t>État de l’enseignement pour l’année universitaire 2006/07 de l’Universidade A. Neto</w:t>
      </w:r>
      <w:r>
        <w:rPr>
          <w:iCs/>
          <w:sz w:val="18"/>
          <w:szCs w:val="18"/>
        </w:rPr>
        <w:t>.</w:t>
      </w:r>
    </w:p>
    <w:p w:rsidR="00EE563A" w:rsidRDefault="00EE563A" w:rsidP="00EE563A">
      <w:pPr>
        <w:pStyle w:val="Heading1"/>
        <w:spacing w:after="120"/>
        <w:rPr>
          <w:b/>
          <w:bCs/>
        </w:rPr>
      </w:pPr>
      <w:r w:rsidRPr="009D488D">
        <w:rPr>
          <w:bCs/>
        </w:rPr>
        <w:t xml:space="preserve">Tableau </w:t>
      </w:r>
      <w:r w:rsidRPr="009D488D">
        <w:rPr>
          <w:rFonts w:eastAsia="MS Mincho"/>
          <w:bCs/>
        </w:rPr>
        <w:t>n</w:t>
      </w:r>
      <w:r w:rsidRPr="009D488D">
        <w:rPr>
          <w:rFonts w:eastAsia="MS Mincho"/>
          <w:bCs/>
          <w:vertAlign w:val="superscript"/>
        </w:rPr>
        <w:t>o</w:t>
      </w:r>
      <w:r w:rsidRPr="009D488D">
        <w:rPr>
          <w:bCs/>
        </w:rPr>
        <w:t xml:space="preserve"> 12</w:t>
      </w:r>
      <w:r w:rsidRPr="009D488D">
        <w:rPr>
          <w:bCs/>
        </w:rPr>
        <w:br/>
      </w:r>
      <w:r w:rsidRPr="00883147">
        <w:rPr>
          <w:b/>
          <w:bCs/>
        </w:rPr>
        <w:t>Élèves par niveau d’études au cours de la période 2004</w:t>
      </w:r>
      <w:r>
        <w:rPr>
          <w:b/>
          <w:bCs/>
        </w:rPr>
        <w:t>/</w:t>
      </w:r>
      <w:r w:rsidRPr="00883147">
        <w:rPr>
          <w:b/>
          <w:bCs/>
        </w:rPr>
        <w:t>08</w:t>
      </w:r>
    </w:p>
    <w:tbl>
      <w:tblPr>
        <w:tblW w:w="7370" w:type="dxa"/>
        <w:tblInd w:w="1134" w:type="dxa"/>
        <w:tblLayout w:type="fixed"/>
        <w:tblCellMar>
          <w:left w:w="0" w:type="dxa"/>
          <w:right w:w="0" w:type="dxa"/>
        </w:tblCellMar>
        <w:tblLook w:val="00A0" w:firstRow="1" w:lastRow="0" w:firstColumn="1" w:lastColumn="0" w:noHBand="0" w:noVBand="0"/>
      </w:tblPr>
      <w:tblGrid>
        <w:gridCol w:w="2173"/>
        <w:gridCol w:w="1019"/>
        <w:gridCol w:w="1035"/>
        <w:gridCol w:w="1088"/>
        <w:gridCol w:w="1019"/>
        <w:gridCol w:w="1036"/>
      </w:tblGrid>
      <w:tr w:rsidR="00EE563A" w:rsidRPr="009D488D" w:rsidTr="00B84541">
        <w:trPr>
          <w:tblHeader/>
        </w:trPr>
        <w:tc>
          <w:tcPr>
            <w:tcW w:w="2173"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00" w:lineRule="exact"/>
              <w:rPr>
                <w:i/>
                <w:sz w:val="16"/>
              </w:rPr>
            </w:pPr>
            <w:r w:rsidRPr="009D488D">
              <w:rPr>
                <w:i/>
                <w:sz w:val="16"/>
              </w:rPr>
              <w:t>Niveau</w:t>
            </w:r>
          </w:p>
        </w:tc>
        <w:tc>
          <w:tcPr>
            <w:tcW w:w="1019"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00" w:lineRule="exact"/>
              <w:jc w:val="right"/>
              <w:rPr>
                <w:i/>
                <w:sz w:val="16"/>
              </w:rPr>
            </w:pPr>
            <w:r w:rsidRPr="009D488D">
              <w:rPr>
                <w:i/>
                <w:sz w:val="16"/>
              </w:rPr>
              <w:t>2004</w:t>
            </w:r>
          </w:p>
        </w:tc>
        <w:tc>
          <w:tcPr>
            <w:tcW w:w="1035"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00" w:lineRule="exact"/>
              <w:jc w:val="right"/>
              <w:rPr>
                <w:i/>
                <w:sz w:val="16"/>
              </w:rPr>
            </w:pPr>
            <w:r w:rsidRPr="009D488D">
              <w:rPr>
                <w:i/>
                <w:sz w:val="16"/>
              </w:rPr>
              <w:t>2005</w:t>
            </w:r>
          </w:p>
        </w:tc>
        <w:tc>
          <w:tcPr>
            <w:tcW w:w="1088"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00" w:lineRule="exact"/>
              <w:jc w:val="right"/>
              <w:rPr>
                <w:i/>
                <w:sz w:val="16"/>
              </w:rPr>
            </w:pPr>
            <w:r w:rsidRPr="009D488D">
              <w:rPr>
                <w:i/>
                <w:sz w:val="16"/>
              </w:rPr>
              <w:t>2006</w:t>
            </w:r>
          </w:p>
        </w:tc>
        <w:tc>
          <w:tcPr>
            <w:tcW w:w="1019"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00" w:lineRule="exact"/>
              <w:jc w:val="right"/>
              <w:rPr>
                <w:i/>
                <w:sz w:val="16"/>
              </w:rPr>
            </w:pPr>
            <w:r w:rsidRPr="009D488D">
              <w:rPr>
                <w:i/>
                <w:sz w:val="16"/>
              </w:rPr>
              <w:t>2007</w:t>
            </w:r>
          </w:p>
        </w:tc>
        <w:tc>
          <w:tcPr>
            <w:tcW w:w="1036"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00" w:lineRule="exact"/>
              <w:jc w:val="right"/>
              <w:rPr>
                <w:i/>
                <w:sz w:val="16"/>
              </w:rPr>
            </w:pPr>
            <w:r w:rsidRPr="009D488D">
              <w:rPr>
                <w:i/>
                <w:sz w:val="16"/>
              </w:rPr>
              <w:t>2008</w:t>
            </w:r>
          </w:p>
        </w:tc>
      </w:tr>
      <w:tr w:rsidR="00EE563A" w:rsidRPr="009D488D" w:rsidTr="00B84541">
        <w:tc>
          <w:tcPr>
            <w:tcW w:w="2173" w:type="dxa"/>
            <w:tcBorders>
              <w:top w:val="single" w:sz="12" w:space="0" w:color="auto"/>
            </w:tcBorders>
            <w:shd w:val="clear" w:color="auto" w:fill="auto"/>
          </w:tcPr>
          <w:p w:rsidR="00EE563A" w:rsidRPr="009D488D" w:rsidRDefault="00EE563A" w:rsidP="00B84541">
            <w:pPr>
              <w:suppressAutoHyphens w:val="0"/>
              <w:spacing w:before="40" w:after="40" w:line="220" w:lineRule="atLeast"/>
              <w:rPr>
                <w:sz w:val="18"/>
              </w:rPr>
            </w:pPr>
            <w:r w:rsidRPr="009D488D">
              <w:rPr>
                <w:sz w:val="18"/>
              </w:rPr>
              <w:t>Alphabétisation</w:t>
            </w:r>
          </w:p>
        </w:tc>
        <w:tc>
          <w:tcPr>
            <w:tcW w:w="1019" w:type="dxa"/>
            <w:tcBorders>
              <w:top w:val="single" w:sz="12" w:space="0" w:color="auto"/>
            </w:tcBorders>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323 470</w:t>
            </w:r>
          </w:p>
        </w:tc>
        <w:tc>
          <w:tcPr>
            <w:tcW w:w="1035" w:type="dxa"/>
            <w:tcBorders>
              <w:top w:val="single" w:sz="12" w:space="0" w:color="auto"/>
            </w:tcBorders>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334 220</w:t>
            </w:r>
          </w:p>
        </w:tc>
        <w:tc>
          <w:tcPr>
            <w:tcW w:w="1088" w:type="dxa"/>
            <w:tcBorders>
              <w:top w:val="single" w:sz="12" w:space="0" w:color="auto"/>
            </w:tcBorders>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366 200</w:t>
            </w:r>
          </w:p>
        </w:tc>
        <w:tc>
          <w:tcPr>
            <w:tcW w:w="1019" w:type="dxa"/>
            <w:tcBorders>
              <w:top w:val="single" w:sz="12" w:space="0" w:color="auto"/>
            </w:tcBorders>
            <w:shd w:val="clear" w:color="auto" w:fill="auto"/>
            <w:vAlign w:val="bottom"/>
          </w:tcPr>
          <w:p w:rsidR="00EE563A" w:rsidRPr="00E3689E" w:rsidRDefault="00EE563A" w:rsidP="00B84541">
            <w:pPr>
              <w:suppressAutoHyphens w:val="0"/>
              <w:spacing w:before="40" w:after="40" w:line="220" w:lineRule="atLeast"/>
              <w:jc w:val="right"/>
              <w:rPr>
                <w:b/>
                <w:sz w:val="18"/>
              </w:rPr>
            </w:pPr>
            <w:r w:rsidRPr="00E3689E">
              <w:rPr>
                <w:b/>
                <w:sz w:val="18"/>
              </w:rPr>
              <w:t>389 637</w:t>
            </w:r>
          </w:p>
        </w:tc>
        <w:tc>
          <w:tcPr>
            <w:tcW w:w="1036" w:type="dxa"/>
            <w:tcBorders>
              <w:top w:val="single" w:sz="12" w:space="0" w:color="auto"/>
            </w:tcBorders>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502 350</w:t>
            </w:r>
          </w:p>
        </w:tc>
      </w:tr>
      <w:tr w:rsidR="00EE563A" w:rsidRPr="009D488D" w:rsidTr="00B84541">
        <w:tc>
          <w:tcPr>
            <w:tcW w:w="2173" w:type="dxa"/>
            <w:shd w:val="clear" w:color="auto" w:fill="auto"/>
          </w:tcPr>
          <w:p w:rsidR="00EE563A" w:rsidRPr="009D488D" w:rsidRDefault="00EE563A" w:rsidP="00B84541">
            <w:pPr>
              <w:suppressAutoHyphens w:val="0"/>
              <w:spacing w:before="40" w:after="40" w:line="220" w:lineRule="atLeast"/>
              <w:rPr>
                <w:sz w:val="18"/>
              </w:rPr>
            </w:pPr>
            <w:r w:rsidRPr="009D488D">
              <w:rPr>
                <w:sz w:val="18"/>
              </w:rPr>
              <w:t>Début de scolarité</w:t>
            </w:r>
          </w:p>
        </w:tc>
        <w:tc>
          <w:tcPr>
            <w:tcW w:w="1019"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678 780</w:t>
            </w:r>
          </w:p>
        </w:tc>
        <w:tc>
          <w:tcPr>
            <w:tcW w:w="1035"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895 145</w:t>
            </w:r>
          </w:p>
        </w:tc>
        <w:tc>
          <w:tcPr>
            <w:tcW w:w="1088"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842 361</w:t>
            </w:r>
          </w:p>
        </w:tc>
        <w:tc>
          <w:tcPr>
            <w:tcW w:w="1019" w:type="dxa"/>
            <w:shd w:val="clear" w:color="auto" w:fill="auto"/>
            <w:vAlign w:val="bottom"/>
          </w:tcPr>
          <w:p w:rsidR="00EE563A" w:rsidRPr="00E3689E" w:rsidRDefault="00EE563A" w:rsidP="00B84541">
            <w:pPr>
              <w:suppressAutoHyphens w:val="0"/>
              <w:spacing w:before="40" w:after="40" w:line="220" w:lineRule="atLeast"/>
              <w:jc w:val="right"/>
              <w:rPr>
                <w:b/>
                <w:sz w:val="18"/>
              </w:rPr>
            </w:pPr>
            <w:r w:rsidRPr="00E3689E">
              <w:rPr>
                <w:b/>
                <w:sz w:val="18"/>
              </w:rPr>
              <w:t>938 389</w:t>
            </w:r>
          </w:p>
        </w:tc>
        <w:tc>
          <w:tcPr>
            <w:tcW w:w="1036"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893 661</w:t>
            </w:r>
          </w:p>
        </w:tc>
      </w:tr>
      <w:tr w:rsidR="00EE563A" w:rsidRPr="009D488D" w:rsidTr="00B84541">
        <w:tc>
          <w:tcPr>
            <w:tcW w:w="2173" w:type="dxa"/>
            <w:shd w:val="clear" w:color="auto" w:fill="auto"/>
          </w:tcPr>
          <w:p w:rsidR="00EE563A" w:rsidRPr="009D488D" w:rsidRDefault="00EE563A" w:rsidP="00B84541">
            <w:pPr>
              <w:suppressAutoHyphens w:val="0"/>
              <w:spacing w:before="40" w:after="40" w:line="220" w:lineRule="atLeast"/>
              <w:rPr>
                <w:sz w:val="18"/>
              </w:rPr>
            </w:pPr>
            <w:r w:rsidRPr="009D488D">
              <w:rPr>
                <w:sz w:val="18"/>
              </w:rPr>
              <w:t>Primaire</w:t>
            </w:r>
          </w:p>
        </w:tc>
        <w:tc>
          <w:tcPr>
            <w:tcW w:w="1019"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3 022 461</w:t>
            </w:r>
          </w:p>
        </w:tc>
        <w:tc>
          <w:tcPr>
            <w:tcW w:w="1035"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3 119 184</w:t>
            </w:r>
          </w:p>
        </w:tc>
        <w:tc>
          <w:tcPr>
            <w:tcW w:w="1088"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3 370 079</w:t>
            </w:r>
          </w:p>
        </w:tc>
        <w:tc>
          <w:tcPr>
            <w:tcW w:w="1019" w:type="dxa"/>
            <w:shd w:val="clear" w:color="auto" w:fill="auto"/>
            <w:vAlign w:val="bottom"/>
          </w:tcPr>
          <w:p w:rsidR="00EE563A" w:rsidRPr="00E3689E" w:rsidRDefault="00EE563A" w:rsidP="00B84541">
            <w:pPr>
              <w:suppressAutoHyphens w:val="0"/>
              <w:spacing w:before="40" w:after="40" w:line="220" w:lineRule="atLeast"/>
              <w:jc w:val="right"/>
              <w:rPr>
                <w:b/>
                <w:sz w:val="18"/>
              </w:rPr>
            </w:pPr>
            <w:r w:rsidRPr="00E3689E">
              <w:rPr>
                <w:b/>
                <w:sz w:val="18"/>
              </w:rPr>
              <w:t>3 558 605</w:t>
            </w:r>
          </w:p>
        </w:tc>
        <w:tc>
          <w:tcPr>
            <w:tcW w:w="1036"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3 757 677</w:t>
            </w:r>
          </w:p>
        </w:tc>
      </w:tr>
      <w:tr w:rsidR="00EE563A" w:rsidRPr="009D488D" w:rsidTr="00B84541">
        <w:tc>
          <w:tcPr>
            <w:tcW w:w="2173" w:type="dxa"/>
            <w:shd w:val="clear" w:color="auto" w:fill="auto"/>
          </w:tcPr>
          <w:p w:rsidR="00EE563A" w:rsidRPr="009D488D" w:rsidRDefault="00EE563A" w:rsidP="00B84541">
            <w:pPr>
              <w:suppressAutoHyphens w:val="0"/>
              <w:spacing w:before="40" w:after="40" w:line="220" w:lineRule="atLeast"/>
              <w:rPr>
                <w:sz w:val="18"/>
              </w:rPr>
            </w:pPr>
            <w:r w:rsidRPr="009D488D">
              <w:rPr>
                <w:sz w:val="18"/>
              </w:rPr>
              <w:t xml:space="preserve">Premier cycle du secondaire </w:t>
            </w:r>
          </w:p>
        </w:tc>
        <w:tc>
          <w:tcPr>
            <w:tcW w:w="1019"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197 735</w:t>
            </w:r>
          </w:p>
        </w:tc>
        <w:tc>
          <w:tcPr>
            <w:tcW w:w="1035"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233 698</w:t>
            </w:r>
          </w:p>
        </w:tc>
        <w:tc>
          <w:tcPr>
            <w:tcW w:w="1088"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270 662</w:t>
            </w:r>
          </w:p>
        </w:tc>
        <w:tc>
          <w:tcPr>
            <w:tcW w:w="1019" w:type="dxa"/>
            <w:shd w:val="clear" w:color="auto" w:fill="auto"/>
            <w:vAlign w:val="bottom"/>
          </w:tcPr>
          <w:p w:rsidR="00EE563A" w:rsidRPr="00E3689E" w:rsidRDefault="00EE563A" w:rsidP="00B84541">
            <w:pPr>
              <w:suppressAutoHyphens w:val="0"/>
              <w:spacing w:before="40" w:after="40" w:line="220" w:lineRule="atLeast"/>
              <w:jc w:val="right"/>
              <w:rPr>
                <w:b/>
                <w:sz w:val="18"/>
              </w:rPr>
            </w:pPr>
            <w:r w:rsidRPr="00E3689E">
              <w:rPr>
                <w:b/>
                <w:sz w:val="18"/>
              </w:rPr>
              <w:t>316 664</w:t>
            </w:r>
          </w:p>
        </w:tc>
        <w:tc>
          <w:tcPr>
            <w:tcW w:w="1036"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370 485</w:t>
            </w:r>
          </w:p>
        </w:tc>
      </w:tr>
      <w:tr w:rsidR="00EE563A" w:rsidRPr="009D488D" w:rsidTr="00B84541">
        <w:tc>
          <w:tcPr>
            <w:tcW w:w="2173" w:type="dxa"/>
            <w:shd w:val="clear" w:color="auto" w:fill="auto"/>
          </w:tcPr>
          <w:p w:rsidR="00EE563A" w:rsidRPr="009D488D" w:rsidRDefault="00EE563A" w:rsidP="00B84541">
            <w:pPr>
              <w:suppressAutoHyphens w:val="0"/>
              <w:spacing w:before="40" w:after="40" w:line="220" w:lineRule="atLeast"/>
              <w:rPr>
                <w:sz w:val="18"/>
              </w:rPr>
            </w:pPr>
            <w:r w:rsidRPr="009D488D">
              <w:rPr>
                <w:sz w:val="18"/>
              </w:rPr>
              <w:t xml:space="preserve">Second cycle du secondaire </w:t>
            </w:r>
          </w:p>
        </w:tc>
        <w:tc>
          <w:tcPr>
            <w:tcW w:w="1019"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159 341</w:t>
            </w:r>
          </w:p>
        </w:tc>
        <w:tc>
          <w:tcPr>
            <w:tcW w:w="1035"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171 882</w:t>
            </w:r>
          </w:p>
        </w:tc>
        <w:tc>
          <w:tcPr>
            <w:tcW w:w="1088"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179 249</w:t>
            </w:r>
          </w:p>
        </w:tc>
        <w:tc>
          <w:tcPr>
            <w:tcW w:w="1019" w:type="dxa"/>
            <w:shd w:val="clear" w:color="auto" w:fill="auto"/>
            <w:vAlign w:val="bottom"/>
          </w:tcPr>
          <w:p w:rsidR="00EE563A" w:rsidRPr="00E3689E" w:rsidRDefault="00EE563A" w:rsidP="00B84541">
            <w:pPr>
              <w:suppressAutoHyphens w:val="0"/>
              <w:spacing w:before="40" w:after="40" w:line="220" w:lineRule="atLeast"/>
              <w:jc w:val="right"/>
              <w:rPr>
                <w:b/>
                <w:sz w:val="18"/>
              </w:rPr>
            </w:pPr>
            <w:r w:rsidRPr="00E3689E">
              <w:rPr>
                <w:b/>
                <w:sz w:val="18"/>
              </w:rPr>
              <w:t>194 933</w:t>
            </w:r>
          </w:p>
        </w:tc>
        <w:tc>
          <w:tcPr>
            <w:tcW w:w="1036"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212 347</w:t>
            </w:r>
          </w:p>
        </w:tc>
      </w:tr>
      <w:tr w:rsidR="00EE563A" w:rsidRPr="009D488D" w:rsidTr="00B84541">
        <w:tc>
          <w:tcPr>
            <w:tcW w:w="2173" w:type="dxa"/>
            <w:shd w:val="clear" w:color="auto" w:fill="auto"/>
          </w:tcPr>
          <w:p w:rsidR="00EE563A" w:rsidRPr="009D488D" w:rsidRDefault="00EE563A" w:rsidP="00B84541">
            <w:pPr>
              <w:suppressAutoHyphens w:val="0"/>
              <w:spacing w:before="40" w:after="40" w:line="220" w:lineRule="atLeast"/>
              <w:rPr>
                <w:sz w:val="18"/>
              </w:rPr>
            </w:pPr>
            <w:r w:rsidRPr="009D488D">
              <w:rPr>
                <w:sz w:val="18"/>
              </w:rPr>
              <w:t>Général</w:t>
            </w:r>
          </w:p>
        </w:tc>
        <w:tc>
          <w:tcPr>
            <w:tcW w:w="1019"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30 397</w:t>
            </w:r>
          </w:p>
        </w:tc>
        <w:tc>
          <w:tcPr>
            <w:tcW w:w="1035"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34 442</w:t>
            </w:r>
          </w:p>
        </w:tc>
        <w:tc>
          <w:tcPr>
            <w:tcW w:w="1088"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37 676</w:t>
            </w:r>
          </w:p>
        </w:tc>
        <w:tc>
          <w:tcPr>
            <w:tcW w:w="1019" w:type="dxa"/>
            <w:shd w:val="clear" w:color="auto" w:fill="auto"/>
            <w:vAlign w:val="bottom"/>
          </w:tcPr>
          <w:p w:rsidR="00EE563A" w:rsidRPr="00E3689E" w:rsidRDefault="00EE563A" w:rsidP="00B84541">
            <w:pPr>
              <w:suppressAutoHyphens w:val="0"/>
              <w:spacing w:before="40" w:after="40" w:line="220" w:lineRule="atLeast"/>
              <w:jc w:val="right"/>
              <w:rPr>
                <w:b/>
                <w:sz w:val="18"/>
              </w:rPr>
            </w:pPr>
            <w:r w:rsidRPr="00E3689E">
              <w:rPr>
                <w:b/>
                <w:sz w:val="18"/>
              </w:rPr>
              <w:t>41 945</w:t>
            </w:r>
          </w:p>
        </w:tc>
        <w:tc>
          <w:tcPr>
            <w:tcW w:w="1036"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46 698</w:t>
            </w:r>
          </w:p>
        </w:tc>
      </w:tr>
      <w:tr w:rsidR="00EE563A" w:rsidRPr="009D488D" w:rsidTr="00B84541">
        <w:tc>
          <w:tcPr>
            <w:tcW w:w="2173" w:type="dxa"/>
            <w:shd w:val="clear" w:color="auto" w:fill="auto"/>
          </w:tcPr>
          <w:p w:rsidR="00EE563A" w:rsidRPr="009D488D" w:rsidRDefault="00EE563A" w:rsidP="00B84541">
            <w:pPr>
              <w:suppressAutoHyphens w:val="0"/>
              <w:spacing w:before="40" w:after="40" w:line="220" w:lineRule="atLeast"/>
              <w:rPr>
                <w:sz w:val="18"/>
              </w:rPr>
            </w:pPr>
            <w:r w:rsidRPr="009D488D">
              <w:rPr>
                <w:sz w:val="18"/>
              </w:rPr>
              <w:t>Technique</w:t>
            </w:r>
          </w:p>
        </w:tc>
        <w:tc>
          <w:tcPr>
            <w:tcW w:w="1019"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67 328</w:t>
            </w:r>
          </w:p>
        </w:tc>
        <w:tc>
          <w:tcPr>
            <w:tcW w:w="1035"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74 235</w:t>
            </w:r>
          </w:p>
        </w:tc>
        <w:tc>
          <w:tcPr>
            <w:tcW w:w="1088"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76 363</w:t>
            </w:r>
          </w:p>
        </w:tc>
        <w:tc>
          <w:tcPr>
            <w:tcW w:w="1019" w:type="dxa"/>
            <w:shd w:val="clear" w:color="auto" w:fill="auto"/>
            <w:vAlign w:val="bottom"/>
          </w:tcPr>
          <w:p w:rsidR="00EE563A" w:rsidRPr="00E3689E" w:rsidRDefault="00EE563A" w:rsidP="00B84541">
            <w:pPr>
              <w:suppressAutoHyphens w:val="0"/>
              <w:spacing w:before="40" w:after="40" w:line="220" w:lineRule="atLeast"/>
              <w:jc w:val="right"/>
              <w:rPr>
                <w:b/>
                <w:sz w:val="18"/>
              </w:rPr>
            </w:pPr>
            <w:r w:rsidRPr="00E3689E">
              <w:rPr>
                <w:b/>
                <w:sz w:val="18"/>
              </w:rPr>
              <w:t>85 903</w:t>
            </w:r>
          </w:p>
        </w:tc>
        <w:tc>
          <w:tcPr>
            <w:tcW w:w="1036" w:type="dxa"/>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96 635</w:t>
            </w:r>
          </w:p>
        </w:tc>
      </w:tr>
      <w:tr w:rsidR="00EE563A" w:rsidRPr="009D488D" w:rsidTr="00B84541">
        <w:tc>
          <w:tcPr>
            <w:tcW w:w="2173" w:type="dxa"/>
            <w:tcBorders>
              <w:bottom w:val="single" w:sz="4" w:space="0" w:color="auto"/>
            </w:tcBorders>
            <w:shd w:val="clear" w:color="auto" w:fill="auto"/>
          </w:tcPr>
          <w:p w:rsidR="00EE563A" w:rsidRPr="009D488D" w:rsidRDefault="00EE563A" w:rsidP="00B84541">
            <w:pPr>
              <w:suppressAutoHyphens w:val="0"/>
              <w:spacing w:before="40" w:after="40" w:line="220" w:lineRule="atLeast"/>
              <w:rPr>
                <w:sz w:val="18"/>
              </w:rPr>
            </w:pPr>
            <w:r w:rsidRPr="009D488D">
              <w:rPr>
                <w:sz w:val="18"/>
              </w:rPr>
              <w:t>Normal</w:t>
            </w:r>
          </w:p>
        </w:tc>
        <w:tc>
          <w:tcPr>
            <w:tcW w:w="1019" w:type="dxa"/>
            <w:tcBorders>
              <w:bottom w:val="single" w:sz="4" w:space="0" w:color="auto"/>
            </w:tcBorders>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61 616</w:t>
            </w:r>
          </w:p>
        </w:tc>
        <w:tc>
          <w:tcPr>
            <w:tcW w:w="1035" w:type="dxa"/>
            <w:tcBorders>
              <w:bottom w:val="single" w:sz="4" w:space="0" w:color="auto"/>
            </w:tcBorders>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63 185</w:t>
            </w:r>
          </w:p>
        </w:tc>
        <w:tc>
          <w:tcPr>
            <w:tcW w:w="1088" w:type="dxa"/>
            <w:tcBorders>
              <w:bottom w:val="single" w:sz="4" w:space="0" w:color="auto"/>
            </w:tcBorders>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65 210</w:t>
            </w:r>
          </w:p>
        </w:tc>
        <w:tc>
          <w:tcPr>
            <w:tcW w:w="1019" w:type="dxa"/>
            <w:tcBorders>
              <w:bottom w:val="single" w:sz="4" w:space="0" w:color="auto"/>
            </w:tcBorders>
            <w:shd w:val="clear" w:color="auto" w:fill="auto"/>
            <w:vAlign w:val="bottom"/>
          </w:tcPr>
          <w:p w:rsidR="00EE563A" w:rsidRPr="00E3689E" w:rsidRDefault="00EE563A" w:rsidP="00B84541">
            <w:pPr>
              <w:suppressAutoHyphens w:val="0"/>
              <w:spacing w:before="40" w:after="40" w:line="220" w:lineRule="atLeast"/>
              <w:jc w:val="right"/>
              <w:rPr>
                <w:b/>
                <w:sz w:val="18"/>
              </w:rPr>
            </w:pPr>
            <w:r w:rsidRPr="00E3689E">
              <w:rPr>
                <w:b/>
                <w:sz w:val="18"/>
              </w:rPr>
              <w:t>67 085</w:t>
            </w:r>
          </w:p>
        </w:tc>
        <w:tc>
          <w:tcPr>
            <w:tcW w:w="1036" w:type="dxa"/>
            <w:tcBorders>
              <w:bottom w:val="single" w:sz="4" w:space="0" w:color="auto"/>
            </w:tcBorders>
            <w:shd w:val="clear" w:color="auto" w:fill="auto"/>
            <w:vAlign w:val="bottom"/>
          </w:tcPr>
          <w:p w:rsidR="00EE563A" w:rsidRPr="009D488D" w:rsidRDefault="00EE563A" w:rsidP="00B84541">
            <w:pPr>
              <w:suppressAutoHyphens w:val="0"/>
              <w:spacing w:before="40" w:after="40" w:line="220" w:lineRule="atLeast"/>
              <w:jc w:val="right"/>
              <w:rPr>
                <w:sz w:val="18"/>
              </w:rPr>
            </w:pPr>
            <w:r w:rsidRPr="009D488D">
              <w:rPr>
                <w:sz w:val="18"/>
              </w:rPr>
              <w:t>69 014</w:t>
            </w:r>
          </w:p>
        </w:tc>
      </w:tr>
      <w:tr w:rsidR="00EE563A" w:rsidRPr="009D488D" w:rsidTr="00B84541">
        <w:tc>
          <w:tcPr>
            <w:tcW w:w="2173"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20" w:lineRule="exact"/>
              <w:ind w:left="284"/>
              <w:rPr>
                <w:b/>
                <w:sz w:val="18"/>
              </w:rPr>
            </w:pPr>
            <w:r w:rsidRPr="009D488D">
              <w:rPr>
                <w:b/>
                <w:sz w:val="18"/>
              </w:rPr>
              <w:t>Total</w:t>
            </w:r>
          </w:p>
        </w:tc>
        <w:tc>
          <w:tcPr>
            <w:tcW w:w="1019"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20" w:lineRule="exact"/>
              <w:jc w:val="right"/>
              <w:rPr>
                <w:b/>
                <w:sz w:val="18"/>
              </w:rPr>
            </w:pPr>
            <w:r w:rsidRPr="009D488D">
              <w:rPr>
                <w:b/>
              </w:rPr>
              <w:t>4 381 787</w:t>
            </w:r>
          </w:p>
        </w:tc>
        <w:tc>
          <w:tcPr>
            <w:tcW w:w="1035"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20" w:lineRule="exact"/>
              <w:jc w:val="right"/>
              <w:rPr>
                <w:b/>
                <w:sz w:val="18"/>
              </w:rPr>
            </w:pPr>
            <w:r w:rsidRPr="009D488D">
              <w:rPr>
                <w:b/>
              </w:rPr>
              <w:t>4 754 129</w:t>
            </w:r>
          </w:p>
        </w:tc>
        <w:tc>
          <w:tcPr>
            <w:tcW w:w="1088"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20" w:lineRule="exact"/>
              <w:jc w:val="right"/>
              <w:rPr>
                <w:b/>
                <w:sz w:val="18"/>
              </w:rPr>
            </w:pPr>
            <w:r w:rsidRPr="009D488D">
              <w:rPr>
                <w:b/>
              </w:rPr>
              <w:t>5 028 551</w:t>
            </w:r>
          </w:p>
        </w:tc>
        <w:tc>
          <w:tcPr>
            <w:tcW w:w="1019"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20" w:lineRule="exact"/>
              <w:jc w:val="right"/>
              <w:rPr>
                <w:b/>
                <w:sz w:val="18"/>
              </w:rPr>
            </w:pPr>
            <w:r w:rsidRPr="009D488D">
              <w:rPr>
                <w:b/>
              </w:rPr>
              <w:t>5 398 228</w:t>
            </w:r>
          </w:p>
        </w:tc>
        <w:tc>
          <w:tcPr>
            <w:tcW w:w="1036" w:type="dxa"/>
            <w:tcBorders>
              <w:top w:val="single" w:sz="4" w:space="0" w:color="auto"/>
              <w:bottom w:val="single" w:sz="12" w:space="0" w:color="auto"/>
            </w:tcBorders>
            <w:shd w:val="clear" w:color="auto" w:fill="auto"/>
            <w:vAlign w:val="bottom"/>
          </w:tcPr>
          <w:p w:rsidR="00EE563A" w:rsidRPr="009D488D" w:rsidRDefault="00EE563A" w:rsidP="00B84541">
            <w:pPr>
              <w:suppressAutoHyphens w:val="0"/>
              <w:spacing w:before="80" w:after="80" w:line="220" w:lineRule="exact"/>
              <w:jc w:val="right"/>
              <w:rPr>
                <w:b/>
                <w:sz w:val="18"/>
              </w:rPr>
            </w:pPr>
            <w:r w:rsidRPr="009D488D">
              <w:rPr>
                <w:b/>
              </w:rPr>
              <w:t>5 736 520</w:t>
            </w:r>
          </w:p>
        </w:tc>
      </w:tr>
    </w:tbl>
    <w:p w:rsidR="00EE563A" w:rsidRPr="00883147" w:rsidRDefault="00EE563A" w:rsidP="00FD0385">
      <w:pPr>
        <w:pStyle w:val="SingleTxtG"/>
        <w:spacing w:before="120"/>
        <w:ind w:firstLine="170"/>
        <w:jc w:val="left"/>
        <w:rPr>
          <w:i/>
          <w:iCs/>
          <w:sz w:val="18"/>
          <w:szCs w:val="18"/>
        </w:rPr>
      </w:pPr>
      <w:r w:rsidRPr="00883147">
        <w:rPr>
          <w:i/>
          <w:iCs/>
          <w:sz w:val="18"/>
          <w:szCs w:val="18"/>
        </w:rPr>
        <w:t xml:space="preserve">Source: </w:t>
      </w:r>
      <w:r w:rsidRPr="009D488D">
        <w:rPr>
          <w:iCs/>
          <w:sz w:val="18"/>
          <w:szCs w:val="18"/>
        </w:rPr>
        <w:t>GEPE/Ministère de l’éducation. Le tableau montre le nombre d’élèves durant la période 2004 à 2008.</w:t>
      </w:r>
    </w:p>
    <w:p w:rsidR="00EE563A" w:rsidRPr="00883147" w:rsidRDefault="00EE563A" w:rsidP="004000EE">
      <w:pPr>
        <w:pStyle w:val="H1G"/>
      </w:pPr>
      <w:r>
        <w:tab/>
      </w:r>
      <w:r>
        <w:tab/>
      </w:r>
      <w:r w:rsidRPr="00883147">
        <w:t>Femmes et violence domestique</w:t>
      </w:r>
    </w:p>
    <w:p w:rsidR="00EE563A" w:rsidRPr="009D488D" w:rsidRDefault="00EE563A" w:rsidP="004000EE">
      <w:pPr>
        <w:pStyle w:val="Heading1"/>
        <w:keepNext/>
        <w:keepLines/>
        <w:spacing w:after="120"/>
      </w:pPr>
      <w:r w:rsidRPr="009D488D">
        <w:t xml:space="preserve">Tableau </w:t>
      </w:r>
      <w:r w:rsidRPr="009D488D">
        <w:rPr>
          <w:rFonts w:eastAsia="MS Mincho"/>
        </w:rPr>
        <w:t>n</w:t>
      </w:r>
      <w:r w:rsidRPr="009D488D">
        <w:rPr>
          <w:rFonts w:eastAsia="MS Mincho"/>
          <w:vertAlign w:val="superscript"/>
        </w:rPr>
        <w:t>o</w:t>
      </w:r>
      <w:r w:rsidRPr="009D488D">
        <w:t xml:space="preserve"> 13</w:t>
      </w:r>
      <w:r>
        <w:br/>
      </w:r>
      <w:r w:rsidRPr="00F57ECD">
        <w:rPr>
          <w:b/>
        </w:rPr>
        <w:t>Statistiques relatives à la violence domestique (2009)</w:t>
      </w:r>
    </w:p>
    <w:tbl>
      <w:tblPr>
        <w:tblW w:w="7370" w:type="dxa"/>
        <w:tblInd w:w="1134" w:type="dxa"/>
        <w:shd w:val="clear" w:color="000000" w:fill="auto"/>
        <w:tblLayout w:type="fixed"/>
        <w:tblCellMar>
          <w:left w:w="0" w:type="dxa"/>
          <w:right w:w="0" w:type="dxa"/>
        </w:tblCellMar>
        <w:tblLook w:val="00A0" w:firstRow="1" w:lastRow="0" w:firstColumn="1" w:lastColumn="0" w:noHBand="0" w:noVBand="0"/>
      </w:tblPr>
      <w:tblGrid>
        <w:gridCol w:w="2081"/>
        <w:gridCol w:w="1212"/>
        <w:gridCol w:w="1212"/>
        <w:gridCol w:w="1212"/>
        <w:gridCol w:w="1653"/>
      </w:tblGrid>
      <w:tr w:rsidR="00EE563A" w:rsidRPr="00ED30DF" w:rsidTr="00B84541">
        <w:trPr>
          <w:tblHeader/>
        </w:trPr>
        <w:tc>
          <w:tcPr>
            <w:tcW w:w="2142" w:type="dxa"/>
            <w:vMerge w:val="restart"/>
            <w:tcBorders>
              <w:top w:val="single" w:sz="4" w:space="0" w:color="auto"/>
              <w:bottom w:val="single" w:sz="12" w:space="0" w:color="auto"/>
            </w:tcBorders>
            <w:shd w:val="clear" w:color="000000" w:fill="auto"/>
            <w:vAlign w:val="bottom"/>
          </w:tcPr>
          <w:p w:rsidR="00EE563A" w:rsidRPr="00ED30DF" w:rsidRDefault="00EE563A" w:rsidP="004000EE">
            <w:pPr>
              <w:keepNext/>
              <w:keepLines/>
              <w:suppressAutoHyphens w:val="0"/>
              <w:spacing w:before="80" w:after="80" w:line="200" w:lineRule="exact"/>
              <w:rPr>
                <w:i/>
                <w:sz w:val="16"/>
              </w:rPr>
            </w:pPr>
            <w:r w:rsidRPr="00ED30DF">
              <w:rPr>
                <w:i/>
                <w:sz w:val="16"/>
              </w:rPr>
              <w:t>Type de violence</w:t>
            </w:r>
          </w:p>
        </w:tc>
        <w:tc>
          <w:tcPr>
            <w:tcW w:w="3474" w:type="dxa"/>
            <w:gridSpan w:val="3"/>
            <w:tcBorders>
              <w:top w:val="single" w:sz="4" w:space="0" w:color="auto"/>
              <w:bottom w:val="single" w:sz="4" w:space="0" w:color="auto"/>
            </w:tcBorders>
            <w:shd w:val="clear" w:color="000000" w:fill="auto"/>
            <w:vAlign w:val="bottom"/>
          </w:tcPr>
          <w:p w:rsidR="00EE563A" w:rsidRPr="00ED30DF" w:rsidRDefault="00EE563A" w:rsidP="004000EE">
            <w:pPr>
              <w:keepNext/>
              <w:keepLines/>
              <w:suppressAutoHyphens w:val="0"/>
              <w:spacing w:before="80" w:after="80" w:line="200" w:lineRule="exact"/>
              <w:jc w:val="center"/>
              <w:rPr>
                <w:i/>
                <w:sz w:val="16"/>
              </w:rPr>
            </w:pPr>
            <w:r>
              <w:rPr>
                <w:i/>
                <w:sz w:val="16"/>
              </w:rPr>
              <w:t>Nombre de cas</w:t>
            </w:r>
          </w:p>
        </w:tc>
        <w:tc>
          <w:tcPr>
            <w:tcW w:w="1701" w:type="dxa"/>
            <w:vMerge w:val="restart"/>
            <w:tcBorders>
              <w:top w:val="single" w:sz="4" w:space="0" w:color="auto"/>
              <w:bottom w:val="single" w:sz="12" w:space="0" w:color="auto"/>
            </w:tcBorders>
            <w:shd w:val="clear" w:color="000000" w:fill="auto"/>
            <w:vAlign w:val="bottom"/>
          </w:tcPr>
          <w:p w:rsidR="00EE563A" w:rsidRPr="00ED30DF" w:rsidRDefault="00EE563A" w:rsidP="004000EE">
            <w:pPr>
              <w:keepNext/>
              <w:keepLines/>
              <w:suppressAutoHyphens w:val="0"/>
              <w:spacing w:before="80" w:after="80" w:line="200" w:lineRule="exact"/>
              <w:jc w:val="right"/>
              <w:rPr>
                <w:i/>
                <w:sz w:val="16"/>
              </w:rPr>
            </w:pPr>
            <w:r w:rsidRPr="00ED30DF">
              <w:rPr>
                <w:i/>
                <w:sz w:val="16"/>
              </w:rPr>
              <w:t>Pourcentage</w:t>
            </w:r>
          </w:p>
        </w:tc>
      </w:tr>
      <w:tr w:rsidR="00EE563A" w:rsidRPr="00ED30DF" w:rsidTr="00B84541">
        <w:trPr>
          <w:tblHeader/>
        </w:trPr>
        <w:tc>
          <w:tcPr>
            <w:tcW w:w="2142" w:type="dxa"/>
            <w:vMerge/>
            <w:tcBorders>
              <w:top w:val="single" w:sz="12" w:space="0" w:color="auto"/>
              <w:bottom w:val="single" w:sz="12" w:space="0" w:color="auto"/>
            </w:tcBorders>
            <w:shd w:val="clear" w:color="000000" w:fill="auto"/>
            <w:vAlign w:val="bottom"/>
          </w:tcPr>
          <w:p w:rsidR="00EE563A" w:rsidRPr="00ED30DF" w:rsidRDefault="00EE563A" w:rsidP="00B84541">
            <w:pPr>
              <w:suppressAutoHyphens w:val="0"/>
              <w:spacing w:before="80" w:after="80" w:line="200" w:lineRule="exact"/>
              <w:rPr>
                <w:sz w:val="18"/>
              </w:rPr>
            </w:pPr>
          </w:p>
        </w:tc>
        <w:tc>
          <w:tcPr>
            <w:tcW w:w="1247" w:type="dxa"/>
            <w:tcBorders>
              <w:top w:val="single" w:sz="4" w:space="0" w:color="auto"/>
              <w:bottom w:val="single" w:sz="12" w:space="0" w:color="auto"/>
            </w:tcBorders>
            <w:shd w:val="clear" w:color="000000" w:fill="auto"/>
            <w:vAlign w:val="bottom"/>
          </w:tcPr>
          <w:p w:rsidR="00EE563A" w:rsidRPr="00ED30DF" w:rsidRDefault="00EE563A" w:rsidP="00B84541">
            <w:pPr>
              <w:suppressAutoHyphens w:val="0"/>
              <w:spacing w:before="80" w:after="80" w:line="200" w:lineRule="exact"/>
              <w:jc w:val="right"/>
              <w:rPr>
                <w:i/>
                <w:sz w:val="16"/>
                <w:szCs w:val="16"/>
              </w:rPr>
            </w:pPr>
            <w:r w:rsidRPr="00ED30DF">
              <w:rPr>
                <w:i/>
                <w:sz w:val="16"/>
                <w:szCs w:val="16"/>
              </w:rPr>
              <w:t>Hommes</w:t>
            </w:r>
          </w:p>
        </w:tc>
        <w:tc>
          <w:tcPr>
            <w:tcW w:w="1247" w:type="dxa"/>
            <w:tcBorders>
              <w:top w:val="single" w:sz="4" w:space="0" w:color="auto"/>
              <w:bottom w:val="single" w:sz="12" w:space="0" w:color="auto"/>
            </w:tcBorders>
            <w:shd w:val="clear" w:color="000000" w:fill="auto"/>
            <w:vAlign w:val="bottom"/>
          </w:tcPr>
          <w:p w:rsidR="00EE563A" w:rsidRPr="00ED30DF" w:rsidRDefault="00EE563A" w:rsidP="00B84541">
            <w:pPr>
              <w:suppressAutoHyphens w:val="0"/>
              <w:spacing w:before="80" w:after="80" w:line="200" w:lineRule="exact"/>
              <w:jc w:val="right"/>
              <w:rPr>
                <w:i/>
                <w:sz w:val="16"/>
                <w:szCs w:val="16"/>
              </w:rPr>
            </w:pPr>
            <w:r w:rsidRPr="00ED30DF">
              <w:rPr>
                <w:i/>
                <w:sz w:val="16"/>
                <w:szCs w:val="16"/>
              </w:rPr>
              <w:t>Femmes</w:t>
            </w:r>
          </w:p>
        </w:tc>
        <w:tc>
          <w:tcPr>
            <w:tcW w:w="1247" w:type="dxa"/>
            <w:tcBorders>
              <w:top w:val="single" w:sz="4" w:space="0" w:color="auto"/>
              <w:bottom w:val="single" w:sz="12" w:space="0" w:color="auto"/>
            </w:tcBorders>
            <w:shd w:val="clear" w:color="000000" w:fill="auto"/>
            <w:vAlign w:val="bottom"/>
          </w:tcPr>
          <w:p w:rsidR="00EE563A" w:rsidRPr="00ED30DF" w:rsidRDefault="00EE563A" w:rsidP="00B84541">
            <w:pPr>
              <w:suppressAutoHyphens w:val="0"/>
              <w:spacing w:before="80" w:after="80" w:line="200" w:lineRule="exact"/>
              <w:jc w:val="right"/>
              <w:rPr>
                <w:i/>
                <w:sz w:val="16"/>
                <w:szCs w:val="16"/>
              </w:rPr>
            </w:pPr>
            <w:r w:rsidRPr="00ED30DF">
              <w:rPr>
                <w:i/>
                <w:sz w:val="16"/>
                <w:szCs w:val="16"/>
              </w:rPr>
              <w:t>Total</w:t>
            </w:r>
          </w:p>
        </w:tc>
        <w:tc>
          <w:tcPr>
            <w:tcW w:w="1701" w:type="dxa"/>
            <w:vMerge/>
            <w:tcBorders>
              <w:top w:val="single" w:sz="12" w:space="0" w:color="auto"/>
              <w:bottom w:val="single" w:sz="12" w:space="0" w:color="auto"/>
            </w:tcBorders>
            <w:shd w:val="clear" w:color="000000" w:fill="auto"/>
            <w:vAlign w:val="bottom"/>
          </w:tcPr>
          <w:p w:rsidR="00EE563A" w:rsidRPr="00ED30DF" w:rsidRDefault="00EE563A" w:rsidP="00B84541">
            <w:pPr>
              <w:suppressAutoHyphens w:val="0"/>
              <w:spacing w:before="80" w:after="80" w:line="200" w:lineRule="exact"/>
              <w:jc w:val="right"/>
              <w:rPr>
                <w:sz w:val="18"/>
              </w:rPr>
            </w:pPr>
          </w:p>
        </w:tc>
      </w:tr>
      <w:tr w:rsidR="00EE563A" w:rsidRPr="00ED30DF" w:rsidTr="00B84541">
        <w:tc>
          <w:tcPr>
            <w:tcW w:w="2142" w:type="dxa"/>
            <w:tcBorders>
              <w:top w:val="single" w:sz="12" w:space="0" w:color="auto"/>
            </w:tcBorders>
            <w:shd w:val="clear" w:color="000000" w:fill="auto"/>
          </w:tcPr>
          <w:p w:rsidR="00EE563A" w:rsidRPr="00ED30DF" w:rsidRDefault="00EE563A" w:rsidP="00B84541">
            <w:pPr>
              <w:suppressAutoHyphens w:val="0"/>
              <w:spacing w:before="40" w:after="40" w:line="220" w:lineRule="exact"/>
              <w:rPr>
                <w:sz w:val="18"/>
              </w:rPr>
            </w:pPr>
            <w:r w:rsidRPr="00ED30DF">
              <w:rPr>
                <w:sz w:val="18"/>
              </w:rPr>
              <w:t>Physique</w:t>
            </w:r>
          </w:p>
        </w:tc>
        <w:tc>
          <w:tcPr>
            <w:tcW w:w="1247" w:type="dxa"/>
            <w:tcBorders>
              <w:top w:val="single" w:sz="12" w:space="0" w:color="auto"/>
            </w:tcBorders>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352</w:t>
            </w:r>
          </w:p>
        </w:tc>
        <w:tc>
          <w:tcPr>
            <w:tcW w:w="1247" w:type="dxa"/>
            <w:tcBorders>
              <w:top w:val="single" w:sz="12" w:space="0" w:color="auto"/>
            </w:tcBorders>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1 113</w:t>
            </w:r>
          </w:p>
        </w:tc>
        <w:tc>
          <w:tcPr>
            <w:tcW w:w="1247" w:type="dxa"/>
            <w:tcBorders>
              <w:top w:val="single" w:sz="12" w:space="0" w:color="auto"/>
            </w:tcBorders>
            <w:shd w:val="clear" w:color="000000" w:fill="auto"/>
            <w:vAlign w:val="bottom"/>
          </w:tcPr>
          <w:p w:rsidR="00EE563A" w:rsidRPr="00ED30DF" w:rsidRDefault="00EE563A" w:rsidP="00B84541">
            <w:pPr>
              <w:suppressAutoHyphens w:val="0"/>
              <w:spacing w:before="40" w:after="40" w:line="220" w:lineRule="exact"/>
              <w:jc w:val="right"/>
              <w:rPr>
                <w:b/>
                <w:sz w:val="18"/>
              </w:rPr>
            </w:pPr>
            <w:r w:rsidRPr="00ED30DF">
              <w:rPr>
                <w:b/>
                <w:sz w:val="18"/>
              </w:rPr>
              <w:t>1 465</w:t>
            </w:r>
          </w:p>
        </w:tc>
        <w:tc>
          <w:tcPr>
            <w:tcW w:w="1701" w:type="dxa"/>
            <w:tcBorders>
              <w:top w:val="single" w:sz="12" w:space="0" w:color="auto"/>
            </w:tcBorders>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16,5</w:t>
            </w:r>
          </w:p>
        </w:tc>
      </w:tr>
      <w:tr w:rsidR="00EE563A" w:rsidRPr="00ED30DF" w:rsidTr="00B84541">
        <w:tc>
          <w:tcPr>
            <w:tcW w:w="2142" w:type="dxa"/>
            <w:shd w:val="clear" w:color="000000" w:fill="auto"/>
          </w:tcPr>
          <w:p w:rsidR="00EE563A" w:rsidRPr="00ED30DF" w:rsidRDefault="00EE563A" w:rsidP="00B84541">
            <w:pPr>
              <w:suppressAutoHyphens w:val="0"/>
              <w:spacing w:before="40" w:after="40" w:line="220" w:lineRule="exact"/>
              <w:rPr>
                <w:sz w:val="18"/>
              </w:rPr>
            </w:pPr>
            <w:r w:rsidRPr="00ED30DF">
              <w:rPr>
                <w:sz w:val="18"/>
              </w:rPr>
              <w:t>Psychologique</w:t>
            </w:r>
          </w:p>
        </w:tc>
        <w:tc>
          <w:tcPr>
            <w:tcW w:w="1247" w:type="dxa"/>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750</w:t>
            </w:r>
          </w:p>
        </w:tc>
        <w:tc>
          <w:tcPr>
            <w:tcW w:w="1247" w:type="dxa"/>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1 520</w:t>
            </w:r>
          </w:p>
        </w:tc>
        <w:tc>
          <w:tcPr>
            <w:tcW w:w="1247" w:type="dxa"/>
            <w:shd w:val="clear" w:color="000000" w:fill="auto"/>
            <w:vAlign w:val="bottom"/>
          </w:tcPr>
          <w:p w:rsidR="00EE563A" w:rsidRPr="00ED30DF" w:rsidRDefault="00EE563A" w:rsidP="00B84541">
            <w:pPr>
              <w:suppressAutoHyphens w:val="0"/>
              <w:spacing w:before="40" w:after="40" w:line="220" w:lineRule="exact"/>
              <w:jc w:val="right"/>
              <w:rPr>
                <w:b/>
                <w:sz w:val="18"/>
              </w:rPr>
            </w:pPr>
            <w:r w:rsidRPr="00ED30DF">
              <w:rPr>
                <w:b/>
                <w:sz w:val="18"/>
              </w:rPr>
              <w:t>2 270</w:t>
            </w:r>
          </w:p>
        </w:tc>
        <w:tc>
          <w:tcPr>
            <w:tcW w:w="1701" w:type="dxa"/>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25,6</w:t>
            </w:r>
          </w:p>
        </w:tc>
      </w:tr>
      <w:tr w:rsidR="00EE563A" w:rsidRPr="00ED30DF" w:rsidTr="00B84541">
        <w:tc>
          <w:tcPr>
            <w:tcW w:w="2142" w:type="dxa"/>
            <w:shd w:val="clear" w:color="000000" w:fill="auto"/>
          </w:tcPr>
          <w:p w:rsidR="00EE563A" w:rsidRPr="00ED30DF" w:rsidRDefault="00EE563A" w:rsidP="00B84541">
            <w:pPr>
              <w:suppressAutoHyphens w:val="0"/>
              <w:spacing w:before="40" w:after="40" w:line="220" w:lineRule="exact"/>
              <w:rPr>
                <w:sz w:val="18"/>
              </w:rPr>
            </w:pPr>
            <w:r>
              <w:rPr>
                <w:sz w:val="18"/>
              </w:rPr>
              <w:t>É</w:t>
            </w:r>
            <w:r w:rsidRPr="00ED30DF">
              <w:rPr>
                <w:sz w:val="18"/>
              </w:rPr>
              <w:t>conomique</w:t>
            </w:r>
          </w:p>
        </w:tc>
        <w:tc>
          <w:tcPr>
            <w:tcW w:w="1247" w:type="dxa"/>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508</w:t>
            </w:r>
          </w:p>
        </w:tc>
        <w:tc>
          <w:tcPr>
            <w:tcW w:w="1247" w:type="dxa"/>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4 446</w:t>
            </w:r>
          </w:p>
        </w:tc>
        <w:tc>
          <w:tcPr>
            <w:tcW w:w="1247" w:type="dxa"/>
            <w:shd w:val="clear" w:color="000000" w:fill="auto"/>
            <w:vAlign w:val="bottom"/>
          </w:tcPr>
          <w:p w:rsidR="00EE563A" w:rsidRPr="00ED30DF" w:rsidRDefault="00EE563A" w:rsidP="00B84541">
            <w:pPr>
              <w:suppressAutoHyphens w:val="0"/>
              <w:spacing w:before="40" w:after="40" w:line="220" w:lineRule="exact"/>
              <w:jc w:val="right"/>
              <w:rPr>
                <w:b/>
                <w:sz w:val="18"/>
              </w:rPr>
            </w:pPr>
            <w:r w:rsidRPr="00ED30DF">
              <w:rPr>
                <w:b/>
                <w:sz w:val="18"/>
              </w:rPr>
              <w:t>4 954</w:t>
            </w:r>
          </w:p>
        </w:tc>
        <w:tc>
          <w:tcPr>
            <w:tcW w:w="1701" w:type="dxa"/>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55,8</w:t>
            </w:r>
          </w:p>
        </w:tc>
      </w:tr>
      <w:tr w:rsidR="00EE563A" w:rsidRPr="00ED30DF" w:rsidTr="00B84541">
        <w:tc>
          <w:tcPr>
            <w:tcW w:w="2142" w:type="dxa"/>
            <w:shd w:val="clear" w:color="000000" w:fill="auto"/>
          </w:tcPr>
          <w:p w:rsidR="00EE563A" w:rsidRPr="00ED30DF" w:rsidRDefault="00EE563A" w:rsidP="00B84541">
            <w:pPr>
              <w:suppressAutoHyphens w:val="0"/>
              <w:spacing w:before="40" w:after="40" w:line="220" w:lineRule="exact"/>
              <w:rPr>
                <w:sz w:val="18"/>
              </w:rPr>
            </w:pPr>
            <w:r w:rsidRPr="00ED30DF">
              <w:rPr>
                <w:sz w:val="18"/>
              </w:rPr>
              <w:t>Au travail</w:t>
            </w:r>
          </w:p>
        </w:tc>
        <w:tc>
          <w:tcPr>
            <w:tcW w:w="1247" w:type="dxa"/>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51</w:t>
            </w:r>
          </w:p>
        </w:tc>
        <w:tc>
          <w:tcPr>
            <w:tcW w:w="1247" w:type="dxa"/>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105</w:t>
            </w:r>
          </w:p>
        </w:tc>
        <w:tc>
          <w:tcPr>
            <w:tcW w:w="1247" w:type="dxa"/>
            <w:shd w:val="clear" w:color="000000" w:fill="auto"/>
            <w:vAlign w:val="bottom"/>
          </w:tcPr>
          <w:p w:rsidR="00EE563A" w:rsidRPr="00ED30DF" w:rsidRDefault="00EE563A" w:rsidP="00B84541">
            <w:pPr>
              <w:suppressAutoHyphens w:val="0"/>
              <w:spacing w:before="40" w:after="40" w:line="220" w:lineRule="exact"/>
              <w:jc w:val="right"/>
              <w:rPr>
                <w:b/>
                <w:sz w:val="18"/>
              </w:rPr>
            </w:pPr>
            <w:r w:rsidRPr="00ED30DF">
              <w:rPr>
                <w:b/>
                <w:sz w:val="18"/>
              </w:rPr>
              <w:t>156</w:t>
            </w:r>
          </w:p>
        </w:tc>
        <w:tc>
          <w:tcPr>
            <w:tcW w:w="1701" w:type="dxa"/>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1,7</w:t>
            </w:r>
          </w:p>
        </w:tc>
      </w:tr>
      <w:tr w:rsidR="00EE563A" w:rsidRPr="00ED30DF" w:rsidTr="00B84541">
        <w:tc>
          <w:tcPr>
            <w:tcW w:w="2142" w:type="dxa"/>
            <w:tcBorders>
              <w:bottom w:val="single" w:sz="4" w:space="0" w:color="auto"/>
            </w:tcBorders>
            <w:shd w:val="clear" w:color="000000" w:fill="auto"/>
          </w:tcPr>
          <w:p w:rsidR="00EE563A" w:rsidRPr="00ED30DF" w:rsidRDefault="00EE563A" w:rsidP="00B84541">
            <w:pPr>
              <w:suppressAutoHyphens w:val="0"/>
              <w:spacing w:before="40" w:after="40" w:line="220" w:lineRule="exact"/>
              <w:rPr>
                <w:sz w:val="18"/>
              </w:rPr>
            </w:pPr>
            <w:r w:rsidRPr="00ED30DF">
              <w:rPr>
                <w:sz w:val="18"/>
              </w:rPr>
              <w:t>Sexuelle</w:t>
            </w:r>
          </w:p>
        </w:tc>
        <w:tc>
          <w:tcPr>
            <w:tcW w:w="1247" w:type="dxa"/>
            <w:tcBorders>
              <w:bottom w:val="single" w:sz="4" w:space="0" w:color="auto"/>
            </w:tcBorders>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4</w:t>
            </w:r>
          </w:p>
        </w:tc>
        <w:tc>
          <w:tcPr>
            <w:tcW w:w="1247" w:type="dxa"/>
            <w:tcBorders>
              <w:bottom w:val="single" w:sz="4" w:space="0" w:color="auto"/>
            </w:tcBorders>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17</w:t>
            </w:r>
          </w:p>
        </w:tc>
        <w:tc>
          <w:tcPr>
            <w:tcW w:w="1247" w:type="dxa"/>
            <w:tcBorders>
              <w:bottom w:val="single" w:sz="4" w:space="0" w:color="auto"/>
            </w:tcBorders>
            <w:shd w:val="clear" w:color="000000" w:fill="auto"/>
            <w:vAlign w:val="bottom"/>
          </w:tcPr>
          <w:p w:rsidR="00EE563A" w:rsidRPr="00ED30DF" w:rsidRDefault="00EE563A" w:rsidP="00B84541">
            <w:pPr>
              <w:suppressAutoHyphens w:val="0"/>
              <w:spacing w:before="40" w:after="40" w:line="220" w:lineRule="exact"/>
              <w:jc w:val="right"/>
              <w:rPr>
                <w:b/>
                <w:sz w:val="18"/>
              </w:rPr>
            </w:pPr>
            <w:r w:rsidRPr="00ED30DF">
              <w:rPr>
                <w:b/>
                <w:sz w:val="18"/>
              </w:rPr>
              <w:t>21</w:t>
            </w:r>
          </w:p>
        </w:tc>
        <w:tc>
          <w:tcPr>
            <w:tcW w:w="1701" w:type="dxa"/>
            <w:tcBorders>
              <w:bottom w:val="single" w:sz="4" w:space="0" w:color="auto"/>
            </w:tcBorders>
            <w:shd w:val="clear" w:color="000000" w:fill="auto"/>
            <w:vAlign w:val="bottom"/>
          </w:tcPr>
          <w:p w:rsidR="00EE563A" w:rsidRPr="00ED30DF" w:rsidRDefault="00EE563A" w:rsidP="00B84541">
            <w:pPr>
              <w:suppressAutoHyphens w:val="0"/>
              <w:spacing w:before="40" w:after="40" w:line="220" w:lineRule="exact"/>
              <w:jc w:val="right"/>
              <w:rPr>
                <w:sz w:val="18"/>
              </w:rPr>
            </w:pPr>
            <w:r w:rsidRPr="00ED30DF">
              <w:rPr>
                <w:sz w:val="18"/>
              </w:rPr>
              <w:t>0,2</w:t>
            </w:r>
          </w:p>
        </w:tc>
      </w:tr>
      <w:tr w:rsidR="00EE563A" w:rsidRPr="00ED30DF" w:rsidTr="00B84541">
        <w:tc>
          <w:tcPr>
            <w:tcW w:w="2142" w:type="dxa"/>
            <w:tcBorders>
              <w:top w:val="single" w:sz="4" w:space="0" w:color="auto"/>
              <w:bottom w:val="single" w:sz="4" w:space="0" w:color="auto"/>
            </w:tcBorders>
            <w:shd w:val="clear" w:color="000000" w:fill="auto"/>
            <w:vAlign w:val="bottom"/>
          </w:tcPr>
          <w:p w:rsidR="00EE563A" w:rsidRPr="00ED30DF" w:rsidRDefault="00EE563A" w:rsidP="00B84541">
            <w:pPr>
              <w:suppressAutoHyphens w:val="0"/>
              <w:spacing w:before="80" w:after="80" w:line="220" w:lineRule="exact"/>
              <w:ind w:left="284"/>
              <w:rPr>
                <w:b/>
                <w:sz w:val="18"/>
              </w:rPr>
            </w:pPr>
            <w:r w:rsidRPr="00ED30DF">
              <w:rPr>
                <w:b/>
                <w:sz w:val="18"/>
              </w:rPr>
              <w:t>Total</w:t>
            </w:r>
          </w:p>
        </w:tc>
        <w:tc>
          <w:tcPr>
            <w:tcW w:w="1247" w:type="dxa"/>
            <w:tcBorders>
              <w:top w:val="single" w:sz="4" w:space="0" w:color="auto"/>
              <w:bottom w:val="single" w:sz="4" w:space="0" w:color="auto"/>
            </w:tcBorders>
            <w:shd w:val="clear" w:color="000000" w:fill="auto"/>
            <w:vAlign w:val="bottom"/>
          </w:tcPr>
          <w:p w:rsidR="00EE563A" w:rsidRPr="00ED30DF" w:rsidRDefault="00EE563A" w:rsidP="00B84541">
            <w:pPr>
              <w:suppressAutoHyphens w:val="0"/>
              <w:spacing w:before="80" w:after="80" w:line="220" w:lineRule="exact"/>
              <w:jc w:val="right"/>
              <w:rPr>
                <w:b/>
                <w:sz w:val="18"/>
              </w:rPr>
            </w:pPr>
            <w:r w:rsidRPr="00ED30DF">
              <w:rPr>
                <w:b/>
                <w:sz w:val="18"/>
              </w:rPr>
              <w:t>1 665</w:t>
            </w:r>
          </w:p>
        </w:tc>
        <w:tc>
          <w:tcPr>
            <w:tcW w:w="1247" w:type="dxa"/>
            <w:tcBorders>
              <w:top w:val="single" w:sz="4" w:space="0" w:color="auto"/>
              <w:bottom w:val="single" w:sz="4" w:space="0" w:color="auto"/>
            </w:tcBorders>
            <w:shd w:val="clear" w:color="000000" w:fill="auto"/>
            <w:vAlign w:val="bottom"/>
          </w:tcPr>
          <w:p w:rsidR="00EE563A" w:rsidRPr="00ED30DF" w:rsidRDefault="00EE563A" w:rsidP="00B84541">
            <w:pPr>
              <w:suppressAutoHyphens w:val="0"/>
              <w:spacing w:before="80" w:after="80" w:line="220" w:lineRule="exact"/>
              <w:jc w:val="right"/>
              <w:rPr>
                <w:b/>
                <w:sz w:val="18"/>
              </w:rPr>
            </w:pPr>
            <w:r w:rsidRPr="00ED30DF">
              <w:rPr>
                <w:b/>
                <w:sz w:val="18"/>
              </w:rPr>
              <w:t>7 201</w:t>
            </w:r>
          </w:p>
        </w:tc>
        <w:tc>
          <w:tcPr>
            <w:tcW w:w="1247" w:type="dxa"/>
            <w:tcBorders>
              <w:top w:val="single" w:sz="4" w:space="0" w:color="auto"/>
              <w:bottom w:val="single" w:sz="4" w:space="0" w:color="auto"/>
            </w:tcBorders>
            <w:shd w:val="clear" w:color="000000" w:fill="auto"/>
            <w:vAlign w:val="bottom"/>
          </w:tcPr>
          <w:p w:rsidR="00EE563A" w:rsidRPr="00ED30DF" w:rsidRDefault="00EE563A" w:rsidP="00B84541">
            <w:pPr>
              <w:suppressAutoHyphens w:val="0"/>
              <w:spacing w:before="80" w:after="80" w:line="220" w:lineRule="exact"/>
              <w:jc w:val="right"/>
              <w:rPr>
                <w:b/>
                <w:sz w:val="18"/>
              </w:rPr>
            </w:pPr>
            <w:r w:rsidRPr="00ED30DF">
              <w:rPr>
                <w:b/>
                <w:sz w:val="18"/>
              </w:rPr>
              <w:t>8 866</w:t>
            </w:r>
          </w:p>
        </w:tc>
        <w:tc>
          <w:tcPr>
            <w:tcW w:w="1701" w:type="dxa"/>
            <w:tcBorders>
              <w:top w:val="single" w:sz="4" w:space="0" w:color="auto"/>
              <w:bottom w:val="single" w:sz="4" w:space="0" w:color="auto"/>
            </w:tcBorders>
            <w:shd w:val="clear" w:color="000000" w:fill="auto"/>
            <w:vAlign w:val="bottom"/>
          </w:tcPr>
          <w:p w:rsidR="00EE563A" w:rsidRPr="00ED30DF" w:rsidRDefault="00EE563A" w:rsidP="00B84541">
            <w:pPr>
              <w:suppressAutoHyphens w:val="0"/>
              <w:spacing w:before="80" w:after="80" w:line="220" w:lineRule="exact"/>
              <w:jc w:val="right"/>
              <w:rPr>
                <w:b/>
                <w:sz w:val="18"/>
              </w:rPr>
            </w:pPr>
            <w:r w:rsidRPr="00ED30DF">
              <w:rPr>
                <w:b/>
                <w:sz w:val="18"/>
              </w:rPr>
              <w:t>100</w:t>
            </w:r>
            <w:r>
              <w:rPr>
                <w:b/>
                <w:sz w:val="18"/>
              </w:rPr>
              <w:t>,0</w:t>
            </w:r>
          </w:p>
        </w:tc>
      </w:tr>
      <w:tr w:rsidR="00EE563A" w:rsidRPr="00ED30DF" w:rsidTr="00B84541">
        <w:tc>
          <w:tcPr>
            <w:tcW w:w="2142" w:type="dxa"/>
            <w:tcBorders>
              <w:top w:val="single" w:sz="4" w:space="0" w:color="auto"/>
              <w:bottom w:val="single" w:sz="12" w:space="0" w:color="auto"/>
            </w:tcBorders>
            <w:shd w:val="clear" w:color="000000" w:fill="auto"/>
            <w:vAlign w:val="bottom"/>
          </w:tcPr>
          <w:p w:rsidR="00EE563A" w:rsidRPr="00ED30DF" w:rsidRDefault="00EE563A" w:rsidP="00B84541">
            <w:pPr>
              <w:suppressAutoHyphens w:val="0"/>
              <w:spacing w:before="80" w:after="80" w:line="220" w:lineRule="exact"/>
              <w:rPr>
                <w:sz w:val="18"/>
              </w:rPr>
            </w:pPr>
            <w:r w:rsidRPr="00ED30DF">
              <w:rPr>
                <w:sz w:val="18"/>
              </w:rPr>
              <w:t>%</w:t>
            </w:r>
          </w:p>
        </w:tc>
        <w:tc>
          <w:tcPr>
            <w:tcW w:w="1247" w:type="dxa"/>
            <w:tcBorders>
              <w:top w:val="single" w:sz="4" w:space="0" w:color="auto"/>
              <w:bottom w:val="single" w:sz="12" w:space="0" w:color="auto"/>
            </w:tcBorders>
            <w:shd w:val="clear" w:color="000000" w:fill="auto"/>
            <w:vAlign w:val="bottom"/>
          </w:tcPr>
          <w:p w:rsidR="00EE563A" w:rsidRPr="00ED30DF" w:rsidRDefault="00EE563A" w:rsidP="00B84541">
            <w:pPr>
              <w:suppressAutoHyphens w:val="0"/>
              <w:spacing w:before="80" w:after="80" w:line="220" w:lineRule="exact"/>
              <w:jc w:val="right"/>
              <w:rPr>
                <w:sz w:val="18"/>
              </w:rPr>
            </w:pPr>
            <w:r w:rsidRPr="00ED30DF">
              <w:rPr>
                <w:sz w:val="18"/>
              </w:rPr>
              <w:t>18,7</w:t>
            </w:r>
          </w:p>
        </w:tc>
        <w:tc>
          <w:tcPr>
            <w:tcW w:w="1247" w:type="dxa"/>
            <w:tcBorders>
              <w:top w:val="single" w:sz="4" w:space="0" w:color="auto"/>
              <w:bottom w:val="single" w:sz="12" w:space="0" w:color="auto"/>
            </w:tcBorders>
            <w:shd w:val="clear" w:color="000000" w:fill="auto"/>
            <w:vAlign w:val="bottom"/>
          </w:tcPr>
          <w:p w:rsidR="00EE563A" w:rsidRPr="00ED30DF" w:rsidRDefault="00EE563A" w:rsidP="00B84541">
            <w:pPr>
              <w:suppressAutoHyphens w:val="0"/>
              <w:spacing w:before="80" w:after="80" w:line="220" w:lineRule="exact"/>
              <w:jc w:val="right"/>
              <w:rPr>
                <w:sz w:val="18"/>
              </w:rPr>
            </w:pPr>
            <w:r w:rsidRPr="00ED30DF">
              <w:rPr>
                <w:sz w:val="18"/>
              </w:rPr>
              <w:t>81,2</w:t>
            </w:r>
          </w:p>
        </w:tc>
        <w:tc>
          <w:tcPr>
            <w:tcW w:w="1247" w:type="dxa"/>
            <w:tcBorders>
              <w:top w:val="single" w:sz="4" w:space="0" w:color="auto"/>
              <w:bottom w:val="single" w:sz="12" w:space="0" w:color="auto"/>
            </w:tcBorders>
            <w:shd w:val="clear" w:color="000000" w:fill="auto"/>
            <w:vAlign w:val="bottom"/>
          </w:tcPr>
          <w:p w:rsidR="00EE563A" w:rsidRPr="000C0F7D" w:rsidRDefault="00EE563A" w:rsidP="00B84541">
            <w:pPr>
              <w:suppressAutoHyphens w:val="0"/>
              <w:spacing w:before="80" w:after="80" w:line="220" w:lineRule="exact"/>
              <w:jc w:val="right"/>
              <w:rPr>
                <w:b/>
                <w:sz w:val="18"/>
              </w:rPr>
            </w:pPr>
            <w:r w:rsidRPr="000C0F7D">
              <w:rPr>
                <w:b/>
                <w:sz w:val="18"/>
              </w:rPr>
              <w:t>100</w:t>
            </w:r>
            <w:r>
              <w:rPr>
                <w:b/>
                <w:sz w:val="18"/>
              </w:rPr>
              <w:t>,0</w:t>
            </w:r>
          </w:p>
        </w:tc>
        <w:tc>
          <w:tcPr>
            <w:tcW w:w="1701" w:type="dxa"/>
            <w:tcBorders>
              <w:top w:val="single" w:sz="4" w:space="0" w:color="auto"/>
              <w:bottom w:val="single" w:sz="12" w:space="0" w:color="auto"/>
            </w:tcBorders>
            <w:shd w:val="clear" w:color="000000" w:fill="auto"/>
            <w:vAlign w:val="bottom"/>
          </w:tcPr>
          <w:p w:rsidR="00EE563A" w:rsidRPr="000C0F7D" w:rsidRDefault="00EE563A" w:rsidP="00B84541">
            <w:pPr>
              <w:suppressAutoHyphens w:val="0"/>
              <w:spacing w:before="80" w:after="80" w:line="220" w:lineRule="exact"/>
              <w:jc w:val="right"/>
              <w:rPr>
                <w:b/>
                <w:sz w:val="18"/>
              </w:rPr>
            </w:pPr>
          </w:p>
        </w:tc>
      </w:tr>
    </w:tbl>
    <w:p w:rsidR="0055061C" w:rsidRDefault="00EE563A" w:rsidP="00EC5694">
      <w:pPr>
        <w:pStyle w:val="SingleTxtG"/>
        <w:spacing w:before="120"/>
        <w:ind w:firstLine="170"/>
        <w:jc w:val="left"/>
        <w:rPr>
          <w:iCs/>
          <w:sz w:val="18"/>
          <w:szCs w:val="18"/>
        </w:rPr>
      </w:pPr>
      <w:r w:rsidRPr="00883147">
        <w:rPr>
          <w:i/>
          <w:iCs/>
          <w:sz w:val="18"/>
          <w:szCs w:val="18"/>
        </w:rPr>
        <w:t>Source</w:t>
      </w:r>
      <w:r w:rsidRPr="00ED30DF">
        <w:rPr>
          <w:iCs/>
          <w:sz w:val="18"/>
          <w:szCs w:val="18"/>
        </w:rPr>
        <w:t>: GEPE-Ministère de la protection de la famille et de la femme – Données recueil</w:t>
      </w:r>
      <w:r w:rsidR="00087A24">
        <w:rPr>
          <w:iCs/>
          <w:sz w:val="18"/>
          <w:szCs w:val="18"/>
        </w:rPr>
        <w:t>l</w:t>
      </w:r>
      <w:r w:rsidRPr="00ED30DF">
        <w:rPr>
          <w:iCs/>
          <w:sz w:val="18"/>
          <w:szCs w:val="18"/>
        </w:rPr>
        <w:t>ies dans les provinces de Bié, Huambo, K</w:t>
      </w:r>
      <w:r>
        <w:rPr>
          <w:iCs/>
          <w:sz w:val="18"/>
          <w:szCs w:val="18"/>
        </w:rPr>
        <w:t xml:space="preserve">unaza </w:t>
      </w:r>
      <w:r w:rsidRPr="00ED30DF">
        <w:rPr>
          <w:iCs/>
          <w:sz w:val="18"/>
          <w:szCs w:val="18"/>
        </w:rPr>
        <w:t xml:space="preserve">Norte, </w:t>
      </w:r>
      <w:r>
        <w:rPr>
          <w:iCs/>
          <w:sz w:val="18"/>
          <w:szCs w:val="18"/>
        </w:rPr>
        <w:t>Kuanza</w:t>
      </w:r>
      <w:r w:rsidRPr="00ED30DF">
        <w:rPr>
          <w:iCs/>
          <w:sz w:val="18"/>
          <w:szCs w:val="18"/>
        </w:rPr>
        <w:t>.Sul, Kunene, Lunda Norte, Lunda Sul, Namibe, Uíge et Zaire.</w:t>
      </w:r>
    </w:p>
    <w:p w:rsidR="00EE563A" w:rsidRPr="00EE563A" w:rsidRDefault="00EE563A" w:rsidP="00EE563A">
      <w:pPr>
        <w:pStyle w:val="SingleTxtG"/>
        <w:spacing w:before="240" w:after="0"/>
        <w:jc w:val="center"/>
        <w:rPr>
          <w:u w:val="single"/>
        </w:rPr>
      </w:pPr>
      <w:r>
        <w:rPr>
          <w:u w:val="single"/>
        </w:rPr>
        <w:tab/>
      </w:r>
      <w:r>
        <w:rPr>
          <w:u w:val="single"/>
        </w:rPr>
        <w:tab/>
      </w:r>
      <w:r>
        <w:rPr>
          <w:u w:val="single"/>
        </w:rPr>
        <w:tab/>
      </w:r>
    </w:p>
    <w:sectPr w:rsidR="00EE563A" w:rsidRPr="00EE563A" w:rsidSect="00134F2D">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54" w:rsidRDefault="003E0854"/>
  </w:endnote>
  <w:endnote w:type="continuationSeparator" w:id="0">
    <w:p w:rsidR="003E0854" w:rsidRDefault="003E0854"/>
  </w:endnote>
  <w:endnote w:type="continuationNotice" w:id="1">
    <w:p w:rsidR="003E0854" w:rsidRPr="00EE2974" w:rsidRDefault="003E0854" w:rsidP="00EE297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41" w:rsidRPr="00134F2D" w:rsidRDefault="00B84541" w:rsidP="00134F2D">
    <w:pPr>
      <w:pStyle w:val="Footer"/>
      <w:tabs>
        <w:tab w:val="right" w:pos="9638"/>
      </w:tabs>
    </w:pPr>
    <w:r w:rsidRPr="00134F2D">
      <w:rPr>
        <w:b/>
        <w:sz w:val="18"/>
      </w:rPr>
      <w:fldChar w:fldCharType="begin"/>
    </w:r>
    <w:r w:rsidRPr="00134F2D">
      <w:rPr>
        <w:b/>
        <w:sz w:val="18"/>
      </w:rPr>
      <w:instrText xml:space="preserve"> PAGE  \* MERGEFORMAT </w:instrText>
    </w:r>
    <w:r w:rsidRPr="00134F2D">
      <w:rPr>
        <w:b/>
        <w:sz w:val="18"/>
      </w:rPr>
      <w:fldChar w:fldCharType="separate"/>
    </w:r>
    <w:r w:rsidR="00D06788">
      <w:rPr>
        <w:b/>
        <w:noProof/>
        <w:sz w:val="18"/>
      </w:rPr>
      <w:t>46</w:t>
    </w:r>
    <w:r w:rsidRPr="00134F2D">
      <w:rPr>
        <w:b/>
        <w:sz w:val="18"/>
      </w:rPr>
      <w:fldChar w:fldCharType="end"/>
    </w:r>
    <w:r>
      <w:rPr>
        <w:b/>
        <w:sz w:val="18"/>
      </w:rPr>
      <w:tab/>
    </w:r>
    <w:r>
      <w:t>GE.11-45944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41" w:rsidRPr="00134F2D" w:rsidRDefault="00B84541" w:rsidP="00134F2D">
    <w:pPr>
      <w:pStyle w:val="Footer"/>
      <w:tabs>
        <w:tab w:val="right" w:pos="9638"/>
      </w:tabs>
      <w:rPr>
        <w:b/>
        <w:sz w:val="18"/>
      </w:rPr>
    </w:pPr>
    <w:r>
      <w:t>GE.11-45944</w:t>
    </w:r>
    <w:r>
      <w:tab/>
    </w:r>
    <w:r w:rsidRPr="00134F2D">
      <w:rPr>
        <w:b/>
        <w:sz w:val="18"/>
      </w:rPr>
      <w:fldChar w:fldCharType="begin"/>
    </w:r>
    <w:r w:rsidRPr="00134F2D">
      <w:rPr>
        <w:b/>
        <w:sz w:val="18"/>
      </w:rPr>
      <w:instrText xml:space="preserve"> PAGE  \* MERGEFORMAT </w:instrText>
    </w:r>
    <w:r w:rsidRPr="00134F2D">
      <w:rPr>
        <w:b/>
        <w:sz w:val="18"/>
      </w:rPr>
      <w:fldChar w:fldCharType="separate"/>
    </w:r>
    <w:r w:rsidR="00D06788">
      <w:rPr>
        <w:b/>
        <w:noProof/>
        <w:sz w:val="18"/>
      </w:rPr>
      <w:t>47</w:t>
    </w:r>
    <w:r w:rsidRPr="00134F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41" w:rsidRPr="00134F2D" w:rsidRDefault="00B84541">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11-45944  (F)    160312    260312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54" w:rsidRPr="000B175B" w:rsidRDefault="003E0854" w:rsidP="000B175B">
      <w:pPr>
        <w:tabs>
          <w:tab w:val="right" w:pos="2155"/>
        </w:tabs>
        <w:spacing w:after="80"/>
        <w:ind w:left="680"/>
        <w:rPr>
          <w:u w:val="single"/>
        </w:rPr>
      </w:pPr>
      <w:r>
        <w:rPr>
          <w:u w:val="single"/>
        </w:rPr>
        <w:tab/>
      </w:r>
    </w:p>
  </w:footnote>
  <w:footnote w:type="continuationSeparator" w:id="0">
    <w:p w:rsidR="003E0854" w:rsidRPr="00FC68B7" w:rsidRDefault="003E0854" w:rsidP="00FC68B7">
      <w:pPr>
        <w:tabs>
          <w:tab w:val="left" w:pos="2155"/>
        </w:tabs>
        <w:spacing w:after="80"/>
        <w:ind w:left="680"/>
        <w:rPr>
          <w:u w:val="single"/>
        </w:rPr>
      </w:pPr>
      <w:r>
        <w:rPr>
          <w:u w:val="single"/>
        </w:rPr>
        <w:tab/>
      </w:r>
    </w:p>
  </w:footnote>
  <w:footnote w:type="continuationNotice" w:id="1">
    <w:p w:rsidR="003E0854" w:rsidRPr="00EE2974" w:rsidRDefault="003E0854" w:rsidP="00EE2974">
      <w:pPr>
        <w:spacing w:line="240" w:lineRule="auto"/>
        <w:rPr>
          <w:sz w:val="2"/>
          <w:szCs w:val="2"/>
        </w:rPr>
      </w:pPr>
    </w:p>
  </w:footnote>
  <w:footnote w:id="2">
    <w:p w:rsidR="00B84541" w:rsidRPr="00134F2D" w:rsidRDefault="00B84541">
      <w:pPr>
        <w:pStyle w:val="FootnoteText"/>
      </w:pPr>
      <w:r>
        <w:tab/>
      </w:r>
      <w:r w:rsidRPr="00134F2D">
        <w:rPr>
          <w:rStyle w:val="FootnoteReference"/>
          <w:sz w:val="20"/>
          <w:vertAlign w:val="baseline"/>
        </w:rPr>
        <w:t>*</w:t>
      </w:r>
      <w:r>
        <w:rPr>
          <w:sz w:val="20"/>
        </w:rPr>
        <w:tab/>
      </w:r>
      <w:r w:rsidRPr="00700FBB">
        <w:rPr>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B84541" w:rsidRPr="00123A5E" w:rsidRDefault="00B84541" w:rsidP="007E0D82">
      <w:pPr>
        <w:pStyle w:val="FootnoteText"/>
        <w:rPr>
          <w:lang w:val="fr-FR"/>
        </w:rPr>
      </w:pPr>
      <w:r w:rsidRPr="00700FBB">
        <w:rPr>
          <w:lang w:val="fr-FR"/>
        </w:rPr>
        <w:tab/>
      </w:r>
      <w:r>
        <w:rPr>
          <w:rStyle w:val="FootnoteReference"/>
        </w:rPr>
        <w:footnoteRef/>
      </w:r>
      <w:r w:rsidRPr="00123A5E">
        <w:rPr>
          <w:lang w:val="fr-FR"/>
        </w:rPr>
        <w:t xml:space="preserve"> </w:t>
      </w:r>
      <w:r w:rsidRPr="00123A5E">
        <w:rPr>
          <w:lang w:val="fr-FR"/>
        </w:rPr>
        <w:tab/>
        <w:t xml:space="preserve">Il s’agit là d’un des pouvoirs établis par </w:t>
      </w:r>
      <w:r>
        <w:rPr>
          <w:lang w:val="fr-FR"/>
        </w:rPr>
        <w:t>le</w:t>
      </w:r>
      <w:r w:rsidRPr="00123A5E">
        <w:rPr>
          <w:lang w:val="fr-FR"/>
        </w:rPr>
        <w:t xml:space="preserve"> r</w:t>
      </w:r>
      <w:r>
        <w:rPr>
          <w:lang w:val="fr-FR"/>
        </w:rPr>
        <w:t>è</w:t>
      </w:r>
      <w:r w:rsidRPr="00123A5E">
        <w:rPr>
          <w:lang w:val="fr-FR"/>
        </w:rPr>
        <w:t>glement édict</w:t>
      </w:r>
      <w:r>
        <w:rPr>
          <w:lang w:val="fr-FR"/>
        </w:rPr>
        <w:t>é</w:t>
      </w:r>
      <w:r w:rsidRPr="00123A5E">
        <w:rPr>
          <w:lang w:val="fr-FR"/>
        </w:rPr>
        <w:t xml:space="preserve"> par le Ministère de la protection de la famille et de la femme, qui figure à l’alinéa </w:t>
      </w:r>
      <w:r w:rsidRPr="0053697D">
        <w:rPr>
          <w:i/>
          <w:lang w:val="fr-FR"/>
        </w:rPr>
        <w:t>b</w:t>
      </w:r>
      <w:r w:rsidRPr="00123A5E">
        <w:rPr>
          <w:lang w:val="fr-FR"/>
        </w:rPr>
        <w:t xml:space="preserve"> de l’article </w:t>
      </w:r>
      <w:r>
        <w:rPr>
          <w:lang w:val="fr-FR"/>
        </w:rPr>
        <w:t xml:space="preserve">11 du règlement. </w:t>
      </w:r>
    </w:p>
  </w:footnote>
  <w:footnote w:id="4">
    <w:p w:rsidR="00B84541" w:rsidRPr="006125CA" w:rsidRDefault="00B84541" w:rsidP="00FE79AB">
      <w:pPr>
        <w:pStyle w:val="FootnoteText"/>
      </w:pPr>
      <w:r>
        <w:tab/>
      </w:r>
      <w:r>
        <w:rPr>
          <w:rStyle w:val="FootnoteReference"/>
        </w:rPr>
        <w:footnoteRef/>
      </w:r>
      <w:r>
        <w:tab/>
      </w:r>
      <w:r w:rsidRPr="00C40DBB">
        <w:t>(Étude sur les conditions socioéconomiques des personnes âgées en Angola)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41" w:rsidRPr="00134F2D" w:rsidRDefault="00B84541">
    <w:pPr>
      <w:pStyle w:val="Header"/>
    </w:pPr>
    <w:r>
      <w:t>CEDAW/C/AGO/6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41" w:rsidRPr="00134F2D" w:rsidRDefault="00B84541" w:rsidP="00134F2D">
    <w:pPr>
      <w:pStyle w:val="Header"/>
      <w:jc w:val="right"/>
    </w:pPr>
    <w:r>
      <w:t>CEDAW/C/AGO/6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868"/>
    <w:rsid w:val="00002A7D"/>
    <w:rsid w:val="000038A8"/>
    <w:rsid w:val="00006790"/>
    <w:rsid w:val="00027624"/>
    <w:rsid w:val="00034BE1"/>
    <w:rsid w:val="00044871"/>
    <w:rsid w:val="00044BCE"/>
    <w:rsid w:val="00050F6B"/>
    <w:rsid w:val="000619C1"/>
    <w:rsid w:val="000678CD"/>
    <w:rsid w:val="0007091A"/>
    <w:rsid w:val="00072C8C"/>
    <w:rsid w:val="00081CE0"/>
    <w:rsid w:val="00084D30"/>
    <w:rsid w:val="00087744"/>
    <w:rsid w:val="00087A24"/>
    <w:rsid w:val="00090320"/>
    <w:rsid w:val="000931C0"/>
    <w:rsid w:val="000A2E09"/>
    <w:rsid w:val="000B175B"/>
    <w:rsid w:val="000B33CE"/>
    <w:rsid w:val="000B3A0F"/>
    <w:rsid w:val="000C0B11"/>
    <w:rsid w:val="000C16CE"/>
    <w:rsid w:val="000C7963"/>
    <w:rsid w:val="000D5CE6"/>
    <w:rsid w:val="000E0415"/>
    <w:rsid w:val="000E2FF9"/>
    <w:rsid w:val="000E3DCF"/>
    <w:rsid w:val="000F38B7"/>
    <w:rsid w:val="000F56E2"/>
    <w:rsid w:val="000F7715"/>
    <w:rsid w:val="000F7B6F"/>
    <w:rsid w:val="000F7B76"/>
    <w:rsid w:val="0011765F"/>
    <w:rsid w:val="00126F57"/>
    <w:rsid w:val="00134F2D"/>
    <w:rsid w:val="00147FD4"/>
    <w:rsid w:val="00152775"/>
    <w:rsid w:val="00156B99"/>
    <w:rsid w:val="00166124"/>
    <w:rsid w:val="00166158"/>
    <w:rsid w:val="0018490B"/>
    <w:rsid w:val="00184DDA"/>
    <w:rsid w:val="001900CD"/>
    <w:rsid w:val="00191B0E"/>
    <w:rsid w:val="001A0452"/>
    <w:rsid w:val="001A3FA6"/>
    <w:rsid w:val="001B4B04"/>
    <w:rsid w:val="001B5875"/>
    <w:rsid w:val="001B621C"/>
    <w:rsid w:val="001C4B9C"/>
    <w:rsid w:val="001C6663"/>
    <w:rsid w:val="001C7895"/>
    <w:rsid w:val="001D26DF"/>
    <w:rsid w:val="001F1599"/>
    <w:rsid w:val="001F19C4"/>
    <w:rsid w:val="002039A1"/>
    <w:rsid w:val="002043F0"/>
    <w:rsid w:val="00211E0B"/>
    <w:rsid w:val="0022416E"/>
    <w:rsid w:val="00224A01"/>
    <w:rsid w:val="00227A62"/>
    <w:rsid w:val="0023098D"/>
    <w:rsid w:val="00232575"/>
    <w:rsid w:val="002373AF"/>
    <w:rsid w:val="00247258"/>
    <w:rsid w:val="00247D90"/>
    <w:rsid w:val="00257CAC"/>
    <w:rsid w:val="002913AC"/>
    <w:rsid w:val="002974E9"/>
    <w:rsid w:val="002A7F94"/>
    <w:rsid w:val="002B109A"/>
    <w:rsid w:val="002C2837"/>
    <w:rsid w:val="002C5551"/>
    <w:rsid w:val="002C6D45"/>
    <w:rsid w:val="002D06FB"/>
    <w:rsid w:val="002D6E53"/>
    <w:rsid w:val="002E3E4B"/>
    <w:rsid w:val="002F046D"/>
    <w:rsid w:val="00301764"/>
    <w:rsid w:val="003225DB"/>
    <w:rsid w:val="003229D8"/>
    <w:rsid w:val="00336C97"/>
    <w:rsid w:val="00337E8F"/>
    <w:rsid w:val="00342432"/>
    <w:rsid w:val="00352D4B"/>
    <w:rsid w:val="0035638C"/>
    <w:rsid w:val="003709D8"/>
    <w:rsid w:val="00380A9A"/>
    <w:rsid w:val="003812A1"/>
    <w:rsid w:val="003A46BB"/>
    <w:rsid w:val="003A4EC7"/>
    <w:rsid w:val="003A7295"/>
    <w:rsid w:val="003B1F60"/>
    <w:rsid w:val="003C2CC4"/>
    <w:rsid w:val="003D4B23"/>
    <w:rsid w:val="003E0854"/>
    <w:rsid w:val="003E278A"/>
    <w:rsid w:val="004000EE"/>
    <w:rsid w:val="0040496F"/>
    <w:rsid w:val="00413520"/>
    <w:rsid w:val="004325CB"/>
    <w:rsid w:val="00440A07"/>
    <w:rsid w:val="004506F7"/>
    <w:rsid w:val="00451982"/>
    <w:rsid w:val="00462880"/>
    <w:rsid w:val="0047381D"/>
    <w:rsid w:val="00476F24"/>
    <w:rsid w:val="00494310"/>
    <w:rsid w:val="004951FF"/>
    <w:rsid w:val="004C1EB1"/>
    <w:rsid w:val="004C4252"/>
    <w:rsid w:val="004C55B0"/>
    <w:rsid w:val="004C6B7B"/>
    <w:rsid w:val="004E517A"/>
    <w:rsid w:val="004F6BA0"/>
    <w:rsid w:val="00503BEA"/>
    <w:rsid w:val="00516A1F"/>
    <w:rsid w:val="00533616"/>
    <w:rsid w:val="00535ABA"/>
    <w:rsid w:val="0053768B"/>
    <w:rsid w:val="005420F2"/>
    <w:rsid w:val="0054285C"/>
    <w:rsid w:val="00546224"/>
    <w:rsid w:val="0055061C"/>
    <w:rsid w:val="0056237B"/>
    <w:rsid w:val="005719E4"/>
    <w:rsid w:val="0057650D"/>
    <w:rsid w:val="00584173"/>
    <w:rsid w:val="00595520"/>
    <w:rsid w:val="005A3211"/>
    <w:rsid w:val="005A3A2D"/>
    <w:rsid w:val="005A4018"/>
    <w:rsid w:val="005A44B9"/>
    <w:rsid w:val="005B1BA0"/>
    <w:rsid w:val="005B3DB3"/>
    <w:rsid w:val="005B4DBF"/>
    <w:rsid w:val="005D15CA"/>
    <w:rsid w:val="005E6FA6"/>
    <w:rsid w:val="005F3066"/>
    <w:rsid w:val="005F3E61"/>
    <w:rsid w:val="00604DDD"/>
    <w:rsid w:val="00605704"/>
    <w:rsid w:val="006115CC"/>
    <w:rsid w:val="00611FC4"/>
    <w:rsid w:val="006176FB"/>
    <w:rsid w:val="00630FCB"/>
    <w:rsid w:val="00636011"/>
    <w:rsid w:val="00640B26"/>
    <w:rsid w:val="00641130"/>
    <w:rsid w:val="006770B2"/>
    <w:rsid w:val="006940E1"/>
    <w:rsid w:val="00695DA1"/>
    <w:rsid w:val="006A3C72"/>
    <w:rsid w:val="006A7392"/>
    <w:rsid w:val="006B03A1"/>
    <w:rsid w:val="006B67D9"/>
    <w:rsid w:val="006C4868"/>
    <w:rsid w:val="006C5535"/>
    <w:rsid w:val="006D0196"/>
    <w:rsid w:val="006D0589"/>
    <w:rsid w:val="006D34A4"/>
    <w:rsid w:val="006E564B"/>
    <w:rsid w:val="006E7154"/>
    <w:rsid w:val="007003CD"/>
    <w:rsid w:val="00706995"/>
    <w:rsid w:val="0070701E"/>
    <w:rsid w:val="007070A5"/>
    <w:rsid w:val="0071067D"/>
    <w:rsid w:val="0072632A"/>
    <w:rsid w:val="007358E8"/>
    <w:rsid w:val="00736ECE"/>
    <w:rsid w:val="0074533B"/>
    <w:rsid w:val="007643BC"/>
    <w:rsid w:val="0076548B"/>
    <w:rsid w:val="00767EA7"/>
    <w:rsid w:val="00776A28"/>
    <w:rsid w:val="007959FE"/>
    <w:rsid w:val="007A0CF1"/>
    <w:rsid w:val="007A79C8"/>
    <w:rsid w:val="007B16FD"/>
    <w:rsid w:val="007B6BA5"/>
    <w:rsid w:val="007C3390"/>
    <w:rsid w:val="007C42D8"/>
    <w:rsid w:val="007C4F4B"/>
    <w:rsid w:val="007D7362"/>
    <w:rsid w:val="007E0D82"/>
    <w:rsid w:val="007F5CE2"/>
    <w:rsid w:val="007F6611"/>
    <w:rsid w:val="00810BAC"/>
    <w:rsid w:val="00814AB3"/>
    <w:rsid w:val="008175E9"/>
    <w:rsid w:val="008242D7"/>
    <w:rsid w:val="0082577B"/>
    <w:rsid w:val="008262C3"/>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560B"/>
    <w:rsid w:val="008B7964"/>
    <w:rsid w:val="008D045E"/>
    <w:rsid w:val="008D22E9"/>
    <w:rsid w:val="008D3F25"/>
    <w:rsid w:val="008D4D82"/>
    <w:rsid w:val="008E0E46"/>
    <w:rsid w:val="008E3963"/>
    <w:rsid w:val="008E47FA"/>
    <w:rsid w:val="008E7116"/>
    <w:rsid w:val="008F143B"/>
    <w:rsid w:val="008F3882"/>
    <w:rsid w:val="008F4B7C"/>
    <w:rsid w:val="00913AB7"/>
    <w:rsid w:val="009265B3"/>
    <w:rsid w:val="00926E47"/>
    <w:rsid w:val="00947162"/>
    <w:rsid w:val="0096375C"/>
    <w:rsid w:val="009662E6"/>
    <w:rsid w:val="0097095E"/>
    <w:rsid w:val="00977C73"/>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696B"/>
    <w:rsid w:val="00A1704A"/>
    <w:rsid w:val="00A425EB"/>
    <w:rsid w:val="00A50BD5"/>
    <w:rsid w:val="00A65B63"/>
    <w:rsid w:val="00A72F22"/>
    <w:rsid w:val="00A733BC"/>
    <w:rsid w:val="00A748A6"/>
    <w:rsid w:val="00A76A69"/>
    <w:rsid w:val="00A77378"/>
    <w:rsid w:val="00A879A4"/>
    <w:rsid w:val="00AB2A4A"/>
    <w:rsid w:val="00AC061C"/>
    <w:rsid w:val="00AC0F2C"/>
    <w:rsid w:val="00AC3421"/>
    <w:rsid w:val="00AC502A"/>
    <w:rsid w:val="00AF58C1"/>
    <w:rsid w:val="00B06643"/>
    <w:rsid w:val="00B15055"/>
    <w:rsid w:val="00B30179"/>
    <w:rsid w:val="00B33A88"/>
    <w:rsid w:val="00B37B15"/>
    <w:rsid w:val="00B45C02"/>
    <w:rsid w:val="00B51C59"/>
    <w:rsid w:val="00B53C63"/>
    <w:rsid w:val="00B567C4"/>
    <w:rsid w:val="00B72A1E"/>
    <w:rsid w:val="00B81E12"/>
    <w:rsid w:val="00B84541"/>
    <w:rsid w:val="00B936E4"/>
    <w:rsid w:val="00BA339B"/>
    <w:rsid w:val="00BA6E3F"/>
    <w:rsid w:val="00BB748E"/>
    <w:rsid w:val="00BC021A"/>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45A83"/>
    <w:rsid w:val="00C463DD"/>
    <w:rsid w:val="00C745C3"/>
    <w:rsid w:val="00C97DDF"/>
    <w:rsid w:val="00CA24A4"/>
    <w:rsid w:val="00CB348D"/>
    <w:rsid w:val="00CC4EDE"/>
    <w:rsid w:val="00CD318B"/>
    <w:rsid w:val="00CD46F5"/>
    <w:rsid w:val="00CD75FF"/>
    <w:rsid w:val="00CE4551"/>
    <w:rsid w:val="00CE4A8F"/>
    <w:rsid w:val="00CF071D"/>
    <w:rsid w:val="00D06788"/>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2D60"/>
    <w:rsid w:val="00DC18AD"/>
    <w:rsid w:val="00DC2D4D"/>
    <w:rsid w:val="00DD469C"/>
    <w:rsid w:val="00DE591A"/>
    <w:rsid w:val="00DF19DD"/>
    <w:rsid w:val="00DF7CAE"/>
    <w:rsid w:val="00E15023"/>
    <w:rsid w:val="00E225DF"/>
    <w:rsid w:val="00E423C0"/>
    <w:rsid w:val="00E450D1"/>
    <w:rsid w:val="00E6414C"/>
    <w:rsid w:val="00E64E8C"/>
    <w:rsid w:val="00E7260F"/>
    <w:rsid w:val="00E77B38"/>
    <w:rsid w:val="00E8702D"/>
    <w:rsid w:val="00E916A9"/>
    <w:rsid w:val="00E916DE"/>
    <w:rsid w:val="00E91CDD"/>
    <w:rsid w:val="00E96630"/>
    <w:rsid w:val="00EC5694"/>
    <w:rsid w:val="00EC5769"/>
    <w:rsid w:val="00ED18DC"/>
    <w:rsid w:val="00ED6201"/>
    <w:rsid w:val="00ED7A2A"/>
    <w:rsid w:val="00EE2974"/>
    <w:rsid w:val="00EE563A"/>
    <w:rsid w:val="00EF1D7F"/>
    <w:rsid w:val="00F0137E"/>
    <w:rsid w:val="00F035E5"/>
    <w:rsid w:val="00F17B25"/>
    <w:rsid w:val="00F21786"/>
    <w:rsid w:val="00F3742B"/>
    <w:rsid w:val="00F56D63"/>
    <w:rsid w:val="00F609A9"/>
    <w:rsid w:val="00F74F46"/>
    <w:rsid w:val="00F75677"/>
    <w:rsid w:val="00F80C99"/>
    <w:rsid w:val="00F867EC"/>
    <w:rsid w:val="00F91B2B"/>
    <w:rsid w:val="00FB205F"/>
    <w:rsid w:val="00FC03CD"/>
    <w:rsid w:val="00FC0646"/>
    <w:rsid w:val="00FC509F"/>
    <w:rsid w:val="00FC68B7"/>
    <w:rsid w:val="00FD0385"/>
    <w:rsid w:val="00FD0A65"/>
    <w:rsid w:val="00FD3520"/>
    <w:rsid w:val="00FE49D7"/>
    <w:rsid w:val="00FE6985"/>
    <w:rsid w:val="00FE79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SingleTxtGChar">
    <w:name w:val="_ Single Txt_G Char"/>
    <w:link w:val="SingleTxtG"/>
    <w:rsid w:val="00134F2D"/>
    <w:rPr>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Pages>
  <Words>18491</Words>
  <Characters>101706</Characters>
  <Application>Microsoft Office Word</Application>
  <DocSecurity>4</DocSecurity>
  <Lines>847</Lines>
  <Paragraphs>239</Paragraphs>
  <ScaleCrop>false</ScaleCrop>
  <HeadingPairs>
    <vt:vector size="2" baseType="variant">
      <vt:variant>
        <vt:lpstr>Titre</vt:lpstr>
      </vt:variant>
      <vt:variant>
        <vt:i4>1</vt:i4>
      </vt:variant>
    </vt:vector>
  </HeadingPairs>
  <TitlesOfParts>
    <vt:vector size="1" baseType="lpstr">
      <vt:lpstr>CEDAW/C/AGO/6</vt:lpstr>
    </vt:vector>
  </TitlesOfParts>
  <Company>CSD</Company>
  <LinksUpToDate>false</LinksUpToDate>
  <CharactersWithSpaces>119958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CEDAW/C/AGO/6</dc:title>
  <dc:subject>Final</dc:subject>
  <dc:creator>burdin</dc:creator>
  <cp:keywords/>
  <dc:description/>
  <cp:lastModifiedBy>Pool</cp:lastModifiedBy>
  <cp:revision>3</cp:revision>
  <cp:lastPrinted>2012-03-26T11:03:00Z</cp:lastPrinted>
  <dcterms:created xsi:type="dcterms:W3CDTF">2012-03-26T11:13:00Z</dcterms:created>
  <dcterms:modified xsi:type="dcterms:W3CDTF">2012-03-26T11:18:00Z</dcterms:modified>
</cp:coreProperties>
</file>